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115C60" w:rsidP="00115C60">
      <w:pPr>
        <w:pStyle w:val="ChapterTitle"/>
        <w:spacing w:before="0" w:after="0"/>
      </w:pPr>
      <w:r>
        <w:rPr>
          <w:noProof/>
        </w:rPr>
        <w:t>POROČILO O IZVAJANJU ZA SKLAD AMIF</w:t>
      </w:r>
    </w:p>
    <w:p w:rsidR="00115C60" w:rsidRPr="00115C60" w:rsidP="00115C60"/>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7772"/>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115C60" w:rsidRPr="0019232D" w:rsidP="00003291">
            <w:pPr>
              <w:spacing w:before="0" w:after="0"/>
            </w:pPr>
            <w:r>
              <w:rPr>
                <w:noProof/>
              </w:rPr>
              <w:t>Številka CCI</w:t>
            </w:r>
          </w:p>
        </w:tc>
        <w:tc>
          <w:tcPr>
            <w:shd w:val="clear" w:color="auto" w:fill="auto"/>
          </w:tcPr>
          <w:p w:rsidR="00115C60" w:rsidRPr="0019232D" w:rsidP="00003291">
            <w:pPr>
              <w:spacing w:before="0" w:after="0"/>
              <w:rPr>
                <w:color w:val="000000"/>
              </w:rPr>
            </w:pPr>
            <w:r>
              <w:rPr>
                <w:noProof/>
                <w:color w:val="000000"/>
              </w:rPr>
              <w:t>2014SI65AMNP001</w:t>
            </w:r>
          </w:p>
        </w:tc>
      </w:tr>
      <w:tr w:rsidTr="00003291">
        <w:tblPrEx>
          <w:tblW w:w="5000" w:type="pct"/>
          <w:tblLook w:val="04A0"/>
        </w:tblPrEx>
        <w:trPr>
          <w:trHeight w:val="269"/>
        </w:trPr>
        <w:tc>
          <w:tcPr>
            <w:shd w:val="clear" w:color="auto" w:fill="auto"/>
          </w:tcPr>
          <w:p w:rsidR="00115C60" w:rsidRPr="00F433EE" w:rsidP="00003291">
            <w:pPr>
              <w:spacing w:before="0" w:after="0"/>
            </w:pPr>
            <w:r>
              <w:rPr>
                <w:noProof/>
              </w:rPr>
              <w:t>Naslov</w:t>
            </w:r>
          </w:p>
        </w:tc>
        <w:tc>
          <w:tcPr>
            <w:shd w:val="clear" w:color="auto" w:fill="auto"/>
          </w:tcPr>
          <w:p w:rsidR="00115C60" w:rsidRPr="0019232D" w:rsidP="00003291">
            <w:pPr>
              <w:spacing w:before="0" w:after="0"/>
              <w:rPr>
                <w:color w:val="000000"/>
              </w:rPr>
            </w:pPr>
            <w:r>
              <w:rPr>
                <w:noProof/>
                <w:color w:val="000000"/>
              </w:rPr>
              <w:t>Slovenija National Programme AMIF</w:t>
            </w:r>
          </w:p>
        </w:tc>
      </w:tr>
      <w:tr w:rsidTr="00003291">
        <w:tblPrEx>
          <w:tblW w:w="5000" w:type="pct"/>
          <w:tblLook w:val="04A0"/>
        </w:tblPrEx>
        <w:trPr>
          <w:trHeight w:val="138"/>
        </w:trPr>
        <w:tc>
          <w:tcPr>
            <w:shd w:val="clear" w:color="auto" w:fill="auto"/>
          </w:tcPr>
          <w:p w:rsidR="00115C60" w:rsidRPr="0019232D" w:rsidP="00003291">
            <w:pPr>
              <w:spacing w:before="0" w:after="0"/>
            </w:pPr>
            <w:r>
              <w:rPr>
                <w:noProof/>
              </w:rPr>
              <w:t>Različica</w:t>
            </w:r>
          </w:p>
        </w:tc>
        <w:tc>
          <w:tcPr>
            <w:shd w:val="clear" w:color="auto" w:fill="auto"/>
          </w:tcPr>
          <w:p w:rsidR="00115C60" w:rsidRPr="0019232D" w:rsidP="00003291">
            <w:pPr>
              <w:spacing w:before="0" w:after="0"/>
              <w:rPr>
                <w:color w:val="000000"/>
              </w:rPr>
            </w:pPr>
            <w:r>
              <w:rPr>
                <w:noProof/>
                <w:color w:val="000000"/>
              </w:rPr>
              <w:t>2022.0</w:t>
            </w:r>
          </w:p>
        </w:tc>
      </w:tr>
    </w:tbl>
    <w:p w:rsidR="00115C60" w:rsidP="00115C60">
      <w:pPr>
        <w:pStyle w:val="Text1"/>
        <w:spacing w:before="0" w:after="0"/>
        <w:ind w:left="0"/>
      </w:pPr>
    </w:p>
    <w:p w:rsidR="00906AC0" w:rsidP="00115C60">
      <w:pPr>
        <w:pStyle w:val="Heading1"/>
        <w:numPr>
          <w:ilvl w:val="0"/>
          <w:numId w:val="0"/>
        </w:numPr>
        <w:spacing w:before="0" w:after="0"/>
        <w:jc w:val="left"/>
        <w:rPr>
          <w:noProof/>
        </w:rPr>
      </w:pPr>
      <w:r w:rsidR="00115C60">
        <w:br w:type="page"/>
      </w:r>
      <w:r w:rsidR="003D38C3">
        <w:fldChar w:fldCharType="begin"/>
      </w:r>
      <w:r w:rsidR="003D38C3">
        <w:instrText xml:space="preserve"> TOC \o "1-3" \h \z </w:instrText>
      </w:r>
      <w:r w:rsidR="003D38C3">
        <w:fldChar w:fldCharType="separate"/>
      </w:r>
    </w:p>
    <w:p>
      <w:pPr>
        <w:pStyle w:val="TOC1"/>
        <w:tabs>
          <w:tab w:val="right" w:leader="dot" w:pos="10761"/>
        </w:tabs>
        <w:rPr>
          <w:rFonts w:asciiTheme="minorHAnsi" w:hAnsiTheme="minorHAnsi"/>
          <w:noProof/>
          <w:sz w:val="22"/>
        </w:rPr>
      </w:pPr>
      <w:hyperlink w:anchor="_Toc256000002" w:history="1">
        <w:r>
          <w:rPr>
            <w:rStyle w:val="Hyperlink"/>
            <w:noProof/>
          </w:rPr>
          <w:t>ODDELEK 3: PROGRAMSKI CILJI</w:t>
        </w:r>
        <w:r>
          <w:tab/>
        </w:r>
        <w:r>
          <w:fldChar w:fldCharType="begin"/>
        </w:r>
        <w:r>
          <w:instrText xml:space="preserve"> PAGEREF _Toc256000002 \h </w:instrText>
        </w:r>
        <w:r>
          <w:fldChar w:fldCharType="separate"/>
        </w:r>
        <w:r>
          <w:t>3</w:t>
        </w:r>
        <w:r>
          <w:fldChar w:fldCharType="end"/>
        </w:r>
      </w:hyperlink>
    </w:p>
    <w:p>
      <w:pPr>
        <w:pStyle w:val="TOC1"/>
        <w:tabs>
          <w:tab w:val="right" w:leader="dot" w:pos="10761"/>
        </w:tabs>
        <w:rPr>
          <w:rFonts w:asciiTheme="minorHAnsi" w:hAnsiTheme="minorHAnsi"/>
          <w:noProof/>
          <w:sz w:val="22"/>
        </w:rPr>
      </w:pPr>
      <w:hyperlink w:anchor="_Toc256000003" w:history="1">
        <w:r w:rsidRPr="00F9367D">
          <w:rPr>
            <w:rStyle w:val="Hyperlink"/>
            <w:noProof/>
          </w:rPr>
          <w:t>OKVIRNI ČASOVNI RAZPORED</w:t>
        </w:r>
        <w:r>
          <w:tab/>
        </w:r>
        <w:r>
          <w:fldChar w:fldCharType="begin"/>
        </w:r>
        <w:r>
          <w:instrText xml:space="preserve"> PAGEREF _Toc256000003 \h </w:instrText>
        </w:r>
        <w:r>
          <w:fldChar w:fldCharType="separate"/>
        </w:r>
        <w:r>
          <w:t>10</w:t>
        </w:r>
        <w:r>
          <w:fldChar w:fldCharType="end"/>
        </w:r>
      </w:hyperlink>
    </w:p>
    <w:p>
      <w:pPr>
        <w:pStyle w:val="TOC1"/>
        <w:tabs>
          <w:tab w:val="right" w:leader="dot" w:pos="10761"/>
        </w:tabs>
        <w:rPr>
          <w:rFonts w:asciiTheme="minorHAnsi" w:hAnsiTheme="minorHAnsi"/>
          <w:noProof/>
          <w:sz w:val="22"/>
        </w:rPr>
      </w:pPr>
      <w:hyperlink w:anchor="_Toc256000004" w:history="1">
        <w:r>
          <w:rPr>
            <w:rStyle w:val="Hyperlink"/>
            <w:noProof/>
          </w:rPr>
          <w:t>ODDELEK 4: POSEBNI PRIMERI</w:t>
        </w:r>
        <w:r>
          <w:tab/>
        </w:r>
        <w:r>
          <w:fldChar w:fldCharType="begin"/>
        </w:r>
        <w:r>
          <w:instrText xml:space="preserve"> PAGEREF _Toc256000004 \h </w:instrText>
        </w:r>
        <w:r>
          <w:fldChar w:fldCharType="separate"/>
        </w:r>
        <w:r>
          <w:t>11</w:t>
        </w:r>
        <w:r>
          <w:fldChar w:fldCharType="end"/>
        </w:r>
      </w:hyperlink>
    </w:p>
    <w:p>
      <w:pPr>
        <w:pStyle w:val="TOC1"/>
        <w:tabs>
          <w:tab w:val="right" w:leader="dot" w:pos="10761"/>
        </w:tabs>
        <w:rPr>
          <w:rFonts w:asciiTheme="minorHAnsi" w:hAnsiTheme="minorHAnsi"/>
          <w:noProof/>
          <w:sz w:val="22"/>
        </w:rPr>
      </w:pPr>
      <w:hyperlink w:anchor="_Toc256000005" w:history="1">
        <w:r>
          <w:rPr>
            <w:rStyle w:val="Hyperlink"/>
            <w:noProof/>
            <w:lang w:val="fr-BE"/>
          </w:rPr>
          <w:t>ODDELEK 5: SKUPNI KAZALNIKI IN KAZALNIKI ZA POSAMEZNE PROGRAME</w:t>
        </w:r>
        <w:r>
          <w:tab/>
        </w:r>
        <w:r>
          <w:fldChar w:fldCharType="begin"/>
        </w:r>
        <w:r>
          <w:instrText xml:space="preserve"> PAGEREF _Toc256000005 \h </w:instrText>
        </w:r>
        <w:r>
          <w:fldChar w:fldCharType="separate"/>
        </w:r>
        <w:r>
          <w:t>12</w:t>
        </w:r>
        <w:r>
          <w:fldChar w:fldCharType="end"/>
        </w:r>
      </w:hyperlink>
    </w:p>
    <w:p>
      <w:pPr>
        <w:pStyle w:val="TOC1"/>
        <w:tabs>
          <w:tab w:val="right" w:leader="dot" w:pos="10761"/>
        </w:tabs>
        <w:rPr>
          <w:rFonts w:asciiTheme="minorHAnsi" w:hAnsiTheme="minorHAnsi"/>
          <w:noProof/>
          <w:sz w:val="22"/>
        </w:rPr>
      </w:pPr>
      <w:hyperlink w:anchor="_Toc256000006" w:history="1">
        <w:r>
          <w:rPr>
            <w:rStyle w:val="Hyperlink"/>
            <w:noProof/>
            <w:lang w:val="fr-BE"/>
          </w:rPr>
          <w:t>ODDELEK 6: OKVIR ZA PRIPRAVO IN IZVAJANJE PROGRAMA S STRANI DRŽAVE ČLANICE</w:t>
        </w:r>
        <w:r>
          <w:tab/>
        </w:r>
        <w:r>
          <w:fldChar w:fldCharType="begin"/>
        </w:r>
        <w:r>
          <w:instrText xml:space="preserve"> PAGEREF _Toc256000006 \h </w:instrText>
        </w:r>
        <w:r>
          <w:fldChar w:fldCharType="separate"/>
        </w:r>
        <w:r>
          <w:t>14</w:t>
        </w:r>
        <w:r>
          <w:fldChar w:fldCharType="end"/>
        </w:r>
      </w:hyperlink>
    </w:p>
    <w:p>
      <w:pPr>
        <w:pStyle w:val="TOC2"/>
        <w:tabs>
          <w:tab w:val="right" w:leader="dot" w:pos="10761"/>
        </w:tabs>
        <w:rPr>
          <w:rFonts w:asciiTheme="minorHAnsi" w:hAnsiTheme="minorHAnsi"/>
          <w:noProof/>
          <w:sz w:val="22"/>
        </w:rPr>
      </w:pPr>
      <w:hyperlink w:anchor="_Toc256000007" w:history="1">
        <w:r>
          <w:rPr>
            <w:rStyle w:val="Hyperlink"/>
            <w:noProof/>
            <w:lang w:val="fr-BE"/>
          </w:rPr>
          <w:t>6.1 Odbor za spremljanje (člen 12(4) Uredbe (EU) št. 514/2014)</w:t>
        </w:r>
        <w:r>
          <w:tab/>
        </w:r>
        <w:r>
          <w:fldChar w:fldCharType="begin"/>
        </w:r>
        <w:r>
          <w:instrText xml:space="preserve"> PAGEREF _Toc256000007 \h </w:instrText>
        </w:r>
        <w:r>
          <w:fldChar w:fldCharType="separate"/>
        </w:r>
        <w:r>
          <w:t>14</w:t>
        </w:r>
        <w:r>
          <w:fldChar w:fldCharType="end"/>
        </w:r>
      </w:hyperlink>
    </w:p>
    <w:p>
      <w:pPr>
        <w:pStyle w:val="TOC2"/>
        <w:tabs>
          <w:tab w:val="right" w:leader="dot" w:pos="10761"/>
        </w:tabs>
        <w:rPr>
          <w:rFonts w:asciiTheme="minorHAnsi" w:hAnsiTheme="minorHAnsi"/>
          <w:noProof/>
          <w:sz w:val="22"/>
        </w:rPr>
      </w:pPr>
      <w:hyperlink w:anchor="_Toc256000008" w:history="1">
        <w:r>
          <w:rPr>
            <w:rStyle w:val="Hyperlink"/>
            <w:noProof/>
            <w:lang w:val="fr-BE"/>
          </w:rPr>
          <w:t>6.2 Skupni okvir za spremljanje in vrednotenje (člen 14(2)(f) Uredbe (EU) št. 514/2014)</w:t>
        </w:r>
        <w:r>
          <w:tab/>
        </w:r>
        <w:r>
          <w:fldChar w:fldCharType="begin"/>
        </w:r>
        <w:r>
          <w:instrText xml:space="preserve"> PAGEREF _Toc256000008 \h </w:instrText>
        </w:r>
        <w:r>
          <w:fldChar w:fldCharType="separate"/>
        </w:r>
        <w:r>
          <w:t>15</w:t>
        </w:r>
        <w:r>
          <w:fldChar w:fldCharType="end"/>
        </w:r>
      </w:hyperlink>
    </w:p>
    <w:p>
      <w:pPr>
        <w:pStyle w:val="TOC2"/>
        <w:tabs>
          <w:tab w:val="right" w:leader="dot" w:pos="10761"/>
        </w:tabs>
        <w:rPr>
          <w:rFonts w:asciiTheme="minorHAnsi" w:hAnsiTheme="minorHAnsi"/>
          <w:noProof/>
          <w:sz w:val="22"/>
        </w:rPr>
      </w:pPr>
      <w:hyperlink w:anchor="_Toc256000009" w:history="1">
        <w:r>
          <w:rPr>
            <w:rStyle w:val="Hyperlink"/>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15</w:t>
        </w:r>
        <w:r>
          <w:fldChar w:fldCharType="end"/>
        </w:r>
      </w:hyperlink>
    </w:p>
    <w:p>
      <w:pPr>
        <w:pStyle w:val="TOC2"/>
        <w:tabs>
          <w:tab w:val="right" w:leader="dot" w:pos="10761"/>
        </w:tabs>
        <w:rPr>
          <w:rFonts w:asciiTheme="minorHAnsi" w:hAnsiTheme="minorHAnsi"/>
          <w:noProof/>
          <w:sz w:val="22"/>
        </w:rPr>
      </w:pPr>
      <w:hyperlink w:anchor="_Toc256000010" w:history="1">
        <w:r>
          <w:rPr>
            <w:rStyle w:val="Hyperlink"/>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17</w:t>
        </w:r>
        <w:r>
          <w:fldChar w:fldCharType="end"/>
        </w:r>
      </w:hyperlink>
    </w:p>
    <w:p>
      <w:pPr>
        <w:pStyle w:val="TOC2"/>
        <w:tabs>
          <w:tab w:val="right" w:leader="dot" w:pos="10761"/>
        </w:tabs>
        <w:rPr>
          <w:rFonts w:asciiTheme="minorHAnsi" w:hAnsiTheme="minorHAnsi"/>
          <w:noProof/>
          <w:sz w:val="22"/>
        </w:rPr>
      </w:pPr>
      <w:hyperlink w:anchor="_Toc256000011" w:history="1">
        <w:r>
          <w:rPr>
            <w:rStyle w:val="Hyperlink"/>
            <w:noProof/>
            <w:lang w:val="fr-BE"/>
          </w:rPr>
          <w:t>Na kratko opišite glavne prispevke in mnenja partnerjev v proračunskem letu.</w:t>
        </w:r>
        <w:r>
          <w:tab/>
        </w:r>
        <w:r>
          <w:fldChar w:fldCharType="begin"/>
        </w:r>
        <w:r>
          <w:instrText xml:space="preserve"> PAGEREF _Toc256000011 \h </w:instrText>
        </w:r>
        <w:r>
          <w:fldChar w:fldCharType="separate"/>
        </w:r>
        <w:r>
          <w:t>17</w:t>
        </w:r>
        <w:r>
          <w:fldChar w:fldCharType="end"/>
        </w:r>
      </w:hyperlink>
    </w:p>
    <w:p>
      <w:pPr>
        <w:pStyle w:val="TOC2"/>
        <w:tabs>
          <w:tab w:val="right" w:leader="dot" w:pos="10761"/>
        </w:tabs>
        <w:rPr>
          <w:rFonts w:asciiTheme="minorHAnsi" w:hAnsiTheme="minorHAnsi"/>
          <w:noProof/>
          <w:sz w:val="22"/>
        </w:rPr>
      </w:pPr>
      <w:hyperlink w:anchor="_Toc256000012" w:history="1">
        <w:r>
          <w:rPr>
            <w:rStyle w:val="Hyperlink"/>
            <w:noProof/>
            <w:lang w:val="fr-BE"/>
          </w:rPr>
          <w:t>6.4 Obveščanje in objavljanje (člen 48 Uredbe (ES) št. 514/2014)</w:t>
        </w:r>
        <w:r>
          <w:tab/>
        </w:r>
        <w:r>
          <w:fldChar w:fldCharType="begin"/>
        </w:r>
        <w:r>
          <w:instrText xml:space="preserve"> PAGEREF _Toc256000012 \h </w:instrText>
        </w:r>
        <w:r>
          <w:fldChar w:fldCharType="separate"/>
        </w:r>
        <w:r>
          <w:t>18</w:t>
        </w:r>
        <w:r>
          <w:fldChar w:fldCharType="end"/>
        </w:r>
      </w:hyperlink>
    </w:p>
    <w:p>
      <w:pPr>
        <w:pStyle w:val="TOC2"/>
        <w:tabs>
          <w:tab w:val="right" w:leader="dot" w:pos="10761"/>
        </w:tabs>
        <w:rPr>
          <w:rFonts w:asciiTheme="minorHAnsi" w:hAnsiTheme="minorHAnsi"/>
          <w:noProof/>
          <w:sz w:val="22"/>
        </w:rPr>
      </w:pPr>
      <w:hyperlink w:anchor="_Toc256000013" w:history="1">
        <w:r>
          <w:rPr>
            <w:rStyle w:val="Hyperlink"/>
            <w:noProof/>
            <w:lang w:val="fr-BE"/>
          </w:rPr>
          <w:t>Navedite povezavo do spletišča programa.</w:t>
        </w:r>
        <w:r>
          <w:tab/>
        </w:r>
        <w:r>
          <w:fldChar w:fldCharType="begin"/>
        </w:r>
        <w:r>
          <w:instrText xml:space="preserve"> PAGEREF _Toc256000013 \h </w:instrText>
        </w:r>
        <w:r>
          <w:fldChar w:fldCharType="separate"/>
        </w:r>
        <w:r>
          <w:t>18</w:t>
        </w:r>
        <w:r>
          <w:fldChar w:fldCharType="end"/>
        </w:r>
      </w:hyperlink>
    </w:p>
    <w:p>
      <w:pPr>
        <w:pStyle w:val="TOC2"/>
        <w:tabs>
          <w:tab w:val="right" w:leader="dot" w:pos="10761"/>
        </w:tabs>
        <w:rPr>
          <w:rFonts w:asciiTheme="minorHAnsi" w:hAnsiTheme="minorHAnsi"/>
          <w:noProof/>
          <w:sz w:val="22"/>
        </w:rPr>
      </w:pPr>
      <w:hyperlink w:anchor="_Toc256000014" w:history="1">
        <w:r>
          <w:rPr>
            <w:rStyle w:val="Hyperlink"/>
            <w:noProof/>
            <w:lang w:val="fr-BE"/>
          </w:rPr>
          <w:t>Navedite glavne dejavnosti obveščanja in objavljanja, izvedene v proračunskem letu. Priložiti je treba primere gradiva.</w:t>
        </w:r>
        <w:r>
          <w:tab/>
        </w:r>
        <w:r>
          <w:fldChar w:fldCharType="begin"/>
        </w:r>
        <w:r>
          <w:instrText xml:space="preserve"> PAGEREF _Toc256000014 \h </w:instrText>
        </w:r>
        <w:r>
          <w:fldChar w:fldCharType="separate"/>
        </w:r>
        <w:r>
          <w:t>18</w:t>
        </w:r>
        <w:r>
          <w:fldChar w:fldCharType="end"/>
        </w:r>
      </w:hyperlink>
    </w:p>
    <w:p>
      <w:pPr>
        <w:pStyle w:val="TOC2"/>
        <w:tabs>
          <w:tab w:val="right" w:leader="dot" w:pos="10761"/>
        </w:tabs>
        <w:rPr>
          <w:rFonts w:asciiTheme="minorHAnsi" w:hAnsiTheme="minorHAnsi"/>
          <w:noProof/>
          <w:sz w:val="22"/>
        </w:rPr>
      </w:pPr>
      <w:hyperlink w:anchor="_Toc256000015" w:history="1">
        <w:r w:rsidRPr="00910C3F">
          <w:rPr>
            <w:rStyle w:val="Hyperlink"/>
            <w:noProof/>
          </w:rPr>
          <w:t>6.5 Dopolnjevanje z drugimi instrumenti Unije (člen 14(2)(e) in 14(5)(f) Uredbe (EU) št. 514/2014)</w:t>
        </w:r>
        <w:r>
          <w:tab/>
        </w:r>
        <w:r>
          <w:fldChar w:fldCharType="begin"/>
        </w:r>
        <w:r>
          <w:instrText xml:space="preserve"> PAGEREF _Toc256000015 \h </w:instrText>
        </w:r>
        <w:r>
          <w:fldChar w:fldCharType="separate"/>
        </w:r>
        <w:r>
          <w:t>20</w:t>
        </w:r>
        <w:r>
          <w:fldChar w:fldCharType="end"/>
        </w:r>
      </w:hyperlink>
    </w:p>
    <w:p>
      <w:pPr>
        <w:pStyle w:val="TOC2"/>
        <w:tabs>
          <w:tab w:val="right" w:leader="dot" w:pos="10761"/>
        </w:tabs>
        <w:rPr>
          <w:rFonts w:asciiTheme="minorHAnsi" w:hAnsiTheme="minorHAnsi"/>
          <w:noProof/>
          <w:sz w:val="22"/>
        </w:rPr>
      </w:pPr>
      <w:hyperlink w:anchor="_Toc256000016" w:history="1">
        <w:r>
          <w:rPr>
            <w:rStyle w:val="Hyperlink"/>
            <w:noProof/>
            <w:lang w:val="fr-BE"/>
          </w:rPr>
          <w:t>Na kratko opišite glavne ukrepe in posvetovanja, opravljena za zagotovitev usklajenosti z drugimi instrumenti Unije, zlasti naslednjimi:</w:t>
        </w:r>
        <w:r>
          <w:tab/>
        </w:r>
        <w:r>
          <w:fldChar w:fldCharType="begin"/>
        </w:r>
        <w:r>
          <w:instrText xml:space="preserve"> PAGEREF _Toc256000016 \h </w:instrText>
        </w:r>
        <w:r>
          <w:fldChar w:fldCharType="separate"/>
        </w:r>
        <w:r>
          <w:t>20</w:t>
        </w:r>
        <w:r>
          <w:fldChar w:fldCharType="end"/>
        </w:r>
      </w:hyperlink>
    </w:p>
    <w:p>
      <w:pPr>
        <w:pStyle w:val="TOC2"/>
        <w:tabs>
          <w:tab w:val="right" w:leader="dot" w:pos="10761"/>
        </w:tabs>
        <w:rPr>
          <w:rFonts w:asciiTheme="minorHAnsi" w:hAnsiTheme="minorHAnsi"/>
          <w:noProof/>
          <w:sz w:val="22"/>
        </w:rPr>
      </w:pPr>
      <w:hyperlink w:anchor="_Toc256000017" w:history="1">
        <w:r>
          <w:rPr>
            <w:rStyle w:val="Hyperlink"/>
            <w:noProof/>
            <w:lang w:val="fr-BE"/>
          </w:rPr>
          <w:t>6.6 Neposredna oddaja naročila</w:t>
        </w:r>
        <w:r>
          <w:tab/>
        </w:r>
        <w:r>
          <w:fldChar w:fldCharType="begin"/>
        </w:r>
        <w:r>
          <w:instrText xml:space="preserve"> PAGEREF _Toc256000017 \h </w:instrText>
        </w:r>
        <w:r>
          <w:fldChar w:fldCharType="separate"/>
        </w:r>
        <w:r>
          <w:t>21</w:t>
        </w:r>
        <w:r>
          <w:fldChar w:fldCharType="end"/>
        </w:r>
      </w:hyperlink>
    </w:p>
    <w:p>
      <w:pPr>
        <w:pStyle w:val="TOC2"/>
        <w:tabs>
          <w:tab w:val="right" w:leader="dot" w:pos="10761"/>
        </w:tabs>
        <w:rPr>
          <w:rFonts w:asciiTheme="minorHAnsi" w:hAnsiTheme="minorHAnsi"/>
          <w:noProof/>
          <w:sz w:val="22"/>
        </w:rPr>
      </w:pPr>
      <w:hyperlink w:anchor="_Toc256000018" w:history="1">
        <w:r>
          <w:rPr>
            <w:rStyle w:val="Hyperlink"/>
            <w:noProof/>
            <w:lang w:val="fr-BE"/>
          </w:rPr>
          <w:t>Utemeljite vsak primer neposredne dodelitve.</w:t>
        </w:r>
        <w:r>
          <w:tab/>
        </w:r>
        <w:r>
          <w:fldChar w:fldCharType="begin"/>
        </w:r>
        <w:r>
          <w:instrText xml:space="preserve"> PAGEREF _Toc256000018 \h </w:instrText>
        </w:r>
        <w:r>
          <w:fldChar w:fldCharType="separate"/>
        </w:r>
        <w:r>
          <w:t>21</w:t>
        </w:r>
        <w:r>
          <w:fldChar w:fldCharType="end"/>
        </w:r>
      </w:hyperlink>
    </w:p>
    <w:p>
      <w:pPr>
        <w:pStyle w:val="TOC1"/>
        <w:tabs>
          <w:tab w:val="right" w:leader="dot" w:pos="10761"/>
        </w:tabs>
        <w:rPr>
          <w:rFonts w:asciiTheme="minorHAnsi" w:hAnsiTheme="minorHAnsi"/>
          <w:noProof/>
          <w:sz w:val="22"/>
        </w:rPr>
      </w:pPr>
      <w:hyperlink w:anchor="_Toc256000019" w:history="1">
        <w:r>
          <w:rPr>
            <w:rStyle w:val="Hyperlink"/>
            <w:noProof/>
            <w:lang w:val="fr-BE"/>
          </w:rPr>
          <w:t>ODDELEK 7: FINANČNO POROČILO (ČLEN 54(2)(A) UREDBE (EU) ŠT. 514/2014)</w:t>
        </w:r>
        <w:r>
          <w:tab/>
        </w:r>
        <w:r>
          <w:fldChar w:fldCharType="begin"/>
        </w:r>
        <w:r>
          <w:instrText xml:space="preserve"> PAGEREF _Toc256000019 \h </w:instrText>
        </w:r>
        <w:r>
          <w:fldChar w:fldCharType="separate"/>
        </w:r>
        <w:r>
          <w:t>22</w:t>
        </w:r>
        <w:r>
          <w:fldChar w:fldCharType="end"/>
        </w:r>
      </w:hyperlink>
    </w:p>
    <w:p>
      <w:pPr>
        <w:pStyle w:val="TOC2"/>
        <w:tabs>
          <w:tab w:val="right" w:leader="dot" w:pos="10761"/>
        </w:tabs>
        <w:rPr>
          <w:rFonts w:asciiTheme="minorHAnsi" w:hAnsiTheme="minorHAnsi"/>
          <w:noProof/>
          <w:sz w:val="22"/>
        </w:rPr>
      </w:pPr>
      <w:hyperlink w:anchor="_Toc256000020" w:history="1">
        <w:r>
          <w:rPr>
            <w:rStyle w:val="Hyperlink"/>
            <w:noProof/>
            <w:lang w:val="fr-BE"/>
          </w:rPr>
          <w:t>Preglednica 1. Finančni povzetek za sklad AMIF, kot je navedeno v obračunih</w:t>
        </w:r>
        <w:r>
          <w:tab/>
        </w:r>
        <w:r>
          <w:fldChar w:fldCharType="begin"/>
        </w:r>
        <w:r>
          <w:instrText xml:space="preserve"> PAGEREF _Toc256000020 \h </w:instrText>
        </w:r>
        <w:r>
          <w:fldChar w:fldCharType="separate"/>
        </w:r>
        <w:r>
          <w:t>22</w:t>
        </w:r>
        <w:r>
          <w:fldChar w:fldCharType="end"/>
        </w:r>
      </w:hyperlink>
    </w:p>
    <w:p>
      <w:pPr>
        <w:pStyle w:val="TOC2"/>
        <w:tabs>
          <w:tab w:val="right" w:leader="dot" w:pos="10761"/>
        </w:tabs>
        <w:rPr>
          <w:rFonts w:asciiTheme="minorHAnsi" w:hAnsiTheme="minorHAnsi"/>
          <w:noProof/>
          <w:sz w:val="22"/>
        </w:rPr>
      </w:pPr>
      <w:hyperlink w:anchor="_Toc256000021" w:history="1">
        <w:r>
          <w:rPr>
            <w:rStyle w:val="Hyperlink"/>
            <w:noProof/>
            <w:lang w:val="fr-BE"/>
          </w:rPr>
          <w:t>Preglednica 2. Obljubljena sredstva za posebne primere, kot je navedeno v obračunih</w:t>
        </w:r>
        <w:r>
          <w:tab/>
        </w:r>
        <w:r>
          <w:fldChar w:fldCharType="begin"/>
        </w:r>
        <w:r>
          <w:instrText xml:space="preserve"> PAGEREF _Toc256000021 \h </w:instrText>
        </w:r>
        <w:r>
          <w:fldChar w:fldCharType="separate"/>
        </w:r>
        <w:r>
          <w:t>23</w:t>
        </w:r>
        <w:r>
          <w:fldChar w:fldCharType="end"/>
        </w:r>
      </w:hyperlink>
    </w:p>
    <w:p>
      <w:pPr>
        <w:pStyle w:val="TOC2"/>
        <w:tabs>
          <w:tab w:val="right" w:leader="dot" w:pos="10761"/>
        </w:tabs>
        <w:rPr>
          <w:rFonts w:asciiTheme="minorHAnsi" w:hAnsiTheme="minorHAnsi"/>
          <w:noProof/>
          <w:sz w:val="22"/>
        </w:rPr>
      </w:pPr>
      <w:hyperlink w:anchor="_Toc256000022" w:history="1">
        <w:r>
          <w:rPr>
            <w:rStyle w:val="Hyperlink"/>
            <w:noProof/>
            <w:lang w:val="fr-BE"/>
          </w:rPr>
          <w:t>Preglednica 3. Izvajanje finančnega načrta nacionalnega programa, pri čemer je naveden skupni prispevek EU za vsako proračunsko leto</w:t>
        </w:r>
        <w:r>
          <w:tab/>
        </w:r>
        <w:r>
          <w:fldChar w:fldCharType="begin"/>
        </w:r>
        <w:r>
          <w:instrText xml:space="preserve"> PAGEREF _Toc256000022 \h </w:instrText>
        </w:r>
        <w:r>
          <w:fldChar w:fldCharType="separate"/>
        </w:r>
        <w:r>
          <w:t>24</w:t>
        </w:r>
        <w:r>
          <w:fldChar w:fldCharType="end"/>
        </w:r>
      </w:hyperlink>
    </w:p>
    <w:p>
      <w:pPr>
        <w:pStyle w:val="TOC2"/>
        <w:tabs>
          <w:tab w:val="right" w:leader="dot" w:pos="10761"/>
        </w:tabs>
        <w:rPr>
          <w:rFonts w:asciiTheme="minorHAnsi" w:hAnsiTheme="minorHAnsi"/>
          <w:noProof/>
          <w:sz w:val="22"/>
        </w:rPr>
      </w:pPr>
      <w:hyperlink w:anchor="_Toc256000023" w:history="1">
        <w:r>
          <w:rPr>
            <w:rStyle w:val="Hyperlink"/>
            <w:noProof/>
            <w:lang w:val="fr-BE"/>
          </w:rPr>
          <w:t>Utemeljitev morebitnega odstopanja od najnižjih deležev, določenih v posebni uredbi.</w:t>
        </w:r>
        <w:r>
          <w:tab/>
        </w:r>
        <w:r>
          <w:fldChar w:fldCharType="begin"/>
        </w:r>
        <w:r>
          <w:instrText xml:space="preserve"> PAGEREF _Toc256000023 \h </w:instrText>
        </w:r>
        <w:r>
          <w:fldChar w:fldCharType="separate"/>
        </w:r>
        <w:r>
          <w:t>25</w:t>
        </w:r>
        <w:r>
          <w:fldChar w:fldCharType="end"/>
        </w:r>
      </w:hyperlink>
    </w:p>
    <w:p>
      <w:pPr>
        <w:pStyle w:val="TOC1"/>
        <w:tabs>
          <w:tab w:val="right" w:leader="dot" w:pos="10761"/>
        </w:tabs>
        <w:rPr>
          <w:rFonts w:asciiTheme="minorHAnsi" w:hAnsiTheme="minorHAnsi"/>
          <w:noProof/>
          <w:sz w:val="22"/>
        </w:rPr>
      </w:pPr>
      <w:hyperlink w:anchor="_Toc256000024" w:history="1">
        <w:r>
          <w:rPr>
            <w:rStyle w:val="Hyperlink"/>
            <w:noProof/>
            <w:lang w:val="fr-BE"/>
          </w:rPr>
          <w:t>ODDELEK 8: OBVEZNOSTI V OBLIKI DOGOVORA</w:t>
        </w:r>
        <w:r>
          <w:tab/>
        </w:r>
        <w:r>
          <w:fldChar w:fldCharType="begin"/>
        </w:r>
        <w:r>
          <w:instrText xml:space="preserve"> PAGEREF _Toc256000024 \h </w:instrText>
        </w:r>
        <w:r>
          <w:fldChar w:fldCharType="separate"/>
        </w:r>
        <w:r>
          <w:t>26</w:t>
        </w:r>
        <w:r>
          <w:fldChar w:fldCharType="end"/>
        </w:r>
      </w:hyperlink>
    </w:p>
    <w:p>
      <w:pPr>
        <w:pStyle w:val="TOC1"/>
        <w:tabs>
          <w:tab w:val="right" w:leader="dot" w:pos="10761"/>
        </w:tabs>
        <w:rPr>
          <w:rFonts w:asciiTheme="minorHAnsi" w:hAnsiTheme="minorHAnsi"/>
          <w:noProof/>
          <w:sz w:val="22"/>
        </w:rPr>
      </w:pPr>
      <w:hyperlink w:anchor="_Toc256000025" w:history="1">
        <w:r w:rsidR="008054E0">
          <w:rPr>
            <w:rStyle w:val="Hyperlink"/>
            <w:noProof/>
            <w:lang w:val="fr-BE"/>
          </w:rPr>
          <w:t>ODDELEK 9: POROČANJE O ODHODKIH V ZVEZI S COVID-19</w:t>
        </w:r>
        <w:r>
          <w:tab/>
        </w:r>
        <w:r>
          <w:fldChar w:fldCharType="begin"/>
        </w:r>
        <w:r>
          <w:instrText xml:space="preserve"> PAGEREF _Toc256000025 \h </w:instrText>
        </w:r>
        <w:r>
          <w:fldChar w:fldCharType="separate"/>
        </w:r>
        <w:r>
          <w:t>26</w:t>
        </w:r>
        <w:r>
          <w:fldChar w:fldCharType="end"/>
        </w:r>
      </w:hyperlink>
    </w:p>
    <w:p>
      <w:pPr>
        <w:pStyle w:val="TOC1"/>
        <w:tabs>
          <w:tab w:val="right" w:leader="dot" w:pos="10761"/>
        </w:tabs>
        <w:rPr>
          <w:rFonts w:asciiTheme="minorHAnsi" w:hAnsiTheme="minorHAnsi"/>
          <w:noProof/>
          <w:sz w:val="22"/>
        </w:rPr>
      </w:pPr>
      <w:hyperlink w:anchor="_Toc256000026" w:history="1">
        <w:r>
          <w:rPr>
            <w:rStyle w:val="Hyperlink"/>
            <w:noProof/>
          </w:rPr>
          <w:t>Dokumenti</w:t>
        </w:r>
        <w:r>
          <w:tab/>
        </w:r>
        <w:r>
          <w:fldChar w:fldCharType="begin"/>
        </w:r>
        <w:r>
          <w:instrText xml:space="preserve"> PAGEREF _Toc256000026 \h </w:instrText>
        </w:r>
        <w:r>
          <w:fldChar w:fldCharType="separate"/>
        </w:r>
        <w:r>
          <w:t>27</w:t>
        </w:r>
        <w:r>
          <w:fldChar w:fldCharType="end"/>
        </w:r>
      </w:hyperlink>
    </w:p>
    <w:p>
      <w:pPr>
        <w:pStyle w:val="TOC1"/>
        <w:tabs>
          <w:tab w:val="right" w:leader="dot" w:pos="10761"/>
        </w:tabs>
        <w:rPr>
          <w:rFonts w:asciiTheme="minorHAnsi" w:hAnsiTheme="minorHAnsi"/>
          <w:noProof/>
          <w:sz w:val="22"/>
        </w:rPr>
      </w:pPr>
      <w:hyperlink w:anchor="_Toc256000027" w:history="1">
        <w:r w:rsidR="00F05543">
          <w:rPr>
            <w:rStyle w:val="Hyperlink"/>
            <w:noProof/>
          </w:rPr>
          <w:t>Zadnji rezultati validacije</w:t>
        </w:r>
        <w:r>
          <w:tab/>
        </w:r>
        <w:r>
          <w:fldChar w:fldCharType="begin"/>
        </w:r>
        <w:r>
          <w:instrText xml:space="preserve"> PAGEREF _Toc256000027 \h </w:instrText>
        </w:r>
        <w:r>
          <w:fldChar w:fldCharType="separate"/>
        </w:r>
        <w:r>
          <w:t>28</w:t>
        </w:r>
        <w:r>
          <w:fldChar w:fldCharType="end"/>
        </w:r>
      </w:hyperlink>
    </w:p>
    <w:p w:rsidR="00115C60" w:rsidP="00115C60">
      <w:pPr>
        <w:pStyle w:val="Heading1"/>
        <w:numPr>
          <w:ilvl w:val="0"/>
          <w:numId w:val="0"/>
        </w:numPr>
        <w:spacing w:before="0" w:after="0"/>
        <w:jc w:val="left"/>
      </w:pPr>
      <w:r w:rsidR="003D38C3">
        <w:fldChar w:fldCharType="end"/>
      </w:r>
      <w:r w:rsidRPr="005B18C7">
        <w:br w:type="page"/>
      </w:r>
      <w:bookmarkStart w:id="0" w:name="_Toc256000002"/>
      <w:r>
        <w:rPr>
          <w:noProof/>
        </w:rPr>
        <w:t>ODDELEK 3: PROGRAMSKI CILJI</w:t>
      </w:r>
      <w:bookmarkEnd w:id="0"/>
    </w:p>
    <w:p w:rsidR="00115C60" w:rsidRPr="00B77328" w:rsidP="00115C60">
      <w:pPr>
        <w:spacing w:before="0" w:after="0"/>
      </w:pPr>
    </w:p>
    <w:p w:rsidR="00115C60" w:rsidP="00115C60">
      <w:pPr>
        <w:spacing w:before="0" w:after="0"/>
        <w:rPr>
          <w:lang w:val="fr-BE"/>
        </w:rPr>
      </w:pPr>
      <w:r>
        <w:rPr>
          <w:noProof/>
          <w:lang w:val="fr-BE"/>
        </w:rPr>
        <w:t>Povzemite napredek pri izvajanju strategije in doseganju nacionalnih ciljev v proračunskem letu.</w:t>
      </w:r>
    </w:p>
    <w:p w:rsidR="00115C60" w:rsidP="00115C60">
      <w:pPr>
        <w:spacing w:before="0" w:after="0"/>
        <w:rPr>
          <w:lang w:val="fr-BE"/>
        </w:rPr>
      </w:pPr>
    </w:p>
    <w:p w:rsidR="00115C60" w:rsidP="00115C60">
      <w:pPr>
        <w:spacing w:before="0" w:after="0"/>
        <w:rPr>
          <w:lang w:val="fr-BE"/>
        </w:rPr>
      </w:pPr>
      <w:r>
        <w:rPr>
          <w:noProof/>
          <w:lang w:val="fr-BE"/>
        </w:rPr>
        <w:t>Navedite morebitne spremembe v strategiji ali nacionalnih ciljih oziroma dejavnike, ki bi lahko privedli do sprememb v prihodnosti.</w:t>
      </w:r>
    </w:p>
    <w:p w:rsidR="00115C60" w:rsidP="00115C60">
      <w:pPr>
        <w:spacing w:before="0" w:after="0"/>
        <w:rPr>
          <w:lang w:val="fr-BE"/>
        </w:rPr>
      </w:pPr>
    </w:p>
    <w:p w:rsidR="00115C60" w:rsidP="00115C60">
      <w:pPr>
        <w:spacing w:before="0" w:after="0"/>
        <w:rPr>
          <w:lang w:val="fr-BE"/>
        </w:rPr>
      </w:pPr>
      <w:r>
        <w:rPr>
          <w:noProof/>
          <w:lang w:val="fr-BE"/>
        </w:rPr>
        <w:t>Navedite morebitna pomembna vprašanja, ki vplivajo na uspešnost nacionalnega programa.</w:t>
      </w:r>
    </w:p>
    <w:p w:rsidR="00115C60" w:rsidRPr="006C112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7"/>
        <w:gridCol w:w="4074"/>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6C1127" w:rsidP="00003291">
            <w:pPr>
              <w:spacing w:before="0" w:after="0"/>
              <w:ind w:left="113" w:hanging="113"/>
              <w:rPr>
                <w:lang w:val="fr-BE"/>
              </w:rPr>
            </w:pPr>
            <w:r w:rsidRPr="006C1127">
              <w:rPr>
                <w:noProof/>
                <w:lang w:val="fr-BE"/>
              </w:rPr>
              <w:t>Posebni cilj</w:t>
            </w:r>
          </w:p>
        </w:tc>
        <w:tc>
          <w:tcPr>
            <w:shd w:val="clear" w:color="auto" w:fill="auto"/>
          </w:tcPr>
          <w:p w:rsidR="00115C60" w:rsidRPr="006C1127"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Dolgoročni cilj Slovenije v sklopu posebnega cilja A.SO1 »Azil« je učinkovita izvedba Skupnega evropskega azilnega sistema (CEAS) prek učinkovitih in hitrih postopkov, ki zagotavljajo enake možnosti vsem ljudem, ki potrebujejo zaščito.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jih sofinancira AMIF, so osredotočeni na izboljšanje kakovosti in hitrost sprejemanja odločitev ter na kakovost spremljanja, vrednotenja in načrtovanja ravnanja v nepredvidljivih razmerah. Ukrepi so usmerjeni k izboljšanju sprejemne infrastrukture, storitev in razmer, uporabi alternativ za pridržanje ter identifikacijo in izboljšanju razmer za ranljive osebe. Izboljšanje splošnega ozaveščanja javnosti se zagotavlja prek usposabljanja, informacijskih ukrepov in dogodkov.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Načrtovane aktivnosti v okviru nacionalnega cilja</w:t>
      </w:r>
      <w:r>
        <w:rPr>
          <w:rFonts w:ascii="Times New Roman" w:eastAsia="Times New Roman" w:hAnsi="Times New Roman" w:cs="Times New Roman"/>
          <w:b/>
          <w:bCs/>
        </w:rPr>
        <w:t xml:space="preserve"> </w:t>
      </w:r>
      <w:r>
        <w:rPr>
          <w:rFonts w:ascii="Times New Roman" w:eastAsia="Times New Roman" w:hAnsi="Times New Roman" w:cs="Times New Roman"/>
        </w:rPr>
        <w:t>A.SO1.2 »Vrednotenje« so zaradi izzivov povečanih migracij realizirane v minimalnem obsegu in v okviru drugih finančnih instrumentov (in ne AMIF). Ukrepi Slovenije so osredotočeni na izboljšanje kakovosti in hitrost sprejemanja odločitev ter na kakovost spremljanja, vrednotenja in načrtovanja ravnanja v nepredvidljivih razmerah. Prosilcem za mednarodno zaščito se v sklopu pomoči in podpore zagotavlja dostop do informacij, tolmačenja in pravnih, prevajalskih, socialnih, zdravstvenih storitev, itd. Izvajajo se izboljšave sprejemne infrastrukture, storitev in razmer, spodbuja alternative za pridržanje, identifikacijo in izboljšanje razmer za ranljive osebe ter deluje na splošni ozaveščenosti širše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leto 2022 je bila končnim upravičencem načrtovana v skladu s potrjenim Akcijskim načrtom. V letu 2022 pri izvajanju ukrepov v okviru tega posebnega cilja ni bilo težav, ki bi vplivale na izvajanje Nacionalnega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dokumentu poročamo samo o izvedenih aktivnostih in projektih, katerih izdatki so vključeni v Obračune za finančno leto 2022. Slovenija načrtuje kontinuirano izvajanje aktivnosti porabe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specifičnega cilja SO1 »Azil« so načrtovani 3 nacionalni cilji, to so "Sprejem", "Vrednotenje" in "Preselitev", aktivnosti v obdobju poročanja so se izvajale v okviru nacionalnega cilja »Sprejem«.</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4"/>
        <w:gridCol w:w="2927"/>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kontinuirano izvaja aktivnosti A.SO1.1, ki se nanašajo na azilni postopek in sprejemanje odločitev, na sprejemne kapacitete, pogoje za sprejem ter ozaveščanje splošne javnosti (usposabljanja, informacijske kampanje in dogodki). V obdobju poročanja je bila 16.056 prosilcem za mednarodno zaščito (PMZ) v postopkih na 2. in 3. stopnji zagotavljena brezplačna pravna pomoč. Med njimi je bilo 2.558 ranljivih oseb in mladoletnikov brez spremstva (MBS).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predaj po dublinski uredbi je bil 12 državljanom tretjih držav omogočen prevoz v izhodiščno državo članico s spremstvom uradne osebe.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Izvedeno je bilo 2.773 preventivnih zdravstvenih in sanitarno dezinfekcijskih pregledov PMZ pred nastanitvijo v azilnem domu (AD) oz. pred sprejemom prošnje za MZ.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Informirano je bilo 167 PMZ o redu v AD, pravicah in dolžnostih izhajajočih iz ZMZ, ZTuj ter druge zakonodaje. Na delavnicah se je 126 PMZ seznanilo s kulturološkimi značilnostmi Slovenije ipd. 72 PMZ je bilo vključenih v tečaje za osnovno znanje slovenščine, vključevanje v življenje v AD in samostojnejše življenje.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zvezi z usposabljanjem novih svetovalcev za begunce, v okviru ukrepa A.SO1.1.2, so bila v obdobju trajanja projekta izvedena 4 usposabljanja.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sklopu A.SO1.1.4 sta bili dobavljeni novi vstopno–izstopni zapornici.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PMZ v AD Vič in izpostavi je bil omogočen nemoten dostop do brezžičnega interneta.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A.SO1.1.6 sta psihiater in psihoterapevtka nudila podporo PMZ ob tolmačenju v materni jezik. Na izobraževanjih se je usposobilo 8 socialnih delavcev, kar je polovico osebja pri končnemu upravičencu. MBS se je pred začetkom postopka odredilo zakonitega zastopnika, ki jih je zastopal na vseh področjih. Če pri obravnavi prošnje za MZ na podlagi mnenja uradnih oseb pride do dvoma v starost MBS, pristojni organ lahko odredi pripravo izvedeniškega mnenja, kar se je izvedlo za 2 MBS.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Urad Vlade RS (UOIM) znotraj ukrepa A.SO1.1.7 za nastanitev PMZ dodeli finančno pomoč z odločbo. V obravnavanem obdobju je bilo izdanih 13 odločb za 17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A.SO1.1.8 so Društvo Odnos, Inštitut za afriške študije ter Javni zavod Cene Štupar izvajali aktivnosti za obeležitev svetovnega dneva beguncev. Izvedenih je bilo 8 posvetov, 14 razstav, 3 dogodki, športni dogodek ter 6 spremljajočih aktivnosti. Ob Dnevu beguncev je bil izveden zaključni dogodek in podeljenih 30 priznanj. Projekt je bil predstavljen v Romuniji, na Malti, v Angliji, Švici in Belgiji. Preko socialnih medijev je bilo v živo objavljenih 14 videoposnetkov.</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6"/>
        <w:gridCol w:w="2895"/>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Načrtovane aktivnosti</w:t>
      </w:r>
      <w:r>
        <w:rPr>
          <w:rFonts w:ascii="Times New Roman" w:eastAsia="Times New Roman" w:hAnsi="Times New Roman" w:cs="Times New Roman"/>
          <w:b/>
          <w:bCs/>
        </w:rPr>
        <w:t xml:space="preserve"> </w:t>
      </w:r>
      <w:r>
        <w:rPr>
          <w:rFonts w:ascii="Times New Roman" w:eastAsia="Times New Roman" w:hAnsi="Times New Roman" w:cs="Times New Roman"/>
        </w:rPr>
        <w:t>A.SO1.2 »Vrednotenje« so zaradi izzivov povečanih migracij preteklih let bile realizirane v okviru drugih finančnih instrumentov (in ne iz AMIF), kar smo poročali že v predhodnih poročilih.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8"/>
        <w:gridCol w:w="2593"/>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Na zasedanju Evropskega Sveta konec junija 2015 so voditelji držav in vlad sprejeli odločitev, da se bo v EU skupno preselilo 20.000 oseb v okviru trajne preselitve. Slovenija se je zavezala k sprejemu 20 oseb iz tretjih držav, predvidoma državljanov Sirije iz Turčije, Libanona ali Jordanije. Skladno z EU Sporazumom EU - Turčija, ki je bil sprejet aprila 2016, je bilo dogovorjeno, da se v Slovenijo preseli 20 državljanov Sirije iz Turčije. Vlada Republike Slovenije je 4. avgusta 2016 sprejela sklep, da se na podlagi kvote iz Turčije sprejme 40 državljanov Sirije, ki se jim lahko prizna status begunca.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ukrepa so bile zaključene v letu 2018. V letu 2022 se niso izvajale dodatne aktivnosti.</w:t>
      </w:r>
    </w:p>
    <w:p w:rsidR="00115C60" w:rsidP="00115C60">
      <w:pPr>
        <w:spacing w:before="0" w:after="0"/>
        <w:rPr>
          <w:lang w:val="fr-BE"/>
        </w:rPr>
      </w:pPr>
    </w:p>
    <w:p w:rsidR="00115C60" w:rsidP="00115C60">
      <w:pPr>
        <w:spacing w:before="0" w:after="0"/>
        <w:rPr>
          <w:lang w:val="fr-BE"/>
        </w:rPr>
      </w:pPr>
      <w:r>
        <w:rPr>
          <w:noProof/>
          <w:lang w:val="fr-BE"/>
        </w:rPr>
        <w:t>Povzemite napredek pri izvajanju strategije in doseganju nacionalnih ciljev v proračunskem letu.</w:t>
      </w:r>
    </w:p>
    <w:p w:rsidR="00115C60" w:rsidP="00115C60">
      <w:pPr>
        <w:spacing w:before="0" w:after="0"/>
        <w:rPr>
          <w:lang w:val="fr-BE"/>
        </w:rPr>
      </w:pPr>
    </w:p>
    <w:p w:rsidR="00115C60" w:rsidP="00115C60">
      <w:pPr>
        <w:spacing w:before="0" w:after="0"/>
        <w:rPr>
          <w:lang w:val="fr-BE"/>
        </w:rPr>
      </w:pPr>
      <w:r>
        <w:rPr>
          <w:noProof/>
          <w:lang w:val="fr-BE"/>
        </w:rPr>
        <w:t>Navedite morebitne spremembe v strategiji ali nacionalnih ciljih oziroma dejavnike, ki bi lahko privedli do sprememb v prihodnosti.</w:t>
      </w:r>
    </w:p>
    <w:p w:rsidR="00115C60" w:rsidP="00115C60">
      <w:pPr>
        <w:spacing w:before="0" w:after="0"/>
        <w:rPr>
          <w:lang w:val="fr-BE"/>
        </w:rPr>
      </w:pPr>
    </w:p>
    <w:p w:rsidR="00115C60" w:rsidP="00115C60">
      <w:pPr>
        <w:spacing w:before="0" w:after="0"/>
        <w:rPr>
          <w:lang w:val="fr-BE"/>
        </w:rPr>
      </w:pPr>
      <w:r>
        <w:rPr>
          <w:noProof/>
          <w:lang w:val="fr-BE"/>
        </w:rPr>
        <w:t>Navedite morebitna pomembna vprašanja, ki vplivajo na uspešnost nacionalnega programa.</w:t>
      </w:r>
    </w:p>
    <w:p w:rsidR="00115C60" w:rsidRPr="006C112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4"/>
        <w:gridCol w:w="7767"/>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6C1127" w:rsidP="00003291">
            <w:pPr>
              <w:spacing w:before="0" w:after="0"/>
              <w:ind w:left="113" w:hanging="113"/>
              <w:rPr>
                <w:lang w:val="fr-BE"/>
              </w:rPr>
            </w:pPr>
            <w:r w:rsidRPr="006C1127">
              <w:rPr>
                <w:noProof/>
                <w:lang w:val="fr-BE"/>
              </w:rPr>
              <w:t>Posebni cilj</w:t>
            </w:r>
          </w:p>
        </w:tc>
        <w:tc>
          <w:tcPr>
            <w:shd w:val="clear" w:color="auto" w:fill="auto"/>
          </w:tcPr>
          <w:p w:rsidR="00115C60" w:rsidRPr="006C1127"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Dolgoročni cilj Slovenije v sklopu posebnega cilja A.SO2 »Vključevanje/zakonito priseljevanje« je doseči vključenost državljanov tretjih držav in oseb z mednarodno zaščito v vsa ključna področja življenja in dela. Posebna pozornost se namenja ranljivim skupinam oseb, kot so ženske, otroci in starejše osebe. Ukrepi so usmerjeni k izboljšanju zavedanja splošne javnosti, organov in samih priseljencev o vprašanjih vključevanja. Pomoč osebam z mednarodno zaščito se pri vključevanju zagotavlja prek individualnega pristopa na osnovi osebnega integracijskega načrta. Krepitev kapacitet je usmerjena k vzpostavitvi trajnostnega sodelovanja med pomembnimi deležniki, še zlasti z usposabljanji. Podpira se izboljšanje infrastrukture, storitev in bivanjskih razmer za osebe z mednarodno zaščito v integracijskih hišah, kot tudi praktično sodelovanje med državami članicami ter izdelava analiz, vrednotenj in izboljšav trenutnih mehanizmov in pristopov vključevanja.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leto 2022 je bila načrtovana v skladu s potrjenim Akcijskim načrtom. V letu 2022 pri izvajanju ukrepov ni bilo težav, ki bi vplivale na izvajanje NP. Slovenija načrtuje kontinuirano izvajanje aktivnosti porabe sredstev tj. do konca 2023. V dokumentu poročamo samo o izvedenih aktivnostih in projektih, katerih izdatki so vključeni v Obračune za finančno leto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posebnega cilja  A.SO2 so načrtovani 3 nacionalni cilji, to so A.SO2.1 »Zakonito priseljevanje«, A.SO2.2 »Vključevanje« in A.SO2.3 »Zmogljivost«. V okviru ciljev »Zakonito priseljevanje« in »Vključevanje« so potekale aktivnosti, o katerih poročamo v nadaljevanju.</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5"/>
        <w:gridCol w:w="3916"/>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obdobju poročanja je v okviru A.SO2.1.1 delovala spletna stran www.infotujci.si.</w:t>
      </w:r>
      <w:r>
        <w:rPr>
          <w:rFonts w:ascii="Times New Roman" w:eastAsia="Times New Roman" w:hAnsi="Times New Roman" w:cs="Times New Roman"/>
          <w:b/>
          <w:bCs/>
        </w:rPr>
        <w:t xml:space="preserve"> </w:t>
      </w:r>
      <w:r>
        <w:rPr>
          <w:rFonts w:ascii="Times New Roman" w:eastAsia="Times New Roman" w:hAnsi="Times New Roman" w:cs="Times New Roman"/>
        </w:rPr>
        <w:t>Od februarja 2018 je tujcem dostopna prenovljena spletna stran www.infotujci.si z vsemi informacijami, ki jih potrebujejo za življenje in delo v Republiki Sloveniji. Spletna stran vsebuje informacije tako za tujce, ki so že tukaj, kakor tudi za tiste, ki se pripravljajo na prihod. Pripravljene oziroma posodobljene so bile vsebine v treh razdelkih - informacije za državljane tretjih držav, informacije za osebe z mednarodno zaščito in vključevanje v slovensko družbo. Vsebina spletne strani je prilagojena dostopu z mobilnih naprav – pametnih telefonov in tablic.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poročevalskem obdobju je bila spletna stran obiskana 372.933-krat, obiskovalci so se na njej povprečno zadržali dobri dve minuti. Večina uporabnikov jo je obiskala dvakrat. Največ uporabnikov je spletno stran obiskalo prek strežnikov v Republiki Sloveniji, za dostop pa so uporabili mobilne naprave. Najdlje so se zadržali ob vsebinah namenjenih državljanom tretjih držav, predvsem dovoljenjem za začasno prebivanje, dovoljenjem za stalno prebivanje, pridobitvi slovenskega državljanstva in vključevanju v slovensko družbo.</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4"/>
        <w:gridCol w:w="3007"/>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Povečane migracije so vplivale na izvajanje/doseganje ciljev v A.SO2.2. Slovenija je nadaljevala z aktivnostmi v programih za osnovno pomoč DTD (tečaji, izpiti), izvajala pomoč pri vključevanju, obsegajoč pomoč za celostno vključevanje oseb z mednarodno zaščito (OMZ) (finančna pomoč, program celostne pomoči OMZ pri vključevanju v slovensko družbo, orientacijski program za osebe, preseljene v RS na podlagi letne kvote), ozaveščala in izvajala informacijske ukrepe, kot je medkulturni dialog, ter obveščala o sodelovanju v programih integracije.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Deseto leto se je v A.SO2.2.1 izvajal program začetne integracije (ZIP), ki je eden temeljnih programov pomoči pri vključevanju v slovensko družbo, ki omogoča učenje jezika in spoznavanje slovenske kulure, družbe in ustavne ureditve. Skladno s pogodbo se je aktivnost izvajala v več krajih in vključenih je bilo 4.522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Opravljanje preizkusa znanja iz slovenščine na osnovni ravni pomeni zaključek integracijskega procesa, ki je potreben za sprejem v državljanstvo RS. Upravičenci izberejo izvajalca in termin za preizkus znanja, ministrstvo izda naročilnico in spremlja uspešnost. Udeleženci so upravičeni do enkratnega opravljanja izpita. V obdobju 3 let je preizkus opravilo 297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Tečaji učenja slovenščine so namenjeni OMZ za lažje vključevanje v okolje. OMZ so do udeležbe upravičene v skladu z Zakonom o MZ, za redno udeležbo na tečajih so upravičene do mesečne vozovnice za mestni promet. Tečaji slovenščine za OMZ so bili v Ljubljani in Mariboru. KU je zagotovil uporabo mesečnih vozovnic za mestni javni promet, za posameznike iz Logatca in Litije pa poravnal stroške prevoza z avtobusom oziroma vlakom do tečajev v Ljubljani.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OMZ so po tečaju skladno z Uredbo o načinih in pogojih za zagotavljanje pravic OMZ upravičene do enkratnega opravljanja preizkusa znanja slovenskega jezika. (39. člen) V tem obdobju so bili kriti stroški za devetnajst izpitov iz slovenskega jezika za osebe z MZ. Izpit je opravilo 6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A.SO2.2.3 je bila 527 OMZ zagotovljeno denarno nadomestilo za zasebno nastanitev, 49 šolarjem z MZ so bili poravnani izobraževalni stroški (npr. nakup učbenikov) in potni stroški za obiskovanje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Svetovalka za integracijo je izvajala informiranje in svetovanje OMZ in je vročila 27 odločb s statusom MZ in 1 odločbo za subsidiarno zaščito. 8 prevajalcev oziroma tolmačev je OMZ nudilo ustrezno informiranje v njim razumljivem jeziku ter prevode spričeval in dokazil o izobrazbi.</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2"/>
        <w:gridCol w:w="2879"/>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okviru nacionalnega cilja A.SO2.3 »Zmogljivost« se aktivnosti niso izvajale.</w:t>
      </w:r>
    </w:p>
    <w:p w:rsidR="00115C60" w:rsidP="00115C60">
      <w:pPr>
        <w:spacing w:before="0" w:after="0"/>
        <w:rPr>
          <w:lang w:val="fr-BE"/>
        </w:rPr>
      </w:pPr>
    </w:p>
    <w:p w:rsidR="00115C60" w:rsidP="00115C60">
      <w:pPr>
        <w:spacing w:before="0" w:after="0"/>
        <w:rPr>
          <w:lang w:val="fr-BE"/>
        </w:rPr>
      </w:pPr>
      <w:r>
        <w:rPr>
          <w:noProof/>
          <w:lang w:val="fr-BE"/>
        </w:rPr>
        <w:t>Povzemite napredek pri izvajanju strategije in doseganju nacionalnih ciljev v proračunskem letu.</w:t>
      </w:r>
    </w:p>
    <w:p w:rsidR="00115C60" w:rsidP="00115C60">
      <w:pPr>
        <w:spacing w:before="0" w:after="0"/>
        <w:rPr>
          <w:lang w:val="fr-BE"/>
        </w:rPr>
      </w:pPr>
    </w:p>
    <w:p w:rsidR="00115C60" w:rsidP="00115C60">
      <w:pPr>
        <w:spacing w:before="0" w:after="0"/>
        <w:rPr>
          <w:lang w:val="fr-BE"/>
        </w:rPr>
      </w:pPr>
      <w:r>
        <w:rPr>
          <w:noProof/>
          <w:lang w:val="fr-BE"/>
        </w:rPr>
        <w:t>Navedite morebitne spremembe v strategiji ali nacionalnih ciljih oziroma dejavnike, ki bi lahko privedli do sprememb v prihodnosti.</w:t>
      </w:r>
    </w:p>
    <w:p w:rsidR="00115C60" w:rsidP="00115C60">
      <w:pPr>
        <w:spacing w:before="0" w:after="0"/>
        <w:rPr>
          <w:lang w:val="fr-BE"/>
        </w:rPr>
      </w:pPr>
    </w:p>
    <w:p w:rsidR="00115C60" w:rsidP="00115C60">
      <w:pPr>
        <w:spacing w:before="0" w:after="0"/>
        <w:rPr>
          <w:lang w:val="fr-BE"/>
        </w:rPr>
      </w:pPr>
      <w:r>
        <w:rPr>
          <w:noProof/>
          <w:lang w:val="fr-BE"/>
        </w:rPr>
        <w:t>Navedite morebitna pomembna vprašanja, ki vplivajo na uspešnost nacionalnega programa.</w:t>
      </w:r>
    </w:p>
    <w:p w:rsidR="00115C60" w:rsidRPr="006C112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3"/>
        <w:gridCol w:w="5078"/>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6C1127" w:rsidP="00003291">
            <w:pPr>
              <w:spacing w:before="0" w:after="0"/>
              <w:ind w:left="113" w:hanging="113"/>
              <w:rPr>
                <w:lang w:val="fr-BE"/>
              </w:rPr>
            </w:pPr>
            <w:r w:rsidRPr="006C1127">
              <w:rPr>
                <w:noProof/>
                <w:lang w:val="fr-BE"/>
              </w:rPr>
              <w:t>Posebni cilj</w:t>
            </w:r>
          </w:p>
        </w:tc>
        <w:tc>
          <w:tcPr>
            <w:shd w:val="clear" w:color="auto" w:fill="auto"/>
          </w:tcPr>
          <w:p w:rsidR="00115C60" w:rsidRPr="006C1127"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Dolgoročni cilj Slovenije v sklopu posebnega cilja A.SO3 »Vračanje« je izvajati učinkovito politiko vračanja v tretje države tako z vidika prostovoljnega kot prisilnega vračanja ter spodbujati uporabo prostovoljnega vračanja v sodelovanju z nevladnimi organizacijami in pristojnimi mednarodnimi organizacijami kot tudi državami izvora.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preprečevanje širjenja pandemije covid-19 so imeli bistven vpliv na sprejem in vračanje državljanov tretjih držav. Restrikcije v zračnem prometu in preventivni ukrepi v državah (tako EU kot tretje države) so povzročile upad števila vrnjenih v države izvora. Samih postopkov vračanja nismo ukinili, temveč smo iskali alternativne rešitve, da smo lahko izvedli operacije vrnitev. Vsi projekti so v danih razmerah potekali dokaj normalno, vendar z zmanjšanem obsegu in s krajšimi časovnimi zamudami.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Alokacija sredstev za 2022 je bila končnim upravičencem načrtovana v skladu s potrjenim Akcijskim načrtom. V letu 2022 pri izvajanju ukrepov v okviru tega posebnega cilja ni bilo težav, ki bi vplivale na izvajanje NP. V dokumentu poročamo samo o izvedenih aktivnostih in projektih, katerih izdatki so vključeni v Obračune za finančno leto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posebnega cilja A.SO3 so načrtovani 3 nacionalni cilji A.SO3.1 »Spremljevalni ukrepi«, A.SO3.2 »Ukrepi vračanja« in A.SO3.3 »Sodelovanje«, aktivnosti so v obdobju poročanja tekle v okviru prvih dveh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0"/>
        <w:gridCol w:w="379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A.SO3.1.2 je Slovenska Karitas v okviru izpolnjevanja določil Direktive 20087ES/115 izvajala monitoring prisilnega vračanja v vseh 3 fazah odstranitve. Implementiran je 6. odst. 8.čl. evropske Direktive o vračanju z vršenjem nepristranskega nadzora s strani neodvisnega organa glede zakonitosti, strokovnosti in humanosti postopkov s tujci, ki so podvrženi prisilni odstranitvi iz države. Vsa poročila monitoringov potrjujejo, da so policisti v 7 postopkih delovali zakonito in strokovno.</w:t>
      </w:r>
      <w:r>
        <w:rPr>
          <w:rFonts w:ascii="Times New Roman" w:eastAsia="Times New Roman" w:hAnsi="Times New Roman" w:cs="Times New Roman"/>
          <w:b/>
          <w:bCs/>
        </w:rPr>
        <w:t xml:space="preserve"> </w:t>
      </w:r>
      <w:r>
        <w:rPr>
          <w:rFonts w:ascii="Times New Roman" w:eastAsia="Times New Roman" w:hAnsi="Times New Roman" w:cs="Times New Roman"/>
        </w:rPr>
        <w:t>Vodja projekta se je udeležil 2 usposabljanj v organizaciji Frontex-a in ICMPD-ja: Thematic Workshop on Children, FReM III in FReM III Closing Conference &amp; Meeting on the Pool, FReM III.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A.SO3.1.3 se je tujcem zagotavljala ustrezna prehrana (halal, dietna, dodatni obroki za mladoletnike, ramadanski obroki ...), ogrevanje, vzdrževanje in čiščenje objekta ter nabava opreme, naprav in pripomočkov za delovanje objekta, s katerimi je bila izboljšana kvaliteta njihovega bivanja do odstranitve iz države. Zdravstvena ambulanta je bila nadgrajena z ustrezno opremo, nabavljeni so bili rekviziti za prostočasne aktivnosti, oprema za vzdrževanje objekta z okolico in vozilo za prevoz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Postaji letališke policije Brnik je bilo izvedenih 768 zavrnitev tujcev. Ob namestitvi v mednarodni prostor za zavrnjene tujce jim je bilo nudeno prenočišče, prehrana, nadzor in zdravniška pomoč.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A.SO3.1.4 se je izvajala zdravstvena, psihološka in socialna oskrba tujcev pred vrnitvijo v matično državo. Zdravstvena oskrba je preventivni pregled vsakega tujca, po potrebi tudi diagnosticiranje in kurativa; urejena je psihološka in socialna podpora (pogovori, učne ure, psihiatrična svetovanja). V Centru za tujce (CT) je bilo v aktivnosti vključenih 876 tujcev ter izvedenih 45 delavnic. Socialni</w:t>
      </w:r>
      <w:r>
        <w:rPr>
          <w:rFonts w:ascii="Times New Roman" w:eastAsia="Times New Roman" w:hAnsi="Times New Roman" w:cs="Times New Roman"/>
          <w:b/>
          <w:bCs/>
        </w:rPr>
        <w:t xml:space="preserve"> </w:t>
      </w:r>
      <w:r>
        <w:rPr>
          <w:rFonts w:ascii="Times New Roman" w:eastAsia="Times New Roman" w:hAnsi="Times New Roman" w:cs="Times New Roman"/>
        </w:rPr>
        <w:t>delavki CT sta udeležili kreativne delavnice za izdelovanje božičnih izdelkov, zdravstveni delavki pa dnevov urgentne medicine. V okviru projekta so bile nabavljene tudi razne naprave in nujna oprema za učinkovito izvajanje delavnic.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A.SO3.1.6 so prevajalci, ki imajo sklenjeno pogodbo s Policijo, sodelovali pri seznanitvenih postopkih: ob nastanitvi v CT (socialna služba), sanitarnih postopkih (zdravstvena služba), identifikacijskih postopkih (policija), dnevni oskrbi, sodelovanju z nacionalnimi in tujimi organi pri pridobivanju dokumentov za identificiranje tujcev in njihovem vračanjeu v domovino ali drugo državo. Opravljeno je bilo 1.206 storitev prevajanja in tolmačenja.</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0"/>
        <w:gridCol w:w="330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Prostovoljno vračanje tujcev iz RS in reintegracijski programi v državi vrnitve tujcev ter priprava in izvedba operacij vračanja (upravni stroški, potni stroški, nastanitev) sta prioritetni aktivnosti v okviru nacionalnega cilja A.SO3.2 »Ukrepi vračanja«. V sklopu A.SO3.2 je teklo tudi sodelovanje s konzularnimi organi in službami za priseljevanje v tretjih državah. Pomoč po vrnitvi pri prostovoljnem in prisilnem vračanju (prevoz, prva nastanitev, itd.) je vključena v okvir izvajanja reintegracijskih programov kot tudi pri neposredni takojšnji pomoči po vrnitvi (npr. sekundarni transport). Slovenija je ustrezno z združevanjem vsebin revidirala Akcijski načrt v preteklih letih.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A.SO3.2.3 je zajet ukrep »Priprava in izvedba operacij vračanja«, ki ga je izvajal CT. Tujci, ki jim je izdana odločba o vrnitvi, večinoma ne posedujejo lastnih identifikacijskih dokumentov, zato se jih pridobi na pristojnih DKP tretje države. Pri tem so v veliko pomoč sklenjeni sporazumi in dobri odnosi, ki zmanjšajo proceduralne težave, kot so zamude ali dodatne zahteve, s katerimi se pogojuje izdaja dokumentov. CT je tako v obdobju iz uveljavljenih zahtevkov v Obračunih 2022 pridobil 228 potovalnih dokumentov. 501 oseb se je vrnilo brez spremstva (DEPU), 66 oseb s spremstvom (DEPA). 3.371 ljudi se je vrnilo sosednjim državam na podlagi bilaterarnih sporazumov. Od vseh vrnjenih oseb jih je 134 prejelo sredstva za ponovno vključevanje.</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6"/>
        <w:gridCol w:w="2895"/>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sklopu A.SO3.3 se je nadaljevalo sodelovanje s članicami EU in agencijo Frontex pri izvajanju skupnih postopkov vračanja.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nacionalnega cilja A.SO3.3 »Sodelovanje« je Slovenija prvotno načrtovala tri ukrepe, vendar so se aktivnosti A.SO3.3.2 »Sodelovanje z organizacijami pri zagotavljanju storitev za državljane tretjih držav med pridržanjem« in A.SO3.3.3 »Sodelovanje z državami članicami EU pri izmenjavi dobrih praks na področjih povezanih z ukrepi vračanja« skladno s predlogom končnega upravičenca (Policije) izvajale v okviru A.SO3.3.1. Združevanje vsebine se ustrezno odraža v revidiranem Akcijskem načrtu.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Center za tujce je tudi v letu 2022 aktivno sodeloval z Agencijo Frontex v okviru ukrepa A.SO3.3.1. Pri usposabljanju policistov spremljevalcev se je usposabljanja udeležilo 10 policistov.</w:t>
      </w:r>
      <w:r>
        <w:rPr>
          <w:rFonts w:ascii="Times New Roman" w:eastAsia="Times New Roman" w:hAnsi="Times New Roman" w:cs="Times New Roman"/>
          <w:b/>
          <w:bCs/>
        </w:rPr>
        <w:t xml:space="preserve"> </w:t>
      </w:r>
      <w:r>
        <w:rPr>
          <w:rFonts w:ascii="Times New Roman" w:eastAsia="Times New Roman" w:hAnsi="Times New Roman" w:cs="Times New Roman"/>
        </w:rPr>
        <w:t>CT redno izmenjuje najboljše prakse na področju identifikacije in vračanja tujcev z drugimi državami članicami. Ob tem so predstavniki CT obiskali center za pridržanje v Luxemburgu in Avstriji v fazi priprave projektne dokumentacije za obnovo oddelka za moške, s čimer so pridobili dobre prakse pri vpeljavi ustreznih standardov pri rekonstrukciji objekta.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je bil dejaven v okviru relevantnih delovnih telesih EU, ki so namenjeni izmenjavi izkušenj in dobrih praks. Inšpektorji CT so sodelovali v delovnih telesih in operacijah agencije Frontex in v delovnem telesu Evropske komisije EMN REG. V obdobju poročanja je sodelovanje s partnerji na področju vračanja teklo v normalnem obsegu. </w:t>
      </w:r>
    </w:p>
    <w:p w:rsidR="00115C60" w:rsidP="00115C60">
      <w:pPr>
        <w:spacing w:before="0" w:after="0"/>
        <w:rPr>
          <w:lang w:val="fr-BE"/>
        </w:rPr>
      </w:pPr>
    </w:p>
    <w:p w:rsidR="00115C60" w:rsidP="00115C60">
      <w:pPr>
        <w:spacing w:before="0" w:after="0"/>
        <w:rPr>
          <w:lang w:val="fr-BE"/>
        </w:rPr>
      </w:pPr>
      <w:r>
        <w:rPr>
          <w:noProof/>
          <w:lang w:val="fr-BE"/>
        </w:rPr>
        <w:t>Povzemite napredek pri izvajanju strategije in doseganju nacionalnih ciljev v proračunskem letu.</w:t>
      </w:r>
    </w:p>
    <w:p w:rsidR="00115C60" w:rsidP="00115C60">
      <w:pPr>
        <w:spacing w:before="0" w:after="0"/>
        <w:rPr>
          <w:lang w:val="fr-BE"/>
        </w:rPr>
      </w:pPr>
    </w:p>
    <w:p w:rsidR="00115C60" w:rsidP="00115C60">
      <w:pPr>
        <w:spacing w:before="0" w:after="0"/>
        <w:rPr>
          <w:lang w:val="fr-BE"/>
        </w:rPr>
      </w:pPr>
      <w:r>
        <w:rPr>
          <w:noProof/>
          <w:lang w:val="fr-BE"/>
        </w:rPr>
        <w:t>Navedite morebitne spremembe v strategiji ali nacionalnih ciljih oziroma dejavnike, ki bi lahko privedli do sprememb v prihodnosti.</w:t>
      </w:r>
    </w:p>
    <w:p w:rsidR="00115C60" w:rsidP="00115C60">
      <w:pPr>
        <w:spacing w:before="0" w:after="0"/>
        <w:rPr>
          <w:lang w:val="fr-BE"/>
        </w:rPr>
      </w:pPr>
    </w:p>
    <w:p w:rsidR="00115C60" w:rsidP="00115C60">
      <w:pPr>
        <w:spacing w:before="0" w:after="0"/>
        <w:rPr>
          <w:lang w:val="fr-BE"/>
        </w:rPr>
      </w:pPr>
      <w:r>
        <w:rPr>
          <w:noProof/>
          <w:lang w:val="fr-BE"/>
        </w:rPr>
        <w:t>Navedite morebitna pomembna vprašanja, ki vplivajo na uspešnost nacionalnega programa.</w:t>
      </w:r>
    </w:p>
    <w:p w:rsidR="00115C60" w:rsidRPr="006C112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5"/>
        <w:gridCol w:w="5476"/>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6C1127" w:rsidP="00003291">
            <w:pPr>
              <w:spacing w:before="0" w:after="0"/>
              <w:ind w:left="113" w:hanging="113"/>
              <w:rPr>
                <w:lang w:val="fr-BE"/>
              </w:rPr>
            </w:pPr>
            <w:r w:rsidRPr="006C1127">
              <w:rPr>
                <w:noProof/>
                <w:lang w:val="fr-BE"/>
              </w:rPr>
              <w:t>Posebni cilj</w:t>
            </w:r>
          </w:p>
        </w:tc>
        <w:tc>
          <w:tcPr>
            <w:shd w:val="clear" w:color="auto" w:fill="auto"/>
          </w:tcPr>
          <w:p w:rsidR="00115C60" w:rsidRPr="006C1127"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sodeluje v aktivnostih premestitve v skladu z dvema shemama EU o premestitvi 40.000 in 120.000 prosilcev za mednarodno zaščito iz Italije in Grčije v skladu s Sklepom Sveta (EU) 2015/1523 z dne 14. 9. 2015 in Sklepom Sveta (EU) 2015/1601 z dne 22. 9.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Aktivnosti premestitve so se zaključile leta 2018, ko je bilo izvedenih 21 zadnjih premestitev iz Italije. V letu 2022 ni bilo izvedenih dodatnih aktivnosti.</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1"/>
        <w:gridCol w:w="2830"/>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707975" w:rsidP="00003291">
            <w:pPr>
              <w:spacing w:before="0" w:after="0"/>
              <w:rPr>
                <w:lang w:val="fr-BE"/>
              </w:rPr>
            </w:pPr>
            <w:r w:rsidRPr="00707975">
              <w:rPr>
                <w:noProof/>
                <w:lang w:val="fr-BE"/>
              </w:rPr>
              <w:t>Ukrepi, financirani v okviru nacionalnega cilja</w:t>
            </w:r>
          </w:p>
        </w:tc>
        <w:tc>
          <w:tcPr>
            <w:shd w:val="clear" w:color="auto" w:fill="auto"/>
          </w:tcPr>
          <w:p w:rsidR="00115C60" w:rsidRPr="00707975"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P="00115C60">
      <w:pPr>
        <w:spacing w:before="0" w:after="0"/>
        <w:rPr>
          <w:lang w:val="fr-BE"/>
        </w:rPr>
      </w:pPr>
    </w:p>
    <w:p>
      <w:pPr>
        <w:spacing w:before="0" w:after="240"/>
        <w:jc w:val="left"/>
        <w:rPr>
          <w:rFonts w:ascii="Times New Roman" w:eastAsia="Times New Roman" w:hAnsi="Times New Roman" w:cs="Times New Roman"/>
        </w:rPr>
      </w:pPr>
      <w:r>
        <w:rPr>
          <w:rFonts w:ascii="Times New Roman" w:eastAsia="Times New Roman" w:hAnsi="Times New Roman" w:cs="Times New Roman"/>
        </w:rPr>
        <w:t>Slovenija se je v okviru nacionalnega cilja-posebni primer »Premestitev« osredotočila na ukrep-posebni primer »Premestitev prosilcev za mednarodno zaščito«, in sicer projekt obsega premestitev 567 prosilcev za mednarodno zaščito v okviru evropskih shem za premestitev na podlagi Sklepa Sveta EU 2015/1523 s 14. septembra 2015 o premestitvi 40.000 oseb iz Italije in Grčije ter Sklepa Sveta EU 2015/1601 z 22. septembra 2015 o premestitvi 120.000 oseb iz Italije in Grčije.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2022 se projekt ni izvajal.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115C60" w:rsidP="00115C60">
      <w:pPr>
        <w:spacing w:before="0" w:after="0"/>
        <w:rPr>
          <w:lang w:val="fr-BE"/>
        </w:rPr>
      </w:pPr>
    </w:p>
    <w:p w:rsidR="00115C60" w:rsidP="00115C60">
      <w:pPr>
        <w:spacing w:before="0" w:after="0"/>
        <w:rPr>
          <w:lang w:val="fr-BE"/>
        </w:rPr>
      </w:pPr>
    </w:p>
    <w:p w:rsidR="00115C60" w:rsidP="00115C60">
      <w:pPr>
        <w:pStyle w:val="Heading1"/>
        <w:numPr>
          <w:ilvl w:val="0"/>
          <w:numId w:val="0"/>
        </w:numPr>
        <w:spacing w:before="0" w:after="0"/>
      </w:pPr>
      <w:r>
        <w:rPr>
          <w:lang w:val="fr-BE"/>
        </w:rPr>
        <w:br w:type="page"/>
      </w:r>
      <w:bookmarkStart w:id="1" w:name="_Toc256000003"/>
      <w:r w:rsidRPr="00F9367D">
        <w:rPr>
          <w:noProof/>
        </w:rPr>
        <w:t>OKVIRNI ČASOVNI RAZPORED</w:t>
      </w:r>
      <w:bookmarkEnd w:id="1"/>
    </w:p>
    <w:p w:rsidR="00AB614B" w:rsidRPr="00AB614B" w:rsidP="00AB614B">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1602"/>
        <w:gridCol w:w="698"/>
        <w:gridCol w:w="3324"/>
        <w:gridCol w:w="1101"/>
        <w:gridCol w:w="991"/>
        <w:gridCol w:w="1006"/>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115C60" w:rsidRPr="00CB3B6C" w:rsidP="00003291">
            <w:pPr>
              <w:spacing w:before="0" w:after="0"/>
              <w:rPr>
                <w:b/>
                <w:sz w:val="16"/>
                <w:szCs w:val="16"/>
              </w:rPr>
            </w:pPr>
            <w:r w:rsidRPr="00CB3B6C">
              <w:rPr>
                <w:b/>
                <w:noProof/>
                <w:sz w:val="16"/>
                <w:szCs w:val="16"/>
              </w:rPr>
              <w:t>Posebni cilj</w:t>
            </w:r>
          </w:p>
        </w:tc>
        <w:tc>
          <w:tcPr>
            <w:shd w:val="clear" w:color="auto" w:fill="auto"/>
          </w:tcPr>
          <w:p w:rsidR="00115C60" w:rsidRPr="00CB3B6C" w:rsidP="00003291">
            <w:pPr>
              <w:spacing w:before="0" w:after="0"/>
              <w:rPr>
                <w:b/>
                <w:sz w:val="16"/>
                <w:szCs w:val="16"/>
              </w:rPr>
            </w:pPr>
            <w:r w:rsidRPr="00CB3B6C">
              <w:rPr>
                <w:b/>
                <w:noProof/>
                <w:sz w:val="16"/>
                <w:szCs w:val="16"/>
              </w:rPr>
              <w:t>Nacionalni cilj / posebni ukrep</w:t>
            </w:r>
          </w:p>
        </w:tc>
        <w:tc>
          <w:tcPr>
            <w:shd w:val="clear" w:color="auto" w:fill="auto"/>
          </w:tcPr>
          <w:p w:rsidR="00115C60" w:rsidRPr="00CB3B6C" w:rsidP="00003291">
            <w:pPr>
              <w:spacing w:before="0" w:after="0"/>
              <w:jc w:val="center"/>
              <w:rPr>
                <w:b/>
                <w:sz w:val="16"/>
                <w:szCs w:val="16"/>
              </w:rPr>
            </w:pPr>
            <w:r w:rsidRPr="00CB3B6C">
              <w:rPr>
                <w:b/>
                <w:noProof/>
                <w:sz w:val="16"/>
                <w:szCs w:val="16"/>
              </w:rPr>
              <w:t>Glavni ukrep</w:t>
            </w:r>
          </w:p>
        </w:tc>
        <w:tc>
          <w:tcPr>
            <w:shd w:val="clear" w:color="auto" w:fill="auto"/>
          </w:tcPr>
          <w:p w:rsidR="00115C60" w:rsidRPr="00CB3B6C" w:rsidP="00003291">
            <w:pPr>
              <w:spacing w:before="0" w:after="0"/>
              <w:rPr>
                <w:b/>
                <w:sz w:val="16"/>
                <w:szCs w:val="16"/>
              </w:rPr>
            </w:pPr>
            <w:r w:rsidRPr="00CB3B6C">
              <w:rPr>
                <w:b/>
                <w:noProof/>
                <w:sz w:val="16"/>
                <w:szCs w:val="16"/>
              </w:rPr>
              <w:t>Ime ukrepa</w:t>
            </w:r>
          </w:p>
        </w:tc>
        <w:tc>
          <w:tcPr>
            <w:shd w:val="clear" w:color="auto" w:fill="auto"/>
          </w:tcPr>
          <w:p w:rsidR="00115C60" w:rsidRPr="00CB3B6C" w:rsidP="00003291">
            <w:pPr>
              <w:spacing w:before="0" w:after="0"/>
              <w:jc w:val="center"/>
              <w:rPr>
                <w:b/>
                <w:sz w:val="16"/>
                <w:szCs w:val="16"/>
              </w:rPr>
            </w:pPr>
            <w:r w:rsidRPr="00CB3B6C">
              <w:rPr>
                <w:b/>
                <w:noProof/>
                <w:sz w:val="16"/>
                <w:szCs w:val="16"/>
              </w:rPr>
              <w:t>Začetek faze načrtovanja</w:t>
            </w:r>
          </w:p>
        </w:tc>
        <w:tc>
          <w:tcPr>
            <w:shd w:val="clear" w:color="auto" w:fill="auto"/>
          </w:tcPr>
          <w:p w:rsidR="00115C60" w:rsidRPr="00CB3B6C" w:rsidP="00003291">
            <w:pPr>
              <w:spacing w:before="0" w:after="0"/>
              <w:jc w:val="center"/>
              <w:rPr>
                <w:b/>
                <w:sz w:val="16"/>
                <w:szCs w:val="16"/>
              </w:rPr>
            </w:pPr>
            <w:r w:rsidRPr="00CB3B6C">
              <w:rPr>
                <w:b/>
                <w:noProof/>
                <w:sz w:val="16"/>
                <w:szCs w:val="16"/>
              </w:rPr>
              <w:t>Začetek faze izvajanja</w:t>
            </w:r>
          </w:p>
        </w:tc>
        <w:tc>
          <w:tcPr>
            <w:shd w:val="clear" w:color="auto" w:fill="auto"/>
          </w:tcPr>
          <w:p w:rsidR="00115C60" w:rsidRPr="00CB3B6C" w:rsidP="00003291">
            <w:pPr>
              <w:spacing w:before="0" w:after="0"/>
              <w:jc w:val="center"/>
              <w:rPr>
                <w:b/>
                <w:sz w:val="16"/>
                <w:szCs w:val="16"/>
              </w:rPr>
            </w:pPr>
            <w:r w:rsidRPr="00CB3B6C">
              <w:rPr>
                <w:b/>
                <w:noProof/>
                <w:sz w:val="16"/>
                <w:szCs w:val="16"/>
              </w:rPr>
              <w:t>Začetek zaključne faze</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Sprejem/azil</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Assistance and support to asylum seekers</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2022</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Sprejem/azil</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Strengthening of competent services involved in processing asylum applications</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Sprejem/azil</w:t>
            </w:r>
          </w:p>
        </w:tc>
        <w:tc>
          <w:tcPr>
            <w:shd w:val="clear" w:color="auto" w:fill="auto"/>
          </w:tcPr>
          <w:p w:rsidR="00115C60" w:rsidRPr="00557448" w:rsidP="00003291">
            <w:pPr>
              <w:spacing w:before="0" w:after="0"/>
              <w:jc w:val="center"/>
              <w:rPr>
                <w:sz w:val="16"/>
                <w:szCs w:val="16"/>
              </w:rPr>
            </w:pPr>
            <w:r w:rsidRPr="00557448">
              <w:rPr>
                <w:noProof/>
                <w:sz w:val="16"/>
                <w:szCs w:val="16"/>
              </w:rPr>
              <w:t>3</w:t>
            </w:r>
          </w:p>
        </w:tc>
        <w:tc>
          <w:tcPr>
            <w:shd w:val="clear" w:color="auto" w:fill="auto"/>
          </w:tcPr>
          <w:p w:rsidR="00115C60" w:rsidRPr="00557448" w:rsidP="00003291">
            <w:pPr>
              <w:spacing w:before="0" w:after="0"/>
              <w:rPr>
                <w:sz w:val="16"/>
                <w:szCs w:val="16"/>
              </w:rPr>
            </w:pPr>
            <w:r w:rsidRPr="00557448">
              <w:rPr>
                <w:noProof/>
                <w:sz w:val="16"/>
                <w:szCs w:val="16"/>
              </w:rPr>
              <w:t>Development of reception infrastructure, services and conditions of stay</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Vrednotenje</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National system of evaluation of the asylum procedures</w:t>
            </w:r>
          </w:p>
        </w:tc>
        <w:tc>
          <w:tcPr>
            <w:shd w:val="clear" w:color="auto" w:fill="auto"/>
          </w:tcPr>
          <w:p w:rsidR="00115C60" w:rsidRPr="00557448" w:rsidP="00003291">
            <w:pPr>
              <w:spacing w:before="0" w:after="0"/>
              <w:jc w:val="center"/>
              <w:rPr>
                <w:sz w:val="16"/>
                <w:szCs w:val="16"/>
              </w:rPr>
            </w:pPr>
            <w:r>
              <w:rPr>
                <w:noProof/>
                <w:sz w:val="16"/>
                <w:szCs w:val="16"/>
              </w:rPr>
              <w:t>2019</w:t>
            </w:r>
          </w:p>
        </w:tc>
        <w:tc>
          <w:tcPr>
            <w:shd w:val="clear" w:color="auto" w:fill="auto"/>
          </w:tcPr>
          <w:p w:rsidR="00115C60" w:rsidRPr="00557448" w:rsidP="00003291">
            <w:pPr>
              <w:spacing w:before="0" w:after="0"/>
              <w:jc w:val="center"/>
              <w:rPr>
                <w:sz w:val="16"/>
                <w:szCs w:val="16"/>
              </w:rPr>
            </w:pPr>
            <w:r>
              <w:rPr>
                <w:noProof/>
                <w:sz w:val="16"/>
                <w:szCs w:val="16"/>
              </w:rPr>
              <w:t>2020</w:t>
            </w:r>
          </w:p>
        </w:tc>
        <w:tc>
          <w:tcPr>
            <w:shd w:val="clear" w:color="auto" w:fill="auto"/>
          </w:tcPr>
          <w:p w:rsidR="00115C60" w:rsidRPr="00557448" w:rsidP="00003291">
            <w:pPr>
              <w:spacing w:before="0" w:after="0"/>
              <w:jc w:val="center"/>
              <w:rPr>
                <w:sz w:val="16"/>
                <w:szCs w:val="16"/>
              </w:rPr>
            </w:pPr>
            <w:r>
              <w:rPr>
                <w:noProof/>
                <w:sz w:val="16"/>
                <w:szCs w:val="16"/>
              </w:rPr>
              <w:t>2020</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Preselitev</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Resettlement of persons in clear need of international protection</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2017</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1</w:t>
            </w:r>
            <w:r>
              <w:rPr>
                <w:sz w:val="16"/>
                <w:szCs w:val="16"/>
              </w:rPr>
              <w:t xml:space="preserve"> - </w:t>
            </w:r>
            <w:r>
              <w:rPr>
                <w:noProof/>
                <w:sz w:val="16"/>
                <w:szCs w:val="16"/>
              </w:rPr>
              <w:t>Azil</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Preselitev</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Ad-hoc adminssion</w:t>
            </w:r>
          </w:p>
        </w:tc>
        <w:tc>
          <w:tcPr>
            <w:shd w:val="clear" w:color="auto" w:fill="auto"/>
          </w:tcPr>
          <w:p w:rsidR="00115C60" w:rsidRPr="00557448" w:rsidP="00003291">
            <w:pPr>
              <w:spacing w:before="0" w:after="0"/>
              <w:jc w:val="center"/>
              <w:rPr>
                <w:sz w:val="16"/>
                <w:szCs w:val="16"/>
              </w:rPr>
            </w:pPr>
            <w:r>
              <w:rPr>
                <w:noProof/>
                <w:sz w:val="16"/>
                <w:szCs w:val="16"/>
              </w:rPr>
              <w:t>2019</w:t>
            </w:r>
          </w:p>
        </w:tc>
        <w:tc>
          <w:tcPr>
            <w:shd w:val="clear" w:color="auto" w:fill="auto"/>
          </w:tcPr>
          <w:p w:rsidR="00115C60" w:rsidRPr="00557448" w:rsidP="00003291">
            <w:pPr>
              <w:spacing w:before="0" w:after="0"/>
              <w:jc w:val="center"/>
              <w:rPr>
                <w:sz w:val="16"/>
                <w:szCs w:val="16"/>
              </w:rPr>
            </w:pPr>
            <w:r>
              <w:rPr>
                <w:noProof/>
                <w:sz w:val="16"/>
                <w:szCs w:val="16"/>
              </w:rPr>
              <w:t>2020</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Zakonito priseljevanje</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Info-point for TCN</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Vključevanje</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Implementation of programmes for basic assistance and services for TCN</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Vključevanje</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Specific measures targeting vulnerable persons</w:t>
            </w:r>
          </w:p>
        </w:tc>
        <w:tc>
          <w:tcPr>
            <w:shd w:val="clear" w:color="auto" w:fill="auto"/>
          </w:tcPr>
          <w:p w:rsidR="00115C60" w:rsidRPr="00557448" w:rsidP="00003291">
            <w:pPr>
              <w:spacing w:before="0" w:after="0"/>
              <w:jc w:val="center"/>
              <w:rPr>
                <w:sz w:val="16"/>
                <w:szCs w:val="16"/>
              </w:rPr>
            </w:pPr>
            <w:r>
              <w:rPr>
                <w:noProof/>
                <w:sz w:val="16"/>
                <w:szCs w:val="16"/>
              </w:rPr>
              <w:t>2017</w:t>
            </w:r>
          </w:p>
        </w:tc>
        <w:tc>
          <w:tcPr>
            <w:shd w:val="clear" w:color="auto" w:fill="auto"/>
          </w:tcPr>
          <w:p w:rsidR="00115C60" w:rsidRPr="00557448" w:rsidP="00003291">
            <w:pPr>
              <w:spacing w:before="0" w:after="0"/>
              <w:jc w:val="center"/>
              <w:rPr>
                <w:sz w:val="16"/>
                <w:szCs w:val="16"/>
              </w:rPr>
            </w:pPr>
            <w:r>
              <w:rPr>
                <w:noProof/>
                <w:sz w:val="16"/>
                <w:szCs w:val="16"/>
              </w:rPr>
              <w:t>2018</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Vključevanje</w:t>
            </w:r>
          </w:p>
        </w:tc>
        <w:tc>
          <w:tcPr>
            <w:shd w:val="clear" w:color="auto" w:fill="auto"/>
          </w:tcPr>
          <w:p w:rsidR="00115C60" w:rsidRPr="00557448" w:rsidP="00003291">
            <w:pPr>
              <w:spacing w:before="0" w:after="0"/>
              <w:jc w:val="center"/>
              <w:rPr>
                <w:sz w:val="16"/>
                <w:szCs w:val="16"/>
              </w:rPr>
            </w:pPr>
            <w:r w:rsidRPr="00557448">
              <w:rPr>
                <w:noProof/>
                <w:sz w:val="16"/>
                <w:szCs w:val="16"/>
              </w:rPr>
              <w:t>3</w:t>
            </w:r>
          </w:p>
        </w:tc>
        <w:tc>
          <w:tcPr>
            <w:shd w:val="clear" w:color="auto" w:fill="auto"/>
          </w:tcPr>
          <w:p w:rsidR="00115C60" w:rsidRPr="00557448" w:rsidP="00003291">
            <w:pPr>
              <w:spacing w:before="0" w:after="0"/>
              <w:rPr>
                <w:sz w:val="16"/>
                <w:szCs w:val="16"/>
              </w:rPr>
            </w:pPr>
            <w:r w:rsidRPr="00557448">
              <w:rPr>
                <w:noProof/>
                <w:sz w:val="16"/>
                <w:szCs w:val="16"/>
              </w:rPr>
              <w:t>Integration assistance including comprehensive inclusion assistance for persons under IP</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2022</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Zmogljivost</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Sustainable cooperation</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2017</w:t>
            </w:r>
          </w:p>
        </w:tc>
        <w:tc>
          <w:tcPr>
            <w:shd w:val="clear" w:color="auto" w:fill="auto"/>
          </w:tcPr>
          <w:p w:rsidR="00115C60" w:rsidRPr="00557448" w:rsidP="00003291">
            <w:pPr>
              <w:spacing w:before="0" w:after="0"/>
              <w:jc w:val="center"/>
              <w:rPr>
                <w:sz w:val="16"/>
                <w:szCs w:val="16"/>
              </w:rPr>
            </w:pPr>
            <w:r>
              <w:rPr>
                <w:noProof/>
                <w:sz w:val="16"/>
                <w:szCs w:val="16"/>
              </w:rPr>
              <w:t>2020</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Zmogljivost</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Training of staff and policy makers</w:t>
            </w:r>
          </w:p>
        </w:tc>
        <w:tc>
          <w:tcPr>
            <w:shd w:val="clear" w:color="auto" w:fill="auto"/>
          </w:tcPr>
          <w:p w:rsidR="00115C60" w:rsidRPr="00557448" w:rsidP="00003291">
            <w:pPr>
              <w:spacing w:before="0" w:after="0"/>
              <w:jc w:val="center"/>
              <w:rPr>
                <w:sz w:val="16"/>
                <w:szCs w:val="16"/>
              </w:rPr>
            </w:pPr>
            <w:r>
              <w:rPr>
                <w:noProof/>
                <w:sz w:val="16"/>
                <w:szCs w:val="16"/>
              </w:rPr>
              <w:t>2017</w:t>
            </w:r>
          </w:p>
        </w:tc>
        <w:tc>
          <w:tcPr>
            <w:shd w:val="clear" w:color="auto" w:fill="auto"/>
          </w:tcPr>
          <w:p w:rsidR="00115C60" w:rsidRPr="00557448" w:rsidP="00003291">
            <w:pPr>
              <w:spacing w:before="0" w:after="0"/>
              <w:jc w:val="center"/>
              <w:rPr>
                <w:sz w:val="16"/>
                <w:szCs w:val="16"/>
              </w:rPr>
            </w:pPr>
            <w:r>
              <w:rPr>
                <w:noProof/>
                <w:sz w:val="16"/>
                <w:szCs w:val="16"/>
              </w:rPr>
              <w:t>2018</w:t>
            </w:r>
          </w:p>
        </w:tc>
        <w:tc>
          <w:tcPr>
            <w:shd w:val="clear" w:color="auto" w:fill="auto"/>
          </w:tcPr>
          <w:p w:rsidR="00115C60" w:rsidRPr="00557448" w:rsidP="00003291">
            <w:pPr>
              <w:spacing w:before="0" w:after="0"/>
              <w:jc w:val="center"/>
              <w:rPr>
                <w:sz w:val="16"/>
                <w:szCs w:val="16"/>
              </w:rPr>
            </w:pPr>
            <w:r>
              <w:rPr>
                <w:noProof/>
                <w:sz w:val="16"/>
                <w:szCs w:val="16"/>
              </w:rPr>
              <w:t>2019</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Zmogljivost</w:t>
            </w:r>
          </w:p>
        </w:tc>
        <w:tc>
          <w:tcPr>
            <w:shd w:val="clear" w:color="auto" w:fill="auto"/>
          </w:tcPr>
          <w:p w:rsidR="00115C60" w:rsidRPr="00557448" w:rsidP="00003291">
            <w:pPr>
              <w:spacing w:before="0" w:after="0"/>
              <w:jc w:val="center"/>
              <w:rPr>
                <w:sz w:val="16"/>
                <w:szCs w:val="16"/>
              </w:rPr>
            </w:pPr>
            <w:r w:rsidRPr="00557448">
              <w:rPr>
                <w:noProof/>
                <w:sz w:val="16"/>
                <w:szCs w:val="16"/>
              </w:rPr>
              <w:t>3</w:t>
            </w:r>
          </w:p>
        </w:tc>
        <w:tc>
          <w:tcPr>
            <w:shd w:val="clear" w:color="auto" w:fill="auto"/>
          </w:tcPr>
          <w:p w:rsidR="00115C60" w:rsidRPr="00557448" w:rsidP="00003291">
            <w:pPr>
              <w:spacing w:before="0" w:after="0"/>
              <w:rPr>
                <w:sz w:val="16"/>
                <w:szCs w:val="16"/>
              </w:rPr>
            </w:pPr>
            <w:r w:rsidRPr="00557448">
              <w:rPr>
                <w:noProof/>
                <w:sz w:val="16"/>
                <w:szCs w:val="16"/>
              </w:rPr>
              <w:t>Improvement of services and conditions of stay</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2020</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Spremljevalni ukrepi</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Improved infrastructure, living conditions, running costs at the Aliens centre</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2020</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Spremljevalni ukrepi</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Social, psychological and medical assistance for detained persons</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Spremljevalni ukrepi</w:t>
            </w:r>
          </w:p>
        </w:tc>
        <w:tc>
          <w:tcPr>
            <w:shd w:val="clear" w:color="auto" w:fill="auto"/>
          </w:tcPr>
          <w:p w:rsidR="00115C60" w:rsidRPr="00557448" w:rsidP="00003291">
            <w:pPr>
              <w:spacing w:before="0" w:after="0"/>
              <w:jc w:val="center"/>
              <w:rPr>
                <w:sz w:val="16"/>
                <w:szCs w:val="16"/>
              </w:rPr>
            </w:pPr>
            <w:r w:rsidRPr="00557448">
              <w:rPr>
                <w:noProof/>
                <w:sz w:val="16"/>
                <w:szCs w:val="16"/>
              </w:rPr>
              <w:t>3</w:t>
            </w:r>
          </w:p>
        </w:tc>
        <w:tc>
          <w:tcPr>
            <w:shd w:val="clear" w:color="auto" w:fill="auto"/>
          </w:tcPr>
          <w:p w:rsidR="00115C60" w:rsidRPr="00557448" w:rsidP="00003291">
            <w:pPr>
              <w:spacing w:before="0" w:after="0"/>
              <w:rPr>
                <w:sz w:val="16"/>
                <w:szCs w:val="16"/>
              </w:rPr>
            </w:pPr>
            <w:r w:rsidRPr="00557448">
              <w:rPr>
                <w:noProof/>
                <w:sz w:val="16"/>
                <w:szCs w:val="16"/>
              </w:rPr>
              <w:t>Expansion of the network of translators and interpreters</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2022</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Ukrepi vračanja</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Implementation of voluntary return and reintegration projects for TCN</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2</w:t>
            </w:r>
            <w:r>
              <w:rPr>
                <w:sz w:val="16"/>
                <w:szCs w:val="16"/>
              </w:rPr>
              <w:t xml:space="preserve"> - </w:t>
            </w:r>
            <w:r>
              <w:rPr>
                <w:noProof/>
                <w:sz w:val="16"/>
                <w:szCs w:val="16"/>
              </w:rPr>
              <w:t>Ukrepi vračanja</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Preparation and enforcement of return operations</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3</w:t>
            </w:r>
            <w:r>
              <w:rPr>
                <w:sz w:val="16"/>
                <w:szCs w:val="16"/>
              </w:rPr>
              <w:t xml:space="preserve"> - </w:t>
            </w:r>
            <w:r>
              <w:rPr>
                <w:noProof/>
                <w:sz w:val="16"/>
                <w:szCs w:val="16"/>
              </w:rPr>
              <w:t>Vračanje</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3</w:t>
            </w:r>
            <w:r>
              <w:rPr>
                <w:sz w:val="16"/>
                <w:szCs w:val="16"/>
              </w:rPr>
              <w:t xml:space="preserve"> - </w:t>
            </w:r>
            <w:r>
              <w:rPr>
                <w:noProof/>
                <w:sz w:val="16"/>
                <w:szCs w:val="16"/>
              </w:rPr>
              <w:t>Sodelovanje</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Cooperation with EU MS and Frontex</w:t>
            </w:r>
          </w:p>
        </w:tc>
        <w:tc>
          <w:tcPr>
            <w:shd w:val="clear" w:color="auto" w:fill="auto"/>
          </w:tcPr>
          <w:p w:rsidR="00115C60" w:rsidRPr="00557448" w:rsidP="00003291">
            <w:pPr>
              <w:spacing w:before="0" w:after="0"/>
              <w:jc w:val="center"/>
              <w:rPr>
                <w:sz w:val="16"/>
                <w:szCs w:val="16"/>
              </w:rPr>
            </w:pPr>
            <w:r>
              <w:rPr>
                <w:noProof/>
                <w:sz w:val="16"/>
                <w:szCs w:val="16"/>
              </w:rPr>
              <w:t>2014</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2021</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4</w:t>
            </w:r>
            <w:r>
              <w:rPr>
                <w:sz w:val="16"/>
                <w:szCs w:val="16"/>
              </w:rPr>
              <w:t xml:space="preserve"> - </w:t>
            </w:r>
            <w:r>
              <w:rPr>
                <w:noProof/>
                <w:sz w:val="16"/>
                <w:szCs w:val="16"/>
              </w:rPr>
              <w:t>Solidarnost</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Premestitev</w:t>
            </w:r>
          </w:p>
        </w:tc>
        <w:tc>
          <w:tcPr>
            <w:shd w:val="clear" w:color="auto" w:fill="auto"/>
          </w:tcPr>
          <w:p w:rsidR="00115C60" w:rsidRPr="00557448" w:rsidP="00003291">
            <w:pPr>
              <w:spacing w:before="0" w:after="0"/>
              <w:jc w:val="center"/>
              <w:rPr>
                <w:sz w:val="16"/>
                <w:szCs w:val="16"/>
              </w:rPr>
            </w:pPr>
            <w:r w:rsidRPr="00557448">
              <w:rPr>
                <w:noProof/>
                <w:sz w:val="16"/>
                <w:szCs w:val="16"/>
              </w:rPr>
              <w:t>1</w:t>
            </w:r>
          </w:p>
        </w:tc>
        <w:tc>
          <w:tcPr>
            <w:shd w:val="clear" w:color="auto" w:fill="auto"/>
          </w:tcPr>
          <w:p w:rsidR="00115C60" w:rsidRPr="00557448" w:rsidP="00003291">
            <w:pPr>
              <w:spacing w:before="0" w:after="0"/>
              <w:rPr>
                <w:sz w:val="16"/>
                <w:szCs w:val="16"/>
              </w:rPr>
            </w:pPr>
            <w:r w:rsidRPr="00557448">
              <w:rPr>
                <w:noProof/>
                <w:sz w:val="16"/>
                <w:szCs w:val="16"/>
              </w:rPr>
              <w:t>Realocation activities for applicants for international protection from Italy and Greece</w:t>
            </w:r>
          </w:p>
        </w:tc>
        <w:tc>
          <w:tcPr>
            <w:shd w:val="clear" w:color="auto" w:fill="auto"/>
          </w:tcPr>
          <w:p w:rsidR="00115C60" w:rsidRPr="00557448" w:rsidP="00003291">
            <w:pPr>
              <w:spacing w:before="0" w:after="0"/>
              <w:jc w:val="center"/>
              <w:rPr>
                <w:sz w:val="16"/>
                <w:szCs w:val="16"/>
              </w:rPr>
            </w:pPr>
            <w:r>
              <w:rPr>
                <w:noProof/>
                <w:sz w:val="16"/>
                <w:szCs w:val="16"/>
              </w:rPr>
              <w:t>2015</w:t>
            </w:r>
          </w:p>
        </w:tc>
        <w:tc>
          <w:tcPr>
            <w:shd w:val="clear" w:color="auto" w:fill="auto"/>
          </w:tcPr>
          <w:p w:rsidR="00115C60" w:rsidRPr="00557448" w:rsidP="00003291">
            <w:pPr>
              <w:spacing w:before="0" w:after="0"/>
              <w:jc w:val="center"/>
              <w:rPr>
                <w:sz w:val="16"/>
                <w:szCs w:val="16"/>
              </w:rPr>
            </w:pPr>
            <w:r>
              <w:rPr>
                <w:noProof/>
                <w:sz w:val="16"/>
                <w:szCs w:val="16"/>
              </w:rPr>
              <w:t>2016</w:t>
            </w:r>
          </w:p>
        </w:tc>
        <w:tc>
          <w:tcPr>
            <w:shd w:val="clear" w:color="auto" w:fill="auto"/>
          </w:tcPr>
          <w:p w:rsidR="00115C60" w:rsidRPr="00557448" w:rsidP="00003291">
            <w:pPr>
              <w:spacing w:before="0" w:after="0"/>
              <w:jc w:val="center"/>
              <w:rPr>
                <w:sz w:val="16"/>
                <w:szCs w:val="16"/>
              </w:rPr>
            </w:pPr>
            <w:r>
              <w:rPr>
                <w:noProof/>
                <w:sz w:val="16"/>
                <w:szCs w:val="16"/>
              </w:rPr>
              <w:t>2017</w:t>
            </w:r>
          </w:p>
        </w:tc>
      </w:tr>
      <w:tr w:rsidTr="00003291">
        <w:tblPrEx>
          <w:tblW w:w="5000" w:type="pct"/>
          <w:tblLook w:val="04A0"/>
        </w:tblPrEx>
        <w:tc>
          <w:tcPr>
            <w:shd w:val="clear" w:color="auto" w:fill="auto"/>
          </w:tcPr>
          <w:p w:rsidR="00115C60" w:rsidRPr="00557448" w:rsidP="00003291">
            <w:pPr>
              <w:spacing w:before="0" w:after="0"/>
              <w:rPr>
                <w:sz w:val="16"/>
                <w:szCs w:val="16"/>
              </w:rPr>
            </w:pPr>
            <w:r>
              <w:rPr>
                <w:noProof/>
                <w:sz w:val="16"/>
                <w:szCs w:val="16"/>
              </w:rPr>
              <w:t>Posebni cilj</w:t>
            </w:r>
            <w:r>
              <w:rPr>
                <w:noProof/>
                <w:sz w:val="16"/>
                <w:szCs w:val="16"/>
              </w:rPr>
              <w:t>4</w:t>
            </w:r>
            <w:r>
              <w:rPr>
                <w:sz w:val="16"/>
                <w:szCs w:val="16"/>
              </w:rPr>
              <w:t xml:space="preserve"> - </w:t>
            </w:r>
            <w:r>
              <w:rPr>
                <w:noProof/>
                <w:sz w:val="16"/>
                <w:szCs w:val="16"/>
              </w:rPr>
              <w:t>Solidarnost</w:t>
            </w:r>
          </w:p>
        </w:tc>
        <w:tc>
          <w:tcPr>
            <w:shd w:val="clear" w:color="auto" w:fill="auto"/>
          </w:tcPr>
          <w:p w:rsidR="00115C60" w:rsidRPr="00557448" w:rsidP="00003291">
            <w:pPr>
              <w:spacing w:before="0" w:after="0"/>
              <w:rPr>
                <w:sz w:val="16"/>
                <w:szCs w:val="16"/>
              </w:rPr>
            </w:pPr>
            <w:r>
              <w:rPr>
                <w:noProof/>
                <w:sz w:val="16"/>
                <w:szCs w:val="16"/>
              </w:rPr>
              <w:t>Nacionalni cilj</w:t>
            </w:r>
            <w:r>
              <w:rPr>
                <w:noProof/>
                <w:sz w:val="16"/>
                <w:szCs w:val="16"/>
              </w:rPr>
              <w:t>1</w:t>
            </w:r>
            <w:r>
              <w:rPr>
                <w:sz w:val="16"/>
                <w:szCs w:val="16"/>
              </w:rPr>
              <w:t xml:space="preserve"> - </w:t>
            </w:r>
            <w:r>
              <w:rPr>
                <w:noProof/>
                <w:sz w:val="16"/>
                <w:szCs w:val="16"/>
              </w:rPr>
              <w:t>Premestitev</w:t>
            </w:r>
          </w:p>
        </w:tc>
        <w:tc>
          <w:tcPr>
            <w:shd w:val="clear" w:color="auto" w:fill="auto"/>
          </w:tcPr>
          <w:p w:rsidR="00115C60" w:rsidRPr="00557448" w:rsidP="00003291">
            <w:pPr>
              <w:spacing w:before="0" w:after="0"/>
              <w:jc w:val="center"/>
              <w:rPr>
                <w:sz w:val="16"/>
                <w:szCs w:val="16"/>
              </w:rPr>
            </w:pPr>
            <w:r w:rsidRPr="00557448">
              <w:rPr>
                <w:noProof/>
                <w:sz w:val="16"/>
                <w:szCs w:val="16"/>
              </w:rPr>
              <w:t>2</w:t>
            </w:r>
          </w:p>
        </w:tc>
        <w:tc>
          <w:tcPr>
            <w:shd w:val="clear" w:color="auto" w:fill="auto"/>
          </w:tcPr>
          <w:p w:rsidR="00115C60" w:rsidRPr="00557448" w:rsidP="00003291">
            <w:pPr>
              <w:spacing w:before="0" w:after="0"/>
              <w:rPr>
                <w:sz w:val="16"/>
                <w:szCs w:val="16"/>
              </w:rPr>
            </w:pPr>
            <w:r w:rsidRPr="00557448">
              <w:rPr>
                <w:noProof/>
                <w:sz w:val="16"/>
                <w:szCs w:val="16"/>
              </w:rPr>
              <w:t>Preparatory measures</w:t>
            </w:r>
          </w:p>
        </w:tc>
        <w:tc>
          <w:tcPr>
            <w:shd w:val="clear" w:color="auto" w:fill="auto"/>
          </w:tcPr>
          <w:p w:rsidR="00115C60" w:rsidRPr="00557448" w:rsidP="00003291">
            <w:pPr>
              <w:spacing w:before="0" w:after="0"/>
              <w:jc w:val="center"/>
              <w:rPr>
                <w:sz w:val="16"/>
                <w:szCs w:val="16"/>
              </w:rPr>
            </w:pPr>
            <w:r>
              <w:rPr>
                <w:noProof/>
                <w:sz w:val="16"/>
                <w:szCs w:val="16"/>
              </w:rPr>
              <w:t>2019</w:t>
            </w:r>
          </w:p>
        </w:tc>
        <w:tc>
          <w:tcPr>
            <w:shd w:val="clear" w:color="auto" w:fill="auto"/>
          </w:tcPr>
          <w:p w:rsidR="00115C60" w:rsidRPr="00557448" w:rsidP="00003291">
            <w:pPr>
              <w:spacing w:before="0" w:after="0"/>
              <w:jc w:val="center"/>
              <w:rPr>
                <w:sz w:val="16"/>
                <w:szCs w:val="16"/>
              </w:rPr>
            </w:pPr>
            <w:r>
              <w:rPr>
                <w:noProof/>
                <w:sz w:val="16"/>
                <w:szCs w:val="16"/>
              </w:rPr>
              <w:t>2020</w:t>
            </w:r>
          </w:p>
        </w:tc>
        <w:tc>
          <w:tcPr>
            <w:shd w:val="clear" w:color="auto" w:fill="auto"/>
          </w:tcPr>
          <w:p w:rsidR="00115C60" w:rsidRPr="00557448" w:rsidP="00003291">
            <w:pPr>
              <w:spacing w:before="0" w:after="0"/>
              <w:jc w:val="center"/>
              <w:rPr>
                <w:sz w:val="16"/>
                <w:szCs w:val="16"/>
              </w:rPr>
            </w:pPr>
            <w:r>
              <w:rPr>
                <w:noProof/>
                <w:sz w:val="16"/>
                <w:szCs w:val="16"/>
              </w:rPr>
              <w:t>2021</w:t>
            </w:r>
          </w:p>
        </w:tc>
      </w:tr>
    </w:tbl>
    <w:p w:rsidR="0056117D" w:rsidP="00115C60">
      <w:pPr>
        <w:spacing w:before="0" w:after="0"/>
        <w:rPr>
          <w:lang w:val="fr-BE"/>
        </w:rPr>
        <w:sectPr w:rsidSect="00ED6293">
          <w:headerReference w:type="default" r:id="rId5"/>
          <w:footerReference w:type="default" r:id="rId6"/>
          <w:pgSz w:w="11906" w:h="16838"/>
          <w:pgMar w:top="284" w:right="851" w:bottom="284" w:left="284" w:header="567" w:footer="0" w:gutter="0"/>
          <w:cols w:space="708"/>
          <w:docGrid w:linePitch="360"/>
        </w:sectPr>
      </w:pPr>
      <w:r w:rsidR="00115C60">
        <w:rPr>
          <w:lang w:val="fr-BE"/>
        </w:rPr>
        <w:t xml:space="preserve"> </w:t>
      </w:r>
    </w:p>
    <w:p w:rsidR="00115C60" w:rsidP="00115C60">
      <w:pPr>
        <w:pStyle w:val="Heading1"/>
        <w:numPr>
          <w:ilvl w:val="0"/>
          <w:numId w:val="0"/>
        </w:numPr>
        <w:spacing w:before="0" w:after="0"/>
      </w:pPr>
      <w:bookmarkStart w:id="2" w:name="_Toc256000004"/>
      <w:r>
        <w:rPr>
          <w:noProof/>
        </w:rPr>
        <w:t>ODDELEK 4: POSEBNI PRIMERI</w:t>
      </w:r>
      <w:bookmarkEnd w:id="2"/>
    </w:p>
    <w:p w:rsidR="00115C60" w:rsidP="00115C60">
      <w:pPr>
        <w:spacing w:before="0" w:after="0"/>
        <w:rPr>
          <w:lang w:val="fr-BE"/>
        </w:rPr>
      </w:pPr>
    </w:p>
    <w:p w:rsidR="00115C60" w:rsidP="00115C60">
      <w:pPr>
        <w:spacing w:before="0" w:after="0"/>
        <w:rPr>
          <w:lang w:val="fr-BE"/>
        </w:rPr>
      </w:pPr>
      <w:r>
        <w:rPr>
          <w:noProof/>
          <w:lang w:val="fr-BE"/>
        </w:rPr>
        <w:t>4.1 Preselitev</w:t>
      </w:r>
    </w:p>
    <w:p w:rsidR="00115C60" w:rsidP="00225E97">
      <w:pPr>
        <w:tabs>
          <w:tab w:val="left" w:pos="14070"/>
        </w:tabs>
        <w:spacing w:before="0" w:after="0"/>
        <w:ind w:right="404"/>
        <w:rPr>
          <w:lang w:val="fr-BE"/>
        </w:rPr>
      </w:pPr>
      <w:r w:rsidR="00225E97">
        <w:rPr>
          <w:lang w:val="fr-BE"/>
        </w:rPr>
        <w:tab/>
      </w:r>
    </w:p>
    <w:p w:rsidR="00115C60" w:rsidP="00115C60">
      <w:pPr>
        <w:spacing w:before="0" w:after="0"/>
        <w:rPr>
          <w:lang w:val="fr-BE"/>
        </w:rPr>
      </w:pPr>
      <w:r>
        <w:rPr>
          <w:noProof/>
          <w:lang w:val="fr-BE"/>
        </w:rPr>
        <w:t>Število preseljenih oseb, kot je navedeno v obračunih</w:t>
      </w:r>
    </w:p>
    <w:p w:rsidR="004F667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32"/>
        <w:gridCol w:w="981"/>
        <w:gridCol w:w="981"/>
        <w:gridCol w:w="981"/>
        <w:gridCol w:w="981"/>
        <w:gridCol w:w="981"/>
        <w:gridCol w:w="981"/>
        <w:gridCol w:w="981"/>
      </w:tblGrid>
      <w:tr w:rsidTr="006D1B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B02E47" w:rsidRPr="00597A79" w:rsidP="00003291">
            <w:pPr>
              <w:spacing w:before="0" w:after="0"/>
              <w:rPr>
                <w:b/>
                <w:sz w:val="16"/>
                <w:szCs w:val="16"/>
                <w:lang w:val="fr-BE"/>
              </w:rPr>
            </w:pPr>
            <w:r w:rsidRPr="00597A79">
              <w:rPr>
                <w:b/>
                <w:noProof/>
                <w:sz w:val="16"/>
                <w:szCs w:val="16"/>
                <w:lang w:val="fr-BE"/>
              </w:rPr>
              <w:t>Skupna prednostna naloga Unije na področju preselitve</w:t>
            </w:r>
          </w:p>
        </w:tc>
        <w:tc>
          <w:tcPr>
            <w:shd w:val="clear" w:color="auto" w:fill="auto"/>
          </w:tcPr>
          <w:p w:rsidR="00B02E47" w:rsidRPr="00597A79" w:rsidP="00D06E4F">
            <w:pPr>
              <w:spacing w:before="0" w:after="0"/>
              <w:jc w:val="center"/>
              <w:rPr>
                <w:b/>
                <w:sz w:val="16"/>
                <w:szCs w:val="16"/>
                <w:lang w:val="fr-BE"/>
              </w:rPr>
            </w:pPr>
            <w:r w:rsidRPr="00597A79">
              <w:rPr>
                <w:b/>
                <w:sz w:val="16"/>
                <w:szCs w:val="16"/>
                <w:lang w:val="fr-BE"/>
              </w:rPr>
              <w:t>2014</w:t>
            </w:r>
          </w:p>
        </w:tc>
        <w:tc>
          <w:tcPr>
            <w:shd w:val="clear" w:color="auto" w:fill="auto"/>
          </w:tcPr>
          <w:p w:rsidR="00B02E47" w:rsidRPr="00597A79" w:rsidP="00D06E4F">
            <w:pPr>
              <w:spacing w:before="0" w:after="0"/>
              <w:jc w:val="center"/>
              <w:rPr>
                <w:b/>
                <w:sz w:val="16"/>
                <w:szCs w:val="16"/>
                <w:lang w:val="fr-BE"/>
              </w:rPr>
            </w:pPr>
            <w:r w:rsidRPr="00597A79">
              <w:rPr>
                <w:b/>
                <w:sz w:val="16"/>
                <w:szCs w:val="16"/>
                <w:lang w:val="fr-BE"/>
              </w:rPr>
              <w:t>2015</w:t>
            </w:r>
          </w:p>
        </w:tc>
        <w:tc>
          <w:tcPr>
            <w:shd w:val="clear" w:color="auto" w:fill="auto"/>
          </w:tcPr>
          <w:p w:rsidR="00B02E47" w:rsidRPr="00597A79" w:rsidP="00D06E4F">
            <w:pPr>
              <w:spacing w:before="0" w:after="0"/>
              <w:jc w:val="center"/>
              <w:rPr>
                <w:b/>
                <w:sz w:val="16"/>
                <w:szCs w:val="16"/>
                <w:lang w:val="fr-BE"/>
              </w:rPr>
            </w:pPr>
            <w:r w:rsidRPr="00597A79">
              <w:rPr>
                <w:b/>
                <w:sz w:val="16"/>
                <w:szCs w:val="16"/>
                <w:lang w:val="fr-BE"/>
              </w:rPr>
              <w:t>2016</w:t>
            </w:r>
          </w:p>
        </w:tc>
        <w:tc>
          <w:tcPr/>
          <w:p w:rsidR="00B02E47" w:rsidRPr="00597A79" w:rsidP="00D06E4F">
            <w:pPr>
              <w:spacing w:before="0" w:after="0"/>
              <w:jc w:val="center"/>
              <w:rPr>
                <w:b/>
                <w:sz w:val="16"/>
                <w:szCs w:val="16"/>
                <w:lang w:val="fr-BE"/>
              </w:rPr>
            </w:pPr>
            <w:r w:rsidRPr="00597A79">
              <w:rPr>
                <w:b/>
                <w:sz w:val="16"/>
                <w:szCs w:val="16"/>
                <w:lang w:val="fr-BE"/>
              </w:rPr>
              <w:t>2017</w:t>
            </w:r>
          </w:p>
        </w:tc>
        <w:tc>
          <w:tcPr/>
          <w:p w:rsidR="00B02E47" w:rsidRPr="00597A79" w:rsidP="00D06E4F">
            <w:pPr>
              <w:spacing w:before="0" w:after="0"/>
              <w:jc w:val="center"/>
              <w:rPr>
                <w:b/>
                <w:sz w:val="16"/>
                <w:szCs w:val="16"/>
                <w:lang w:val="fr-BE"/>
              </w:rPr>
            </w:pPr>
            <w:r w:rsidRPr="00597A79">
              <w:rPr>
                <w:b/>
                <w:sz w:val="16"/>
                <w:szCs w:val="16"/>
                <w:lang w:val="fr-BE"/>
              </w:rPr>
              <w:t>2018</w:t>
            </w:r>
          </w:p>
        </w:tc>
        <w:tc>
          <w:tcPr/>
          <w:p w:rsidR="00B02E47" w:rsidRPr="00597A79" w:rsidP="00D06E4F">
            <w:pPr>
              <w:spacing w:before="0" w:after="0"/>
              <w:jc w:val="center"/>
              <w:rPr>
                <w:b/>
                <w:sz w:val="16"/>
                <w:szCs w:val="16"/>
                <w:lang w:val="fr-BE"/>
              </w:rPr>
            </w:pPr>
            <w:r w:rsidRPr="00597A79">
              <w:rPr>
                <w:b/>
                <w:sz w:val="16"/>
                <w:szCs w:val="16"/>
                <w:lang w:val="fr-BE"/>
              </w:rPr>
              <w:t>2019</w:t>
            </w:r>
          </w:p>
        </w:tc>
        <w:tc>
          <w:tcPr/>
          <w:p w:rsidR="00B02E47" w:rsidRPr="00597A79" w:rsidP="00D06E4F">
            <w:pPr>
              <w:spacing w:before="0" w:after="0"/>
              <w:jc w:val="center"/>
              <w:rPr>
                <w:b/>
                <w:sz w:val="16"/>
                <w:szCs w:val="16"/>
                <w:lang w:val="fr-BE"/>
              </w:rPr>
            </w:pPr>
            <w:r w:rsidRPr="00597A79">
              <w:rPr>
                <w:b/>
                <w:sz w:val="16"/>
                <w:szCs w:val="16"/>
                <w:lang w:val="fr-BE"/>
              </w:rPr>
              <w:t>2020</w:t>
            </w:r>
          </w:p>
        </w:tc>
      </w:tr>
      <w:tr w:rsidTr="006D1BFF">
        <w:tblPrEx>
          <w:tblW w:w="5000" w:type="pct"/>
          <w:tblCellMar>
            <w:left w:w="57" w:type="dxa"/>
            <w:right w:w="57" w:type="dxa"/>
          </w:tblCellMar>
          <w:tblLook w:val="04A0"/>
        </w:tblPrEx>
        <w:tc>
          <w:tcPr>
            <w:shd w:val="clear" w:color="auto" w:fill="auto"/>
          </w:tcPr>
          <w:p w:rsidR="00B02E47" w:rsidRPr="00597A79" w:rsidP="00003291">
            <w:pPr>
              <w:spacing w:before="0" w:after="0"/>
              <w:rPr>
                <w:sz w:val="16"/>
                <w:szCs w:val="16"/>
                <w:lang w:val="fr-BE"/>
              </w:rPr>
            </w:pPr>
            <w:r w:rsidRPr="00597A79">
              <w:rPr>
                <w:noProof/>
                <w:sz w:val="16"/>
                <w:szCs w:val="16"/>
                <w:lang w:val="fr-BE"/>
              </w:rPr>
              <w:t>Sirski begunci v regiji</w:t>
            </w:r>
          </w:p>
        </w:tc>
        <w:tc>
          <w:tcPr>
            <w:shd w:val="clear" w:color="auto" w:fill="auto"/>
          </w:tcPr>
          <w:p w:rsidR="00B02E47" w:rsidRPr="00597A79" w:rsidP="00003291">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p w:rsidR="00B02E47" w:rsidRPr="00597A79" w:rsidP="00A35F00">
            <w:pPr>
              <w:spacing w:before="0" w:after="0"/>
              <w:jc w:val="right"/>
              <w:rPr>
                <w:sz w:val="16"/>
                <w:szCs w:val="16"/>
                <w:lang w:val="fr-BE"/>
              </w:rPr>
            </w:pPr>
          </w:p>
        </w:tc>
        <w:tc>
          <w:tcPr/>
          <w:p w:rsidR="00B02E47" w:rsidRPr="00597A79" w:rsidP="00A35F00">
            <w:pPr>
              <w:spacing w:before="0" w:after="0"/>
              <w:jc w:val="right"/>
              <w:rPr>
                <w:sz w:val="16"/>
                <w:szCs w:val="16"/>
                <w:lang w:val="fr-BE"/>
              </w:rPr>
            </w:pPr>
            <w:r w:rsidRPr="00597A79">
              <w:rPr>
                <w:noProof/>
                <w:sz w:val="16"/>
                <w:szCs w:val="16"/>
                <w:lang w:val="fr-BE"/>
              </w:rPr>
              <w:t>21</w:t>
            </w:r>
          </w:p>
        </w:tc>
        <w:tc>
          <w:tcPr/>
          <w:p w:rsidR="00B02E47" w:rsidRPr="00597A79" w:rsidP="00A35F00">
            <w:pPr>
              <w:spacing w:before="0" w:after="0"/>
              <w:jc w:val="right"/>
              <w:rPr>
                <w:sz w:val="16"/>
                <w:szCs w:val="16"/>
                <w:lang w:val="fr-BE"/>
              </w:rPr>
            </w:pPr>
            <w:r w:rsidRPr="00597A79">
              <w:rPr>
                <w:noProof/>
                <w:sz w:val="16"/>
                <w:szCs w:val="16"/>
                <w:lang w:val="fr-BE"/>
              </w:rPr>
              <w:t>13</w:t>
            </w:r>
          </w:p>
        </w:tc>
        <w:tc>
          <w:tcPr/>
          <w:p w:rsidR="00B02E47" w:rsidRPr="00597A79" w:rsidP="00A35F00">
            <w:pPr>
              <w:spacing w:before="0" w:after="0"/>
              <w:jc w:val="right"/>
              <w:rPr>
                <w:sz w:val="16"/>
                <w:szCs w:val="16"/>
                <w:lang w:val="fr-BE"/>
              </w:rPr>
            </w:pPr>
          </w:p>
        </w:tc>
      </w:tr>
      <w:tr w:rsidTr="006D1BFF">
        <w:tblPrEx>
          <w:tblW w:w="5000" w:type="pct"/>
          <w:tblCellMar>
            <w:left w:w="57" w:type="dxa"/>
            <w:right w:w="57" w:type="dxa"/>
          </w:tblCellMar>
          <w:tblLook w:val="04A0"/>
        </w:tblPrEx>
        <w:tc>
          <w:tcPr>
            <w:shd w:val="clear" w:color="auto" w:fill="auto"/>
          </w:tcPr>
          <w:p w:rsidR="00B02E47" w:rsidRPr="00597A79" w:rsidP="00003291">
            <w:pPr>
              <w:spacing w:before="0" w:after="0"/>
              <w:rPr>
                <w:sz w:val="16"/>
                <w:szCs w:val="16"/>
                <w:lang w:val="fr-BE"/>
              </w:rPr>
            </w:pPr>
            <w:r w:rsidRPr="00597A79">
              <w:rPr>
                <w:b/>
                <w:noProof/>
                <w:sz w:val="16"/>
                <w:szCs w:val="16"/>
                <w:lang w:val="fr-BE"/>
              </w:rPr>
              <w:t>Prednostne naloge Unije skupaj</w:t>
            </w:r>
          </w:p>
        </w:tc>
        <w:tc>
          <w:tcPr>
            <w:shd w:val="clear" w:color="auto" w:fill="auto"/>
          </w:tcPr>
          <w:p w:rsidR="00B02E47" w:rsidRPr="00597A79" w:rsidP="00003291">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p w:rsidR="00B02E47" w:rsidRPr="00597A79" w:rsidP="00A35F00">
            <w:pPr>
              <w:spacing w:before="0" w:after="0"/>
              <w:jc w:val="right"/>
              <w:rPr>
                <w:sz w:val="16"/>
                <w:szCs w:val="16"/>
                <w:lang w:val="fr-BE"/>
              </w:rPr>
            </w:pPr>
          </w:p>
        </w:tc>
        <w:tc>
          <w:tcPr/>
          <w:p w:rsidR="00B02E47" w:rsidRPr="00597A79" w:rsidP="00A35F00">
            <w:pPr>
              <w:spacing w:before="0" w:after="0"/>
              <w:jc w:val="right"/>
              <w:rPr>
                <w:sz w:val="16"/>
                <w:szCs w:val="16"/>
                <w:lang w:val="fr-BE"/>
              </w:rPr>
            </w:pPr>
            <w:r w:rsidRPr="00597A79">
              <w:rPr>
                <w:b/>
                <w:noProof/>
                <w:sz w:val="16"/>
                <w:szCs w:val="16"/>
                <w:lang w:val="fr-BE"/>
              </w:rPr>
              <w:t>21</w:t>
            </w:r>
          </w:p>
        </w:tc>
        <w:tc>
          <w:tcPr/>
          <w:p w:rsidR="00B02E47" w:rsidRPr="00597A79" w:rsidP="00A35F00">
            <w:pPr>
              <w:spacing w:before="0" w:after="0"/>
              <w:jc w:val="right"/>
              <w:rPr>
                <w:sz w:val="16"/>
                <w:szCs w:val="16"/>
                <w:lang w:val="fr-BE"/>
              </w:rPr>
            </w:pPr>
            <w:r w:rsidRPr="00597A79">
              <w:rPr>
                <w:b/>
                <w:noProof/>
                <w:sz w:val="16"/>
                <w:szCs w:val="16"/>
                <w:lang w:val="fr-BE"/>
              </w:rPr>
              <w:t>13</w:t>
            </w:r>
          </w:p>
        </w:tc>
        <w:tc>
          <w:tcPr/>
          <w:p w:rsidR="00B02E47" w:rsidRPr="00597A79" w:rsidP="00A35F00">
            <w:pPr>
              <w:spacing w:before="0" w:after="0"/>
              <w:jc w:val="right"/>
              <w:rPr>
                <w:sz w:val="16"/>
                <w:szCs w:val="16"/>
                <w:lang w:val="fr-BE"/>
              </w:rPr>
            </w:pPr>
          </w:p>
        </w:tc>
      </w:tr>
      <w:tr w:rsidTr="006D1BFF">
        <w:tblPrEx>
          <w:tblW w:w="5000" w:type="pct"/>
          <w:tblCellMar>
            <w:left w:w="57" w:type="dxa"/>
            <w:right w:w="57" w:type="dxa"/>
          </w:tblCellMar>
          <w:tblLook w:val="04A0"/>
        </w:tblPrEx>
        <w:tc>
          <w:tcPr>
            <w:shd w:val="clear" w:color="auto" w:fill="auto"/>
          </w:tcPr>
          <w:p w:rsidR="00B02E47" w:rsidRPr="00597A79" w:rsidP="00003291">
            <w:pPr>
              <w:spacing w:before="0" w:after="0"/>
              <w:rPr>
                <w:sz w:val="16"/>
                <w:szCs w:val="16"/>
                <w:lang w:val="fr-BE"/>
              </w:rPr>
            </w:pPr>
            <w:r w:rsidRPr="00597A79">
              <w:rPr>
                <w:b/>
                <w:noProof/>
                <w:sz w:val="16"/>
                <w:szCs w:val="16"/>
                <w:lang w:val="fr-BE"/>
              </w:rPr>
              <w:t>Skupni seštevek</w:t>
            </w:r>
          </w:p>
        </w:tc>
        <w:tc>
          <w:tcPr>
            <w:shd w:val="clear" w:color="auto" w:fill="auto"/>
          </w:tcPr>
          <w:p w:rsidR="00B02E47" w:rsidRPr="00597A79" w:rsidP="00003291">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shd w:val="clear" w:color="auto" w:fill="auto"/>
          </w:tcPr>
          <w:p w:rsidR="00B02E47" w:rsidRPr="00597A79" w:rsidP="00D06E4F">
            <w:pPr>
              <w:spacing w:before="0" w:after="0"/>
              <w:jc w:val="right"/>
              <w:rPr>
                <w:sz w:val="16"/>
                <w:szCs w:val="16"/>
                <w:lang w:val="fr-BE"/>
              </w:rPr>
            </w:pPr>
          </w:p>
        </w:tc>
        <w:tc>
          <w:tcPr/>
          <w:p w:rsidR="00B02E47" w:rsidRPr="00597A79" w:rsidP="00A35F00">
            <w:pPr>
              <w:spacing w:before="0" w:after="0"/>
              <w:jc w:val="right"/>
              <w:rPr>
                <w:sz w:val="16"/>
                <w:szCs w:val="16"/>
                <w:lang w:val="fr-BE"/>
              </w:rPr>
            </w:pPr>
          </w:p>
        </w:tc>
        <w:tc>
          <w:tcPr/>
          <w:p w:rsidR="00B02E47" w:rsidRPr="00597A79" w:rsidP="00A35F00">
            <w:pPr>
              <w:spacing w:before="0" w:after="0"/>
              <w:jc w:val="right"/>
              <w:rPr>
                <w:sz w:val="16"/>
                <w:szCs w:val="16"/>
                <w:lang w:val="fr-BE"/>
              </w:rPr>
            </w:pPr>
            <w:r w:rsidRPr="00597A79">
              <w:rPr>
                <w:b/>
                <w:noProof/>
                <w:sz w:val="16"/>
                <w:szCs w:val="16"/>
                <w:lang w:val="fr-BE"/>
              </w:rPr>
              <w:t>21</w:t>
            </w:r>
          </w:p>
        </w:tc>
        <w:tc>
          <w:tcPr/>
          <w:p w:rsidR="00B02E47" w:rsidRPr="00597A79" w:rsidP="00A35F00">
            <w:pPr>
              <w:spacing w:before="0" w:after="0"/>
              <w:jc w:val="right"/>
              <w:rPr>
                <w:sz w:val="16"/>
                <w:szCs w:val="16"/>
                <w:lang w:val="fr-BE"/>
              </w:rPr>
            </w:pPr>
            <w:r w:rsidRPr="00597A79">
              <w:rPr>
                <w:b/>
                <w:noProof/>
                <w:sz w:val="16"/>
                <w:szCs w:val="16"/>
                <w:lang w:val="fr-BE"/>
              </w:rPr>
              <w:t>13</w:t>
            </w:r>
          </w:p>
        </w:tc>
        <w:tc>
          <w:tcPr/>
          <w:p w:rsidR="00B02E47" w:rsidRPr="00597A79" w:rsidP="00A35F00">
            <w:pPr>
              <w:spacing w:before="0" w:after="0"/>
              <w:jc w:val="right"/>
              <w:rPr>
                <w:sz w:val="16"/>
                <w:szCs w:val="16"/>
                <w:lang w:val="fr-BE"/>
              </w:rPr>
            </w:pPr>
          </w:p>
        </w:tc>
      </w:tr>
    </w:tbl>
    <w:p w:rsidR="00115C60" w:rsidP="00115C60">
      <w:pPr>
        <w:spacing w:before="0" w:after="0"/>
        <w:rPr>
          <w:lang w:val="fr-BE"/>
        </w:rPr>
      </w:pPr>
    </w:p>
    <w:p w:rsidR="00115C60" w:rsidP="00225E97">
      <w:pPr>
        <w:spacing w:before="0" w:after="0"/>
        <w:ind w:right="418"/>
        <w:rPr>
          <w:lang w:val="fr-BE"/>
        </w:rPr>
      </w:pPr>
      <w:r>
        <w:rPr>
          <w:noProof/>
          <w:lang w:val="fr-BE"/>
        </w:rPr>
        <w:t>4.2 Predaja in premestitev</w:t>
      </w:r>
    </w:p>
    <w:p w:rsidR="00115C60" w:rsidP="000C0709">
      <w:pPr>
        <w:spacing w:before="0" w:after="0"/>
        <w:ind w:right="395"/>
        <w:rPr>
          <w:lang w:val="fr-BE"/>
        </w:rPr>
      </w:pPr>
    </w:p>
    <w:p w:rsidR="00115C60" w:rsidP="00225E97">
      <w:pPr>
        <w:tabs>
          <w:tab w:val="right" w:pos="15309"/>
        </w:tabs>
        <w:spacing w:before="0" w:after="0"/>
        <w:rPr>
          <w:lang w:val="fr-BE"/>
        </w:rPr>
      </w:pPr>
      <w:r>
        <w:rPr>
          <w:noProof/>
          <w:lang w:val="fr-BE"/>
        </w:rPr>
        <w:t>Število predanih in premeščenih prosilcev na obdobje zaveze, kot je navedeno v obračunih</w:t>
      </w:r>
      <w:r w:rsidR="00225E97">
        <w:rPr>
          <w:lang w:val="fr-BE"/>
        </w:rPr>
        <w:tab/>
      </w:r>
    </w:p>
    <w:p w:rsidR="004F667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1562"/>
        <w:gridCol w:w="2105"/>
        <w:gridCol w:w="2341"/>
        <w:gridCol w:w="2341"/>
        <w:gridCol w:w="234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F65BC9" w:rsidP="00003291">
            <w:pPr>
              <w:spacing w:before="0" w:after="0"/>
              <w:rPr>
                <w:b/>
                <w:sz w:val="20"/>
                <w:szCs w:val="20"/>
                <w:lang w:val="fr-BE"/>
              </w:rPr>
            </w:pPr>
            <w:r w:rsidRPr="00F65BC9">
              <w:rPr>
                <w:b/>
                <w:noProof/>
                <w:sz w:val="20"/>
                <w:szCs w:val="20"/>
                <w:lang w:val="fr-BE"/>
              </w:rPr>
              <w:t>Vrsta</w:t>
            </w:r>
          </w:p>
        </w:tc>
        <w:tc>
          <w:tcPr>
            <w:shd w:val="clear" w:color="auto" w:fill="auto"/>
          </w:tcPr>
          <w:p w:rsidR="00115C60" w:rsidRPr="00F65BC9" w:rsidP="00003291">
            <w:pPr>
              <w:spacing w:before="0" w:after="0"/>
              <w:rPr>
                <w:b/>
                <w:sz w:val="20"/>
                <w:szCs w:val="20"/>
                <w:lang w:val="fr-BE"/>
              </w:rPr>
            </w:pPr>
            <w:r w:rsidRPr="00F65BC9">
              <w:rPr>
                <w:b/>
                <w:noProof/>
                <w:sz w:val="20"/>
                <w:szCs w:val="20"/>
                <w:lang w:val="fr-BE"/>
              </w:rPr>
              <w:t>Iz</w:t>
            </w:r>
          </w:p>
        </w:tc>
        <w:tc>
          <w:tcPr>
            <w:shd w:val="clear" w:color="auto" w:fill="auto"/>
          </w:tcPr>
          <w:p w:rsidR="00115C60" w:rsidRPr="00F65BC9" w:rsidP="00003291">
            <w:pPr>
              <w:spacing w:before="0" w:after="0"/>
              <w:rPr>
                <w:b/>
                <w:sz w:val="20"/>
                <w:szCs w:val="20"/>
                <w:lang w:val="fr-BE"/>
              </w:rPr>
            </w:pPr>
            <w:r w:rsidRPr="00F65BC9">
              <w:rPr>
                <w:b/>
                <w:noProof/>
                <w:sz w:val="20"/>
                <w:szCs w:val="20"/>
                <w:lang w:val="fr-BE"/>
              </w:rPr>
              <w:t>V</w:t>
            </w:r>
          </w:p>
        </w:tc>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2014-2015</w:t>
            </w:r>
          </w:p>
        </w:tc>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2016-2017</w:t>
            </w:r>
          </w:p>
        </w:tc>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2018-2019</w:t>
            </w:r>
          </w:p>
        </w:tc>
      </w:tr>
      <w:tr w:rsidTr="00003291">
        <w:tblPrEx>
          <w:tblW w:w="5000" w:type="pct"/>
          <w:tblLook w:val="04A0"/>
        </w:tblPrEx>
        <w:tc>
          <w:tcPr>
            <w:shd w:val="clear" w:color="auto" w:fill="auto"/>
          </w:tcPr>
          <w:p w:rsidR="00115C60" w:rsidRPr="002B6309" w:rsidP="00003291">
            <w:pPr>
              <w:spacing w:before="0" w:after="0"/>
              <w:rPr>
                <w:sz w:val="20"/>
                <w:szCs w:val="20"/>
                <w:lang w:val="fr-BE"/>
              </w:rPr>
            </w:pPr>
            <w:r w:rsidRPr="002B6309">
              <w:rPr>
                <w:noProof/>
                <w:sz w:val="20"/>
                <w:szCs w:val="20"/>
                <w:lang w:val="fr-BE"/>
              </w:rPr>
              <w:t>Premestitev (2015/1523)</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Italija</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Slovenija</w:t>
            </w:r>
          </w:p>
        </w:tc>
        <w:tc>
          <w:tcPr>
            <w:shd w:val="clear" w:color="auto" w:fill="auto"/>
          </w:tcPr>
          <w:p w:rsidR="00115C60" w:rsidRPr="002B6309" w:rsidP="00003291">
            <w:pPr>
              <w:spacing w:before="0" w:after="0"/>
              <w:jc w:val="right"/>
              <w:rPr>
                <w:sz w:val="20"/>
                <w:szCs w:val="20"/>
                <w:lang w:val="fr-BE"/>
              </w:rPr>
            </w:pPr>
          </w:p>
        </w:tc>
        <w:tc>
          <w:tcPr>
            <w:shd w:val="clear" w:color="auto" w:fill="auto"/>
          </w:tcPr>
          <w:p w:rsidR="00115C60" w:rsidRPr="002B6309" w:rsidP="00003291">
            <w:pPr>
              <w:spacing w:before="0" w:after="0"/>
              <w:jc w:val="right"/>
              <w:rPr>
                <w:sz w:val="20"/>
                <w:szCs w:val="20"/>
                <w:lang w:val="fr-BE"/>
              </w:rPr>
            </w:pPr>
          </w:p>
        </w:tc>
        <w:tc>
          <w:tcPr>
            <w:shd w:val="clear" w:color="auto" w:fill="auto"/>
          </w:tcPr>
          <w:p w:rsidR="00115C60" w:rsidRPr="002B6309" w:rsidP="00003291">
            <w:pPr>
              <w:spacing w:before="0" w:after="0"/>
              <w:jc w:val="right"/>
              <w:rPr>
                <w:sz w:val="20"/>
                <w:szCs w:val="20"/>
                <w:lang w:val="fr-BE"/>
              </w:rPr>
            </w:pPr>
            <w:r w:rsidRPr="002B6309">
              <w:rPr>
                <w:noProof/>
                <w:sz w:val="20"/>
                <w:szCs w:val="20"/>
                <w:lang w:val="fr-BE"/>
              </w:rPr>
              <w:t>36</w:t>
            </w:r>
          </w:p>
        </w:tc>
      </w:tr>
      <w:tr w:rsidTr="00003291">
        <w:tblPrEx>
          <w:tblW w:w="5000" w:type="pct"/>
          <w:tblLook w:val="04A0"/>
        </w:tblPrEx>
        <w:tc>
          <w:tcPr>
            <w:shd w:val="clear" w:color="auto" w:fill="auto"/>
          </w:tcPr>
          <w:p w:rsidR="00115C60" w:rsidRPr="002B6309" w:rsidP="00003291">
            <w:pPr>
              <w:spacing w:before="0" w:after="0"/>
              <w:rPr>
                <w:sz w:val="20"/>
                <w:szCs w:val="20"/>
                <w:lang w:val="fr-BE"/>
              </w:rPr>
            </w:pPr>
            <w:r w:rsidRPr="002B6309">
              <w:rPr>
                <w:noProof/>
                <w:sz w:val="20"/>
                <w:szCs w:val="20"/>
                <w:lang w:val="fr-BE"/>
              </w:rPr>
              <w:t>Premestitev (2015/1601)</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Italija</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Slovenija</w:t>
            </w:r>
          </w:p>
        </w:tc>
        <w:tc>
          <w:tcPr>
            <w:shd w:val="clear" w:color="auto" w:fill="auto"/>
          </w:tcPr>
          <w:p w:rsidR="00115C60" w:rsidRPr="002B6309" w:rsidP="00003291">
            <w:pPr>
              <w:spacing w:before="0" w:after="0"/>
              <w:jc w:val="right"/>
              <w:rPr>
                <w:sz w:val="20"/>
                <w:szCs w:val="20"/>
                <w:lang w:val="fr-BE"/>
              </w:rPr>
            </w:pPr>
          </w:p>
        </w:tc>
        <w:tc>
          <w:tcPr>
            <w:shd w:val="clear" w:color="auto" w:fill="auto"/>
          </w:tcPr>
          <w:p w:rsidR="00115C60" w:rsidRPr="002B6309" w:rsidP="00003291">
            <w:pPr>
              <w:spacing w:before="0" w:after="0"/>
              <w:jc w:val="right"/>
              <w:rPr>
                <w:sz w:val="20"/>
                <w:szCs w:val="20"/>
                <w:lang w:val="fr-BE"/>
              </w:rPr>
            </w:pPr>
            <w:r w:rsidRPr="002B6309">
              <w:rPr>
                <w:noProof/>
                <w:sz w:val="20"/>
                <w:szCs w:val="20"/>
                <w:lang w:val="fr-BE"/>
              </w:rPr>
              <w:t>54</w:t>
            </w:r>
          </w:p>
        </w:tc>
        <w:tc>
          <w:tcPr>
            <w:shd w:val="clear" w:color="auto" w:fill="auto"/>
          </w:tcPr>
          <w:p w:rsidR="00115C60" w:rsidRPr="002B6309" w:rsidP="00003291">
            <w:pPr>
              <w:spacing w:before="0" w:after="0"/>
              <w:jc w:val="right"/>
              <w:rPr>
                <w:sz w:val="20"/>
                <w:szCs w:val="20"/>
                <w:lang w:val="fr-BE"/>
              </w:rPr>
            </w:pPr>
          </w:p>
        </w:tc>
      </w:tr>
      <w:tr w:rsidTr="00003291">
        <w:tblPrEx>
          <w:tblW w:w="5000" w:type="pct"/>
          <w:tblLook w:val="04A0"/>
        </w:tblPrEx>
        <w:tc>
          <w:tcPr>
            <w:shd w:val="clear" w:color="auto" w:fill="auto"/>
          </w:tcPr>
          <w:p w:rsidR="00115C60" w:rsidRPr="002B6309" w:rsidP="00003291">
            <w:pPr>
              <w:spacing w:before="0" w:after="0"/>
              <w:rPr>
                <w:sz w:val="20"/>
                <w:szCs w:val="20"/>
                <w:lang w:val="fr-BE"/>
              </w:rPr>
            </w:pPr>
            <w:r w:rsidRPr="002B6309">
              <w:rPr>
                <w:noProof/>
                <w:sz w:val="20"/>
                <w:szCs w:val="20"/>
                <w:lang w:val="fr-BE"/>
              </w:rPr>
              <w:t>Premestitev (2015/1601)</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Grčija</w:t>
            </w:r>
          </w:p>
        </w:tc>
        <w:tc>
          <w:tcPr>
            <w:shd w:val="clear" w:color="auto" w:fill="auto"/>
          </w:tcPr>
          <w:p w:rsidR="00115C60" w:rsidRPr="002B6309" w:rsidP="00003291">
            <w:pPr>
              <w:spacing w:before="0" w:after="0"/>
              <w:rPr>
                <w:sz w:val="20"/>
                <w:szCs w:val="20"/>
                <w:lang w:val="fr-BE"/>
              </w:rPr>
            </w:pPr>
            <w:r w:rsidRPr="002B6309">
              <w:rPr>
                <w:noProof/>
                <w:sz w:val="20"/>
                <w:szCs w:val="20"/>
                <w:lang w:val="fr-BE"/>
              </w:rPr>
              <w:t>Slovenija</w:t>
            </w:r>
          </w:p>
        </w:tc>
        <w:tc>
          <w:tcPr>
            <w:shd w:val="clear" w:color="auto" w:fill="auto"/>
          </w:tcPr>
          <w:p w:rsidR="00115C60" w:rsidRPr="002B6309" w:rsidP="00003291">
            <w:pPr>
              <w:spacing w:before="0" w:after="0"/>
              <w:jc w:val="right"/>
              <w:rPr>
                <w:sz w:val="20"/>
                <w:szCs w:val="20"/>
                <w:lang w:val="fr-BE"/>
              </w:rPr>
            </w:pPr>
          </w:p>
        </w:tc>
        <w:tc>
          <w:tcPr>
            <w:shd w:val="clear" w:color="auto" w:fill="auto"/>
          </w:tcPr>
          <w:p w:rsidR="00115C60" w:rsidRPr="002B6309" w:rsidP="00003291">
            <w:pPr>
              <w:spacing w:before="0" w:after="0"/>
              <w:jc w:val="right"/>
              <w:rPr>
                <w:sz w:val="20"/>
                <w:szCs w:val="20"/>
                <w:lang w:val="fr-BE"/>
              </w:rPr>
            </w:pPr>
            <w:r w:rsidRPr="002B6309">
              <w:rPr>
                <w:noProof/>
                <w:sz w:val="20"/>
                <w:szCs w:val="20"/>
                <w:lang w:val="fr-BE"/>
              </w:rPr>
              <w:t>163</w:t>
            </w:r>
          </w:p>
        </w:tc>
        <w:tc>
          <w:tcPr>
            <w:shd w:val="clear" w:color="auto" w:fill="auto"/>
          </w:tcPr>
          <w:p w:rsidR="00115C60" w:rsidRPr="002B6309" w:rsidP="00003291">
            <w:pPr>
              <w:spacing w:before="0" w:after="0"/>
              <w:jc w:val="right"/>
              <w:rPr>
                <w:sz w:val="20"/>
                <w:szCs w:val="20"/>
                <w:lang w:val="fr-BE"/>
              </w:rPr>
            </w:pPr>
          </w:p>
        </w:tc>
      </w:tr>
    </w:tbl>
    <w:p w:rsidR="00115C60" w:rsidP="00115C60">
      <w:pPr>
        <w:spacing w:before="0" w:after="0"/>
        <w:rPr>
          <w:lang w:val="fr-BE"/>
        </w:rPr>
      </w:pPr>
    </w:p>
    <w:p w:rsidR="00115C60" w:rsidP="00115C60">
      <w:pPr>
        <w:spacing w:before="0" w:after="0"/>
        <w:rPr>
          <w:lang w:val="fr-BE"/>
        </w:rPr>
      </w:pPr>
      <w:r>
        <w:rPr>
          <w:noProof/>
          <w:lang w:val="fr-BE"/>
        </w:rPr>
        <w:t>4.3 Sprejem iz Turčije (2016/1754)</w:t>
      </w:r>
    </w:p>
    <w:p w:rsidR="00115C60" w:rsidP="00115C60">
      <w:pPr>
        <w:spacing w:before="0" w:after="0"/>
        <w:rPr>
          <w:lang w:val="fr-BE"/>
        </w:rPr>
      </w:pPr>
    </w:p>
    <w:p w:rsidR="00115C60" w:rsidP="00115C60">
      <w:pPr>
        <w:spacing w:before="0" w:after="0"/>
        <w:rPr>
          <w:lang w:val="fr-BE"/>
        </w:rPr>
      </w:pPr>
      <w:r>
        <w:rPr>
          <w:noProof/>
          <w:lang w:val="fr-BE"/>
        </w:rPr>
        <w:t>Število sprejetih prosilcev iz Turčije na obdobje zaveze, kot je navedeno v obračunih</w:t>
      </w:r>
    </w:p>
    <w:p w:rsidR="004F6677"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3"/>
        <w:gridCol w:w="5133"/>
        <w:gridCol w:w="5133"/>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w:t>
            </w:r>
            <w:r w:rsidRPr="00F65BC9">
              <w:rPr>
                <w:b/>
                <w:sz w:val="20"/>
                <w:szCs w:val="20"/>
                <w:lang w:val="fr-BE"/>
              </w:rPr>
              <w:t>014-2015</w:t>
            </w:r>
          </w:p>
        </w:tc>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2016-2017</w:t>
            </w:r>
          </w:p>
        </w:tc>
        <w:tc>
          <w:tcPr>
            <w:shd w:val="clear" w:color="auto" w:fill="auto"/>
          </w:tcPr>
          <w:p w:rsidR="00115C60" w:rsidRPr="00F65BC9" w:rsidP="0056117D">
            <w:pPr>
              <w:spacing w:before="0" w:after="0"/>
              <w:jc w:val="center"/>
              <w:rPr>
                <w:b/>
                <w:sz w:val="20"/>
                <w:szCs w:val="20"/>
                <w:lang w:val="fr-BE"/>
              </w:rPr>
            </w:pPr>
            <w:r w:rsidRPr="00F65BC9">
              <w:rPr>
                <w:b/>
                <w:sz w:val="20"/>
                <w:szCs w:val="20"/>
                <w:lang w:val="fr-BE"/>
              </w:rPr>
              <w:t>2018-2019</w:t>
            </w:r>
          </w:p>
        </w:tc>
      </w:tr>
    </w:tbl>
    <w:p w:rsidR="00115C60" w:rsidP="00115C60">
      <w:pPr>
        <w:spacing w:before="0" w:after="0"/>
        <w:rPr>
          <w:lang w:val="fr-BE"/>
        </w:rPr>
      </w:pPr>
    </w:p>
    <w:p w:rsidR="0056117D" w:rsidP="00115C60">
      <w:pPr>
        <w:pStyle w:val="Heading1"/>
        <w:numPr>
          <w:ilvl w:val="0"/>
          <w:numId w:val="0"/>
        </w:numPr>
        <w:spacing w:before="0" w:after="0"/>
        <w:rPr>
          <w:lang w:val="fr-BE"/>
        </w:rPr>
        <w:sectPr w:rsidSect="00AB614B">
          <w:headerReference w:type="default" r:id="rId7"/>
          <w:footerReference w:type="default" r:id="rId8"/>
          <w:pgSz w:w="16838" w:h="11906" w:orient="landscape"/>
          <w:pgMar w:top="0" w:right="567" w:bottom="0" w:left="851" w:header="0" w:footer="284" w:gutter="0"/>
          <w:cols w:space="708"/>
          <w:docGrid w:linePitch="360"/>
        </w:sectPr>
      </w:pPr>
    </w:p>
    <w:p w:rsidR="00115C60" w:rsidP="00115C60">
      <w:pPr>
        <w:pStyle w:val="Heading1"/>
        <w:numPr>
          <w:ilvl w:val="0"/>
          <w:numId w:val="0"/>
        </w:numPr>
        <w:spacing w:before="0" w:after="0"/>
        <w:rPr>
          <w:lang w:val="fr-BE"/>
        </w:rPr>
      </w:pPr>
      <w:bookmarkStart w:id="3" w:name="_Toc256000005"/>
      <w:r>
        <w:rPr>
          <w:noProof/>
          <w:lang w:val="fr-BE"/>
        </w:rPr>
        <w:t>ODDELEK 5: SKUPNI KAZALNIKI IN KAZALNIKI ZA POSAMEZNE PROGRAME</w:t>
      </w:r>
      <w:bookmarkEnd w:id="3"/>
    </w:p>
    <w:p w:rsidR="00115C60" w:rsidP="00115C60">
      <w:pPr>
        <w:spacing w:before="0" w:after="0"/>
        <w:rPr>
          <w:lang w:val="fr-BE"/>
        </w:rPr>
      </w:pPr>
    </w:p>
    <w:p w:rsidR="00115C60" w:rsidP="00115C60">
      <w:pPr>
        <w:spacing w:before="0" w:after="0"/>
        <w:rPr>
          <w:lang w:val="fr-BE"/>
        </w:rPr>
      </w:pPr>
      <w:r>
        <w:rPr>
          <w:noProof/>
          <w:lang w:val="fr-BE"/>
        </w:rPr>
        <w:t>Razložite morebitne dejavnike, ki bi lahko znatno vplivali na doseganje katerih koli ciljev, zlasti pa prepočasen napredek.</w:t>
      </w:r>
    </w:p>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OO je nadgradil sistem MIGRA II preko katerega končni upravičenci poročajo o doseženih kazalnikih (v oddanih zahtevkih za povračilo - ZzP), tako, da se vrednosti posameznih kazalnikov pravilno zajemajo v poročila. Poleg tega smo v fazi pregleda zaključnih ZzP dodatno preverili ustreznost posameznih kazalnikov.  Skladno s tem smo popravili vrednosti vseh kazalnikov skozi vsa leta poročanja.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kazalniku SO2 "C2-Št. oseb iz ciljnih skupin, ki so prejele pomoč iz tega sklada prek ukrepov za vključevanje v okviru nacionalnih, lokalnih in regionalnih strategij" je vrednost znantno višja, saj zajema tudi št. oseb, ki so dostopale do www.infotujci.si.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MIGRA II se kazalnika SO1 C6 - Število oseb, preseljenih s podporo iz tega sklada in SO4 C1 - Število prosilcev, predanih iz ene države članice v drugo s podporo iz tega sklada zbirata skupaj pod C1, a ju v Preglednici kazalnikov poročamo ločeno.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754FB5" w:rsidRPr="00003291" w:rsidP="00003291">
            <w:pPr>
              <w:spacing w:before="0" w:after="0"/>
              <w:rPr>
                <w:lang w:val="fr-BE"/>
              </w:rPr>
            </w:pPr>
          </w:p>
        </w:tc>
      </w:tr>
    </w:tbl>
    <w:p w:rsidR="00115C60" w:rsidP="00115C60">
      <w:pPr>
        <w:spacing w:before="0" w:after="0"/>
        <w:rPr>
          <w:lang w:val="fr-BE"/>
        </w:rPr>
      </w:pPr>
    </w:p>
    <w:p w:rsidR="00115C60" w:rsidP="00115C60">
      <w:pPr>
        <w:spacing w:before="0" w:after="0"/>
        <w:rPr>
          <w:lang w:val="fr-BE"/>
        </w:rPr>
        <w:sectPr w:rsidSect="0099233A">
          <w:headerReference w:type="default" r:id="rId9"/>
          <w:footerReference w:type="default" r:id="rId10"/>
          <w:pgSz w:w="11906" w:h="16838"/>
          <w:pgMar w:top="284" w:right="851" w:bottom="284" w:left="284" w:header="567" w:footer="0" w:gutter="0"/>
          <w:cols w:space="708"/>
          <w:docGrid w:linePitch="360"/>
        </w:sectPr>
      </w:pPr>
    </w:p>
    <w:p w:rsidR="00FC3B62" w:rsidP="00115C60">
      <w:pPr>
        <w:spacing w:before="0" w:after="0"/>
        <w:rPr>
          <w:lang w:val="fr-BE"/>
        </w:rPr>
      </w:pPr>
      <w:r w:rsidR="00115C60">
        <w:rPr>
          <w:noProof/>
          <w:lang w:val="fr-BE"/>
        </w:rPr>
        <w:t>Preglednica kazalnikov</w:t>
      </w:r>
    </w:p>
    <w:p w:rsidR="00813BAD"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449"/>
        <w:gridCol w:w="527"/>
        <w:gridCol w:w="687"/>
        <w:gridCol w:w="581"/>
        <w:gridCol w:w="2247"/>
        <w:gridCol w:w="374"/>
        <w:gridCol w:w="374"/>
        <w:gridCol w:w="374"/>
        <w:gridCol w:w="484"/>
        <w:gridCol w:w="409"/>
        <w:gridCol w:w="484"/>
        <w:gridCol w:w="374"/>
        <w:gridCol w:w="314"/>
        <w:gridCol w:w="534"/>
        <w:gridCol w:w="374"/>
        <w:gridCol w:w="814"/>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115C60" w:rsidRPr="00F07BE5" w:rsidP="00003291">
            <w:pPr>
              <w:spacing w:before="0" w:after="0"/>
              <w:rPr>
                <w:b/>
                <w:sz w:val="12"/>
                <w:szCs w:val="12"/>
                <w:lang w:val="fr-BE"/>
              </w:rPr>
            </w:pPr>
            <w:r w:rsidRPr="00F07BE5">
              <w:rPr>
                <w:b/>
                <w:noProof/>
                <w:sz w:val="12"/>
                <w:szCs w:val="12"/>
                <w:lang w:val="fr-BE"/>
              </w:rPr>
              <w:t>Posebni cilj</w:t>
            </w:r>
          </w:p>
        </w:tc>
        <w:tc>
          <w:tcPr>
            <w:gridSpan w:val="14"/>
            <w:shd w:val="clear" w:color="auto" w:fill="auto"/>
          </w:tcPr>
          <w:p w:rsidR="00115C60" w:rsidRPr="00F07BE5"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Tr="00003291">
        <w:tblPrEx>
          <w:tblW w:w="5000" w:type="pct"/>
          <w:tblCellMar>
            <w:left w:w="57" w:type="dxa"/>
            <w:right w:w="57" w:type="dxa"/>
          </w:tblCellMar>
          <w:tblLook w:val="0420"/>
        </w:tblPrEx>
        <w:trPr>
          <w:cantSplit/>
          <w:tblHeader/>
        </w:trPr>
        <w:tc>
          <w:tcPr>
            <w:shd w:val="clear" w:color="auto" w:fill="auto"/>
          </w:tcPr>
          <w:p w:rsidR="00115C60" w:rsidRPr="00F07BE5" w:rsidP="00003291">
            <w:pPr>
              <w:spacing w:before="0" w:after="0"/>
              <w:rPr>
                <w:b/>
                <w:sz w:val="12"/>
                <w:szCs w:val="12"/>
                <w:lang w:val="fr-BE"/>
              </w:rPr>
            </w:pPr>
            <w:r w:rsidRPr="00F07BE5">
              <w:rPr>
                <w:b/>
                <w:noProof/>
                <w:sz w:val="12"/>
                <w:szCs w:val="12"/>
                <w:lang w:val="fr-BE"/>
              </w:rPr>
              <w:t>Kazalnik</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Merska enota</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Izhodiščna vrednost</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Ciljna vrednost</w:t>
            </w:r>
          </w:p>
        </w:tc>
        <w:tc>
          <w:tcPr/>
          <w:p w:rsidR="00115C60" w:rsidRPr="00F07BE5" w:rsidP="00003291">
            <w:pPr>
              <w:spacing w:before="0" w:after="0"/>
              <w:rPr>
                <w:b/>
                <w:sz w:val="12"/>
                <w:szCs w:val="12"/>
                <w:lang w:val="fr-BE"/>
              </w:rPr>
            </w:pPr>
            <w:r>
              <w:rPr>
                <w:b/>
                <w:noProof/>
                <w:sz w:val="12"/>
                <w:szCs w:val="12"/>
                <w:lang w:val="fr-BE"/>
              </w:rPr>
              <w:t>Vir podatkov</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2014</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2015</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2016</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2017</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2018</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2019</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2020</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w:t>
            </w:r>
            <w:r w:rsidRPr="00F07BE5">
              <w:rPr>
                <w:b/>
                <w:sz w:val="12"/>
                <w:szCs w:val="12"/>
                <w:lang w:val="fr-BE"/>
              </w:rPr>
              <w:t>1</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2022</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2023</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Kumulativno skupaj</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prejele pomoč iz projektov na področju sistemov za sprejem in azilnih sistemov,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3.000,00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2.308,00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3.194,00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15.545,00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21.047,00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p>
        </w:tc>
        <w:tc>
          <w:tcPr/>
          <w:p w:rsidR="00115C60" w:rsidRPr="003F352C" w:rsidP="00003291">
            <w:pPr>
              <w:spacing w:before="0" w:after="0"/>
              <w:rPr>
                <w:sz w:val="10"/>
                <w:szCs w:val="10"/>
                <w:lang w:val="fr-BE"/>
              </w:rPr>
            </w:pPr>
            <w:r>
              <w:rPr>
                <w:noProof/>
                <w:sz w:val="10"/>
                <w:szCs w:val="10"/>
                <w:lang w:val="fr-BE"/>
              </w:rPr>
              <w:t>Poročanje o projektu</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535,00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15.545,00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16.080,00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oseb iz ciljnih skupin, ki prejemajo pravno pomoč in zastopanje</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p>
        </w:tc>
        <w:tc>
          <w:tcPr/>
          <w:p w:rsidR="00115C60" w:rsidRPr="003F352C" w:rsidP="00003291">
            <w:pPr>
              <w:spacing w:before="0" w:after="0"/>
              <w:rPr>
                <w:sz w:val="10"/>
                <w:szCs w:val="10"/>
                <w:lang w:val="fr-BE"/>
              </w:rPr>
            </w:pPr>
            <w:r>
              <w:rPr>
                <w:noProof/>
                <w:sz w:val="10"/>
                <w:szCs w:val="10"/>
                <w:lang w:val="fr-BE"/>
              </w:rPr>
              <w:t>Poročanje o projektu</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321,00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535,00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15.545,00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16.401,00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p>
        </w:tc>
        <w:tc>
          <w:tcPr/>
          <w:p w:rsidR="00115C60" w:rsidRPr="003F352C" w:rsidP="00003291">
            <w:pPr>
              <w:spacing w:before="0" w:after="0"/>
              <w:rPr>
                <w:sz w:val="10"/>
                <w:szCs w:val="10"/>
                <w:lang w:val="fr-BE"/>
              </w:rPr>
            </w:pPr>
            <w:r>
              <w:rPr>
                <w:noProof/>
                <w:sz w:val="10"/>
                <w:szCs w:val="10"/>
                <w:lang w:val="fr-BE"/>
              </w:rPr>
              <w:t>Poročanje o projektu</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633,00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2.558,00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3.191,00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Zmogljivost (tj. število mest) nove sprejemne nastanitvene infrastrukture, urejene v skladu z minimalnimi zahtevami za sprejemne pogoje, določenimi v pravnem redu EU, in obstoječe sprejemne infrastrukture, izboljšane v skladu z istimi zahtevami na podlagi projektov,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420,00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 on improvement of existing capacity and accompanying facilities (1 Asylum home)</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406,00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406,00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p>
        </w:tc>
        <w:tc>
          <w:tcPr>
            <w:shd w:val="clear" w:color="auto" w:fill="auto"/>
          </w:tcPr>
          <w:p w:rsidR="00115C60" w:rsidRPr="00F07BE5" w:rsidP="00003291">
            <w:pPr>
              <w:spacing w:before="0" w:after="0"/>
              <w:rPr>
                <w:sz w:val="12"/>
                <w:szCs w:val="12"/>
                <w:lang w:val="fr-BE"/>
              </w:rPr>
            </w:pPr>
            <w:r w:rsidRPr="00F07BE5">
              <w:rPr>
                <w:noProof/>
                <w:sz w:val="12"/>
                <w:szCs w:val="12"/>
              </w:rPr>
              <w:t>%</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 on improvement of existing capacity and accompanying facilities (1 Asylum home)</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oseb, usposobljenih na področju vprašanj, povezanih z azilom, ki prejemajo pomoč iz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18,00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60,00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To število kot delež celotnega števila osebja, usposobljenega na področju teh vprašanj</w:t>
            </w:r>
          </w:p>
        </w:tc>
        <w:tc>
          <w:tcPr>
            <w:shd w:val="clear" w:color="auto" w:fill="auto"/>
          </w:tcPr>
          <w:p w:rsidR="00115C60" w:rsidRPr="00F07BE5" w:rsidP="00003291">
            <w:pPr>
              <w:spacing w:before="0" w:after="0"/>
              <w:rPr>
                <w:sz w:val="12"/>
                <w:szCs w:val="12"/>
                <w:lang w:val="fr-BE"/>
              </w:rPr>
            </w:pPr>
            <w:r w:rsidRPr="00F07BE5">
              <w:rPr>
                <w:noProof/>
                <w:sz w:val="12"/>
                <w:szCs w:val="12"/>
              </w:rPr>
              <w:t>%</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25,00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informativnih produktov o državi izvora in misij za ugotavljanje dejstev, izvedenih s pomočjo iz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v okviru tega sklada, namenjenih razvoju, spremljanju in ocenjevanju azilnih politik v državah članicah</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60,00</w:t>
            </w:r>
          </w:p>
        </w:tc>
        <w:tc>
          <w:tcPr/>
          <w:p w:rsidR="00115C60" w:rsidRPr="003F352C" w:rsidP="00003291">
            <w:pPr>
              <w:spacing w:before="0" w:after="0"/>
              <w:rPr>
                <w:sz w:val="10"/>
                <w:szCs w:val="10"/>
                <w:lang w:val="fr-BE"/>
              </w:rPr>
            </w:pPr>
            <w:r>
              <w:rPr>
                <w:noProof/>
                <w:sz w:val="10"/>
                <w:szCs w:val="10"/>
                <w:lang w:val="fr-BE"/>
              </w:rPr>
              <w:t>Organ, odgovoren za premestitev oseb</w:t>
            </w:r>
            <w:r>
              <w:rPr>
                <w:noProof/>
                <w:sz w:val="10"/>
                <w:szCs w:val="10"/>
                <w:lang w:val="fr-BE"/>
              </w:rPr>
              <w:t>Authority in charge of transferring the persons</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13,00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34,00</w:t>
            </w:r>
          </w:p>
        </w:tc>
      </w:tr>
    </w:tbl>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7136"/>
        <w:gridCol w:w="541"/>
        <w:gridCol w:w="744"/>
        <w:gridCol w:w="601"/>
        <w:gridCol w:w="979"/>
        <w:gridCol w:w="374"/>
        <w:gridCol w:w="374"/>
        <w:gridCol w:w="484"/>
        <w:gridCol w:w="409"/>
        <w:gridCol w:w="484"/>
        <w:gridCol w:w="484"/>
        <w:gridCol w:w="534"/>
        <w:gridCol w:w="484"/>
        <w:gridCol w:w="584"/>
        <w:gridCol w:w="374"/>
        <w:gridCol w:w="814"/>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115C60" w:rsidRPr="00F07BE5" w:rsidP="00003291">
            <w:pPr>
              <w:spacing w:before="0" w:after="0"/>
              <w:rPr>
                <w:b/>
                <w:sz w:val="12"/>
                <w:szCs w:val="12"/>
                <w:lang w:val="fr-BE"/>
              </w:rPr>
            </w:pPr>
            <w:r w:rsidRPr="00F07BE5">
              <w:rPr>
                <w:b/>
                <w:noProof/>
                <w:sz w:val="12"/>
                <w:szCs w:val="12"/>
                <w:lang w:val="fr-BE"/>
              </w:rPr>
              <w:t>Posebni cilj</w:t>
            </w:r>
          </w:p>
        </w:tc>
        <w:tc>
          <w:tcPr>
            <w:gridSpan w:val="14"/>
            <w:shd w:val="clear" w:color="auto" w:fill="auto"/>
          </w:tcPr>
          <w:p w:rsidR="00115C60" w:rsidRPr="00F07BE5"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Tr="00003291">
        <w:tblPrEx>
          <w:tblW w:w="5000" w:type="pct"/>
          <w:tblCellMar>
            <w:left w:w="57" w:type="dxa"/>
            <w:right w:w="57" w:type="dxa"/>
          </w:tblCellMar>
          <w:tblLook w:val="0420"/>
        </w:tblPrEx>
        <w:trPr>
          <w:cantSplit/>
          <w:tblHeader/>
        </w:trPr>
        <w:tc>
          <w:tcPr>
            <w:shd w:val="clear" w:color="auto" w:fill="auto"/>
          </w:tcPr>
          <w:p w:rsidR="00115C60" w:rsidRPr="00F07BE5" w:rsidP="00003291">
            <w:pPr>
              <w:spacing w:before="0" w:after="0"/>
              <w:rPr>
                <w:b/>
                <w:sz w:val="12"/>
                <w:szCs w:val="12"/>
                <w:lang w:val="fr-BE"/>
              </w:rPr>
            </w:pPr>
            <w:r w:rsidRPr="00F07BE5">
              <w:rPr>
                <w:b/>
                <w:noProof/>
                <w:sz w:val="12"/>
                <w:szCs w:val="12"/>
                <w:lang w:val="fr-BE"/>
              </w:rPr>
              <w:t>Kazalnik</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Merska enota</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Izhodiščna vrednost</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Ciljna vrednost</w:t>
            </w:r>
          </w:p>
        </w:tc>
        <w:tc>
          <w:tcPr/>
          <w:p w:rsidR="00115C60" w:rsidRPr="00F07BE5" w:rsidP="00003291">
            <w:pPr>
              <w:spacing w:before="0" w:after="0"/>
              <w:rPr>
                <w:b/>
                <w:sz w:val="12"/>
                <w:szCs w:val="12"/>
                <w:lang w:val="fr-BE"/>
              </w:rPr>
            </w:pPr>
            <w:r>
              <w:rPr>
                <w:b/>
                <w:noProof/>
                <w:sz w:val="12"/>
                <w:szCs w:val="12"/>
                <w:lang w:val="fr-BE"/>
              </w:rPr>
              <w:t>Vir podatkov</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2014</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2015</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2016</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2017</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2018</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2019</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2020</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w:t>
            </w:r>
            <w:r w:rsidRPr="00F07BE5">
              <w:rPr>
                <w:b/>
                <w:sz w:val="12"/>
                <w:szCs w:val="12"/>
                <w:lang w:val="fr-BE"/>
              </w:rPr>
              <w:t>1</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2022</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2023</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Kumulativno skupaj</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oseb iz ciljnih skupin, ki so prejele pomoč iz tega sklada prek ukrepov za vključevanje v okviru nacionalnih, lokalnih in regionalnih strategij</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13.000,00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2.201,00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155,00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1.111,00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3.142,00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18.252,00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5.763,00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378.159,00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408.783,00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 regionalnih in nacionalnih političnih okvirov / ukrepov / orodij za vključevanje državljanov tretjih držav, pri katerih sodelujejo civilna družba, skupnosti migrantov in drugi zadevni deležniki, kot posledica ukrepov,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14,00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82,00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39,00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148,00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vključevanja v državah članicah</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bl>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205"/>
        <w:gridCol w:w="804"/>
        <w:gridCol w:w="1118"/>
        <w:gridCol w:w="894"/>
        <w:gridCol w:w="1577"/>
        <w:gridCol w:w="374"/>
        <w:gridCol w:w="374"/>
        <w:gridCol w:w="374"/>
        <w:gridCol w:w="374"/>
        <w:gridCol w:w="374"/>
        <w:gridCol w:w="374"/>
        <w:gridCol w:w="374"/>
        <w:gridCol w:w="409"/>
        <w:gridCol w:w="409"/>
        <w:gridCol w:w="374"/>
        <w:gridCol w:w="992"/>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115C60" w:rsidRPr="00F07BE5" w:rsidP="00003291">
            <w:pPr>
              <w:spacing w:before="0" w:after="0"/>
              <w:rPr>
                <w:b/>
                <w:sz w:val="12"/>
                <w:szCs w:val="12"/>
                <w:lang w:val="fr-BE"/>
              </w:rPr>
            </w:pPr>
            <w:r w:rsidRPr="00F07BE5">
              <w:rPr>
                <w:b/>
                <w:noProof/>
                <w:sz w:val="12"/>
                <w:szCs w:val="12"/>
                <w:lang w:val="fr-BE"/>
              </w:rPr>
              <w:t>Posebni cilj</w:t>
            </w:r>
          </w:p>
        </w:tc>
        <w:tc>
          <w:tcPr>
            <w:gridSpan w:val="14"/>
            <w:shd w:val="clear" w:color="auto" w:fill="auto"/>
          </w:tcPr>
          <w:p w:rsidR="00115C60" w:rsidRPr="00F07BE5"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Tr="00003291">
        <w:tblPrEx>
          <w:tblW w:w="5000" w:type="pct"/>
          <w:tblCellMar>
            <w:left w:w="57" w:type="dxa"/>
            <w:right w:w="57" w:type="dxa"/>
          </w:tblCellMar>
          <w:tblLook w:val="0420"/>
        </w:tblPrEx>
        <w:trPr>
          <w:cantSplit/>
          <w:tblHeader/>
        </w:trPr>
        <w:tc>
          <w:tcPr>
            <w:shd w:val="clear" w:color="auto" w:fill="auto"/>
          </w:tcPr>
          <w:p w:rsidR="00115C60" w:rsidRPr="00F07BE5" w:rsidP="00003291">
            <w:pPr>
              <w:spacing w:before="0" w:after="0"/>
              <w:rPr>
                <w:b/>
                <w:sz w:val="12"/>
                <w:szCs w:val="12"/>
                <w:lang w:val="fr-BE"/>
              </w:rPr>
            </w:pPr>
            <w:r w:rsidRPr="00F07BE5">
              <w:rPr>
                <w:b/>
                <w:noProof/>
                <w:sz w:val="12"/>
                <w:szCs w:val="12"/>
                <w:lang w:val="fr-BE"/>
              </w:rPr>
              <w:t>Kazalnik</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Merska enota</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Izhodiščna vrednost</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Ciljna vrednost</w:t>
            </w:r>
          </w:p>
        </w:tc>
        <w:tc>
          <w:tcPr/>
          <w:p w:rsidR="00115C60" w:rsidRPr="00F07BE5" w:rsidP="00003291">
            <w:pPr>
              <w:spacing w:before="0" w:after="0"/>
              <w:rPr>
                <w:b/>
                <w:sz w:val="12"/>
                <w:szCs w:val="12"/>
                <w:lang w:val="fr-BE"/>
              </w:rPr>
            </w:pPr>
            <w:r>
              <w:rPr>
                <w:b/>
                <w:noProof/>
                <w:sz w:val="12"/>
                <w:szCs w:val="12"/>
                <w:lang w:val="fr-BE"/>
              </w:rPr>
              <w:t>Vir podatkov</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2014</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2015</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2016</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2017</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2018</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2019</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2020</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w:t>
            </w:r>
            <w:r w:rsidRPr="00F07BE5">
              <w:rPr>
                <w:b/>
                <w:sz w:val="12"/>
                <w:szCs w:val="12"/>
                <w:lang w:val="fr-BE"/>
              </w:rPr>
              <w:t>1</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2022</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2023</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Kumulativno skupaj</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150,00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 ali po vrnitvi, sofinancirano iz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82,00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38,00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24,00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144,00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povratnikov, katerih vrnitev se je sofinancirala iz sklada – osebe, ki so se vrnile prostovoljno</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16,00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16,00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povratnikov, katerih vrnitev se je sofinancirala iz sklada – osebe, ki so bile odstranjene</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232,00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815,00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1.047,00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50,00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9,00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14,00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7,00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33,00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vračanja v državah članicah.</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1,00</w:t>
            </w:r>
          </w:p>
        </w:tc>
      </w:tr>
    </w:tbl>
    <w:p w:rsidR="00115C60" w:rsidP="00115C60">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
      <w:tblGrid>
        <w:gridCol w:w="6210"/>
        <w:gridCol w:w="691"/>
        <w:gridCol w:w="959"/>
        <w:gridCol w:w="768"/>
        <w:gridCol w:w="2243"/>
        <w:gridCol w:w="374"/>
        <w:gridCol w:w="374"/>
        <w:gridCol w:w="374"/>
        <w:gridCol w:w="409"/>
        <w:gridCol w:w="374"/>
        <w:gridCol w:w="374"/>
        <w:gridCol w:w="374"/>
        <w:gridCol w:w="314"/>
        <w:gridCol w:w="374"/>
        <w:gridCol w:w="374"/>
        <w:gridCol w:w="814"/>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tblPrEx>
        <w:trPr>
          <w:cantSplit/>
          <w:tblHeader/>
        </w:trPr>
        <w:tc>
          <w:tcPr>
            <w:gridSpan w:val="2"/>
            <w:shd w:val="clear" w:color="auto" w:fill="auto"/>
          </w:tcPr>
          <w:p w:rsidR="00115C60" w:rsidRPr="00F07BE5" w:rsidP="00003291">
            <w:pPr>
              <w:spacing w:before="0" w:after="0"/>
              <w:rPr>
                <w:b/>
                <w:sz w:val="12"/>
                <w:szCs w:val="12"/>
                <w:lang w:val="fr-BE"/>
              </w:rPr>
            </w:pPr>
            <w:r w:rsidRPr="00F07BE5">
              <w:rPr>
                <w:b/>
                <w:noProof/>
                <w:sz w:val="12"/>
                <w:szCs w:val="12"/>
                <w:lang w:val="fr-BE"/>
              </w:rPr>
              <w:t>Posebni cilj</w:t>
            </w:r>
          </w:p>
        </w:tc>
        <w:tc>
          <w:tcPr>
            <w:gridSpan w:val="14"/>
            <w:shd w:val="clear" w:color="auto" w:fill="auto"/>
          </w:tcPr>
          <w:p w:rsidR="00115C60" w:rsidRPr="00F07BE5"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Tr="00003291">
        <w:tblPrEx>
          <w:tblW w:w="5000" w:type="pct"/>
          <w:tblCellMar>
            <w:left w:w="57" w:type="dxa"/>
            <w:right w:w="57" w:type="dxa"/>
          </w:tblCellMar>
          <w:tblLook w:val="0420"/>
        </w:tblPrEx>
        <w:trPr>
          <w:cantSplit/>
          <w:tblHeader/>
        </w:trPr>
        <w:tc>
          <w:tcPr>
            <w:shd w:val="clear" w:color="auto" w:fill="auto"/>
          </w:tcPr>
          <w:p w:rsidR="00115C60" w:rsidRPr="00F07BE5" w:rsidP="00003291">
            <w:pPr>
              <w:spacing w:before="0" w:after="0"/>
              <w:rPr>
                <w:b/>
                <w:sz w:val="12"/>
                <w:szCs w:val="12"/>
                <w:lang w:val="fr-BE"/>
              </w:rPr>
            </w:pPr>
            <w:r w:rsidRPr="00F07BE5">
              <w:rPr>
                <w:b/>
                <w:noProof/>
                <w:sz w:val="12"/>
                <w:szCs w:val="12"/>
                <w:lang w:val="fr-BE"/>
              </w:rPr>
              <w:t>Kazalnik</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Merska enota</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Izhodiščna vrednost</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Ciljna vrednost</w:t>
            </w:r>
          </w:p>
        </w:tc>
        <w:tc>
          <w:tcPr/>
          <w:p w:rsidR="00115C60" w:rsidRPr="00F07BE5" w:rsidP="00003291">
            <w:pPr>
              <w:spacing w:before="0" w:after="0"/>
              <w:rPr>
                <w:b/>
                <w:sz w:val="12"/>
                <w:szCs w:val="12"/>
                <w:lang w:val="fr-BE"/>
              </w:rPr>
            </w:pPr>
            <w:r>
              <w:rPr>
                <w:b/>
                <w:noProof/>
                <w:sz w:val="12"/>
                <w:szCs w:val="12"/>
                <w:lang w:val="fr-BE"/>
              </w:rPr>
              <w:t>Vir podatkov</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2014</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2015</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2016</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2017</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2018</w:t>
            </w:r>
          </w:p>
        </w:tc>
        <w:tc>
          <w:tcPr>
            <w:shd w:val="clear" w:color="auto" w:fill="auto"/>
          </w:tcPr>
          <w:p w:rsidR="00115C60" w:rsidRPr="00F07BE5" w:rsidP="00003291">
            <w:pPr>
              <w:spacing w:before="0" w:after="0"/>
              <w:rPr>
                <w:b/>
                <w:sz w:val="12"/>
                <w:szCs w:val="12"/>
                <w:lang w:val="fr-BE"/>
              </w:rPr>
            </w:pPr>
            <w:r w:rsidRPr="00F07BE5">
              <w:rPr>
                <w:b/>
                <w:sz w:val="12"/>
                <w:szCs w:val="12"/>
                <w:lang w:val="fr-BE"/>
              </w:rPr>
              <w:t>2019</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2020</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w:t>
            </w:r>
            <w:r w:rsidRPr="00F07BE5">
              <w:rPr>
                <w:b/>
                <w:sz w:val="12"/>
                <w:szCs w:val="12"/>
                <w:lang w:val="fr-BE"/>
              </w:rPr>
              <w:t>1</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2022</w:t>
            </w:r>
          </w:p>
        </w:tc>
        <w:tc>
          <w:tcPr>
            <w:shd w:val="clear" w:color="auto" w:fill="auto"/>
          </w:tcPr>
          <w:p w:rsidR="00115C60" w:rsidRPr="00F07BE5" w:rsidP="00003291">
            <w:pPr>
              <w:spacing w:before="0" w:after="0"/>
              <w:rPr>
                <w:b/>
                <w:sz w:val="12"/>
                <w:szCs w:val="12"/>
                <w:lang w:val="fr-BE"/>
              </w:rPr>
            </w:pPr>
            <w:r w:rsidRPr="00F07BE5">
              <w:rPr>
                <w:b/>
                <w:sz w:val="12"/>
                <w:szCs w:val="12"/>
                <w:lang w:val="fr-BE"/>
              </w:rPr>
              <w:t>2023</w:t>
            </w:r>
          </w:p>
        </w:tc>
        <w:tc>
          <w:tcPr>
            <w:shd w:val="clear" w:color="auto" w:fill="auto"/>
          </w:tcPr>
          <w:p w:rsidR="00115C60" w:rsidRPr="00F07BE5" w:rsidP="00003291">
            <w:pPr>
              <w:spacing w:before="0" w:after="0"/>
              <w:rPr>
                <w:b/>
                <w:sz w:val="12"/>
                <w:szCs w:val="12"/>
                <w:lang w:val="fr-BE"/>
              </w:rPr>
            </w:pPr>
            <w:r w:rsidRPr="00F07BE5">
              <w:rPr>
                <w:b/>
                <w:noProof/>
                <w:sz w:val="12"/>
                <w:szCs w:val="12"/>
                <w:lang w:val="fr-BE"/>
              </w:rPr>
              <w:t>Kumulativno skupaj</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253,00</w:t>
            </w:r>
          </w:p>
        </w:tc>
        <w:tc>
          <w:tcPr/>
          <w:p w:rsidR="00115C60" w:rsidRPr="003F352C" w:rsidP="00003291">
            <w:pPr>
              <w:spacing w:before="0" w:after="0"/>
              <w:rPr>
                <w:sz w:val="10"/>
                <w:szCs w:val="10"/>
                <w:lang w:val="fr-BE"/>
              </w:rPr>
            </w:pPr>
            <w:r>
              <w:rPr>
                <w:noProof/>
                <w:sz w:val="10"/>
                <w:szCs w:val="10"/>
                <w:lang w:val="fr-BE"/>
              </w:rPr>
              <w:t>Organ, odgovoren za premestitev</w:t>
            </w:r>
            <w:r>
              <w:rPr>
                <w:noProof/>
                <w:sz w:val="10"/>
                <w:szCs w:val="10"/>
                <w:lang w:val="fr-BE"/>
              </w:rPr>
              <w:t>Authority in charge of relocation</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217,00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36,00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253,00</w:t>
            </w:r>
          </w:p>
        </w:tc>
      </w:tr>
      <w:tr w:rsidTr="00003291">
        <w:tblPrEx>
          <w:tblW w:w="5000" w:type="pct"/>
          <w:tblCellMar>
            <w:left w:w="57" w:type="dxa"/>
            <w:right w:w="57" w:type="dxa"/>
          </w:tblCellMar>
          <w:tblLook w:val="0420"/>
        </w:tblPrEx>
        <w:trPr>
          <w:cantSplit/>
        </w:trPr>
        <w:tc>
          <w:tcPr>
            <w:shd w:val="clear" w:color="auto" w:fill="auto"/>
          </w:tcPr>
          <w:p w:rsidR="00115C60" w:rsidRPr="00F07BE5"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p>
        </w:tc>
        <w:tc>
          <w:tcPr>
            <w:shd w:val="clear" w:color="auto" w:fill="auto"/>
          </w:tcPr>
          <w:p w:rsidR="00115C60" w:rsidRPr="00F07BE5" w:rsidP="00003291">
            <w:pPr>
              <w:spacing w:before="0" w:after="0"/>
              <w:rPr>
                <w:sz w:val="12"/>
                <w:szCs w:val="12"/>
                <w:lang w:val="fr-BE"/>
              </w:rPr>
            </w:pPr>
            <w:r w:rsidRPr="00F07BE5">
              <w:rPr>
                <w:noProof/>
                <w:sz w:val="12"/>
                <w:szCs w:val="12"/>
              </w:rPr>
              <w:t>Število</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p w:rsidR="00115C60" w:rsidRPr="003F352C" w:rsidP="00003291">
            <w:pPr>
              <w:spacing w:before="0" w:after="0"/>
              <w:rPr>
                <w:sz w:val="10"/>
                <w:szCs w:val="10"/>
                <w:lang w:val="fr-BE"/>
              </w:rPr>
            </w:pPr>
            <w:r>
              <w:rPr>
                <w:noProof/>
                <w:sz w:val="10"/>
                <w:szCs w:val="10"/>
                <w:lang w:val="fr-BE"/>
              </w:rPr>
              <w:t>Poročanje o projektu</w:t>
            </w:r>
            <w:r>
              <w:rPr>
                <w:noProof/>
                <w:sz w:val="10"/>
                <w:szCs w:val="10"/>
                <w:lang w:val="fr-BE"/>
              </w:rPr>
              <w:t>Project reporting</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c>
          <w:tcPr>
            <w:shd w:val="clear" w:color="auto" w:fill="auto"/>
          </w:tcPr>
          <w:p w:rsidR="00115C60" w:rsidRPr="003F352C" w:rsidP="00003291">
            <w:pPr>
              <w:spacing w:before="0" w:after="0"/>
              <w:jc w:val="right"/>
              <w:rPr>
                <w:sz w:val="10"/>
                <w:szCs w:val="10"/>
                <w:lang w:val="fr-BE"/>
              </w:rPr>
            </w:pPr>
          </w:p>
        </w:tc>
        <w:tc>
          <w:tcPr>
            <w:shd w:val="clear" w:color="auto" w:fill="auto"/>
          </w:tcPr>
          <w:p w:rsidR="00115C60" w:rsidRPr="003F352C" w:rsidP="00003291">
            <w:pPr>
              <w:spacing w:before="0" w:after="0"/>
              <w:jc w:val="right"/>
              <w:rPr>
                <w:sz w:val="10"/>
                <w:szCs w:val="10"/>
                <w:lang w:val="fr-BE"/>
              </w:rPr>
            </w:pPr>
            <w:r w:rsidRPr="003F352C">
              <w:rPr>
                <w:noProof/>
                <w:sz w:val="10"/>
                <w:szCs w:val="10"/>
                <w:lang w:val="fr-BE"/>
              </w:rPr>
              <w:t>0,00</w:t>
            </w:r>
          </w:p>
        </w:tc>
      </w:tr>
    </w:tbl>
    <w:p w:rsidR="00115C60" w:rsidP="00115C60">
      <w:pPr>
        <w:spacing w:before="0" w:after="0"/>
        <w:rPr>
          <w:lang w:val="fr-BE"/>
        </w:rPr>
      </w:pPr>
    </w:p>
    <w:p w:rsidR="00115C60" w:rsidP="00115C60">
      <w:pPr>
        <w:pStyle w:val="Heading1"/>
        <w:numPr>
          <w:ilvl w:val="0"/>
          <w:numId w:val="0"/>
        </w:numPr>
        <w:spacing w:before="0" w:after="0"/>
        <w:rPr>
          <w:lang w:val="fr-BE"/>
        </w:rPr>
        <w:sectPr w:rsidSect="00F9131C">
          <w:headerReference w:type="default" r:id="rId11"/>
          <w:footerReference w:type="default" r:id="rId12"/>
          <w:pgSz w:w="16838" w:h="11906" w:orient="landscape"/>
          <w:pgMar w:top="0" w:right="567" w:bottom="0" w:left="851" w:header="0" w:footer="284" w:gutter="0"/>
          <w:cols w:space="708"/>
          <w:docGrid w:linePitch="360"/>
        </w:sectPr>
      </w:pPr>
    </w:p>
    <w:p w:rsidR="00115C60" w:rsidP="00115C60">
      <w:pPr>
        <w:pStyle w:val="Heading1"/>
        <w:numPr>
          <w:ilvl w:val="0"/>
          <w:numId w:val="0"/>
        </w:numPr>
        <w:spacing w:before="0" w:after="0"/>
        <w:rPr>
          <w:lang w:val="fr-BE"/>
        </w:rPr>
      </w:pPr>
      <w:bookmarkStart w:id="4" w:name="_Toc256000006"/>
      <w:r>
        <w:rPr>
          <w:noProof/>
          <w:lang w:val="fr-BE"/>
        </w:rPr>
        <w:t>ODDELEK 6: OKVIR ZA PRIPRAVO IN IZVAJANJE PROGRAMA S STRANI DRŽAVE ČLANICE</w:t>
      </w:r>
      <w:bookmarkEnd w:id="4"/>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5" w:name="_Toc256000007"/>
      <w:r>
        <w:rPr>
          <w:noProof/>
          <w:lang w:val="fr-BE"/>
        </w:rPr>
        <w:t>6.1 Odbor za spremljanje (člen 12(4) Uredbe (EU) št. 514/2014)</w:t>
      </w:r>
      <w:bookmarkEnd w:id="5"/>
    </w:p>
    <w:p w:rsidR="00115C60" w:rsidP="00115C60">
      <w:pPr>
        <w:pStyle w:val="Text1"/>
        <w:spacing w:before="0" w:after="0"/>
        <w:ind w:left="0"/>
        <w:rPr>
          <w:lang w:val="fr-BE"/>
        </w:rPr>
      </w:pPr>
    </w:p>
    <w:p w:rsidR="00115C60" w:rsidP="00115C60">
      <w:pPr>
        <w:pStyle w:val="Text1"/>
        <w:spacing w:before="0" w:after="0"/>
        <w:ind w:left="0"/>
        <w:rPr>
          <w:lang w:val="fr-BE"/>
        </w:rPr>
      </w:pPr>
      <w:r>
        <w:rPr>
          <w:noProof/>
          <w:lang w:val="fr-BE"/>
        </w:rPr>
        <w:t>Navedite glavne odločitve odbora za spremljanje in vprašanja, ki jih ta še obravnava.</w:t>
      </w:r>
    </w:p>
    <w:p w:rsidR="00115C60" w:rsidP="00115C60">
      <w:pPr>
        <w:pStyle w:val="Text1"/>
        <w:spacing w:before="0" w:after="0"/>
        <w:ind w:left="0"/>
        <w:rPr>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0032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Nadzorni odbor za spremljanje skladov s področja notranje varnosti in migracij (NO) sestavljajo predstavniki Ministrstva za notranje zadeve, Ministrstva za javno upravo, Ministrstva za notranje zadeve - Policija, Ministrstva za zunanje zadeve, Ministrstva za izobraževanje, znanost in šport, Ministrstva za kulturo, Ministrstva za delo, družino, socialne zadeve in enake možnosti, Službe Vlade Republike Slovenije za razvoj in evropsko kohezijsko politiko, Ministrstva za obrambo, Ministrstva za zdravje, Urada Vlade RS za oskrbo in integracijo migrantov. Predstavniki Ministrstva za finance (Sektor za upravljanje s sredstvi EU/PO) so v vlogi pooblaščenega organa. V vlogi opazovalcev pa predstavniki Ministrstva za finance (Urad RS za nadzor proračuna), Službe za notranjo revizijo Ministrstva za notranje zadeve in predstavnik Evropske komisije. Za zagotavljanje izvajanja t.i. načela partnerstva je v NO imenovan tudi predstavnik nevladnih organizacij.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NO so opredeljene s Poslovnikom (http://www.mnz.gov.si/si/o_ministrstvu/crpanje_evropskih_sredstev/sklad_za_notranjo_varnost_in_sklad_za_azil_migracije_in_vkljucevanje_2014_2020/prirocniki_pravilniki_in_navodila/).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 je v 2022 zaradi COVID-19 razmer zasedal le v okviru ene seje (9. 3. 2022). Obravnavano je bilo: </w:t>
            </w:r>
          </w:p>
          <w:p>
            <w:pPr>
              <w:numPr>
                <w:ilvl w:val="0"/>
                <w:numId w:val="3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Predstavitev sprememb Akcijskega načrta za črpanje sredstev Sklada za azil, migracije in vključevanje ter Sklada za notranjo varnost (Različica 1.8) (Priloga 1, 2, 3);</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Informacija o letnih izkazih za leto 2021 in implementacijsko poročilo AMIF in ISF za leto 2021 (Priloga 4, 5);</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Informacija o trenutnem stanju nacionalnih programov za sklade  AMIF, ISF, BMVI za finančno shemo 2021-2027;</w:t>
            </w:r>
          </w:p>
          <w:p>
            <w:pPr>
              <w:numPr>
                <w:ilvl w:val="0"/>
                <w:numId w:val="3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Dopolnjevanje projektov AMIF in ISF z drugimi evropskimi skladi ali finančnimi instrumenti EU (t.i. komplementarnost);</w:t>
            </w:r>
          </w:p>
          <w:p>
            <w:pPr>
              <w:numPr>
                <w:ilvl w:val="0"/>
                <w:numId w:val="3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Programa AMIF in ISF pripravlja Služba za evropska sredstva MNZ, ki načelo partnerstva udejanja preko sodelovanja z državnimi resorji, službami in predstavniki civilne družbe, na način, da se obravnavajo vsi dani predlogi glede izboljšav, izvajanja in spremljanja programov preko MDS in NO. Dobra praksa sodelovanja predstavnika civilne družbe na sejah NO se bo izvajala tudi v prihodnje.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B5B5F" w:rsidRPr="00003291" w:rsidP="00003291">
            <w:pPr>
              <w:pStyle w:val="Text1"/>
              <w:spacing w:before="0" w:after="0"/>
              <w:ind w:left="0"/>
              <w:rPr>
                <w:lang w:val="fr-BE"/>
              </w:rPr>
            </w:pPr>
          </w:p>
        </w:tc>
      </w:tr>
    </w:tbl>
    <w:p w:rsidR="004B5B5F" w:rsidP="00115C60">
      <w:pPr>
        <w:pStyle w:val="Text1"/>
        <w:spacing w:before="0" w:after="0"/>
        <w:ind w:left="0"/>
        <w:rPr>
          <w:lang w:val="fr-BE"/>
        </w:rPr>
      </w:pPr>
    </w:p>
    <w:p w:rsidR="00115C60" w:rsidP="00115C60">
      <w:pPr>
        <w:pStyle w:val="Heading2"/>
        <w:numPr>
          <w:ilvl w:val="0"/>
          <w:numId w:val="0"/>
        </w:numPr>
        <w:spacing w:before="0" w:after="0"/>
        <w:rPr>
          <w:lang w:val="fr-BE"/>
        </w:rPr>
      </w:pPr>
      <w:r>
        <w:rPr>
          <w:lang w:val="fr-BE"/>
        </w:rPr>
        <w:br w:type="page"/>
      </w:r>
      <w:bookmarkStart w:id="6" w:name="_Toc256000008"/>
      <w:r>
        <w:rPr>
          <w:noProof/>
          <w:lang w:val="fr-BE"/>
        </w:rPr>
        <w:t>6.2 Skupni okvir za spremljanje in vrednotenje (člen 14(2)(f) Uredbe (EU) št. 514/2014)</w:t>
      </w:r>
      <w:bookmarkEnd w:id="6"/>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7" w:name="_Toc256000009"/>
      <w:r>
        <w:rPr>
          <w:noProof/>
          <w:lang w:val="fr-BE"/>
        </w:rPr>
        <w:t>Ukrepi spremljanja in vrednotenja, ki jih sprejme pristojni organ, vključno z ureditvijo zbiranja podatkov, dejavnostmi vrednotenja, ugotovljenimi težavami ter ukrepi za njihovo odpravo.</w:t>
      </w:r>
      <w:bookmarkEnd w:id="7"/>
    </w:p>
    <w:p w:rsidR="00115C60" w:rsidP="00115C60">
      <w:pPr>
        <w:pStyle w:val="Text1"/>
        <w:spacing w:before="0" w:after="0"/>
        <w:ind w:left="0"/>
        <w:rPr>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0032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spremljanje in finančno upravljanje se uporablja aplikacijo - elektronski sistem za upravljanje skladov AMIF in ISF - MIGRA II. Spremljanje programov AMIF in ISF teče v okviru MIGRA II na podlagi podatkov zahtevkov za povračilo (ZzP) in izvedbe kontrol na kraju samem. OO v okviru upravnega nadzora pregleda finančna in vsebinska poročila končnih upravičencev o okviru posredovanih ZzP-jev v okviru MIGRA II in v skladu s Priročnikom za izvajanje AMIF in ISF ter drugimi programskimi dokumenti OO. Izvedba 100 % administrativne in finančne kontrole popolnosti, pravilnosti in upravičenosti ZzP, ki nastanejo v okviru projektov neposredne dodelitve, zajema:</w:t>
            </w:r>
          </w:p>
          <w:p>
            <w:pPr>
              <w:numPr>
                <w:ilvl w:val="0"/>
                <w:numId w:val="3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preverjanje formalne pravilnosti in točnost finančnih izjav, </w:t>
            </w:r>
          </w:p>
          <w:p>
            <w:pPr>
              <w:numPr>
                <w:ilvl w:val="0"/>
                <w:numId w:val="3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projekt dosega zastavljene cilje oz. viden napredek,</w:t>
            </w:r>
          </w:p>
          <w:p>
            <w:pPr>
              <w:numPr>
                <w:ilvl w:val="0"/>
                <w:numId w:val="3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analitični pregled za oceno relevantnosti prijavljenih izdatkov v finančnih izjavah in njihove skladnosti s pogodbo o financiranju programa/projekta, odločitvi o podpori oz. sklepu o financiranju tehnične pomoči, pravili upravičenosti ter z drugimi veljavnimi pravili EU in nacionalnimi pravili.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ZzP, ki nastanejo v okviru projektov izbranih preko javnih razpisov, izvede prvo kontrolo DAC, OO pa izvede pregled teh ZzP na vzorcu.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izvaja dve vrsti kontrol na kraju samem (lahko so tudi nenapovedane), in sicer:</w:t>
            </w:r>
          </w:p>
          <w:p>
            <w:pPr>
              <w:numPr>
                <w:ilvl w:val="0"/>
                <w:numId w:val="3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finančne kontrole na kraju samem ter</w:t>
            </w:r>
          </w:p>
          <w:p>
            <w:pPr>
              <w:numPr>
                <w:ilvl w:val="0"/>
                <w:numId w:val="3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operativne kontrole na kraju samem.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Kontrole na kraju samem se izvaja na podlagi načrta, ki ga OO pripravi na podlagi analize tveganja v skladu z metodologijo in naključnega izbora. Slednji dopolnjuje analizo tveganja na način, da načrt upošteva tudi ustrezno razmerje vrst in velikosti projektov, transakcij, upravičencev in izvajalskih teles, ki se pojavljajo pri izvajanju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je v letu 2022 v okviru spremljanja izvajanja projektov AMIF in ISF pri kontroli na kraju samem preverjal, ali se projekti izvajajo v skladu z odločitvijo o podpori, napredek projektov, zanesljivost kazalnikov in morebitne težave pri izvajanju. Poleg tega se je preverjalo:</w:t>
            </w:r>
          </w:p>
          <w:p>
            <w:pPr>
              <w:numPr>
                <w:ilvl w:val="0"/>
                <w:numId w:val="4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ali so končni upravičenci razumeli pravila upravičenosti,</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imajo vzpostavljeno ustrezno metodologijo, s katero zagotavljajo ustrezno ciljno skupino,</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beležijo ustrezne kazalnike v pravem času,</w:t>
            </w:r>
          </w:p>
          <w:p>
            <w:pPr>
              <w:numPr>
                <w:ilvl w:val="0"/>
                <w:numId w:val="4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ali izvajajo določbe vezane na informiranje in obveščanje ter</w:t>
            </w:r>
          </w:p>
          <w:p>
            <w:pPr>
              <w:numPr>
                <w:ilvl w:val="0"/>
                <w:numId w:val="4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ali dejansko uporabljajo blago, ki je bilo nabavljeno glede na izkazane izdatke.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o vsebinskih in finančnih elementih programov AMIF in ISF redno poroča MDS in NO, v obeh telesih so v skladu z načelom partnerstva zastopana vsa ministrstva/resorji, ki pri črpanju sredstev iz AMIF in ISF sodelujejo kot pristojni organi MCS (»Management and Control System«) in NVO preko izbranega predstavnika. OO vse zaznane pomanjkljivosti oz. novosti aplicira v strateških dokumentih, kateri so navedeni pod rubriko 6.1. in so dosegljivi preko spletne strani: http://www.mnz.gov.si/si/o_ministrstvu/crpanje_evropskih_sredstev/sklad_za_notranjo_varnost_in_sklad_za_azil_migracije_in_vkljucevanje_2014_2020/prirocniki_pravilniki_in_navodila/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OO sodeluje tudi v postopkih izvajanja revizij s strani RO. Naloga OO, po zaključeni reviziji je, da izvede priporočila 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OO aktivno deluje v okviru monitoringov s strani EK ter predlagane usmeritve aplicira na sistemski okvir izvajanja skladov AMIF in ISF.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B5B5F" w:rsidRPr="00003291" w:rsidP="00003291">
            <w:pPr>
              <w:pStyle w:val="Text1"/>
              <w:spacing w:before="0" w:after="0"/>
              <w:ind w:left="0"/>
              <w:rPr>
                <w:lang w:val="fr-BE"/>
              </w:rPr>
            </w:pPr>
          </w:p>
        </w:tc>
      </w:tr>
    </w:tbl>
    <w:p w:rsidR="00115C60" w:rsidRPr="00E30D80" w:rsidP="00115C60">
      <w:pPr>
        <w:pStyle w:val="Text1"/>
        <w:spacing w:before="0" w:after="0"/>
        <w:ind w:left="0"/>
        <w:rPr>
          <w:lang w:val="fr-BE"/>
        </w:rPr>
      </w:pPr>
    </w:p>
    <w:p w:rsidR="00115C60" w:rsidP="00115C60">
      <w:pPr>
        <w:pStyle w:val="Heading2"/>
        <w:numPr>
          <w:ilvl w:val="0"/>
          <w:numId w:val="0"/>
        </w:numPr>
        <w:spacing w:before="0" w:after="0"/>
        <w:rPr>
          <w:lang w:val="fr-BE"/>
        </w:rPr>
      </w:pPr>
      <w:r>
        <w:rPr>
          <w:lang w:val="fr-BE"/>
        </w:rPr>
        <w:br w:type="page"/>
      </w:r>
      <w:bookmarkStart w:id="8" w:name="_Toc256000010"/>
      <w:r>
        <w:rPr>
          <w:noProof/>
          <w:lang w:val="fr-BE"/>
        </w:rPr>
        <w:t>6.3 Partnersko sodelovanje pri izvajanju, spremljanju in vrednotenju nacionalnega programa (člen 12(3) Uredbe (EU) št. 514/2014)</w:t>
      </w:r>
      <w:bookmarkEnd w:id="8"/>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9" w:name="_Toc256000011"/>
      <w:r>
        <w:rPr>
          <w:noProof/>
          <w:lang w:val="fr-BE"/>
        </w:rPr>
        <w:t>Na kratko opišite glavne prispevke in mnenja partnerjev v proračunskem letu.</w:t>
      </w:r>
      <w:bookmarkEnd w:id="9"/>
    </w:p>
    <w:p w:rsidR="00115C60" w:rsidP="00115C60">
      <w:pPr>
        <w:pStyle w:val="Text1"/>
        <w:spacing w:before="0" w:after="0"/>
        <w:ind w:left="0"/>
        <w:rPr>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00329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Za pripravo Nacionalnih programov skladov AMIF in ISF je zadolžena Projektna enota za sklade notranje varnosti in migracije znotraj Službe za evropska sredstva Ministrstva za notranje zadeve (MNZ SES PESNVM).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Ves čas </w:t>
            </w:r>
            <w:r>
              <w:rPr>
                <w:rFonts w:ascii="Times New Roman" w:eastAsia="Times New Roman" w:hAnsi="Times New Roman" w:cs="Times New Roman"/>
                <w:u w:val="single"/>
              </w:rPr>
              <w:t>priprave </w:t>
            </w:r>
            <w:r>
              <w:rPr>
                <w:rFonts w:ascii="Times New Roman" w:eastAsia="Times New Roman" w:hAnsi="Times New Roman" w:cs="Times New Roman"/>
              </w:rPr>
              <w:t>NP je MNZ-SES-PESNVM sledila načelu javnosti in publicitete, zato so bile dopolnjene različice programov sproti objavljene na spletnem mestu: http://www.mnz.gov.si/si/o_ministrstvu/crpanje_evropskih_sredstev/sklad_za_notranjo_varnost_in_sklad_za_azil_migracije_in_vkljucevanje_2014_2020/priprava_nacionalnih_programov/.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MNZ-SES-PESNVM </w:t>
            </w:r>
            <w:r>
              <w:rPr>
                <w:rFonts w:ascii="Times New Roman" w:eastAsia="Times New Roman" w:hAnsi="Times New Roman" w:cs="Times New Roman"/>
                <w:u w:val="single"/>
              </w:rPr>
              <w:t>implementacijo</w:t>
            </w:r>
            <w:r>
              <w:rPr>
                <w:rFonts w:ascii="Times New Roman" w:eastAsia="Times New Roman" w:hAnsi="Times New Roman" w:cs="Times New Roman"/>
              </w:rPr>
              <w:t> NP izvaja preko Akcijskega načrta, ki je temeljni in celovit programski dokument namenjen izvajanju skladov AMIF in ISF v Sloveniji. Predstavlja osnovo za prijavo in odobritev projektov s strani OO, na predlog končnih upravičencev, po odobritvi na NO, in je izvedbeni dokument, ki razčlenjuje NP na projekte s podatki o finančni alokaciji po letih.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reševanja problematike oseb v zvezi z razmerami v Ukrajini so partnerji delili svoje poglede: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Priprava pisma komisarki Johannson, da bi se namensko dodeljena sredstva ISF-B (EES, ETIAS) v višini 9,3 mio EUR prerazporedila za stroške oskrbe beguncev iz Ukrajine.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Sprememba NP AMIF v zvezi z dodatnimi aktivnostmi.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Iskalo se bo možnosti, da se sredstva, ki so dodeljena Sloveniji, čimprej aktivirajo za pomoč osebam iz Ukrajine, ki nameravajo zaprositi za začasno zaščito.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Sprejet Zakon o začasni zaščiti razseljenih oseb daje pravice določenim kategorijam oseb, ki so upravičene do začasne zaščite.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Ocenjuje se, da se bodo na področju izobraževanja povečale potrebe po učenju slovenščine kot tujega jezika, psihosocialna pomoč za otroke, zagotavljanje osnovnošolskega in srednješolskega izobraževanja, pri tem vprašanje vrtčevske oskrbe ostaja še odprto.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Civilna družba in nevladne organizacije so tudi vključene v reševanje problematike, saj sta sodelovanje in koordinacija med sektorji nujno potrebna pogoja za učinkovito naslavljanje aktualnih razmer povezanih s krizo v Ukrajini.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fazo </w:t>
            </w:r>
            <w:r>
              <w:rPr>
                <w:rFonts w:ascii="Times New Roman" w:eastAsia="Times New Roman" w:hAnsi="Times New Roman" w:cs="Times New Roman"/>
                <w:u w:val="single"/>
              </w:rPr>
              <w:t>vrednotenja</w:t>
            </w:r>
            <w:r>
              <w:rPr>
                <w:rFonts w:ascii="Times New Roman" w:eastAsia="Times New Roman" w:hAnsi="Times New Roman" w:cs="Times New Roman"/>
              </w:rPr>
              <w:t> NP so vključena vsa pristojna ministrstva/organi kot tudi predstavniki NVO preko delovanja Medresorske delovne skupine za koordinacijo in operativno usklajevanje izvajanja projektov, ki se financirajo iz sredstev AMIF in ISF kot tudi preko NO. V fazi vrednotenja izvajanja napredka je pristojnost odločanja na NO, ki o tem seznani tudi Vlado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izvajanjem projektov je prišlo do nekaterih sprememb, vendar so bile vse skupaj v manjšem obsegu od meje, zaradi katere je potrebno spreminjati NP.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B5B5F" w:rsidRPr="00003291" w:rsidP="00003291">
            <w:pPr>
              <w:pStyle w:val="Text1"/>
              <w:spacing w:before="0" w:after="0"/>
              <w:ind w:left="0"/>
              <w:rPr>
                <w:lang w:val="fr-BE"/>
              </w:rPr>
            </w:pPr>
          </w:p>
        </w:tc>
      </w:tr>
    </w:tbl>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r>
        <w:rPr>
          <w:lang w:val="fr-BE"/>
        </w:rPr>
        <w:br w:type="page"/>
      </w:r>
      <w:bookmarkStart w:id="10" w:name="_Toc256000012"/>
      <w:r>
        <w:rPr>
          <w:noProof/>
          <w:lang w:val="fr-BE"/>
        </w:rPr>
        <w:t>6.4 Obveščanje in objavljanje (člen 48 Uredbe (ES) št. 514/2014)</w:t>
      </w:r>
      <w:bookmarkEnd w:id="10"/>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11" w:name="_Toc256000013"/>
      <w:r>
        <w:rPr>
          <w:noProof/>
          <w:lang w:val="fr-BE"/>
        </w:rPr>
        <w:t>Navedite povezavo do spletišča programa.</w:t>
      </w:r>
      <w:bookmarkEnd w:id="11"/>
      <w:r>
        <w:rPr>
          <w:noProof/>
          <w:lang w:val="fr-BE"/>
        </w:rPr>
        <w:t xml:space="preserve"> </w:t>
      </w:r>
    </w:p>
    <w:p w:rsidR="00115C60" w:rsidP="00115C60">
      <w:pPr>
        <w:pStyle w:val="Heading2"/>
        <w:numPr>
          <w:ilvl w:val="0"/>
          <w:numId w:val="0"/>
        </w:numPr>
        <w:spacing w:before="0" w:after="0"/>
        <w:rPr>
          <w:lang w:val="fr-BE"/>
        </w:rPr>
      </w:pPr>
      <w:bookmarkStart w:id="12" w:name="_Toc256000014"/>
      <w:r>
        <w:rPr>
          <w:noProof/>
          <w:lang w:val="fr-BE"/>
        </w:rPr>
        <w:t>Navedite glavne dejavnosti obveščanja in objavljanja, izvedene v proračunskem letu. Priložiti je treba primere gradiva.</w:t>
      </w:r>
      <w:bookmarkEnd w:id="12"/>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letu 2022 so bile izvedene sledeče dejavnosti s ciljem obveščanja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Na državnem nivoju vzpostavljeni spletni strani državne uprave je vzdrževan dostop do spletne strani odgovornega organa z dostopom do vseh potrebnih programskih dokumentov: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https://www.gov.si/drzavni-organi/ministrstva/ministrstvo-za-notranje-zadeve/o-ministrstvu/sekretariat/sluzba-za-evropska-sredstva/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Vzpostavljena nova povezava do Akcijskih načrtov za črpanje sredstev iz skladov AMIF in ISF (različica 1.8) (marec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https://urednik-gov.sigov.si/assets/ministrstva/MNZ/Dokumenti/SES/Akcijski-nacrt/Akcijski-AMIF-razlicica-1.8_9.-3.-2022.xlsx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https://urednik-gov.sigov.si/assets/ministrstva/MNZ/Dokumenti/SES/Akcijski-nacrt/Akcijski-ISFB-razlicica-1-v2.8_9.-3.-2022.xlsx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https://urednik-gov.sigov.si/assets/ministrstva/MNZ/Dokumenti/SES/Akcijski-nacrt/Akcijski-ISFP-razlicica-1.8_9.-3.-2022.xlsx</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Spletna objava nove različice Priročnika za izvajanje Sklada za azil, migracije in vključevanje ter Sklada za notranjo varnost (različica 1.6) z vsemi prilogami (marec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https://urednik-gov.sigov.si/assets/ministrstva/MNZ/Dokumenti/SES/Prirocnik/Prirocnik_AMIF-ISF_Razlicica_1_6_P.pdf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Obvestilo o seznamu odobrenih projektov za leto 2021 ter končnih upravičencev, zneskov javnih sredstev in sredstev Evropske Unije za AMIF in ISF na podlagi javnih razpisov in neposredne dodelitve s strani odgovornega organa (marec 2022)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https://urednik-gov.sigov.si/assets/ministrstva/MNZ/Dokumenti/SES/Obvestila-odobrenih-projektov/Obvestilo-o-seznamu-odobrenih-projektov-ter-koncnih-upravicencev-zneskov-javnih-sredstev-in-sredstev-EU-za-AMIF-in-ISF-za-leto-2021.pdf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Na spletni strani objavljena Nacionalna pravila o upravičenih stroških Sklada za azil, migracije in vključevanje ter Sklada za notranjo varnost za obdobje 2014-2020 (različica 1.7) (september 202):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https://urednik-gov.sigov.si/assets/ministrstva/MNZ/Dokumenti/SES/Nacionalna-pravila-upravicenosti/Nacionalna-pravila-o-upravicenih-stroskih-AMIF-in-ISF_razlicica_1.7.pd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Spletna objava nove različice Priročnika za izvajanje Sklada za azil, migracije in vključevanje ter Sklada za notranjo varnost (različica 1.7) z vsemi prilogami (september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https://urednik-gov.sigov.si/assets/ministrstva/MNZ/Dokumenti/SES/Prirocnik/Prirocnik_AMIF-ISF_Razlicica_1_7_P.pdf.pdf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Spletna objava potrjenih Implementacijskih poročil 2021 in Obračunov 2021 v razdelku Poročila za Evropsko komisijo (december 2022):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https://www.gov.si/drzavni-organi/ministrstva/ministrstvo-za-notranje-zadeve/o-ministrstvu/sekretariat/sluzba-za-evropska-sredstva/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Na državnem nivoju vzpostavljena nova spletna stran za sklade EU, ki vključuje tudi sklade AMIF, SNV in IUMV, ki se redno posodablja z objavami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https://evropskasredstva.si/skladi-eu-s-podrocja-notranjih-zadev/</w:t>
            </w:r>
          </w:p>
          <w:p w:rsidR="004B5B5F" w:rsidRPr="004B5B5F" w:rsidP="00003291">
            <w:pPr>
              <w:pStyle w:val="Text1"/>
              <w:spacing w:before="0" w:after="0"/>
              <w:ind w:left="0"/>
            </w:pPr>
          </w:p>
        </w:tc>
      </w:tr>
    </w:tbl>
    <w:p w:rsidR="004B5B5F" w:rsidP="00115C60">
      <w:pPr>
        <w:pStyle w:val="Text1"/>
        <w:spacing w:before="0" w:after="0"/>
        <w:ind w:left="0"/>
        <w:rPr>
          <w:lang w:val="fr-BE"/>
        </w:rPr>
      </w:pPr>
    </w:p>
    <w:p w:rsidR="00115C60" w:rsidRPr="00910C3F" w:rsidP="00115C60">
      <w:pPr>
        <w:pStyle w:val="Heading2"/>
        <w:numPr>
          <w:ilvl w:val="0"/>
          <w:numId w:val="0"/>
        </w:numPr>
        <w:spacing w:before="0" w:after="0"/>
      </w:pPr>
      <w:r w:rsidRPr="00910C3F">
        <w:br w:type="page"/>
      </w:r>
      <w:bookmarkStart w:id="13" w:name="_Toc256000015"/>
      <w:r w:rsidRPr="00910C3F">
        <w:rPr>
          <w:noProof/>
        </w:rPr>
        <w:t>6.5 Dopolnjevanje z drugimi instrumenti Unije (člen 14(2)(e) in 14(5)(f) Uredbe (EU) št. 514/2014)</w:t>
      </w:r>
      <w:bookmarkEnd w:id="13"/>
    </w:p>
    <w:p w:rsidR="00115C60" w:rsidRPr="00910C3F" w:rsidP="00115C60">
      <w:pPr>
        <w:pStyle w:val="Text1"/>
        <w:spacing w:before="0" w:after="0"/>
        <w:ind w:left="0"/>
      </w:pPr>
    </w:p>
    <w:p w:rsidR="00115C60" w:rsidP="00115C60">
      <w:pPr>
        <w:pStyle w:val="Heading2"/>
        <w:numPr>
          <w:ilvl w:val="0"/>
          <w:numId w:val="0"/>
        </w:numPr>
        <w:spacing w:before="0" w:after="0"/>
        <w:rPr>
          <w:lang w:val="fr-BE"/>
        </w:rPr>
      </w:pPr>
      <w:bookmarkStart w:id="14" w:name="_Toc256000016"/>
      <w:r>
        <w:rPr>
          <w:noProof/>
          <w:lang w:val="fr-BE"/>
        </w:rPr>
        <w:t>Na kratko opišite glavne ukrepe in posvetovanja, opravljena za zagotovitev usklajenosti z drugimi instrumenti Unije, zlasti naslednjimi:</w:t>
      </w:r>
      <w:bookmarkEnd w:id="14"/>
    </w:p>
    <w:p w:rsidR="00115C60" w:rsidRPr="00E30D80" w:rsidP="00115C60">
      <w:pPr>
        <w:pStyle w:val="Text1"/>
        <w:numPr>
          <w:ilvl w:val="0"/>
          <w:numId w:val="36"/>
        </w:numPr>
        <w:spacing w:before="0" w:after="0"/>
        <w:jc w:val="left"/>
        <w:rPr>
          <w:lang w:val="fr-BE"/>
        </w:rPr>
      </w:pPr>
      <w:r>
        <w:rPr>
          <w:noProof/>
          <w:lang w:val="fr-BE"/>
        </w:rPr>
        <w:t>evropski strukturni in investicijski skladi (Evropski sklad za regionalni razvoj, Evropski socialni sklad, Kohezijski sklad, Evropski kmetijski sklad za razvoj podeželja, Evropski sklad za pomorstvo in ribištvo),</w:t>
      </w:r>
    </w:p>
    <w:p w:rsidR="00115C60" w:rsidRPr="00E30D80" w:rsidP="00115C60">
      <w:pPr>
        <w:pStyle w:val="Text1"/>
        <w:numPr>
          <w:ilvl w:val="0"/>
          <w:numId w:val="36"/>
        </w:numPr>
        <w:spacing w:before="0" w:after="0"/>
        <w:jc w:val="left"/>
        <w:rPr>
          <w:lang w:val="fr-BE"/>
        </w:rPr>
      </w:pPr>
      <w:r>
        <w:rPr>
          <w:lang w:val="fr-BE"/>
        </w:rPr>
        <w:t>d</w:t>
      </w:r>
      <w:r>
        <w:rPr>
          <w:lang w:val="fr-BE"/>
        </w:rPr>
        <w:t>r</w:t>
      </w:r>
      <w:r>
        <w:rPr>
          <w:lang w:val="fr-BE"/>
        </w:rPr>
        <w:t>u</w:t>
      </w:r>
      <w:r>
        <w:rPr>
          <w:lang w:val="fr-BE"/>
        </w:rPr>
        <w:t>g</w:t>
      </w:r>
      <w:r>
        <w:rPr>
          <w:lang w:val="fr-BE"/>
        </w:rPr>
        <w:t>i</w:t>
      </w:r>
      <w:r>
        <w:rPr>
          <w:lang w:val="fr-BE"/>
        </w:rPr>
        <w:t xml:space="preserve"> </w:t>
      </w:r>
      <w:r>
        <w:rPr>
          <w:lang w:val="fr-BE"/>
        </w:rPr>
        <w:t>s</w:t>
      </w:r>
      <w:r>
        <w:rPr>
          <w:lang w:val="fr-BE"/>
        </w:rPr>
        <w:t>k</w:t>
      </w:r>
      <w:r>
        <w:rPr>
          <w:lang w:val="fr-BE"/>
        </w:rPr>
        <w:t>l</w:t>
      </w:r>
      <w:r>
        <w:rPr>
          <w:lang w:val="fr-BE"/>
        </w:rPr>
        <w:t>a</w:t>
      </w:r>
      <w:r>
        <w:rPr>
          <w:lang w:val="fr-BE"/>
        </w:rPr>
        <w:t>d</w:t>
      </w:r>
      <w:r>
        <w:rPr>
          <w:lang w:val="fr-BE"/>
        </w:rPr>
        <w:t>i</w:t>
      </w:r>
      <w:r>
        <w:rPr>
          <w:lang w:val="fr-BE"/>
        </w:rPr>
        <w:t xml:space="preserve"> </w:t>
      </w:r>
      <w:r>
        <w:rPr>
          <w:lang w:val="fr-BE"/>
        </w:rPr>
        <w:t>a</w:t>
      </w:r>
      <w:r>
        <w:rPr>
          <w:lang w:val="fr-BE"/>
        </w:rPr>
        <w:t>l</w:t>
      </w:r>
      <w:r>
        <w:rPr>
          <w:lang w:val="fr-BE"/>
        </w:rPr>
        <w:t>i</w:t>
      </w:r>
      <w:r>
        <w:rPr>
          <w:lang w:val="fr-BE"/>
        </w:rPr>
        <w:t xml:space="preserve"> </w:t>
      </w:r>
      <w:r>
        <w:rPr>
          <w:lang w:val="fr-BE"/>
        </w:rPr>
        <w:t>p</w:t>
      </w:r>
      <w:r>
        <w:rPr>
          <w:lang w:val="fr-BE"/>
        </w:rPr>
        <w:t>r</w:t>
      </w:r>
      <w:r>
        <w:rPr>
          <w:lang w:val="fr-BE"/>
        </w:rPr>
        <w:t>o</w:t>
      </w:r>
      <w:r>
        <w:rPr>
          <w:lang w:val="fr-BE"/>
        </w:rPr>
        <w:t>g</w:t>
      </w:r>
      <w:r>
        <w:rPr>
          <w:lang w:val="fr-BE"/>
        </w:rPr>
        <w:t>r</w:t>
      </w:r>
      <w:r>
        <w:rPr>
          <w:lang w:val="fr-BE"/>
        </w:rPr>
        <w:t>a</w:t>
      </w:r>
      <w:r>
        <w:rPr>
          <w:lang w:val="fr-BE"/>
        </w:rPr>
        <w:t>m</w:t>
      </w:r>
      <w:r>
        <w:rPr>
          <w:lang w:val="fr-BE"/>
        </w:rPr>
        <w:t>i</w:t>
      </w:r>
      <w:r>
        <w:rPr>
          <w:lang w:val="fr-BE"/>
        </w:rPr>
        <w:t xml:space="preserve"> </w:t>
      </w:r>
      <w:r>
        <w:rPr>
          <w:lang w:val="fr-BE"/>
        </w:rPr>
        <w:t>E</w:t>
      </w:r>
      <w:r>
        <w:rPr>
          <w:lang w:val="fr-BE"/>
        </w:rPr>
        <w:t>U</w:t>
      </w:r>
      <w:r>
        <w:rPr>
          <w:lang w:val="fr-BE"/>
        </w:rPr>
        <w:t xml:space="preserve"> </w:t>
      </w:r>
      <w:r>
        <w:rPr>
          <w:lang w:val="fr-BE"/>
        </w:rPr>
        <w:t>(</w:t>
      </w:r>
      <w:r>
        <w:rPr>
          <w:lang w:val="fr-BE"/>
        </w:rPr>
        <w:t>n</w:t>
      </w:r>
      <w:r>
        <w:rPr>
          <w:lang w:val="fr-BE"/>
        </w:rPr>
        <w:t>p</w:t>
      </w:r>
      <w:r>
        <w:rPr>
          <w:lang w:val="fr-BE"/>
        </w:rPr>
        <w:t>r</w:t>
      </w:r>
      <w:r>
        <w:rPr>
          <w:lang w:val="fr-BE"/>
        </w:rPr>
        <w:t>.</w:t>
      </w:r>
      <w:r>
        <w:rPr>
          <w:lang w:val="fr-BE"/>
        </w:rPr>
        <w:t xml:space="preserve"> </w:t>
      </w:r>
      <w:r>
        <w:rPr>
          <w:lang w:val="fr-BE"/>
        </w:rPr>
        <w:t>p</w:t>
      </w:r>
      <w:r>
        <w:rPr>
          <w:lang w:val="fr-BE"/>
        </w:rPr>
        <w:t>r</w:t>
      </w:r>
      <w:r>
        <w:rPr>
          <w:lang w:val="fr-BE"/>
        </w:rPr>
        <w:t>o</w:t>
      </w:r>
      <w:r>
        <w:rPr>
          <w:lang w:val="fr-BE"/>
        </w:rPr>
        <w:t>g</w:t>
      </w:r>
      <w:r>
        <w:rPr>
          <w:lang w:val="fr-BE"/>
        </w:rPr>
        <w:t>r</w:t>
      </w:r>
      <w:r>
        <w:rPr>
          <w:lang w:val="fr-BE"/>
        </w:rPr>
        <w:t>a</w:t>
      </w:r>
      <w:r>
        <w:rPr>
          <w:lang w:val="fr-BE"/>
        </w:rPr>
        <w:t>m</w:t>
      </w:r>
      <w:r>
        <w:rPr>
          <w:lang w:val="fr-BE"/>
        </w:rPr>
        <w:t>i</w:t>
      </w:r>
      <w:r>
        <w:rPr>
          <w:lang w:val="fr-BE"/>
        </w:rPr>
        <w:t xml:space="preserve">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V</w:t>
      </w:r>
      <w:r>
        <w:rPr>
          <w:lang w:val="fr-BE"/>
        </w:rPr>
        <w:t>s</w:t>
      </w:r>
      <w:r>
        <w:rPr>
          <w:lang w:val="fr-BE"/>
        </w:rPr>
        <w:t>e</w:t>
      </w:r>
      <w:r>
        <w:rPr>
          <w:lang w:val="fr-BE"/>
        </w:rPr>
        <w:t>ž</w:t>
      </w:r>
      <w:r>
        <w:rPr>
          <w:lang w:val="fr-BE"/>
        </w:rPr>
        <w:t>i</w:t>
      </w:r>
      <w:r>
        <w:rPr>
          <w:lang w:val="fr-BE"/>
        </w:rPr>
        <w:t>v</w:t>
      </w:r>
      <w:r>
        <w:rPr>
          <w:lang w:val="fr-BE"/>
        </w:rPr>
        <w:t>l</w:t>
      </w:r>
      <w:r>
        <w:rPr>
          <w:lang w:val="fr-BE"/>
        </w:rPr>
        <w:t>j</w:t>
      </w:r>
      <w:r>
        <w:rPr>
          <w:lang w:val="fr-BE"/>
        </w:rPr>
        <w:t>e</w:t>
      </w:r>
      <w:r>
        <w:rPr>
          <w:lang w:val="fr-BE"/>
        </w:rPr>
        <w:t>n</w:t>
      </w:r>
      <w:r>
        <w:rPr>
          <w:lang w:val="fr-BE"/>
        </w:rPr>
        <w:t>j</w:t>
      </w:r>
      <w:r>
        <w:rPr>
          <w:lang w:val="fr-BE"/>
        </w:rPr>
        <w:t>s</w:t>
      </w:r>
      <w:r>
        <w:rPr>
          <w:lang w:val="fr-BE"/>
        </w:rPr>
        <w:t>k</w:t>
      </w:r>
      <w:r>
        <w:rPr>
          <w:lang w:val="fr-BE"/>
        </w:rPr>
        <w:t>o</w:t>
      </w:r>
      <w:r>
        <w:rPr>
          <w:lang w:val="fr-BE"/>
        </w:rPr>
        <w:t xml:space="preserve"> </w:t>
      </w:r>
      <w:r>
        <w:rPr>
          <w:lang w:val="fr-BE"/>
        </w:rPr>
        <w:t>u</w:t>
      </w:r>
      <w:r>
        <w:rPr>
          <w:lang w:val="fr-BE"/>
        </w:rPr>
        <w:t>č</w:t>
      </w:r>
      <w:r>
        <w:rPr>
          <w:lang w:val="fr-BE"/>
        </w:rPr>
        <w:t>e</w:t>
      </w:r>
      <w:r>
        <w:rPr>
          <w:lang w:val="fr-BE"/>
        </w:rPr>
        <w:t>n</w:t>
      </w:r>
      <w:r>
        <w:rPr>
          <w:lang w:val="fr-BE"/>
        </w:rPr>
        <w:t>j</w:t>
      </w:r>
      <w:r>
        <w:rPr>
          <w:lang w:val="fr-BE"/>
        </w:rPr>
        <w:t>e</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w:t>
      </w:r>
      <w:r>
        <w:rPr>
          <w:lang w:val="fr-BE"/>
        </w:rPr>
        <w:t xml:space="preserve">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K</w:t>
      </w:r>
      <w:r>
        <w:rPr>
          <w:lang w:val="fr-BE"/>
        </w:rPr>
        <w:t>u</w:t>
      </w:r>
      <w:r>
        <w:rPr>
          <w:lang w:val="fr-BE"/>
        </w:rPr>
        <w:t>l</w:t>
      </w:r>
      <w:r>
        <w:rPr>
          <w:lang w:val="fr-BE"/>
        </w:rPr>
        <w:t>t</w:t>
      </w:r>
      <w:r>
        <w:rPr>
          <w:lang w:val="fr-BE"/>
        </w:rPr>
        <w:t>u</w:t>
      </w:r>
      <w:r>
        <w:rPr>
          <w:lang w:val="fr-BE"/>
        </w:rPr>
        <w:t>r</w:t>
      </w:r>
      <w:r>
        <w:rPr>
          <w:lang w:val="fr-BE"/>
        </w:rPr>
        <w:t>a</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 xml:space="preserve"> </w:t>
      </w:r>
      <w:r>
        <w:rPr>
          <w:lang w:val="fr-BE"/>
        </w:rPr>
        <w:t>i</w:t>
      </w:r>
      <w:r>
        <w:rPr>
          <w:lang w:val="fr-BE"/>
        </w:rPr>
        <w:t>n</w:t>
      </w:r>
      <w:r>
        <w:rPr>
          <w:lang w:val="fr-BE"/>
        </w:rPr>
        <w:t xml:space="preserve"> </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M</w:t>
      </w:r>
      <w:r>
        <w:rPr>
          <w:lang w:val="fr-BE"/>
        </w:rPr>
        <w:t>l</w:t>
      </w:r>
      <w:r>
        <w:rPr>
          <w:lang w:val="fr-BE"/>
        </w:rPr>
        <w:t>a</w:t>
      </w:r>
      <w:r>
        <w:rPr>
          <w:lang w:val="fr-BE"/>
        </w:rPr>
        <w:t>d</w:t>
      </w:r>
      <w:r>
        <w:rPr>
          <w:lang w:val="fr-BE"/>
        </w:rPr>
        <w:t>i</w:t>
      </w:r>
      <w:r>
        <w:rPr>
          <w:lang w:val="fr-BE"/>
        </w:rPr>
        <w:t xml:space="preserve"> </w:t>
      </w:r>
      <w:r>
        <w:rPr>
          <w:lang w:val="fr-BE"/>
        </w:rPr>
        <w:t>v</w:t>
      </w:r>
      <w:r>
        <w:rPr>
          <w:lang w:val="fr-BE"/>
        </w:rPr>
        <w:t xml:space="preserve"> </w:t>
      </w:r>
      <w:r>
        <w:rPr>
          <w:lang w:val="fr-BE"/>
        </w:rPr>
        <w:t>a</w:t>
      </w:r>
      <w:r>
        <w:rPr>
          <w:lang w:val="fr-BE"/>
        </w:rPr>
        <w:t>k</w:t>
      </w:r>
      <w:r>
        <w:rPr>
          <w:lang w:val="fr-BE"/>
        </w:rPr>
        <w:t>c</w:t>
      </w:r>
      <w:r>
        <w:rPr>
          <w:lang w:val="fr-BE"/>
        </w:rPr>
        <w:t>i</w:t>
      </w:r>
      <w:r>
        <w:rPr>
          <w:lang w:val="fr-BE"/>
        </w:rPr>
        <w:t>j</w:t>
      </w:r>
      <w:r>
        <w:rPr>
          <w:lang w:val="fr-BE"/>
        </w:rPr>
        <w:t>i</w:t>
      </w:r>
      <w:r>
        <w:rPr>
          <w:lang w:val="fr-BE"/>
        </w:rPr>
        <w:fldChar w:fldCharType="begin"/>
      </w:r>
      <w:r>
        <w:rPr>
          <w:lang w:val="fr-BE"/>
        </w:rPr>
        <w:instrText xml:space="preserve">QUOTE </w:instrText>
      </w:r>
      <w:r>
        <w:rPr>
          <w:lang w:val="fr-BE"/>
        </w:rPr>
        <w:instrText>34</w:instrText>
      </w:r>
      <w:r>
        <w:rPr>
          <w:lang w:val="fr-BE"/>
        </w:rPr>
        <w:fldChar w:fldCharType="separate"/>
      </w:r>
      <w:r>
        <w:rPr>
          <w:lang w:val="fr-BE"/>
        </w:rPr>
        <w:t>"</w:t>
      </w:r>
      <w:r>
        <w:rPr>
          <w:lang w:val="fr-BE"/>
        </w:rPr>
        <w:fldChar w:fldCharType="end"/>
      </w:r>
      <w:r>
        <w:rPr>
          <w:lang w:val="fr-BE"/>
        </w:rPr>
        <w:t>)</w:t>
      </w:r>
      <w:r>
        <w:rPr>
          <w:lang w:val="fr-BE"/>
        </w:rPr>
        <w:t>,</w:t>
      </w:r>
    </w:p>
    <w:p w:rsidR="00115C60" w:rsidRPr="00E30D80" w:rsidP="00115C60">
      <w:pPr>
        <w:pStyle w:val="Text1"/>
        <w:numPr>
          <w:ilvl w:val="0"/>
          <w:numId w:val="36"/>
        </w:numPr>
        <w:spacing w:before="0" w:after="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OO zagotavlja komplementarnost preko različnih ravni organizacijske strukture:</w:t>
            </w:r>
          </w:p>
          <w:p>
            <w:pPr>
              <w:numPr>
                <w:ilvl w:val="0"/>
                <w:numId w:val="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hierarhično na najvišji ravni (Nadzorni odbor), v katerem so v skladu z načelom partnerstva zastopana vsa ministrstva/telesa, ki so vključena v izvajanje AMIF in ISF. Sestavljajo ga predstavniki državnih organov - pristojni organi MCS, drugi organi, katerih pristojnosti (delno) vsebinsko zadevajo tudi projekte, ki se financirajo iz AMIF in ISF, predstavnik nevladnih organizacij ter predstavnik Službe vlade RS za razvoj in evropsko kohezijsko politiko - z namenom zagotavljanja skladnosti in dopolnjevanja z drugimi finančnimi instrumenti EU.</w:t>
            </w:r>
          </w:p>
          <w:p>
            <w:pPr>
              <w:numPr>
                <w:ilvl w:val="0"/>
                <w:numId w:val="4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ravni Medresorske delovne skupine (MDS), ki deluje kot operativna delovna skupina Nadzornega odbora, velja enako pravilo sestave članstva kot pri Nadzornem odboru, z namenom zagotavljanja skladnosti in dopolnjevanja z drugimi finančnimi instrumenti EU tudi v MDS sodeluje predstavnik Službe vlade RS za razvoj in evropsko kohezijsko politiko.</w:t>
            </w:r>
          </w:p>
          <w:p>
            <w:pPr>
              <w:numPr>
                <w:ilvl w:val="0"/>
                <w:numId w:val="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 ravni projekta se komplementarnost zagotavlja že v okviru faze prijave projekta, v kateri mora končni upravičenec (oz. vodja projekta) za vsak projekt, ki je odobren s strani OO, kot upravičenec do finančnih sredstev AMIF in ISF podati informacijo o komplementarnosti z drugimi projekti oz. viri financiranja, kadar je to relevantno.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 letu 2022 je OO nadaljeval z vzpostavljeno prakso, da na rednih sejah MDS, resorji predstavijo možnosti dopolnjevanja skladov AMIF in ISF z drugimi evropskimi skladi ali finančnimi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B5B5F" w:rsidRPr="00003291" w:rsidP="00003291">
            <w:pPr>
              <w:pStyle w:val="Text1"/>
              <w:spacing w:before="0" w:after="0"/>
              <w:ind w:left="0"/>
              <w:rPr>
                <w:lang w:val="fr-BE"/>
              </w:rPr>
            </w:pPr>
          </w:p>
        </w:tc>
      </w:tr>
    </w:tbl>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r>
        <w:rPr>
          <w:lang w:val="fr-BE"/>
        </w:rPr>
        <w:br w:type="page"/>
      </w:r>
      <w:bookmarkStart w:id="15" w:name="_Toc256000017"/>
      <w:r>
        <w:rPr>
          <w:noProof/>
          <w:lang w:val="fr-BE"/>
        </w:rPr>
        <w:t>6.6 Neposredna oddaja naročila</w:t>
      </w:r>
      <w:bookmarkEnd w:id="15"/>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16" w:name="_Toc256000018"/>
      <w:r>
        <w:rPr>
          <w:noProof/>
          <w:lang w:val="fr-BE"/>
        </w:rPr>
        <w:t>Utemeljite vsak primer neposredne dodelitve.</w:t>
      </w:r>
      <w:bookmarkEnd w:id="16"/>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V obdobju poročanja je bilo preko neposredne dodelitve odobrenih 19 projektov končnih upravičencev, v vseh primerih zaradi narave projekta oz. legalnega monopola končnega upravičenca.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Dokument "Implementacijsko poročilo 2022 – seznam projektov AMIF in utemeljitev glede načina dodelitve" je pripet v rubriki "Dokumenti" (Priloga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4B5B5F" w:rsidRPr="00003291" w:rsidP="00003291">
            <w:pPr>
              <w:pStyle w:val="Text1"/>
              <w:spacing w:before="0" w:after="0"/>
              <w:ind w:left="0"/>
              <w:rPr>
                <w:lang w:val="fr-BE"/>
              </w:rPr>
            </w:pPr>
          </w:p>
        </w:tc>
      </w:tr>
    </w:tbl>
    <w:p w:rsidR="00115C60" w:rsidRPr="00E30D80" w:rsidP="00115C60">
      <w:pPr>
        <w:pStyle w:val="Text1"/>
        <w:spacing w:before="0" w:after="0"/>
        <w:ind w:left="0"/>
        <w:rPr>
          <w:lang w:val="fr-BE"/>
        </w:rPr>
      </w:pPr>
    </w:p>
    <w:p w:rsidR="00115C60" w:rsidP="00115C60">
      <w:pPr>
        <w:pStyle w:val="Heading1"/>
        <w:numPr>
          <w:ilvl w:val="0"/>
          <w:numId w:val="0"/>
        </w:numPr>
        <w:spacing w:before="0" w:after="0"/>
        <w:rPr>
          <w:lang w:val="fr-BE"/>
        </w:rPr>
      </w:pPr>
      <w:r>
        <w:rPr>
          <w:lang w:val="fr-BE"/>
        </w:rPr>
        <w:br w:type="page"/>
      </w:r>
      <w:bookmarkStart w:id="17" w:name="_Toc256000019"/>
      <w:r>
        <w:rPr>
          <w:noProof/>
          <w:lang w:val="fr-BE"/>
        </w:rPr>
        <w:t>ODDELEK 7: FINANČNO POROČILO (ČLEN 54(2)(A) UREDBE (EU) ŠT. 514/2014)</w:t>
      </w:r>
      <w:bookmarkEnd w:id="17"/>
    </w:p>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bookmarkStart w:id="18" w:name="_Toc256000020"/>
      <w:r>
        <w:rPr>
          <w:noProof/>
          <w:lang w:val="fr-BE"/>
        </w:rPr>
        <w:t>Preglednica 1. Finančni povzetek za sklad AMIF, kot je navedeno v obračunih</w:t>
      </w:r>
      <w:bookmarkEnd w:id="18"/>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2466"/>
        <w:gridCol w:w="786"/>
        <w:gridCol w:w="2125"/>
        <w:gridCol w:w="786"/>
      </w:tblGrid>
      <w:tr w:rsidTr="004677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677D0" w:rsidRPr="004A389B" w:rsidP="00883A98">
            <w:pPr>
              <w:pStyle w:val="Text1"/>
              <w:spacing w:before="0" w:after="0"/>
              <w:ind w:left="0"/>
              <w:rPr>
                <w:b/>
                <w:sz w:val="20"/>
                <w:szCs w:val="20"/>
                <w:lang w:val="fr-BE"/>
              </w:rPr>
            </w:pPr>
            <w:r w:rsidRPr="004A389B">
              <w:rPr>
                <w:b/>
                <w:noProof/>
                <w:sz w:val="20"/>
                <w:szCs w:val="20"/>
                <w:lang w:val="fr-BE"/>
              </w:rPr>
              <w:t>Nacionalni cilj / specifični ukrep</w:t>
            </w:r>
          </w:p>
        </w:tc>
        <w:tc>
          <w:tcPr/>
          <w:p w:rsidR="004677D0" w:rsidRPr="004A389B"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2022</w:t>
            </w:r>
          </w:p>
        </w:tc>
        <w:tc>
          <w:tcPr/>
          <w:p w:rsidR="004677D0" w:rsidRPr="004A389B" w:rsidP="00883A98">
            <w:pPr>
              <w:pStyle w:val="Text1"/>
              <w:spacing w:before="0" w:after="0"/>
              <w:ind w:left="0"/>
              <w:jc w:val="center"/>
              <w:rPr>
                <w:b/>
                <w:sz w:val="20"/>
                <w:szCs w:val="20"/>
                <w:lang w:val="fr-BE"/>
              </w:rPr>
            </w:pPr>
            <w:r w:rsidR="00883A98">
              <w:rPr>
                <w:b/>
                <w:sz w:val="20"/>
                <w:szCs w:val="20"/>
                <w:lang w:val="fr-BE"/>
              </w:rPr>
              <w:t>%</w:t>
            </w:r>
          </w:p>
        </w:tc>
        <w:tc>
          <w:tcPr>
            <w:shd w:val="clear" w:color="auto" w:fill="auto"/>
          </w:tcPr>
          <w:p w:rsidR="004677D0" w:rsidRPr="004A389B"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shd w:val="clear" w:color="auto" w:fill="auto"/>
          </w:tcPr>
          <w:p w:rsidR="004677D0" w:rsidRPr="004A389B" w:rsidP="00883A98">
            <w:pPr>
              <w:pStyle w:val="Text1"/>
              <w:spacing w:before="0" w:after="0"/>
              <w:ind w:left="0"/>
              <w:jc w:val="center"/>
              <w:rPr>
                <w:b/>
                <w:sz w:val="20"/>
                <w:szCs w:val="20"/>
                <w:lang w:val="fr-BE"/>
              </w:rPr>
            </w:pPr>
            <w:r w:rsidRPr="004A389B">
              <w:rPr>
                <w:b/>
                <w:sz w:val="20"/>
                <w:szCs w:val="20"/>
                <w:lang w:val="fr-BE"/>
              </w:rPr>
              <w:t>%</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cilj1.Nacionalni cilj1 Sprejem/azil</w:t>
            </w:r>
          </w:p>
        </w:tc>
        <w:tc>
          <w:tcPr/>
          <w:p w:rsidR="004677D0" w:rsidRPr="004A389B" w:rsidP="004677D0">
            <w:pPr>
              <w:pStyle w:val="Text1"/>
              <w:spacing w:before="0" w:after="0"/>
              <w:ind w:left="0"/>
              <w:jc w:val="right"/>
              <w:rPr>
                <w:sz w:val="20"/>
                <w:szCs w:val="20"/>
                <w:lang w:val="fr-BE"/>
              </w:rPr>
            </w:pPr>
            <w:r w:rsidRPr="004A389B">
              <w:rPr>
                <w:noProof/>
                <w:sz w:val="20"/>
                <w:szCs w:val="20"/>
              </w:rPr>
              <w:t>377.064,41</w:t>
            </w:r>
          </w:p>
        </w:tc>
        <w:tc>
          <w:tcPr/>
          <w:p w:rsidR="004677D0" w:rsidRPr="004A389B" w:rsidP="00883A98">
            <w:pPr>
              <w:pStyle w:val="Text1"/>
              <w:spacing w:before="0" w:after="0"/>
              <w:ind w:left="0"/>
              <w:jc w:val="right"/>
              <w:rPr>
                <w:sz w:val="20"/>
                <w:szCs w:val="20"/>
                <w:lang w:val="fr-BE"/>
              </w:rPr>
            </w:pPr>
            <w:r w:rsidRPr="004A389B">
              <w:rPr>
                <w:noProof/>
                <w:sz w:val="20"/>
                <w:szCs w:val="20"/>
              </w:rPr>
              <w:t>100,00</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3.413.142,41</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100,00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NACIONALNI CILJI / POSEBNI CILJI1</w:t>
            </w:r>
          </w:p>
        </w:tc>
        <w:tc>
          <w:tcPr/>
          <w:p w:rsidR="004677D0" w:rsidRPr="004A389B" w:rsidP="004677D0">
            <w:pPr>
              <w:pStyle w:val="Text1"/>
              <w:spacing w:before="0" w:after="0"/>
              <w:ind w:left="0"/>
              <w:jc w:val="right"/>
              <w:rPr>
                <w:sz w:val="20"/>
                <w:szCs w:val="20"/>
                <w:lang w:val="fr-BE"/>
              </w:rPr>
            </w:pPr>
            <w:r w:rsidRPr="004A389B">
              <w:rPr>
                <w:b/>
                <w:noProof/>
                <w:sz w:val="20"/>
                <w:szCs w:val="20"/>
              </w:rPr>
              <w:t>377.064,41</w:t>
            </w:r>
          </w:p>
        </w:tc>
        <w:tc>
          <w:tcPr/>
          <w:p w:rsidR="004677D0" w:rsidRPr="004A389B" w:rsidP="00883A98">
            <w:pPr>
              <w:pStyle w:val="Text1"/>
              <w:spacing w:before="0" w:after="0"/>
              <w:ind w:left="0"/>
              <w:jc w:val="right"/>
              <w:rPr>
                <w:sz w:val="20"/>
                <w:szCs w:val="20"/>
                <w:lang w:val="fr-BE"/>
              </w:rPr>
            </w:pPr>
            <w:r w:rsidRPr="004A389B">
              <w:rPr>
                <w:b/>
                <w:noProof/>
                <w:sz w:val="20"/>
                <w:szCs w:val="20"/>
              </w:rPr>
              <w:t>100,00</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3.413.142,41</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100,00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Posebni cilj1</w:t>
            </w:r>
          </w:p>
        </w:tc>
        <w:tc>
          <w:tcPr/>
          <w:p w:rsidR="004677D0" w:rsidRPr="004A389B" w:rsidP="004677D0">
            <w:pPr>
              <w:pStyle w:val="Text1"/>
              <w:spacing w:before="0" w:after="0"/>
              <w:ind w:left="0"/>
              <w:jc w:val="right"/>
              <w:rPr>
                <w:sz w:val="20"/>
                <w:szCs w:val="20"/>
                <w:lang w:val="fr-BE"/>
              </w:rPr>
            </w:pPr>
            <w:r w:rsidRPr="004A389B">
              <w:rPr>
                <w:b/>
                <w:noProof/>
                <w:sz w:val="20"/>
                <w:szCs w:val="20"/>
              </w:rPr>
              <w:t>377.064,41</w:t>
            </w:r>
          </w:p>
        </w:tc>
        <w:tc>
          <w:tcPr/>
          <w:p w:rsidR="004677D0" w:rsidRPr="004A389B" w:rsidP="00883A98">
            <w:pPr>
              <w:pStyle w:val="Text1"/>
              <w:spacing w:before="0" w:after="0"/>
              <w:ind w:left="0"/>
              <w:jc w:val="right"/>
              <w:rPr>
                <w:sz w:val="20"/>
                <w:szCs w:val="20"/>
                <w:lang w:val="fr-BE"/>
              </w:rPr>
            </w:pPr>
            <w:r w:rsidRPr="004A389B">
              <w:rPr>
                <w:b/>
                <w:noProof/>
                <w:sz w:val="20"/>
                <w:szCs w:val="20"/>
              </w:rPr>
              <w:t>14,48</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3.413.142,41</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21,49</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cilj2.Nacionalni cilj1 Zakonito priseljevanje</w:t>
            </w:r>
          </w:p>
        </w:tc>
        <w:tc>
          <w:tcPr/>
          <w:p w:rsidR="004677D0" w:rsidRPr="004A389B" w:rsidP="004677D0">
            <w:pPr>
              <w:pStyle w:val="Text1"/>
              <w:spacing w:before="0" w:after="0"/>
              <w:ind w:left="0"/>
              <w:jc w:val="right"/>
              <w:rPr>
                <w:sz w:val="20"/>
                <w:szCs w:val="20"/>
                <w:lang w:val="fr-BE"/>
              </w:rPr>
            </w:pPr>
            <w:r w:rsidRPr="004A389B">
              <w:rPr>
                <w:noProof/>
                <w:sz w:val="20"/>
                <w:szCs w:val="20"/>
              </w:rPr>
              <w:t>1.600,61</w:t>
            </w:r>
          </w:p>
        </w:tc>
        <w:tc>
          <w:tcPr/>
          <w:p w:rsidR="004677D0" w:rsidRPr="004A389B" w:rsidP="00883A98">
            <w:pPr>
              <w:pStyle w:val="Text1"/>
              <w:spacing w:before="0" w:after="0"/>
              <w:ind w:left="0"/>
              <w:jc w:val="right"/>
              <w:rPr>
                <w:sz w:val="20"/>
                <w:szCs w:val="20"/>
                <w:lang w:val="fr-BE"/>
              </w:rPr>
            </w:pPr>
            <w:r w:rsidRPr="004A389B">
              <w:rPr>
                <w:noProof/>
                <w:sz w:val="20"/>
                <w:szCs w:val="20"/>
              </w:rPr>
              <w:t>0,11</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19.927,57</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0,30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cilj2.Nacionalni cilj2 Vključevanje</w:t>
            </w:r>
          </w:p>
        </w:tc>
        <w:tc>
          <w:tcPr/>
          <w:p w:rsidR="004677D0" w:rsidRPr="004A389B" w:rsidP="004677D0">
            <w:pPr>
              <w:pStyle w:val="Text1"/>
              <w:spacing w:before="0" w:after="0"/>
              <w:ind w:left="0"/>
              <w:jc w:val="right"/>
              <w:rPr>
                <w:sz w:val="20"/>
                <w:szCs w:val="20"/>
                <w:lang w:val="fr-BE"/>
              </w:rPr>
            </w:pPr>
            <w:r w:rsidRPr="004A389B">
              <w:rPr>
                <w:noProof/>
                <w:sz w:val="20"/>
                <w:szCs w:val="20"/>
              </w:rPr>
              <w:t>1.412.868,22</w:t>
            </w:r>
          </w:p>
        </w:tc>
        <w:tc>
          <w:tcPr/>
          <w:p w:rsidR="004677D0" w:rsidRPr="004A389B" w:rsidP="00883A98">
            <w:pPr>
              <w:pStyle w:val="Text1"/>
              <w:spacing w:before="0" w:after="0"/>
              <w:ind w:left="0"/>
              <w:jc w:val="right"/>
              <w:rPr>
                <w:sz w:val="20"/>
                <w:szCs w:val="20"/>
                <w:lang w:val="fr-BE"/>
              </w:rPr>
            </w:pPr>
            <w:r w:rsidRPr="004A389B">
              <w:rPr>
                <w:noProof/>
                <w:sz w:val="20"/>
                <w:szCs w:val="20"/>
              </w:rPr>
              <w:t>99,89</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6.397.156,14</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97,71</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cilj2.Nacionalni cilj3 Zmogljivost</w:t>
            </w:r>
          </w:p>
        </w:tc>
        <w:tc>
          <w:tcPr/>
          <w:p w:rsidR="004677D0" w:rsidRPr="004A389B" w:rsidP="004677D0">
            <w:pPr>
              <w:pStyle w:val="Text1"/>
              <w:spacing w:before="0" w:after="0"/>
              <w:ind w:left="0"/>
              <w:jc w:val="right"/>
              <w:rPr>
                <w:sz w:val="20"/>
                <w:szCs w:val="20"/>
                <w:lang w:val="fr-BE"/>
              </w:rPr>
            </w:pPr>
            <w:r w:rsidRPr="004A389B">
              <w:rPr>
                <w:noProof/>
                <w:sz w:val="20"/>
                <w:szCs w:val="20"/>
              </w:rPr>
              <w:t>0,00</w:t>
            </w:r>
          </w:p>
        </w:tc>
        <w:tc>
          <w:tcPr/>
          <w:p w:rsidR="004677D0" w:rsidRPr="004A389B" w:rsidP="00883A98">
            <w:pPr>
              <w:pStyle w:val="Text1"/>
              <w:spacing w:before="0" w:after="0"/>
              <w:ind w:left="0"/>
              <w:jc w:val="right"/>
              <w:rPr>
                <w:sz w:val="20"/>
                <w:szCs w:val="20"/>
                <w:lang w:val="fr-BE"/>
              </w:rPr>
            </w:pPr>
            <w:r w:rsidRPr="004A389B">
              <w:rPr>
                <w:noProof/>
                <w:sz w:val="20"/>
                <w:szCs w:val="20"/>
              </w:rPr>
              <w:t>0,00</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129.732,63</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1,98</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NACIONALNI CILJI / POSEBNI CILJI2</w:t>
            </w:r>
          </w:p>
        </w:tc>
        <w:tc>
          <w:tcPr/>
          <w:p w:rsidR="004677D0" w:rsidRPr="004A389B" w:rsidP="004677D0">
            <w:pPr>
              <w:pStyle w:val="Text1"/>
              <w:spacing w:before="0" w:after="0"/>
              <w:ind w:left="0"/>
              <w:jc w:val="right"/>
              <w:rPr>
                <w:sz w:val="20"/>
                <w:szCs w:val="20"/>
                <w:lang w:val="fr-BE"/>
              </w:rPr>
            </w:pPr>
            <w:r w:rsidRPr="004A389B">
              <w:rPr>
                <w:b/>
                <w:noProof/>
                <w:sz w:val="20"/>
                <w:szCs w:val="20"/>
              </w:rPr>
              <w:t>1.414.468,83</w:t>
            </w:r>
          </w:p>
        </w:tc>
        <w:tc>
          <w:tcPr/>
          <w:p w:rsidR="004677D0" w:rsidRPr="004A389B" w:rsidP="00883A98">
            <w:pPr>
              <w:pStyle w:val="Text1"/>
              <w:spacing w:before="0" w:after="0"/>
              <w:ind w:left="0"/>
              <w:jc w:val="right"/>
              <w:rPr>
                <w:sz w:val="20"/>
                <w:szCs w:val="20"/>
                <w:lang w:val="fr-BE"/>
              </w:rPr>
            </w:pPr>
            <w:r w:rsidRPr="004A389B">
              <w:rPr>
                <w:b/>
                <w:noProof/>
                <w:sz w:val="20"/>
                <w:szCs w:val="20"/>
              </w:rPr>
              <w:t>100,00</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6.546.816,34</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100,00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Posebni cilj2</w:t>
            </w:r>
          </w:p>
        </w:tc>
        <w:tc>
          <w:tcPr/>
          <w:p w:rsidR="004677D0" w:rsidRPr="004A389B" w:rsidP="004677D0">
            <w:pPr>
              <w:pStyle w:val="Text1"/>
              <w:spacing w:before="0" w:after="0"/>
              <w:ind w:left="0"/>
              <w:jc w:val="right"/>
              <w:rPr>
                <w:sz w:val="20"/>
                <w:szCs w:val="20"/>
                <w:lang w:val="fr-BE"/>
              </w:rPr>
            </w:pPr>
            <w:r w:rsidRPr="004A389B">
              <w:rPr>
                <w:b/>
                <w:noProof/>
                <w:sz w:val="20"/>
                <w:szCs w:val="20"/>
              </w:rPr>
              <w:t>1.414.468,83</w:t>
            </w:r>
          </w:p>
        </w:tc>
        <w:tc>
          <w:tcPr/>
          <w:p w:rsidR="004677D0" w:rsidRPr="004A389B" w:rsidP="00883A98">
            <w:pPr>
              <w:pStyle w:val="Text1"/>
              <w:spacing w:before="0" w:after="0"/>
              <w:ind w:left="0"/>
              <w:jc w:val="right"/>
              <w:rPr>
                <w:sz w:val="20"/>
                <w:szCs w:val="20"/>
                <w:lang w:val="fr-BE"/>
              </w:rPr>
            </w:pPr>
            <w:r w:rsidRPr="004A389B">
              <w:rPr>
                <w:b/>
                <w:noProof/>
                <w:sz w:val="20"/>
                <w:szCs w:val="20"/>
              </w:rPr>
              <w:t>54,30</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6.546.816,34</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41,22</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cilj3.Nacionalni cilj1 Spremljevalni ukrepi</w:t>
            </w:r>
          </w:p>
        </w:tc>
        <w:tc>
          <w:tcPr/>
          <w:p w:rsidR="004677D0" w:rsidRPr="004A389B" w:rsidP="004677D0">
            <w:pPr>
              <w:pStyle w:val="Text1"/>
              <w:spacing w:before="0" w:after="0"/>
              <w:ind w:left="0"/>
              <w:jc w:val="right"/>
              <w:rPr>
                <w:sz w:val="20"/>
                <w:szCs w:val="20"/>
                <w:lang w:val="fr-BE"/>
              </w:rPr>
            </w:pPr>
            <w:r w:rsidRPr="004A389B">
              <w:rPr>
                <w:noProof/>
                <w:sz w:val="20"/>
                <w:szCs w:val="20"/>
              </w:rPr>
              <w:t>596.051,48</w:t>
            </w:r>
          </w:p>
        </w:tc>
        <w:tc>
          <w:tcPr/>
          <w:p w:rsidR="004677D0" w:rsidRPr="004A389B" w:rsidP="00883A98">
            <w:pPr>
              <w:pStyle w:val="Text1"/>
              <w:spacing w:before="0" w:after="0"/>
              <w:ind w:left="0"/>
              <w:jc w:val="right"/>
              <w:rPr>
                <w:sz w:val="20"/>
                <w:szCs w:val="20"/>
                <w:lang w:val="fr-BE"/>
              </w:rPr>
            </w:pPr>
            <w:r w:rsidRPr="004A389B">
              <w:rPr>
                <w:noProof/>
                <w:sz w:val="20"/>
                <w:szCs w:val="20"/>
              </w:rPr>
              <w:t>91,08</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3.351.738,03</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92,10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cilj3.Nacionalni cilj2 Ukrepi vračanja</w:t>
            </w:r>
          </w:p>
        </w:tc>
        <w:tc>
          <w:tcPr/>
          <w:p w:rsidR="004677D0" w:rsidRPr="004A389B" w:rsidP="004677D0">
            <w:pPr>
              <w:pStyle w:val="Text1"/>
              <w:spacing w:before="0" w:after="0"/>
              <w:ind w:left="0"/>
              <w:jc w:val="right"/>
              <w:rPr>
                <w:sz w:val="20"/>
                <w:szCs w:val="20"/>
                <w:lang w:val="fr-BE"/>
              </w:rPr>
            </w:pPr>
            <w:r w:rsidRPr="004A389B">
              <w:rPr>
                <w:noProof/>
                <w:sz w:val="20"/>
                <w:szCs w:val="20"/>
              </w:rPr>
              <w:t>56.415,06</w:t>
            </w:r>
          </w:p>
        </w:tc>
        <w:tc>
          <w:tcPr/>
          <w:p w:rsidR="004677D0" w:rsidRPr="004A389B" w:rsidP="00883A98">
            <w:pPr>
              <w:pStyle w:val="Text1"/>
              <w:spacing w:before="0" w:after="0"/>
              <w:ind w:left="0"/>
              <w:jc w:val="right"/>
              <w:rPr>
                <w:sz w:val="20"/>
                <w:szCs w:val="20"/>
                <w:lang w:val="fr-BE"/>
              </w:rPr>
            </w:pPr>
            <w:r w:rsidRPr="004A389B">
              <w:rPr>
                <w:noProof/>
                <w:sz w:val="20"/>
                <w:szCs w:val="20"/>
              </w:rPr>
              <w:t>8,62</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285.371,14</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7,84</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Posebni cilj3.Nacionalni cilj3 Sodelovanje</w:t>
            </w:r>
          </w:p>
        </w:tc>
        <w:tc>
          <w:tcPr/>
          <w:p w:rsidR="004677D0" w:rsidRPr="004A389B" w:rsidP="004677D0">
            <w:pPr>
              <w:pStyle w:val="Text1"/>
              <w:spacing w:before="0" w:after="0"/>
              <w:ind w:left="0"/>
              <w:jc w:val="right"/>
              <w:rPr>
                <w:sz w:val="20"/>
                <w:szCs w:val="20"/>
                <w:lang w:val="fr-BE"/>
              </w:rPr>
            </w:pPr>
            <w:r w:rsidRPr="004A389B">
              <w:rPr>
                <w:noProof/>
                <w:sz w:val="20"/>
                <w:szCs w:val="20"/>
              </w:rPr>
              <w:t>1.993,14</w:t>
            </w:r>
          </w:p>
        </w:tc>
        <w:tc>
          <w:tcPr/>
          <w:p w:rsidR="004677D0" w:rsidRPr="004A389B" w:rsidP="00883A98">
            <w:pPr>
              <w:pStyle w:val="Text1"/>
              <w:spacing w:before="0" w:after="0"/>
              <w:ind w:left="0"/>
              <w:jc w:val="right"/>
              <w:rPr>
                <w:sz w:val="20"/>
                <w:szCs w:val="20"/>
                <w:lang w:val="fr-BE"/>
              </w:rPr>
            </w:pPr>
            <w:r w:rsidRPr="004A389B">
              <w:rPr>
                <w:noProof/>
                <w:sz w:val="20"/>
                <w:szCs w:val="20"/>
              </w:rPr>
              <w:t>0,30</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1.993,14</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0,05</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NACIONALNI CILJI / POSEBNI CILJI3</w:t>
            </w:r>
          </w:p>
        </w:tc>
        <w:tc>
          <w:tcPr/>
          <w:p w:rsidR="004677D0" w:rsidRPr="004A389B" w:rsidP="004677D0">
            <w:pPr>
              <w:pStyle w:val="Text1"/>
              <w:spacing w:before="0" w:after="0"/>
              <w:ind w:left="0"/>
              <w:jc w:val="right"/>
              <w:rPr>
                <w:sz w:val="20"/>
                <w:szCs w:val="20"/>
                <w:lang w:val="fr-BE"/>
              </w:rPr>
            </w:pPr>
            <w:r w:rsidRPr="004A389B">
              <w:rPr>
                <w:b/>
                <w:noProof/>
                <w:sz w:val="20"/>
                <w:szCs w:val="20"/>
              </w:rPr>
              <w:t>654.459,68</w:t>
            </w:r>
          </w:p>
        </w:tc>
        <w:tc>
          <w:tcPr/>
          <w:p w:rsidR="004677D0" w:rsidRPr="004A389B" w:rsidP="00883A98">
            <w:pPr>
              <w:pStyle w:val="Text1"/>
              <w:spacing w:before="0" w:after="0"/>
              <w:ind w:left="0"/>
              <w:jc w:val="right"/>
              <w:rPr>
                <w:sz w:val="20"/>
                <w:szCs w:val="20"/>
                <w:lang w:val="fr-BE"/>
              </w:rPr>
            </w:pPr>
            <w:r w:rsidRPr="004A389B">
              <w:rPr>
                <w:b/>
                <w:noProof/>
                <w:sz w:val="20"/>
                <w:szCs w:val="20"/>
              </w:rPr>
              <w:t>100,00</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3.639.102,31</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100,00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Posebni cilj3</w:t>
            </w:r>
          </w:p>
        </w:tc>
        <w:tc>
          <w:tcPr/>
          <w:p w:rsidR="004677D0" w:rsidRPr="004A389B" w:rsidP="004677D0">
            <w:pPr>
              <w:pStyle w:val="Text1"/>
              <w:spacing w:before="0" w:after="0"/>
              <w:ind w:left="0"/>
              <w:jc w:val="right"/>
              <w:rPr>
                <w:sz w:val="20"/>
                <w:szCs w:val="20"/>
                <w:lang w:val="fr-BE"/>
              </w:rPr>
            </w:pPr>
            <w:r w:rsidRPr="004A389B">
              <w:rPr>
                <w:b/>
                <w:noProof/>
                <w:sz w:val="20"/>
                <w:szCs w:val="20"/>
              </w:rPr>
              <w:t>654.459,68</w:t>
            </w:r>
          </w:p>
        </w:tc>
        <w:tc>
          <w:tcPr/>
          <w:p w:rsidR="004677D0" w:rsidRPr="004A389B" w:rsidP="00883A98">
            <w:pPr>
              <w:pStyle w:val="Text1"/>
              <w:spacing w:before="0" w:after="0"/>
              <w:ind w:left="0"/>
              <w:jc w:val="right"/>
              <w:rPr>
                <w:sz w:val="20"/>
                <w:szCs w:val="20"/>
                <w:lang w:val="fr-BE"/>
              </w:rPr>
            </w:pPr>
            <w:r w:rsidRPr="004A389B">
              <w:rPr>
                <w:b/>
                <w:noProof/>
                <w:sz w:val="20"/>
                <w:szCs w:val="20"/>
              </w:rPr>
              <w:t>25,13</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3.639.102,31</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22,91</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SKUPAJ posebni primeri</w:t>
            </w:r>
          </w:p>
        </w:tc>
        <w:tc>
          <w:tcPr/>
          <w:p w:rsidR="004677D0" w:rsidRPr="004A389B" w:rsidP="004677D0">
            <w:pPr>
              <w:pStyle w:val="Text1"/>
              <w:spacing w:before="0" w:after="0"/>
              <w:ind w:left="0"/>
              <w:jc w:val="right"/>
              <w:rPr>
                <w:sz w:val="20"/>
                <w:szCs w:val="20"/>
                <w:lang w:val="fr-BE"/>
              </w:rPr>
            </w:pPr>
            <w:r w:rsidRPr="004A389B">
              <w:rPr>
                <w:b/>
                <w:noProof/>
                <w:sz w:val="20"/>
                <w:szCs w:val="20"/>
              </w:rPr>
              <w:t>0,00</w:t>
            </w:r>
          </w:p>
        </w:tc>
        <w:tc>
          <w:tcPr/>
          <w:p w:rsidR="004677D0" w:rsidRPr="004A389B" w:rsidP="00883A98">
            <w:pPr>
              <w:pStyle w:val="Text1"/>
              <w:spacing w:before="0" w:after="0"/>
              <w:ind w:left="0"/>
              <w:jc w:val="right"/>
              <w:rPr>
                <w:sz w:val="20"/>
                <w:szCs w:val="20"/>
                <w:lang w:val="fr-BE"/>
              </w:rPr>
            </w:pPr>
            <w:r w:rsidRPr="004A389B">
              <w:rPr>
                <w:b/>
                <w:noProof/>
                <w:sz w:val="20"/>
                <w:szCs w:val="20"/>
              </w:rPr>
              <w:t>0,00</w:t>
            </w: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1.858.000,00</w:t>
            </w:r>
          </w:p>
        </w:tc>
        <w:tc>
          <w:tcPr>
            <w:shd w:val="clear" w:color="auto" w:fill="auto"/>
          </w:tcPr>
          <w:p w:rsidR="004677D0" w:rsidRPr="004A389B" w:rsidP="00883A98">
            <w:pPr>
              <w:pStyle w:val="Text1"/>
              <w:spacing w:before="0" w:after="0"/>
              <w:ind w:left="0"/>
              <w:jc w:val="right"/>
              <w:rPr>
                <w:sz w:val="20"/>
                <w:szCs w:val="20"/>
                <w:lang w:val="fr-BE"/>
              </w:rPr>
            </w:pPr>
            <w:r w:rsidRPr="004A389B">
              <w:rPr>
                <w:b/>
                <w:noProof/>
                <w:sz w:val="20"/>
                <w:szCs w:val="20"/>
              </w:rPr>
              <w:t>11,70</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sz w:val="20"/>
                <w:szCs w:val="20"/>
              </w:rPr>
              <w:t>Tehnična pomoč</w:t>
            </w:r>
          </w:p>
        </w:tc>
        <w:tc>
          <w:tcPr/>
          <w:p w:rsidR="004677D0" w:rsidRPr="004A389B" w:rsidP="004677D0">
            <w:pPr>
              <w:pStyle w:val="Text1"/>
              <w:spacing w:before="0" w:after="0"/>
              <w:ind w:left="0"/>
              <w:jc w:val="right"/>
              <w:rPr>
                <w:sz w:val="20"/>
                <w:szCs w:val="20"/>
                <w:lang w:val="fr-BE"/>
              </w:rPr>
            </w:pPr>
            <w:r w:rsidRPr="004A389B">
              <w:rPr>
                <w:noProof/>
                <w:sz w:val="20"/>
                <w:szCs w:val="20"/>
              </w:rPr>
              <w:t>158.718,63</w:t>
            </w:r>
          </w:p>
        </w:tc>
        <w:tc>
          <w:tcPr/>
          <w:p w:rsidR="004677D0" w:rsidRPr="004A389B" w:rsidP="00883A98">
            <w:pPr>
              <w:pStyle w:val="Text1"/>
              <w:spacing w:before="0" w:after="0"/>
              <w:ind w:left="0"/>
              <w:jc w:val="right"/>
              <w:rPr>
                <w:sz w:val="20"/>
                <w:szCs w:val="20"/>
                <w:lang w:val="fr-BE"/>
              </w:rPr>
            </w:pPr>
            <w:r w:rsidRPr="004A389B">
              <w:rPr>
                <w:noProof/>
                <w:sz w:val="20"/>
                <w:szCs w:val="20"/>
              </w:rPr>
              <w:t>6,09</w:t>
            </w:r>
          </w:p>
        </w:tc>
        <w:tc>
          <w:tcPr>
            <w:shd w:val="clear" w:color="auto" w:fill="auto"/>
          </w:tcPr>
          <w:p w:rsidR="004677D0" w:rsidRPr="004A389B" w:rsidP="004677D0">
            <w:pPr>
              <w:pStyle w:val="Text1"/>
              <w:spacing w:before="0" w:after="0"/>
              <w:ind w:left="0"/>
              <w:jc w:val="right"/>
              <w:rPr>
                <w:sz w:val="20"/>
                <w:szCs w:val="20"/>
                <w:lang w:val="fr-BE"/>
              </w:rPr>
            </w:pPr>
            <w:r w:rsidRPr="004A389B">
              <w:rPr>
                <w:noProof/>
                <w:sz w:val="20"/>
                <w:szCs w:val="20"/>
              </w:rPr>
              <w:t>427.397,08</w:t>
            </w:r>
          </w:p>
        </w:tc>
        <w:tc>
          <w:tcPr>
            <w:shd w:val="clear" w:color="auto" w:fill="auto"/>
          </w:tcPr>
          <w:p w:rsidR="004677D0" w:rsidRPr="004A389B" w:rsidP="00883A98">
            <w:pPr>
              <w:pStyle w:val="Text1"/>
              <w:spacing w:before="0" w:after="0"/>
              <w:ind w:left="0"/>
              <w:jc w:val="right"/>
              <w:rPr>
                <w:sz w:val="20"/>
                <w:szCs w:val="20"/>
                <w:lang w:val="fr-BE"/>
              </w:rPr>
            </w:pPr>
            <w:r w:rsidRPr="004A389B">
              <w:rPr>
                <w:noProof/>
                <w:sz w:val="20"/>
                <w:szCs w:val="20"/>
              </w:rPr>
              <w:t>2,69</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b/>
                <w:noProof/>
                <w:sz w:val="20"/>
                <w:szCs w:val="20"/>
              </w:rPr>
              <w:t>TOTAL</w:t>
            </w:r>
          </w:p>
        </w:tc>
        <w:tc>
          <w:tcPr/>
          <w:p w:rsidR="004677D0" w:rsidRPr="004A389B" w:rsidP="004677D0">
            <w:pPr>
              <w:pStyle w:val="Text1"/>
              <w:spacing w:before="0" w:after="0"/>
              <w:ind w:left="0"/>
              <w:jc w:val="right"/>
              <w:rPr>
                <w:sz w:val="20"/>
                <w:szCs w:val="20"/>
                <w:lang w:val="fr-BE"/>
              </w:rPr>
            </w:pPr>
            <w:r w:rsidRPr="004A389B">
              <w:rPr>
                <w:b/>
                <w:noProof/>
                <w:sz w:val="20"/>
                <w:szCs w:val="20"/>
              </w:rPr>
              <w:t>2.604.711,55</w:t>
            </w:r>
          </w:p>
        </w:tc>
        <w:tc>
          <w:tcPr/>
          <w:p w:rsidR="004677D0" w:rsidRPr="004A389B" w:rsidP="00883A98">
            <w:pPr>
              <w:pStyle w:val="Text1"/>
              <w:spacing w:before="0" w:after="0"/>
              <w:ind w:left="0"/>
              <w:jc w:val="right"/>
              <w:rPr>
                <w:sz w:val="20"/>
                <w:szCs w:val="20"/>
                <w:lang w:val="fr-BE"/>
              </w:rPr>
            </w:pPr>
          </w:p>
        </w:tc>
        <w:tc>
          <w:tcPr>
            <w:shd w:val="clear" w:color="auto" w:fill="auto"/>
          </w:tcPr>
          <w:p w:rsidR="004677D0" w:rsidRPr="004A389B" w:rsidP="004677D0">
            <w:pPr>
              <w:pStyle w:val="Text1"/>
              <w:spacing w:before="0" w:after="0"/>
              <w:ind w:left="0"/>
              <w:jc w:val="right"/>
              <w:rPr>
                <w:sz w:val="20"/>
                <w:szCs w:val="20"/>
                <w:lang w:val="fr-BE"/>
              </w:rPr>
            </w:pPr>
            <w:r>
              <w:rPr>
                <w:b/>
                <w:noProof/>
                <w:sz w:val="20"/>
                <w:szCs w:val="20"/>
              </w:rPr>
              <w:t>15.884.458,14</w:t>
            </w:r>
          </w:p>
        </w:tc>
        <w:tc>
          <w:tcPr>
            <w:shd w:val="clear" w:color="auto" w:fill="auto"/>
          </w:tcPr>
          <w:p w:rsidR="004677D0" w:rsidRPr="004A389B" w:rsidP="00883A98">
            <w:pPr>
              <w:pStyle w:val="Text1"/>
              <w:spacing w:before="0" w:after="0"/>
              <w:ind w:left="0"/>
              <w:jc w:val="right"/>
              <w:rPr>
                <w:sz w:val="20"/>
                <w:szCs w:val="20"/>
                <w:lang w:val="fr-BE"/>
              </w:rPr>
            </w:pP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p w:rsidR="004677D0" w:rsidRPr="004A389B" w:rsidP="004677D0">
            <w:pPr>
              <w:pStyle w:val="Text1"/>
              <w:spacing w:before="0" w:after="0"/>
              <w:ind w:left="0"/>
              <w:jc w:val="right"/>
              <w:rPr>
                <w:sz w:val="20"/>
                <w:szCs w:val="20"/>
                <w:lang w:val="fr-BE"/>
              </w:rPr>
            </w:pPr>
          </w:p>
        </w:tc>
        <w:tc>
          <w:tcPr/>
          <w:p w:rsidR="004677D0" w:rsidRPr="004A389B" w:rsidP="00883A98">
            <w:pPr>
              <w:pStyle w:val="Text1"/>
              <w:spacing w:before="0" w:after="0"/>
              <w:ind w:left="0"/>
              <w:jc w:val="right"/>
              <w:rPr>
                <w:sz w:val="20"/>
                <w:szCs w:val="20"/>
                <w:lang w:val="fr-BE"/>
              </w:rPr>
            </w:pPr>
            <w:r w:rsidRPr="004A389B">
              <w:rPr>
                <w:noProof/>
                <w:color w:val="FF0000"/>
                <w:sz w:val="20"/>
                <w:szCs w:val="20"/>
              </w:rPr>
              <w:t>2,04</w:t>
            </w:r>
          </w:p>
        </w:tc>
        <w:tc>
          <w:tcPr>
            <w:shd w:val="clear" w:color="auto" w:fill="auto"/>
          </w:tcPr>
          <w:p w:rsidR="004677D0" w:rsidRPr="004A389B" w:rsidP="004677D0">
            <w:pPr>
              <w:pStyle w:val="Text1"/>
              <w:spacing w:before="0" w:after="0"/>
              <w:ind w:left="0"/>
              <w:jc w:val="right"/>
              <w:rPr>
                <w:sz w:val="20"/>
                <w:szCs w:val="20"/>
                <w:lang w:val="fr-BE"/>
              </w:rPr>
            </w:pPr>
          </w:p>
        </w:tc>
        <w:tc>
          <w:tcPr>
            <w:shd w:val="clear" w:color="auto" w:fill="auto"/>
          </w:tcPr>
          <w:p w:rsidR="004677D0" w:rsidRPr="004A389B" w:rsidP="00883A98">
            <w:pPr>
              <w:pStyle w:val="Text1"/>
              <w:spacing w:before="0" w:after="0"/>
              <w:ind w:left="0"/>
              <w:jc w:val="right"/>
              <w:rPr>
                <w:sz w:val="20"/>
                <w:szCs w:val="20"/>
                <w:lang w:val="fr-BE"/>
              </w:rPr>
            </w:pPr>
            <w:r w:rsidRPr="004A389B">
              <w:rPr>
                <w:noProof/>
                <w:color w:val="FF0000"/>
                <w:sz w:val="20"/>
                <w:szCs w:val="20"/>
              </w:rPr>
              <w:t>18,43</w:t>
            </w:r>
          </w:p>
        </w:tc>
      </w:tr>
      <w:tr w:rsidTr="004677D0">
        <w:tblPrEx>
          <w:tblW w:w="5000" w:type="pct"/>
          <w:tblLook w:val="04A0"/>
        </w:tblPrEx>
        <w:tc>
          <w:tcPr>
            <w:shd w:val="clear" w:color="auto" w:fill="auto"/>
          </w:tcPr>
          <w:p w:rsidR="004677D0" w:rsidRPr="004A389B" w:rsidP="004677D0">
            <w:pPr>
              <w:pStyle w:val="Text1"/>
              <w:spacing w:before="0" w:after="0"/>
              <w:ind w:left="0"/>
              <w:rPr>
                <w:sz w:val="20"/>
                <w:szCs w:val="20"/>
                <w:lang w:val="fr-BE"/>
              </w:rPr>
            </w:pPr>
            <w:r w:rsidRPr="004A389B">
              <w:rPr>
                <w:noProof/>
                <w:color w:val="FF0000"/>
                <w:sz w:val="20"/>
                <w:szCs w:val="20"/>
              </w:rPr>
              <w:t>NC PC2 skupaj / Osnovna dodelitev iz Sklada za azil, migracije in vključevanje (AMIF)</w:t>
            </w:r>
          </w:p>
        </w:tc>
        <w:tc>
          <w:tcPr/>
          <w:p w:rsidR="004677D0" w:rsidRPr="004A389B" w:rsidP="004677D0">
            <w:pPr>
              <w:pStyle w:val="Text1"/>
              <w:spacing w:before="0" w:after="0"/>
              <w:ind w:left="0"/>
              <w:jc w:val="right"/>
              <w:rPr>
                <w:sz w:val="20"/>
                <w:szCs w:val="20"/>
                <w:lang w:val="fr-BE"/>
              </w:rPr>
            </w:pPr>
          </w:p>
        </w:tc>
        <w:tc>
          <w:tcPr/>
          <w:p w:rsidR="004677D0" w:rsidRPr="004A389B" w:rsidP="00883A98">
            <w:pPr>
              <w:pStyle w:val="Text1"/>
              <w:spacing w:before="0" w:after="0"/>
              <w:ind w:left="0"/>
              <w:jc w:val="right"/>
              <w:rPr>
                <w:sz w:val="20"/>
                <w:szCs w:val="20"/>
                <w:lang w:val="fr-BE"/>
              </w:rPr>
            </w:pPr>
            <w:r w:rsidRPr="004A389B">
              <w:rPr>
                <w:noProof/>
                <w:color w:val="FF0000"/>
                <w:sz w:val="20"/>
                <w:szCs w:val="20"/>
              </w:rPr>
              <w:t>7,64</w:t>
            </w:r>
          </w:p>
        </w:tc>
        <w:tc>
          <w:tcPr>
            <w:shd w:val="clear" w:color="auto" w:fill="auto"/>
          </w:tcPr>
          <w:p w:rsidR="004677D0" w:rsidRPr="004A389B" w:rsidP="004677D0">
            <w:pPr>
              <w:pStyle w:val="Text1"/>
              <w:spacing w:before="0" w:after="0"/>
              <w:ind w:left="0"/>
              <w:jc w:val="right"/>
              <w:rPr>
                <w:sz w:val="20"/>
                <w:szCs w:val="20"/>
                <w:lang w:val="fr-BE"/>
              </w:rPr>
            </w:pPr>
          </w:p>
        </w:tc>
        <w:tc>
          <w:tcPr>
            <w:shd w:val="clear" w:color="auto" w:fill="auto"/>
          </w:tcPr>
          <w:p w:rsidR="004677D0" w:rsidRPr="004A389B" w:rsidP="00883A98">
            <w:pPr>
              <w:pStyle w:val="Text1"/>
              <w:spacing w:before="0" w:after="0"/>
              <w:ind w:left="0"/>
              <w:jc w:val="right"/>
              <w:rPr>
                <w:sz w:val="20"/>
                <w:szCs w:val="20"/>
                <w:lang w:val="fr-BE"/>
              </w:rPr>
            </w:pPr>
            <w:r w:rsidRPr="004A389B">
              <w:rPr>
                <w:noProof/>
                <w:color w:val="FF0000"/>
                <w:sz w:val="20"/>
                <w:szCs w:val="20"/>
              </w:rPr>
              <w:t>35,35</w:t>
            </w:r>
          </w:p>
        </w:tc>
      </w:tr>
    </w:tbl>
    <w:p w:rsidR="00115C60" w:rsidP="00115C60">
      <w:pPr>
        <w:pStyle w:val="Text1"/>
        <w:spacing w:before="0" w:after="0"/>
        <w:ind w:left="0"/>
        <w:rPr>
          <w:lang w:val="fr-BE"/>
        </w:rPr>
      </w:pPr>
    </w:p>
    <w:p w:rsidR="00115C60" w:rsidP="00115C60">
      <w:pPr>
        <w:pStyle w:val="Text1"/>
        <w:spacing w:before="0" w:after="0"/>
        <w:ind w:left="0"/>
        <w:rPr>
          <w:lang w:val="fr-BE"/>
        </w:rPr>
        <w:sectPr w:rsidSect="0072625A">
          <w:headerReference w:type="default" r:id="rId13"/>
          <w:footerReference w:type="default" r:id="rId14"/>
          <w:pgSz w:w="11906" w:h="16838"/>
          <w:pgMar w:top="284" w:right="851" w:bottom="284" w:left="284" w:header="567" w:footer="0" w:gutter="0"/>
          <w:cols w:space="708"/>
          <w:docGrid w:linePitch="360"/>
        </w:sectPr>
      </w:pPr>
    </w:p>
    <w:p w:rsidR="00115C60" w:rsidP="00115C60">
      <w:pPr>
        <w:pStyle w:val="Heading2"/>
        <w:numPr>
          <w:ilvl w:val="0"/>
          <w:numId w:val="0"/>
        </w:numPr>
        <w:spacing w:before="0" w:after="0"/>
        <w:rPr>
          <w:lang w:val="fr-BE"/>
        </w:rPr>
      </w:pPr>
      <w:bookmarkStart w:id="19" w:name="_Toc256000021"/>
      <w:r>
        <w:rPr>
          <w:noProof/>
          <w:lang w:val="fr-BE"/>
        </w:rPr>
        <w:t>Preglednica 2. Obljubljena sredstva za posebne primere, kot je navedeno v obračunih</w:t>
      </w:r>
      <w:bookmarkEnd w:id="19"/>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00"/>
        <w:gridCol w:w="769"/>
        <w:gridCol w:w="769"/>
        <w:gridCol w:w="769"/>
        <w:gridCol w:w="1571"/>
        <w:gridCol w:w="1386"/>
        <w:gridCol w:w="1386"/>
        <w:gridCol w:w="769"/>
        <w:gridCol w:w="769"/>
        <w:gridCol w:w="769"/>
        <w:gridCol w:w="769"/>
        <w:gridCol w:w="157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115C60" w:rsidRPr="004A389B" w:rsidP="00003291">
            <w:pPr>
              <w:pStyle w:val="Text1"/>
              <w:spacing w:before="0" w:after="0"/>
              <w:ind w:left="0"/>
              <w:rPr>
                <w:b/>
                <w:sz w:val="12"/>
                <w:szCs w:val="12"/>
                <w:lang w:val="fr-BE"/>
              </w:rPr>
            </w:pPr>
            <w:r w:rsidRPr="004A389B">
              <w:rPr>
                <w:b/>
                <w:noProof/>
                <w:sz w:val="12"/>
                <w:szCs w:val="12"/>
                <w:lang w:val="fr-BE"/>
              </w:rPr>
              <w:t>Posebni primer zavez</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2014</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2015</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2016</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2017</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2018</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2019</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2020</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2021</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2022</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2023</w:t>
            </w:r>
          </w:p>
        </w:tc>
        <w:tc>
          <w:tcPr>
            <w:shd w:val="clear" w:color="auto" w:fill="auto"/>
          </w:tcPr>
          <w:p w:rsidR="00115C60" w:rsidRPr="004A389B" w:rsidP="00003291">
            <w:pPr>
              <w:pStyle w:val="Text1"/>
              <w:spacing w:before="0" w:after="0"/>
              <w:ind w:left="0"/>
              <w:jc w:val="center"/>
              <w:rPr>
                <w:b/>
                <w:sz w:val="12"/>
                <w:szCs w:val="12"/>
                <w:lang w:val="fr-BE"/>
              </w:rPr>
            </w:pPr>
            <w:r w:rsidRPr="004A389B">
              <w:rPr>
                <w:b/>
                <w:noProof/>
                <w:sz w:val="12"/>
                <w:szCs w:val="12"/>
                <w:lang w:val="fr-BE"/>
              </w:rPr>
              <w:t>Skupaj</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Preselitve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210.000,00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130.000,00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340.000,00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Premestitve (2015/1523)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216.000,00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216.000,00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Premestitve (2015/1601)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1.302.000,00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1.302.000,00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Država članica: Premestitve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Premestitve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Sprejem iz Turčije (2016/1754) skupaj</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b/>
                <w:noProof/>
                <w:sz w:val="12"/>
                <w:szCs w:val="12"/>
                <w:lang w:val="fr-BE"/>
              </w:rPr>
              <w:t>SKUPAJ</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1.302.000,00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426.000,00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130.000,00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1.858.000,00</w:t>
            </w:r>
          </w:p>
        </w:tc>
      </w:tr>
    </w:tbl>
    <w:p w:rsidR="00115C60" w:rsidP="00115C60">
      <w:pPr>
        <w:pStyle w:val="Text1"/>
        <w:spacing w:before="0" w:after="0"/>
        <w:ind w:left="0"/>
        <w:rPr>
          <w:lang w:val="fr-BE"/>
        </w:rPr>
      </w:pPr>
    </w:p>
    <w:p w:rsidR="00115C60" w:rsidP="00115C60">
      <w:pPr>
        <w:pStyle w:val="Heading2"/>
        <w:numPr>
          <w:ilvl w:val="0"/>
          <w:numId w:val="0"/>
        </w:numPr>
        <w:spacing w:before="0" w:after="0"/>
        <w:rPr>
          <w:lang w:val="fr-BE"/>
        </w:rPr>
      </w:pPr>
      <w:r>
        <w:rPr>
          <w:lang w:val="fr-BE"/>
        </w:rPr>
        <w:br w:type="page"/>
      </w:r>
      <w:bookmarkStart w:id="20" w:name="_Toc256000022"/>
      <w:r>
        <w:rPr>
          <w:noProof/>
          <w:lang w:val="fr-BE"/>
        </w:rPr>
        <w:t>Preglednica 3. Izvajanje finančnega načrta nacionalnega programa, pri čemer je naveden skupni prispevek EU za vsako proračunsko leto</w:t>
      </w:r>
      <w:bookmarkEnd w:id="20"/>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50"/>
        <w:gridCol w:w="1104"/>
        <w:gridCol w:w="1190"/>
        <w:gridCol w:w="1104"/>
        <w:gridCol w:w="1104"/>
        <w:gridCol w:w="1104"/>
        <w:gridCol w:w="1104"/>
        <w:gridCol w:w="1104"/>
        <w:gridCol w:w="1104"/>
        <w:gridCol w:w="1104"/>
        <w:gridCol w:w="540"/>
        <w:gridCol w:w="1190"/>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115C60" w:rsidRPr="004A389B" w:rsidP="00003291">
            <w:pPr>
              <w:pStyle w:val="Text1"/>
              <w:spacing w:before="0" w:after="0"/>
              <w:ind w:left="0"/>
              <w:rPr>
                <w:b/>
                <w:sz w:val="12"/>
                <w:szCs w:val="12"/>
                <w:lang w:val="fr-BE"/>
              </w:rPr>
            </w:pP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2014</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2015</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2016</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2017</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2018</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2019</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2020</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2021</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2022</w:t>
            </w:r>
          </w:p>
        </w:tc>
        <w:tc>
          <w:tcPr>
            <w:shd w:val="clear" w:color="auto" w:fill="auto"/>
          </w:tcPr>
          <w:p w:rsidR="00115C60" w:rsidRPr="004A389B" w:rsidP="00003291">
            <w:pPr>
              <w:pStyle w:val="Text1"/>
              <w:spacing w:before="0" w:after="0"/>
              <w:ind w:left="0"/>
              <w:jc w:val="center"/>
              <w:rPr>
                <w:b/>
                <w:sz w:val="12"/>
                <w:szCs w:val="12"/>
                <w:lang w:val="fr-BE"/>
              </w:rPr>
            </w:pPr>
            <w:r w:rsidRPr="004A389B">
              <w:rPr>
                <w:b/>
                <w:sz w:val="12"/>
                <w:szCs w:val="12"/>
                <w:lang w:val="fr-BE"/>
              </w:rPr>
              <w:t>2023</w:t>
            </w:r>
          </w:p>
        </w:tc>
        <w:tc>
          <w:tcPr>
            <w:shd w:val="clear" w:color="auto" w:fill="auto"/>
          </w:tcPr>
          <w:p w:rsidR="00115C60" w:rsidRPr="004A389B" w:rsidP="00003291">
            <w:pPr>
              <w:pStyle w:val="Text1"/>
              <w:spacing w:before="0" w:after="0"/>
              <w:ind w:left="0"/>
              <w:jc w:val="center"/>
              <w:rPr>
                <w:b/>
                <w:sz w:val="12"/>
                <w:szCs w:val="12"/>
                <w:lang w:val="fr-BE"/>
              </w:rPr>
            </w:pPr>
            <w:r w:rsidRPr="004A389B">
              <w:rPr>
                <w:b/>
                <w:noProof/>
                <w:sz w:val="12"/>
                <w:szCs w:val="12"/>
                <w:lang w:val="fr-BE"/>
              </w:rPr>
              <w:t>Skupaj</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1.435.734,75</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1.545.073,00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2.827.111,40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1.865.646,40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1.336.957,40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1.673.799,42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12.120.059,37</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621.516,63</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296.123,22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769.272,92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2.511.880,35</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1.531.969,62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2.541.722,12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2.203.179,72</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10.475.664,58</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478.580,25</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3.963.611,00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1.134.699,60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841.765,60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723.046,60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835.872,58</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8.515.819,63</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1.816.542,74</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1.148.911,30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596.286,48</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431.612,68</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1.004.366,54</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401.531,83</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noProof/>
                <w:sz w:val="12"/>
                <w:szCs w:val="12"/>
                <w:lang w:val="fr-BE"/>
              </w:rPr>
              <w:t>5.399.251,57</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1.914.315,00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5.508.684,00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3.961.811,00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2.707.412,00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2.060.004,00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2.509.672,00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20.635.879,00</w:t>
            </w:r>
          </w:p>
        </w:tc>
      </w:tr>
      <w:tr w:rsidTr="00003291">
        <w:tblPrEx>
          <w:tblW w:w="5000" w:type="pct"/>
          <w:tblCellMar>
            <w:left w:w="57" w:type="dxa"/>
            <w:right w:w="57" w:type="dxa"/>
          </w:tblCellMar>
          <w:tblLook w:val="04A0"/>
        </w:tblPrEx>
        <w:tc>
          <w:tcPr>
            <w:shd w:val="clear" w:color="auto" w:fill="auto"/>
          </w:tcPr>
          <w:p w:rsidR="00115C60" w:rsidRPr="004A389B"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621.516,63</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2.112.665,96</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1.918.184,22</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3.108.166,83</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1.963.582,30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3.546.088,66</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2.604.711,55</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0,00</w:t>
            </w:r>
          </w:p>
        </w:tc>
        <w:tc>
          <w:tcPr>
            <w:shd w:val="clear" w:color="auto" w:fill="auto"/>
          </w:tcPr>
          <w:p w:rsidR="00115C60" w:rsidRPr="004A389B" w:rsidP="00003291">
            <w:pPr>
              <w:pStyle w:val="Text1"/>
              <w:spacing w:before="0" w:after="0"/>
              <w:ind w:left="0"/>
              <w:jc w:val="right"/>
              <w:rPr>
                <w:sz w:val="12"/>
                <w:szCs w:val="12"/>
                <w:lang w:val="fr-BE"/>
              </w:rPr>
            </w:pPr>
            <w:r w:rsidRPr="004A389B">
              <w:rPr>
                <w:b/>
                <w:noProof/>
                <w:sz w:val="12"/>
                <w:szCs w:val="12"/>
                <w:lang w:val="fr-BE"/>
              </w:rPr>
              <w:t>15.874.916,15</w:t>
            </w:r>
          </w:p>
        </w:tc>
      </w:tr>
    </w:tbl>
    <w:p w:rsidR="00115C60" w:rsidP="00115C60">
      <w:pPr>
        <w:pStyle w:val="Text1"/>
        <w:spacing w:before="0" w:after="0"/>
        <w:ind w:left="0"/>
        <w:rPr>
          <w:lang w:val="fr-BE"/>
        </w:rPr>
      </w:pPr>
    </w:p>
    <w:p w:rsidR="00115C60" w:rsidP="00115C60">
      <w:pPr>
        <w:pStyle w:val="Text1"/>
        <w:spacing w:before="0" w:after="0"/>
        <w:ind w:left="0"/>
        <w:rPr>
          <w:lang w:val="fr-BE"/>
        </w:rPr>
        <w:sectPr w:rsidSect="00DB4153">
          <w:headerReference w:type="default" r:id="rId15"/>
          <w:footerReference w:type="default" r:id="rId16"/>
          <w:pgSz w:w="16838" w:h="11906" w:orient="landscape"/>
          <w:pgMar w:top="0" w:right="567" w:bottom="0" w:left="851" w:header="0" w:footer="284" w:gutter="0"/>
          <w:cols w:space="708"/>
          <w:docGrid w:linePitch="360"/>
        </w:sectPr>
      </w:pPr>
    </w:p>
    <w:p w:rsidR="00115C60" w:rsidP="00115C60">
      <w:pPr>
        <w:pStyle w:val="Heading2"/>
        <w:numPr>
          <w:ilvl w:val="0"/>
          <w:numId w:val="0"/>
        </w:numPr>
        <w:spacing w:before="0" w:after="0"/>
        <w:rPr>
          <w:lang w:val="fr-BE"/>
        </w:rPr>
      </w:pPr>
      <w:bookmarkStart w:id="21" w:name="_Toc256000023"/>
      <w:r>
        <w:rPr>
          <w:noProof/>
          <w:lang w:val="fr-BE"/>
        </w:rPr>
        <w:t>Utemeljitev morebitnega odstopanja od najnižjih deležev, določenih v posebni uredbi.</w:t>
      </w:r>
      <w:bookmarkEnd w:id="21"/>
    </w:p>
    <w:p w:rsidR="00115C60" w:rsidP="00115C60">
      <w:pPr>
        <w:pStyle w:val="Text1"/>
        <w:spacing w:before="0" w:after="0"/>
        <w:ind w:left="0"/>
        <w:rPr>
          <w:lang w:val="fr-BE"/>
        </w:rPr>
      </w:pPr>
    </w:p>
    <w:p w:rsidR="00115C60" w:rsidP="00115C60">
      <w:pPr>
        <w:pStyle w:val="Text1"/>
        <w:spacing w:before="0" w:after="0"/>
        <w:ind w:left="0"/>
        <w:rPr>
          <w:lang w:val="fr-BE"/>
        </w:rPr>
      </w:pPr>
      <w:r>
        <w:rPr>
          <w:noProof/>
          <w:lang w:val="fr-BE"/>
        </w:rPr>
        <w:t>(Le če stanje ni tako, kot je določeno v odobrenem nacionalnem programu, člen 14(5)(b) Uredbe (EU) št. 514/2014.)</w:t>
      </w:r>
    </w:p>
    <w:p w:rsidR="00115C60" w:rsidP="00115C60">
      <w:pPr>
        <w:pStyle w:val="Text1"/>
        <w:spacing w:before="0" w:after="0"/>
        <w:ind w:left="0"/>
        <w:rPr>
          <w:lang w:val="fr-BE"/>
        </w:rPr>
      </w:pPr>
    </w:p>
    <w:p w:rsidR="00115C60" w:rsidP="00115C60">
      <w:pPr>
        <w:pStyle w:val="Text1"/>
        <w:spacing w:before="0" w:after="0"/>
        <w:ind w:left="0"/>
        <w:rPr>
          <w:lang w:val="fr-BE"/>
        </w:rPr>
      </w:pPr>
      <w:r>
        <w:rPr>
          <w:noProof/>
          <w:lang w:val="fr-BE"/>
        </w:rPr>
        <w:t>Podrobno obrazložite odstopanja od najnižjih deležev, določenih v posebnih uredbah.</w:t>
      </w:r>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4B5B5F" w:rsidRPr="00003291" w:rsidP="00003291">
            <w:pPr>
              <w:pStyle w:val="Text1"/>
              <w:spacing w:before="0" w:after="0"/>
              <w:ind w:left="0"/>
              <w:rPr>
                <w:lang w:val="fr-BE"/>
              </w:rPr>
            </w:pPr>
          </w:p>
        </w:tc>
      </w:tr>
    </w:tbl>
    <w:p w:rsidR="004B5B5F" w:rsidP="00115C60">
      <w:pPr>
        <w:pStyle w:val="Text1"/>
        <w:spacing w:before="0" w:after="0"/>
        <w:ind w:left="0"/>
        <w:rPr>
          <w:lang w:val="fr-BE"/>
        </w:rPr>
      </w:pPr>
    </w:p>
    <w:p w:rsidR="00115C60" w:rsidP="00115C60">
      <w:pPr>
        <w:pStyle w:val="Heading1"/>
        <w:numPr>
          <w:ilvl w:val="0"/>
          <w:numId w:val="0"/>
        </w:numPr>
        <w:spacing w:before="0" w:after="0"/>
        <w:rPr>
          <w:lang w:val="fr-BE"/>
        </w:rPr>
      </w:pPr>
      <w:r>
        <w:rPr>
          <w:lang w:val="fr-BE"/>
        </w:rPr>
        <w:br w:type="page"/>
      </w:r>
      <w:bookmarkStart w:id="22" w:name="_Toc256000024"/>
      <w:r>
        <w:rPr>
          <w:noProof/>
          <w:lang w:val="fr-BE"/>
        </w:rPr>
        <w:t>ODDELEK 8: OBVEZNOSTI V OBLIKI DOGOVORA</w:t>
      </w:r>
      <w:bookmarkEnd w:id="22"/>
    </w:p>
    <w:p w:rsidR="00115C60" w:rsidP="00115C60">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6"/>
        <w:gridCol w:w="6410"/>
        <w:gridCol w:w="1766"/>
      </w:tblGrid>
      <w:tr w:rsidTr="0000329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115C60" w:rsidRPr="00B81F97" w:rsidP="00003291">
            <w:pPr>
              <w:pStyle w:val="Text1"/>
              <w:spacing w:before="0" w:after="0"/>
              <w:ind w:left="0"/>
              <w:rPr>
                <w:b/>
                <w:lang w:val="fr-BE"/>
              </w:rPr>
            </w:pPr>
            <w:r w:rsidRPr="00B81F97">
              <w:rPr>
                <w:b/>
                <w:noProof/>
                <w:lang w:val="fr-BE"/>
              </w:rPr>
              <w:t>Posebni cilj</w:t>
            </w:r>
          </w:p>
        </w:tc>
        <w:tc>
          <w:tcPr>
            <w:shd w:val="clear" w:color="auto" w:fill="auto"/>
          </w:tcPr>
          <w:p w:rsidR="00115C60" w:rsidRPr="00B81F97" w:rsidP="00003291">
            <w:pPr>
              <w:pStyle w:val="Text1"/>
              <w:spacing w:before="0" w:after="0"/>
              <w:ind w:left="0"/>
              <w:rPr>
                <w:b/>
                <w:lang w:val="fr-BE"/>
              </w:rPr>
            </w:pPr>
            <w:r w:rsidRPr="00B81F97">
              <w:rPr>
                <w:b/>
                <w:noProof/>
                <w:lang w:val="fr-BE"/>
              </w:rPr>
              <w:t>Skupni znesek v EUR, dodeljen (s pogodbo, kot nepovratna sredstva ali z drugim sporazumom) do datuma tega poročila</w:t>
            </w:r>
          </w:p>
        </w:tc>
        <w:tc>
          <w:tcPr>
            <w:shd w:val="clear" w:color="auto" w:fill="auto"/>
          </w:tcPr>
          <w:p w:rsidR="00115C60" w:rsidRPr="00B81F97" w:rsidP="00003291">
            <w:pPr>
              <w:pStyle w:val="Text1"/>
              <w:spacing w:before="0" w:after="0"/>
              <w:ind w:left="0"/>
              <w:rPr>
                <w:b/>
                <w:lang w:val="fr-BE"/>
              </w:rPr>
            </w:pPr>
            <w:r w:rsidRPr="00B81F97">
              <w:rPr>
                <w:b/>
                <w:noProof/>
                <w:lang w:val="fr-BE"/>
              </w:rPr>
              <w:t>% skupnih povezanih dodelitev</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 xml:space="preserve">SO1 - </w:t>
            </w:r>
            <w:r>
              <w:rPr>
                <w:noProof/>
                <w:lang w:val="fr-BE"/>
              </w:rPr>
              <w:t>Azil</w:t>
            </w:r>
          </w:p>
        </w:tc>
        <w:tc>
          <w:tcPr>
            <w:shd w:val="clear" w:color="auto" w:fill="auto"/>
          </w:tcPr>
          <w:p w:rsidR="00115C60" w:rsidRPr="00B81F97" w:rsidP="00003291">
            <w:pPr>
              <w:pStyle w:val="Text1"/>
              <w:spacing w:before="0" w:after="0"/>
              <w:ind w:left="0"/>
              <w:jc w:val="right"/>
              <w:rPr>
                <w:lang w:val="fr-BE"/>
              </w:rPr>
            </w:pPr>
            <w:r>
              <w:rPr>
                <w:noProof/>
                <w:lang w:val="fr-BE"/>
              </w:rPr>
              <w:t>5.226.589,06</w:t>
            </w:r>
          </w:p>
        </w:tc>
        <w:tc>
          <w:tcPr>
            <w:shd w:val="clear" w:color="auto" w:fill="auto"/>
          </w:tcPr>
          <w:p w:rsidR="00115C60" w:rsidRPr="00B81F97" w:rsidP="00003291">
            <w:pPr>
              <w:pStyle w:val="Text1"/>
              <w:spacing w:before="0" w:after="0"/>
              <w:ind w:left="0"/>
              <w:jc w:val="right"/>
              <w:rPr>
                <w:lang w:val="fr-BE"/>
              </w:rPr>
            </w:pPr>
            <w:r>
              <w:rPr>
                <w:noProof/>
                <w:lang w:val="fr-BE"/>
              </w:rPr>
              <w:t>107,20%</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 xml:space="preserve">SO2 - </w:t>
            </w:r>
            <w:r>
              <w:rPr>
                <w:noProof/>
                <w:lang w:val="fr-BE"/>
              </w:rPr>
              <w:t>Vključevanje / zakonito priseljevanje</w:t>
            </w:r>
          </w:p>
        </w:tc>
        <w:tc>
          <w:tcPr>
            <w:shd w:val="clear" w:color="auto" w:fill="auto"/>
          </w:tcPr>
          <w:p w:rsidR="00115C60" w:rsidRPr="00B81F97" w:rsidP="00003291">
            <w:pPr>
              <w:pStyle w:val="Text1"/>
              <w:spacing w:before="0" w:after="0"/>
              <w:ind w:left="0"/>
              <w:jc w:val="right"/>
              <w:rPr>
                <w:lang w:val="fr-BE"/>
              </w:rPr>
            </w:pPr>
            <w:r>
              <w:rPr>
                <w:noProof/>
                <w:lang w:val="fr-BE"/>
              </w:rPr>
              <w:t>8.763.804,10</w:t>
            </w:r>
          </w:p>
        </w:tc>
        <w:tc>
          <w:tcPr>
            <w:shd w:val="clear" w:color="auto" w:fill="auto"/>
          </w:tcPr>
          <w:p w:rsidR="00115C60" w:rsidRPr="00B81F97" w:rsidP="00003291">
            <w:pPr>
              <w:pStyle w:val="Text1"/>
              <w:spacing w:before="0" w:after="0"/>
              <w:ind w:left="0"/>
              <w:jc w:val="right"/>
              <w:rPr>
                <w:lang w:val="fr-BE"/>
              </w:rPr>
            </w:pPr>
            <w:r>
              <w:rPr>
                <w:noProof/>
                <w:lang w:val="fr-BE"/>
              </w:rPr>
              <w:t>109,67%</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 xml:space="preserve">SO3 - </w:t>
            </w:r>
            <w:r>
              <w:rPr>
                <w:noProof/>
                <w:lang w:val="fr-BE"/>
              </w:rPr>
              <w:t>Vračanje</w:t>
            </w:r>
          </w:p>
        </w:tc>
        <w:tc>
          <w:tcPr>
            <w:shd w:val="clear" w:color="auto" w:fill="auto"/>
          </w:tcPr>
          <w:p w:rsidR="00115C60" w:rsidRPr="00B81F97" w:rsidP="00003291">
            <w:pPr>
              <w:pStyle w:val="Text1"/>
              <w:spacing w:before="0" w:after="0"/>
              <w:ind w:left="0"/>
              <w:jc w:val="right"/>
              <w:rPr>
                <w:lang w:val="fr-BE"/>
              </w:rPr>
            </w:pPr>
            <w:r>
              <w:rPr>
                <w:noProof/>
                <w:lang w:val="fr-BE"/>
              </w:rPr>
              <w:t>4.228.487,97</w:t>
            </w:r>
          </w:p>
        </w:tc>
        <w:tc>
          <w:tcPr>
            <w:shd w:val="clear" w:color="auto" w:fill="auto"/>
          </w:tcPr>
          <w:p w:rsidR="00115C60" w:rsidRPr="00B81F97" w:rsidP="00003291">
            <w:pPr>
              <w:pStyle w:val="Text1"/>
              <w:spacing w:before="0" w:after="0"/>
              <w:ind w:left="0"/>
              <w:jc w:val="right"/>
              <w:rPr>
                <w:lang w:val="fr-BE"/>
              </w:rPr>
            </w:pPr>
            <w:r>
              <w:rPr>
                <w:noProof/>
                <w:lang w:val="fr-BE"/>
              </w:rPr>
              <w:t>90,49%</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 xml:space="preserve">SO4 - </w:t>
            </w:r>
            <w:r>
              <w:rPr>
                <w:noProof/>
                <w:lang w:val="fr-BE"/>
              </w:rPr>
              <w:t>Solidarnost</w:t>
            </w:r>
          </w:p>
        </w:tc>
        <w:tc>
          <w:tcPr>
            <w:shd w:val="clear" w:color="auto" w:fill="auto"/>
          </w:tcPr>
          <w:p w:rsidR="00115C60" w:rsidRPr="00B81F97" w:rsidP="00003291">
            <w:pPr>
              <w:pStyle w:val="Text1"/>
              <w:spacing w:before="0" w:after="0"/>
              <w:ind w:left="0"/>
              <w:jc w:val="right"/>
              <w:rPr>
                <w:lang w:val="fr-BE"/>
              </w:rPr>
            </w:pPr>
            <w:r>
              <w:rPr>
                <w:noProof/>
                <w:lang w:val="fr-BE"/>
              </w:rPr>
              <w:t>1.518.000,00</w:t>
            </w:r>
          </w:p>
        </w:tc>
        <w:tc>
          <w:tcPr>
            <w:shd w:val="clear" w:color="auto" w:fill="auto"/>
          </w:tcPr>
          <w:p w:rsidR="00115C60" w:rsidRPr="00B81F97" w:rsidP="00003291">
            <w:pPr>
              <w:pStyle w:val="Text1"/>
              <w:spacing w:before="0" w:after="0"/>
              <w:ind w:left="0"/>
              <w:jc w:val="right"/>
              <w:rPr>
                <w:lang w:val="fr-BE"/>
              </w:rPr>
            </w:pPr>
            <w:r>
              <w:rPr>
                <w:noProof/>
                <w:lang w:val="fr-BE"/>
              </w:rPr>
              <w:t>402,87%</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Tehnična pomoč</w:t>
            </w:r>
          </w:p>
        </w:tc>
        <w:tc>
          <w:tcPr>
            <w:shd w:val="clear" w:color="auto" w:fill="auto"/>
          </w:tcPr>
          <w:p w:rsidR="00115C60" w:rsidRPr="00B81F97" w:rsidP="00003291">
            <w:pPr>
              <w:pStyle w:val="Text1"/>
              <w:spacing w:before="0" w:after="0"/>
              <w:ind w:left="0"/>
              <w:jc w:val="right"/>
              <w:rPr>
                <w:lang w:val="fr-BE"/>
              </w:rPr>
            </w:pPr>
            <w:r>
              <w:rPr>
                <w:noProof/>
                <w:lang w:val="fr-BE"/>
              </w:rPr>
              <w:t>558.997,87</w:t>
            </w:r>
          </w:p>
        </w:tc>
        <w:tc>
          <w:tcPr>
            <w:shd w:val="clear" w:color="auto" w:fill="auto"/>
          </w:tcPr>
          <w:p w:rsidR="00115C60" w:rsidRPr="00B81F97" w:rsidP="00003291">
            <w:pPr>
              <w:pStyle w:val="Text1"/>
              <w:spacing w:before="0" w:after="0"/>
              <w:ind w:left="0"/>
              <w:jc w:val="right"/>
              <w:rPr>
                <w:lang w:val="fr-BE"/>
              </w:rPr>
            </w:pPr>
            <w:r>
              <w:rPr>
                <w:noProof/>
                <w:lang w:val="fr-BE"/>
              </w:rPr>
              <w:t>92,87%</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Pr>
                <w:noProof/>
                <w:lang w:val="fr-BE"/>
              </w:rPr>
              <w:t>Posebni primeri</w:t>
            </w:r>
          </w:p>
        </w:tc>
        <w:tc>
          <w:tcPr>
            <w:shd w:val="clear" w:color="auto" w:fill="auto"/>
          </w:tcPr>
          <w:p w:rsidR="00115C60" w:rsidRPr="00B81F97" w:rsidP="00003291">
            <w:pPr>
              <w:pStyle w:val="Text1"/>
              <w:spacing w:before="0" w:after="0"/>
              <w:ind w:left="0"/>
              <w:jc w:val="right"/>
              <w:rPr>
                <w:lang w:val="fr-BE"/>
              </w:rPr>
            </w:pPr>
            <w:r>
              <w:rPr>
                <w:noProof/>
                <w:lang w:val="fr-BE"/>
              </w:rPr>
              <w:t>340.000,00</w:t>
            </w:r>
          </w:p>
        </w:tc>
        <w:tc>
          <w:tcPr>
            <w:shd w:val="clear" w:color="auto" w:fill="auto"/>
          </w:tcPr>
          <w:p w:rsidR="00115C60" w:rsidRPr="00B81F97" w:rsidP="00003291">
            <w:pPr>
              <w:pStyle w:val="Text1"/>
              <w:spacing w:before="0" w:after="0"/>
              <w:ind w:left="0"/>
              <w:jc w:val="right"/>
              <w:rPr>
                <w:lang w:val="fr-BE"/>
              </w:rPr>
            </w:pPr>
            <w:r>
              <w:rPr>
                <w:noProof/>
                <w:lang w:val="fr-BE"/>
              </w:rPr>
              <w:t>16,05%</w:t>
            </w:r>
          </w:p>
        </w:tc>
      </w:tr>
      <w:tr w:rsidTr="00003291">
        <w:tblPrEx>
          <w:tblW w:w="5000" w:type="pct"/>
          <w:tblLook w:val="04A0"/>
        </w:tblPrEx>
        <w:tc>
          <w:tcPr>
            <w:shd w:val="clear" w:color="auto" w:fill="auto"/>
          </w:tcPr>
          <w:p w:rsidR="00115C60" w:rsidRPr="00B81F97" w:rsidP="00003291">
            <w:pPr>
              <w:pStyle w:val="Text1"/>
              <w:spacing w:before="0" w:after="0"/>
              <w:ind w:left="0"/>
              <w:rPr>
                <w:lang w:val="fr-BE"/>
              </w:rPr>
            </w:pPr>
            <w:r w:rsidRPr="004C286E">
              <w:rPr>
                <w:b/>
                <w:noProof/>
                <w:lang w:val="fr-BE"/>
              </w:rPr>
              <w:t>Skupaj Sklad za azil, migracije in vključevanje</w:t>
            </w:r>
          </w:p>
        </w:tc>
        <w:tc>
          <w:tcPr>
            <w:shd w:val="clear" w:color="auto" w:fill="auto"/>
          </w:tcPr>
          <w:p w:rsidR="00115C60" w:rsidRPr="00B81F97" w:rsidP="00003291">
            <w:pPr>
              <w:pStyle w:val="Text1"/>
              <w:spacing w:before="0" w:after="0"/>
              <w:ind w:left="0"/>
              <w:jc w:val="right"/>
              <w:rPr>
                <w:lang w:val="fr-BE"/>
              </w:rPr>
            </w:pPr>
            <w:r>
              <w:rPr>
                <w:noProof/>
                <w:lang w:val="fr-BE"/>
              </w:rPr>
              <w:t>20.635.879,00</w:t>
            </w:r>
          </w:p>
        </w:tc>
        <w:tc>
          <w:tcPr>
            <w:shd w:val="clear" w:color="auto" w:fill="auto"/>
          </w:tcPr>
          <w:p w:rsidR="00115C60" w:rsidRPr="00B81F97" w:rsidP="00003291">
            <w:pPr>
              <w:pStyle w:val="Text1"/>
              <w:spacing w:before="0" w:after="0"/>
              <w:ind w:left="0"/>
              <w:jc w:val="right"/>
              <w:rPr>
                <w:lang w:val="fr-BE"/>
              </w:rPr>
            </w:pPr>
            <w:r>
              <w:rPr>
                <w:noProof/>
                <w:lang w:val="fr-BE"/>
              </w:rPr>
              <w:t>100,00%</w:t>
            </w:r>
          </w:p>
        </w:tc>
      </w:tr>
    </w:tbl>
    <w:p w:rsidR="00115C60" w:rsidRPr="00E22750" w:rsidP="00115C60">
      <w:pPr>
        <w:pStyle w:val="Text1"/>
        <w:spacing w:before="0" w:after="0"/>
        <w:ind w:left="0"/>
        <w:rPr>
          <w:lang w:val="fr-BE"/>
        </w:rPr>
      </w:pPr>
    </w:p>
    <w:p w:rsidR="00115C60" w:rsidP="00115C60">
      <w:pPr>
        <w:spacing w:before="0" w:after="0"/>
      </w:pPr>
    </w:p>
    <w:p w:rsidR="004877EB" w:rsidP="004877EB">
      <w:pPr>
        <w:pStyle w:val="Heading1"/>
        <w:numPr>
          <w:ilvl w:val="0"/>
          <w:numId w:val="0"/>
        </w:numPr>
        <w:spacing w:before="0" w:after="0"/>
        <w:rPr>
          <w:lang w:val="fr-BE"/>
        </w:rPr>
      </w:pPr>
      <w:bookmarkStart w:id="23" w:name="_Toc256000025"/>
      <w:r w:rsidR="008054E0">
        <w:rPr>
          <w:noProof/>
          <w:lang w:val="fr-BE"/>
        </w:rPr>
        <w:t>ODDELEK 9: POROČANJE O ODHODKIH V ZVEZI S COVID-19</w:t>
      </w:r>
      <w:bookmarkEnd w:id="23"/>
    </w:p>
    <w:p w:rsidR="00B94675" w:rsidP="00C36C5C">
      <w:pPr>
        <w:pStyle w:val="Text1"/>
        <w:spacing w:before="0" w:after="0"/>
        <w:ind w:left="0"/>
        <w:rPr>
          <w:lang w:val="fr-BE"/>
        </w:rPr>
      </w:pPr>
    </w:p>
    <w:p w:rsidR="00C36C5C" w:rsidP="00C36C5C">
      <w:pPr>
        <w:pStyle w:val="Text1"/>
        <w:spacing w:before="0" w:after="0"/>
        <w:ind w:left="0"/>
        <w:rPr>
          <w:lang w:val="fr-BE"/>
        </w:rPr>
      </w:pPr>
      <w:r>
        <w:rPr>
          <w:noProof/>
          <w:lang w:val="fr-BE"/>
        </w:rPr>
        <w:t>I. Pojasnilo</w:t>
      </w:r>
    </w:p>
    <w:p w:rsidR="00C36C5C" w:rsidP="00C36C5C">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A2107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C36C5C" w:rsidRPr="00003291" w:rsidP="00A2107F">
            <w:pPr>
              <w:pStyle w:val="Text1"/>
              <w:spacing w:before="0" w:after="0"/>
              <w:ind w:left="0"/>
              <w:rPr>
                <w:lang w:val="fr-BE"/>
              </w:rPr>
            </w:pPr>
          </w:p>
        </w:tc>
      </w:tr>
    </w:tbl>
    <w:p w:rsidR="00C36C5C" w:rsidP="004877EB">
      <w:pPr>
        <w:pStyle w:val="Text1"/>
        <w:spacing w:before="0" w:after="0"/>
        <w:ind w:left="0"/>
        <w:rPr>
          <w:lang w:val="fr-BE"/>
        </w:rPr>
      </w:pPr>
    </w:p>
    <w:p w:rsidR="004877EB" w:rsidP="00552086">
      <w:pPr>
        <w:pStyle w:val="Text1"/>
        <w:keepNext/>
        <w:spacing w:before="0" w:after="0"/>
        <w:ind w:left="0"/>
        <w:rPr>
          <w:lang w:val="fr-BE"/>
        </w:rPr>
      </w:pPr>
      <w:r w:rsidR="00C36C5C">
        <w:rPr>
          <w:noProof/>
          <w:lang w:val="fr-BE"/>
        </w:rPr>
        <w:t>II. Odhodki v zvezi s COVID-19 (prispevek EU)</w:t>
      </w:r>
    </w:p>
    <w:p w:rsidR="00B94675" w:rsidP="00552086">
      <w:pPr>
        <w:pStyle w:val="Text1"/>
        <w:keepNext/>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874"/>
        <w:gridCol w:w="1874"/>
        <w:gridCol w:w="1874"/>
        <w:gridCol w:w="1874"/>
        <w:gridCol w:w="1791"/>
      </w:tblGrid>
      <w:tr w:rsidTr="00DB6C3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164"/>
        </w:trPr>
        <w:tc>
          <w:tcPr>
            <w:shd w:val="clear" w:color="auto" w:fill="auto"/>
          </w:tcPr>
          <w:p w:rsidR="00B60380" w:rsidRPr="00B81F97" w:rsidP="00A2107F">
            <w:pPr>
              <w:pStyle w:val="Text1"/>
              <w:spacing w:before="0" w:after="0"/>
              <w:ind w:left="0"/>
              <w:rPr>
                <w:b/>
                <w:lang w:val="fr-BE"/>
              </w:rPr>
            </w:pPr>
            <w:r>
              <w:rPr>
                <w:b/>
                <w:noProof/>
                <w:lang w:val="fr-BE"/>
              </w:rPr>
              <w:t>Obveznosti: Prispevek EU za ukrepe za boj proti COVID-19(*)</w:t>
            </w:r>
          </w:p>
        </w:tc>
        <w:tc>
          <w:tcPr>
            <w:shd w:val="clear" w:color="auto" w:fill="auto"/>
          </w:tcPr>
          <w:p w:rsidR="00B60380" w:rsidRPr="00B81F97" w:rsidP="00A2107F">
            <w:pPr>
              <w:pStyle w:val="Text1"/>
              <w:spacing w:before="0" w:after="0"/>
              <w:ind w:left="0"/>
              <w:rPr>
                <w:b/>
                <w:lang w:val="fr-BE"/>
              </w:rPr>
            </w:pPr>
            <w:r>
              <w:rPr>
                <w:b/>
                <w:noProof/>
                <w:lang w:val="fr-BE"/>
              </w:rPr>
              <w:t>Plačila: Prispevek EU za ukrepe za boj proti COVID-19, prikazan v računovodskih izkazih za leto 2020</w:t>
            </w:r>
          </w:p>
        </w:tc>
        <w:tc>
          <w:tcPr/>
          <w:p w:rsidR="00B60380" w:rsidP="00A2107F">
            <w:pPr>
              <w:pStyle w:val="Text1"/>
              <w:spacing w:before="0" w:after="0"/>
              <w:ind w:left="0"/>
              <w:rPr>
                <w:b/>
                <w:lang w:val="fr-BE"/>
              </w:rPr>
            </w:pPr>
            <w:r>
              <w:rPr>
                <w:b/>
                <w:noProof/>
                <w:lang w:val="fr-BE"/>
              </w:rPr>
              <w:t>Plačila: Prispevek EU za ukrepe za boj proti COVID-19, prikazan v računovodskih izkazih za leto 2021</w:t>
            </w:r>
          </w:p>
        </w:tc>
        <w:tc>
          <w:tcPr/>
          <w:p w:rsidR="00B60380" w:rsidP="00A2107F">
            <w:pPr>
              <w:pStyle w:val="Text1"/>
              <w:spacing w:before="0" w:after="0"/>
              <w:ind w:left="0"/>
              <w:rPr>
                <w:b/>
                <w:lang w:val="fr-BE"/>
              </w:rPr>
            </w:pPr>
            <w:r>
              <w:rPr>
                <w:b/>
                <w:noProof/>
                <w:lang w:val="fr-BE"/>
              </w:rPr>
              <w:t>Plačila: Prispevek EU za ukrepe za boj proti COVID-19, prikazan v računovodskih izkazih za leto 2022</w:t>
            </w:r>
          </w:p>
        </w:tc>
        <w:tc>
          <w:tcPr/>
          <w:p w:rsidR="00B60380" w:rsidP="00A2107F">
            <w:pPr>
              <w:pStyle w:val="Text1"/>
              <w:spacing w:before="0" w:after="0"/>
              <w:ind w:left="0"/>
              <w:rPr>
                <w:b/>
                <w:lang w:val="fr-BE"/>
              </w:rPr>
            </w:pPr>
            <w:r>
              <w:rPr>
                <w:b/>
                <w:noProof/>
                <w:lang w:val="fr-BE"/>
              </w:rPr>
              <w:t>Plačila: Prispevek EU za ukrepe za boj proti COVID-19, prikazan v računovodskih izkazih za leto 2023</w:t>
            </w:r>
          </w:p>
        </w:tc>
        <w:tc>
          <w:tcPr>
            <w:shd w:val="clear" w:color="auto" w:fill="auto"/>
          </w:tcPr>
          <w:p w:rsidR="00B60380" w:rsidRPr="00B81F97" w:rsidP="00A2107F">
            <w:pPr>
              <w:pStyle w:val="Text1"/>
              <w:spacing w:before="0" w:after="0"/>
              <w:ind w:left="0"/>
              <w:rPr>
                <w:b/>
                <w:lang w:val="fr-BE"/>
              </w:rPr>
            </w:pPr>
            <w:r>
              <w:rPr>
                <w:b/>
                <w:noProof/>
                <w:lang w:val="fr-BE"/>
              </w:rPr>
              <w:t>Plačila: Skupni prispevek EU za ukrepe za boj proti COVID-19, prikazan v računovodskih izkazih</w:t>
            </w:r>
          </w:p>
        </w:tc>
      </w:tr>
      <w:tr w:rsidTr="00DB6C33">
        <w:tblPrEx>
          <w:tblW w:w="5000" w:type="pct"/>
          <w:tblLook w:val="04A0"/>
        </w:tblPrEx>
        <w:trPr>
          <w:cantSplit/>
        </w:trPr>
        <w:tc>
          <w:tcPr>
            <w:shd w:val="clear" w:color="auto" w:fill="auto"/>
          </w:tcPr>
          <w:p w:rsidR="00B60380" w:rsidRPr="00B81F97" w:rsidP="00C1692E">
            <w:pPr>
              <w:pStyle w:val="Text1"/>
              <w:spacing w:before="0" w:after="0"/>
              <w:ind w:left="0"/>
              <w:jc w:val="right"/>
              <w:rPr>
                <w:lang w:val="fr-BE"/>
              </w:rPr>
            </w:pPr>
          </w:p>
        </w:tc>
        <w:tc>
          <w:tcPr>
            <w:shd w:val="clear" w:color="auto" w:fill="auto"/>
          </w:tcPr>
          <w:p w:rsidR="00B60380" w:rsidRPr="00B81F97" w:rsidP="00A2107F">
            <w:pPr>
              <w:pStyle w:val="Text1"/>
              <w:spacing w:before="0" w:after="0"/>
              <w:ind w:left="0"/>
              <w:jc w:val="right"/>
              <w:rPr>
                <w:lang w:val="fr-BE"/>
              </w:rPr>
            </w:pPr>
          </w:p>
        </w:tc>
        <w:tc>
          <w:tcPr/>
          <w:p w:rsidR="00B60380" w:rsidP="00A2107F">
            <w:pPr>
              <w:pStyle w:val="Text1"/>
              <w:spacing w:before="0" w:after="0"/>
              <w:ind w:left="0"/>
              <w:jc w:val="right"/>
              <w:rPr>
                <w:lang w:val="fr-BE"/>
              </w:rPr>
            </w:pPr>
          </w:p>
        </w:tc>
        <w:tc>
          <w:tcPr/>
          <w:p w:rsidR="00B60380" w:rsidP="00A2107F">
            <w:pPr>
              <w:pStyle w:val="Text1"/>
              <w:spacing w:before="0" w:after="0"/>
              <w:ind w:left="0"/>
              <w:jc w:val="right"/>
              <w:rPr>
                <w:lang w:val="fr-BE"/>
              </w:rPr>
            </w:pPr>
          </w:p>
        </w:tc>
        <w:tc>
          <w:tcPr/>
          <w:p w:rsidR="00B60380" w:rsidP="00A2107F">
            <w:pPr>
              <w:pStyle w:val="Text1"/>
              <w:spacing w:before="0" w:after="0"/>
              <w:ind w:left="0"/>
              <w:jc w:val="right"/>
              <w:rPr>
                <w:lang w:val="fr-BE"/>
              </w:rPr>
            </w:pPr>
          </w:p>
        </w:tc>
        <w:tc>
          <w:tcPr>
            <w:shd w:val="clear" w:color="auto" w:fill="auto"/>
          </w:tcPr>
          <w:p w:rsidR="00B60380" w:rsidRPr="00B81F97" w:rsidP="00A2107F">
            <w:pPr>
              <w:pStyle w:val="Text1"/>
              <w:spacing w:before="0" w:after="0"/>
              <w:ind w:left="0"/>
              <w:jc w:val="right"/>
              <w:rPr>
                <w:lang w:val="fr-BE"/>
              </w:rPr>
            </w:pPr>
          </w:p>
        </w:tc>
      </w:tr>
    </w:tbl>
    <w:p w:rsidR="00955A91" w:rsidRPr="00955A91" w:rsidP="00115C60">
      <w:pPr>
        <w:rPr>
          <w:sz w:val="20"/>
          <w:szCs w:val="20"/>
        </w:rPr>
      </w:pPr>
      <w:r w:rsidRPr="00955A91">
        <w:rPr>
          <w:noProof/>
          <w:sz w:val="20"/>
          <w:szCs w:val="20"/>
        </w:rPr>
        <w:t>(*) V računovodskih izkazih so samo zneski, povezani s projekti.</w:t>
      </w:r>
    </w:p>
    <w:p w:rsidR="00094173" w:rsidRPr="00115C60" w:rsidP="00115C60">
      <w:pPr>
        <w:sectPr w:rsidSect="00DB4153">
          <w:headerReference w:type="default" r:id="rId17"/>
          <w:footerReference w:type="default" r:id="rId18"/>
          <w:headerReference w:type="first" r:id="rId19"/>
          <w:footerReference w:type="first" r:id="rId20"/>
          <w:pgSz w:w="11906" w:h="16838"/>
          <w:pgMar w:top="284" w:right="851" w:bottom="284" w:left="284" w:header="567" w:footer="0" w:gutter="0"/>
          <w:cols w:space="708"/>
          <w:docGrid w:linePitch="360"/>
        </w:sectPr>
      </w:pPr>
    </w:p>
    <w:p w:rsidR="00D5077A" w:rsidP="00BE2F0F">
      <w:pPr>
        <w:pStyle w:val="Heading10"/>
        <w:numPr>
          <w:ilvl w:val="0"/>
          <w:numId w:val="0"/>
        </w:numPr>
        <w:ind w:right="-283"/>
      </w:pPr>
      <w:bookmarkStart w:id="24" w:name="_Toc256000026"/>
      <w:r>
        <w:rPr>
          <w:noProof/>
        </w:rPr>
        <w:t>Dokumenti</w:t>
      </w:r>
      <w:bookmarkEnd w:id="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Naslov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Vrsta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Lokalni sklic</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Referenčna številka Komisije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Datoteke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pošiljanja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Pošiljatelj</w:t>
            </w:r>
          </w:p>
        </w:tc>
      </w:tr>
    </w:tbl>
    <w:p w:rsidR="00094173" w:rsidRPr="00D5077A" w:rsidP="00BE2F0F">
      <w:pPr>
        <w:pStyle w:val="Normal0"/>
        <w:spacing w:before="0" w:after="0"/>
        <w:sectPr w:rsidSect="0087734D">
          <w:headerReference w:type="default" r:id="rId21"/>
          <w:footerReference w:type="default" r:id="rId22"/>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25" w:name="_Toc256000027"/>
      <w:r w:rsidR="00F05543">
        <w:rPr>
          <w:noProof/>
        </w:rPr>
        <w:t>Zadnji rezultati validacije</w:t>
      </w:r>
      <w:bookmarkEnd w:id="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2921"/>
        <w:gridCol w:w="2210"/>
        <w:gridCol w:w="10269"/>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P="00DD2742">
      <w:pPr>
        <w:pStyle w:val="Normal0"/>
      </w:pPr>
    </w:p>
    <w:sectPr w:rsidSect="009B4CA5">
      <w:headerReference w:type="default" r:id="rId23"/>
      <w:footerReference w:type="default" r:id="rId2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0000000000000000000"/>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60" w:rsidRPr="005432E7" w:rsidP="008E794B">
    <w:pPr>
      <w:pStyle w:val="Footer"/>
      <w:tabs>
        <w:tab w:val="clear" w:pos="4535"/>
        <w:tab w:val="center" w:pos="5387"/>
        <w:tab w:val="clear" w:pos="9071"/>
        <w:tab w:val="clear" w:pos="9921"/>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w:instrText>
    </w:r>
    <w:r>
      <w:instrText xml:space="preserve">PAGE  </w:instrText>
    </w:r>
    <w:r>
      <w:fldChar w:fldCharType="separate"/>
    </w:r>
    <w:r>
      <w:t>10</w:t>
    </w:r>
    <w:r>
      <w:fldChar w:fldCharType="end"/>
    </w:r>
    <w:r w:rsidRPr="007C3041">
      <w:tab/>
    </w:r>
    <w:r>
      <w:rPr>
        <w:rFonts w:ascii="Arial" w:hAnsi="Arial" w:cs="Arial"/>
        <w:b/>
        <w:noProof/>
        <w:sz w:val="48"/>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28</w:t>
    </w:r>
    <w:r w:rsidR="002C592F">
      <w:fldChar w:fldCharType="end"/>
    </w:r>
    <w:r w:rsidRPr="008E3442" w:rsidR="002C592F">
      <w:tab/>
    </w:r>
    <w:r w:rsidRPr="005F6C78" w:rsidR="002C592F">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7D" w:rsidRPr="00AB614B" w:rsidP="00AB614B">
    <w:pPr>
      <w:pStyle w:val="FooterLandscape"/>
      <w:tabs>
        <w:tab w:val="clear" w:pos="7285"/>
        <w:tab w:val="center" w:pos="7371"/>
        <w:tab w:val="clear" w:pos="10913"/>
        <w:tab w:val="clear" w:pos="15137"/>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52102">
      <w:rPr>
        <w:noProof/>
      </w:rPr>
      <w:t>11</w:t>
    </w:r>
    <w:r>
      <w:fldChar w:fldCharType="end"/>
    </w:r>
    <w:r w:rsidRPr="008E3442">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7D" w:rsidRPr="00942505" w:rsidP="00942505">
    <w:pPr>
      <w:pStyle w:val="Footer"/>
      <w:tabs>
        <w:tab w:val="clear" w:pos="4535"/>
        <w:tab w:val="center" w:pos="5387"/>
        <w:tab w:val="clear" w:pos="9071"/>
        <w:tab w:val="clear" w:pos="9921"/>
        <w:tab w:val="right" w:pos="10773"/>
      </w:tabs>
      <w:spacing w:before="0" w:after="240"/>
      <w:ind w:left="0" w:right="0"/>
      <w:rPr>
        <w:rFonts w:ascii="Arial" w:hAnsi="Arial" w:cs="Arial"/>
        <w:b/>
        <w:sz w:val="48"/>
      </w:rPr>
    </w:pPr>
    <w:r w:rsidR="00942505">
      <w:rPr>
        <w:rFonts w:ascii="Arial" w:hAnsi="Arial" w:cs="Arial"/>
        <w:b/>
        <w:noProof/>
        <w:sz w:val="48"/>
      </w:rPr>
      <w:t>SL</w:t>
    </w:r>
    <w:r w:rsidRPr="007C3041" w:rsidR="00942505">
      <w:rPr>
        <w:rFonts w:ascii="Arial" w:hAnsi="Arial" w:cs="Arial"/>
        <w:b/>
        <w:sz w:val="48"/>
      </w:rPr>
      <w:tab/>
    </w:r>
    <w:r w:rsidR="00942505">
      <w:fldChar w:fldCharType="begin"/>
    </w:r>
    <w:r w:rsidR="00942505">
      <w:instrText xml:space="preserve"> PAGE  </w:instrText>
    </w:r>
    <w:r w:rsidR="00942505">
      <w:fldChar w:fldCharType="separate"/>
    </w:r>
    <w:r w:rsidR="00942505">
      <w:t>12</w:t>
    </w:r>
    <w:r w:rsidR="00942505">
      <w:fldChar w:fldCharType="end"/>
    </w:r>
    <w:r w:rsidRPr="007C3041" w:rsidR="00942505">
      <w:tab/>
    </w:r>
    <w:r w:rsidR="00942505">
      <w:rPr>
        <w:rFonts w:ascii="Arial" w:hAnsi="Arial" w:cs="Arial"/>
        <w:b/>
        <w:noProof/>
        <w:sz w:val="48"/>
      </w:rPr>
      <w:t>SL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60" w:rsidRPr="00634112" w:rsidP="0072625A">
    <w:pPr>
      <w:pStyle w:val="FooterLandscape"/>
      <w:tabs>
        <w:tab w:val="clear" w:pos="7285"/>
        <w:tab w:val="center" w:pos="7371"/>
        <w:tab w:val="clear" w:pos="10913"/>
        <w:tab w:val="clear" w:pos="15137"/>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52102">
      <w:rPr>
        <w:noProof/>
      </w:rPr>
      <w:t>13</w:t>
    </w:r>
    <w:r>
      <w:fldChar w:fldCharType="end"/>
    </w:r>
    <w:r w:rsidRPr="008E3442">
      <w:tab/>
    </w:r>
    <w:r w:rsidRPr="005F6C78">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60" w:rsidRPr="00E57341" w:rsidP="00E57341">
    <w:pPr>
      <w:pStyle w:val="Footer"/>
      <w:tabs>
        <w:tab w:val="clear" w:pos="4535"/>
        <w:tab w:val="center" w:pos="5387"/>
        <w:tab w:val="clear" w:pos="9071"/>
        <w:tab w:val="clear" w:pos="9921"/>
        <w:tab w:val="right" w:pos="10773"/>
      </w:tabs>
      <w:spacing w:before="0" w:after="240"/>
      <w:ind w:left="0" w:right="0"/>
      <w:rPr>
        <w:rFonts w:ascii="Arial" w:hAnsi="Arial" w:cs="Arial"/>
        <w:b/>
        <w:sz w:val="48"/>
      </w:rPr>
    </w:pPr>
    <w:r w:rsidR="00E57341">
      <w:rPr>
        <w:rFonts w:ascii="Arial" w:hAnsi="Arial" w:cs="Arial"/>
        <w:b/>
        <w:noProof/>
        <w:sz w:val="48"/>
      </w:rPr>
      <w:t>SL</w:t>
    </w:r>
    <w:r w:rsidRPr="007C3041" w:rsidR="00E57341">
      <w:rPr>
        <w:rFonts w:ascii="Arial" w:hAnsi="Arial" w:cs="Arial"/>
        <w:b/>
        <w:sz w:val="48"/>
      </w:rPr>
      <w:tab/>
    </w:r>
    <w:r w:rsidR="00E57341">
      <w:fldChar w:fldCharType="begin"/>
    </w:r>
    <w:r w:rsidR="00E57341">
      <w:instrText xml:space="preserve"> PAGE  </w:instrText>
    </w:r>
    <w:r w:rsidR="00E57341">
      <w:fldChar w:fldCharType="separate"/>
    </w:r>
    <w:r w:rsidR="00E57341">
      <w:t>22</w:t>
    </w:r>
    <w:r w:rsidR="00E57341">
      <w:fldChar w:fldCharType="end"/>
    </w:r>
    <w:r w:rsidRPr="007C3041" w:rsidR="00E57341">
      <w:tab/>
    </w:r>
    <w:r w:rsidR="00E57341">
      <w:rPr>
        <w:rFonts w:ascii="Arial" w:hAnsi="Arial" w:cs="Arial"/>
        <w:b/>
        <w:noProof/>
        <w:sz w:val="48"/>
      </w:rPr>
      <w:t>SL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60" w:rsidRPr="00091521" w:rsidP="00DB4153">
    <w:pPr>
      <w:pStyle w:val="FooterLandscape"/>
      <w:tabs>
        <w:tab w:val="clear" w:pos="7285"/>
        <w:tab w:val="center" w:pos="7371"/>
        <w:tab w:val="clear" w:pos="10913"/>
        <w:tab w:val="clear" w:pos="15137"/>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52102">
      <w:rPr>
        <w:noProof/>
      </w:rPr>
      <w:t>24</w:t>
    </w:r>
    <w:r>
      <w:fldChar w:fldCharType="end"/>
    </w:r>
    <w:r w:rsidRPr="008E3442">
      <w:tab/>
    </w:r>
    <w:r w:rsidRPr="005F6C78">
      <w:rPr>
        <w:rFonts w:ascii="Arial" w:hAnsi="Arial" w:cs="Arial"/>
        <w:b/>
        <w:noProof/>
        <w:sz w:val="48"/>
        <w:szCs w:val="48"/>
        <w:lang w:val="fr-BE"/>
      </w:rPr>
      <w:t>SL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CC3B15" w:rsidP="00CC3B15">
    <w:pPr>
      <w:pStyle w:val="Footer"/>
      <w:tabs>
        <w:tab w:val="clear" w:pos="4535"/>
        <w:tab w:val="center" w:pos="5387"/>
        <w:tab w:val="clear" w:pos="9071"/>
        <w:tab w:val="clear" w:pos="9921"/>
        <w:tab w:val="right" w:pos="10773"/>
      </w:tabs>
      <w:spacing w:before="0" w:after="240"/>
      <w:ind w:left="0" w:right="0"/>
      <w:rPr>
        <w:rFonts w:ascii="Arial" w:hAnsi="Arial" w:cs="Arial"/>
        <w:b/>
        <w:sz w:val="48"/>
      </w:rPr>
    </w:pPr>
    <w:r w:rsidR="00CC3B15">
      <w:rPr>
        <w:rFonts w:ascii="Arial" w:hAnsi="Arial" w:cs="Arial"/>
        <w:b/>
        <w:noProof/>
        <w:sz w:val="48"/>
      </w:rPr>
      <w:t>SL</w:t>
    </w:r>
    <w:r w:rsidRPr="007C3041" w:rsidR="00CC3B15">
      <w:rPr>
        <w:rFonts w:ascii="Arial" w:hAnsi="Arial" w:cs="Arial"/>
        <w:b/>
        <w:sz w:val="48"/>
      </w:rPr>
      <w:tab/>
    </w:r>
    <w:r w:rsidR="00CC3B15">
      <w:fldChar w:fldCharType="begin"/>
    </w:r>
    <w:r w:rsidR="00CC3B15">
      <w:instrText xml:space="preserve"> PAGE  </w:instrText>
    </w:r>
    <w:r w:rsidR="00CC3B15">
      <w:fldChar w:fldCharType="separate"/>
    </w:r>
    <w:r w:rsidR="00CC3B15">
      <w:t>26</w:t>
    </w:r>
    <w:r w:rsidR="00CC3B15">
      <w:fldChar w:fldCharType="end"/>
    </w:r>
    <w:r w:rsidRPr="007C3041" w:rsidR="00CC3B15">
      <w:tab/>
    </w:r>
    <w:r w:rsidR="00CC3B15">
      <w:rPr>
        <w:rFonts w:ascii="Arial" w:hAnsi="Arial" w:cs="Arial"/>
        <w:b/>
        <w:noProof/>
        <w:sz w:val="48"/>
      </w:rPr>
      <w:t>SL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SL</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27</w:t>
    </w:r>
    <w:r w:rsidR="00A91FB2">
      <w:fldChar w:fldCharType="end"/>
    </w:r>
    <w:r w:rsidRPr="008E3442" w:rsidR="00A91FB2">
      <w:tab/>
    </w:r>
    <w:r w:rsidRPr="005F6C78" w:rsidR="00A91FB2">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B3" w:rsidP="008E794B">
    <w:pPr>
      <w:pStyle w:val="Header"/>
      <w:spacing w:before="0" w:after="24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1"/>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7D" w:rsidP="00166DC8">
    <w:pPr>
      <w:pStyle w:val="Header"/>
      <w:spacing w:before="0"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46" w:rsidP="00957B74">
    <w:pPr>
      <w:pStyle w:val="Header"/>
      <w:spacing w:before="0" w:after="2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1C" w:rsidP="00957B74">
    <w:pPr>
      <w:pStyle w:val="Header"/>
      <w:spacing w:before="0" w:after="2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1C" w:rsidP="00957B74">
    <w:pPr>
      <w:pStyle w:val="Header"/>
      <w:spacing w:before="0" w:after="24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1C" w:rsidP="00E367EA">
    <w:pPr>
      <w:pStyle w:val="Header"/>
      <w:tabs>
        <w:tab w:val="clear" w:pos="4535"/>
        <w:tab w:val="center" w:pos="7371"/>
        <w:tab w:val="clear" w:pos="9071"/>
        <w:tab w:val="right" w:pos="15309"/>
      </w:tabs>
      <w:spacing w:before="0" w:after="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DB4153">
    <w:pPr>
      <w:pStyle w:val="Header"/>
      <w:spacing w:before="0" w:after="240"/>
      <w:rPr>
        <w:sz w:val="8"/>
        <w:szCs w:val="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0"/>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54660"/>
    <w:multiLevelType w:val="hybridMultilevel"/>
    <w:tmpl w:val="0EA2D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9">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BE95D80"/>
    <w:multiLevelType w:val="hybridMultilevel"/>
    <w:tmpl w:val="7BE95D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BE95D81"/>
    <w:multiLevelType w:val="hybridMultilevel"/>
    <w:tmpl w:val="7BE95D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BE95D82"/>
    <w:multiLevelType w:val="hybridMultilevel"/>
    <w:tmpl w:val="7BE95D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BE95D83"/>
    <w:multiLevelType w:val="hybridMultilevel"/>
    <w:tmpl w:val="7BE95D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BE95D84"/>
    <w:multiLevelType w:val="hybridMultilevel"/>
    <w:tmpl w:val="7BE95D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1010090880"/>
      <w:lvl w:ilvl="0">
        <w:start w:val="6"/>
        <w:numFmt w:val="decimal"/>
        <w:lvlText w:val="%1."/>
        <w:lvlJc w:val="left"/>
        <w:pPr>
          <w:tabs>
            <w:tab w:val="num" w:pos="992"/>
          </w:tabs>
          <w:ind w:left="992" w:hanging="850"/>
        </w:pPr>
        <w:rPr>
          <w:rFonts w:hint="default"/>
        </w:rPr>
      </w:lvl>
    </w:lvlOverride>
    <w:lvlOverride w:ilvl="1">
      <w:startOverride w:val="-1010090000"/>
      <w:lvl w:ilvl="1">
        <w:start w:val="1"/>
        <w:numFmt w:val="decimal"/>
        <w:lvlText w:val="%1.%2."/>
        <w:lvlJc w:val="left"/>
        <w:pPr>
          <w:tabs>
            <w:tab w:val="num" w:pos="850"/>
          </w:tabs>
          <w:ind w:left="850" w:hanging="850"/>
        </w:pPr>
        <w:rPr>
          <w:rFonts w:hint="default"/>
        </w:rPr>
      </w:lvl>
    </w:lvlOverride>
    <w:lvlOverride w:ilvl="2">
      <w:startOverride w:val="-1010086960"/>
      <w:lvl w:ilvl="2">
        <w:start w:val="1"/>
        <w:numFmt w:val="decimal"/>
        <w:lvlText w:val="%1.%2.%3."/>
        <w:lvlJc w:val="left"/>
        <w:pPr>
          <w:tabs>
            <w:tab w:val="num" w:pos="850"/>
          </w:tabs>
          <w:ind w:left="850" w:hanging="850"/>
        </w:pPr>
        <w:rPr>
          <w:rFonts w:hint="default"/>
          <w:b/>
        </w:rPr>
      </w:lvl>
    </w:lvlOverride>
    <w:lvlOverride w:ilvl="3">
      <w:startOverride w:val="-1010085200"/>
      <w:lvl w:ilvl="3">
        <w:start w:val="1"/>
        <w:numFmt w:val="decimal"/>
        <w:lvlText w:val="%1.%2.%3.%4."/>
        <w:lvlJc w:val="left"/>
        <w:pPr>
          <w:tabs>
            <w:tab w:val="num" w:pos="850"/>
          </w:tabs>
          <w:ind w:left="850" w:hanging="850"/>
        </w:pPr>
        <w:rPr>
          <w:rFonts w:hint="default"/>
        </w:rPr>
      </w:lvl>
    </w:lvlOverride>
    <w:lvlOverride w:ilvl="4">
      <w:startOverride w:val="-1010087360"/>
      <w:lvl w:ilvl="4">
        <w:start w:val="1"/>
        <w:numFmt w:val="lowerLetter"/>
        <w:lvlText w:val="(%5)"/>
        <w:lvlJc w:val="left"/>
        <w:pPr>
          <w:tabs>
            <w:tab w:val="num" w:pos="1800"/>
          </w:tabs>
          <w:ind w:left="1800" w:hanging="360"/>
        </w:pPr>
        <w:rPr>
          <w:rFonts w:hint="default"/>
        </w:rPr>
      </w:lvl>
    </w:lvlOverride>
    <w:lvlOverride w:ilvl="5">
      <w:startOverride w:val="-1010083360"/>
      <w:lvl w:ilvl="5">
        <w:start w:val="1"/>
        <w:numFmt w:val="lowerRoman"/>
        <w:lvlText w:val="(%6)"/>
        <w:lvlJc w:val="left"/>
        <w:pPr>
          <w:tabs>
            <w:tab w:val="num" w:pos="2160"/>
          </w:tabs>
          <w:ind w:left="2160" w:hanging="360"/>
        </w:pPr>
        <w:rPr>
          <w:rFonts w:hint="default"/>
        </w:rPr>
      </w:lvl>
    </w:lvlOverride>
    <w:lvlOverride w:ilvl="6">
      <w:startOverride w:val="-1010084880"/>
      <w:lvl w:ilvl="6">
        <w:start w:val="1"/>
        <w:numFmt w:val="decimal"/>
        <w:lvlText w:val="%7."/>
        <w:lvlJc w:val="left"/>
        <w:pPr>
          <w:tabs>
            <w:tab w:val="num" w:pos="2520"/>
          </w:tabs>
          <w:ind w:left="2520" w:hanging="360"/>
        </w:pPr>
        <w:rPr>
          <w:rFonts w:hint="default"/>
        </w:rPr>
      </w:lvl>
    </w:lvlOverride>
    <w:lvlOverride w:ilvl="7">
      <w:startOverride w:val="-1010082560"/>
      <w:lvl w:ilvl="7">
        <w:start w:val="1"/>
        <w:numFmt w:val="lowerLetter"/>
        <w:lvlText w:val="%8."/>
        <w:lvlJc w:val="left"/>
        <w:pPr>
          <w:tabs>
            <w:tab w:val="num" w:pos="2880"/>
          </w:tabs>
          <w:ind w:left="2880" w:hanging="360"/>
        </w:pPr>
        <w:rPr>
          <w:rFonts w:hint="default"/>
        </w:rPr>
      </w:lvl>
    </w:lvlOverride>
    <w:lvlOverride w:ilvl="8">
      <w:startOverride w:val="-1010084640"/>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3D38C3"/>
    <w:pPr>
      <w:spacing w:before="0" w:after="0"/>
      <w:ind w:left="240"/>
      <w:jc w:val="left"/>
    </w:pPr>
    <w:rPr>
      <w:smallCaps/>
      <w:sz w:val="20"/>
      <w:szCs w:val="20"/>
    </w:rPr>
  </w:style>
  <w:style w:type="paragraph" w:styleId="TOC3">
    <w:name w:val="toc 3"/>
    <w:basedOn w:val="Normal"/>
    <w:next w:val="Normal"/>
    <w:rsid w:val="003D38C3"/>
    <w:pPr>
      <w:spacing w:before="0" w:after="0"/>
      <w:ind w:left="480"/>
      <w:jc w:val="left"/>
    </w:pPr>
    <w:rPr>
      <w:i/>
      <w:iCs/>
      <w:sz w:val="20"/>
      <w:szCs w:val="20"/>
    </w:rPr>
  </w:style>
  <w:style w:type="paragraph" w:styleId="TOC4">
    <w:name w:val="toc 4"/>
    <w:basedOn w:val="Normal"/>
    <w:next w:val="Normal"/>
    <w:semiHidden/>
    <w:rsid w:val="003D38C3"/>
    <w:pPr>
      <w:spacing w:before="0" w:after="0"/>
      <w:ind w:left="720"/>
      <w:jc w:val="left"/>
    </w:pPr>
    <w:rPr>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Normal"/>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6838-41F8-4D58-A870-1915141B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5786</TotalTime>
  <Pages>28</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179</cp:revision>
  <cp:lastPrinted>2018-07-02T12:30:00Z</cp:lastPrinted>
  <dcterms:created xsi:type="dcterms:W3CDTF">2024-01-19T09:45:56Z</dcterms:created>
  <dcterms:modified xsi:type="dcterms:W3CDTF">2024-01-19T09:45:56Z</dcterms:modified>
</cp:coreProperties>
</file>