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4F1EEC" w:rsidRPr="00376B28" w:rsidP="007C7090">
      <w:pPr>
        <w:pStyle w:val="ChapterTitle"/>
        <w:spacing w:before="0" w:after="0"/>
      </w:pPr>
      <w:r>
        <w:rPr>
          <w:noProof/>
        </w:rPr>
        <w:t>POROČILO O IZVAJANJU ISF</w:t>
      </w:r>
    </w:p>
    <w:p w:rsidR="004F1EEC" w:rsidRPr="00D5173B" w:rsidP="007C7090">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7"/>
        <w:gridCol w:w="7624"/>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2"/>
        </w:trPr>
        <w:tc>
          <w:tcPr>
            <w:shd w:val="clear" w:color="auto" w:fill="auto"/>
          </w:tcPr>
          <w:p w:rsidR="004F1EEC" w:rsidRPr="0019232D" w:rsidP="007C7090">
            <w:pPr>
              <w:spacing w:before="0" w:after="0"/>
            </w:pPr>
            <w:r>
              <w:rPr>
                <w:noProof/>
              </w:rPr>
              <w:t>Številka CCI</w:t>
            </w:r>
          </w:p>
        </w:tc>
        <w:tc>
          <w:tcPr>
            <w:shd w:val="clear" w:color="auto" w:fill="auto"/>
          </w:tcPr>
          <w:p w:rsidR="004F1EEC" w:rsidRPr="0019232D" w:rsidP="007C7090">
            <w:pPr>
              <w:spacing w:before="0" w:after="0"/>
              <w:rPr>
                <w:color w:val="000000"/>
              </w:rPr>
            </w:pPr>
            <w:r>
              <w:rPr>
                <w:noProof/>
                <w:color w:val="000000"/>
              </w:rPr>
              <w:t>2014SI65ISNP001</w:t>
            </w:r>
          </w:p>
        </w:tc>
      </w:tr>
      <w:tr w:rsidTr="008E16E1">
        <w:tblPrEx>
          <w:tblW w:w="5000" w:type="pct"/>
          <w:tblLook w:val="04A0"/>
        </w:tblPrEx>
        <w:trPr>
          <w:trHeight w:val="269"/>
        </w:trPr>
        <w:tc>
          <w:tcPr>
            <w:shd w:val="clear" w:color="auto" w:fill="auto"/>
          </w:tcPr>
          <w:p w:rsidR="004F1EEC" w:rsidRPr="00F433EE" w:rsidP="007C7090">
            <w:pPr>
              <w:spacing w:before="0" w:after="0"/>
            </w:pPr>
            <w:r>
              <w:rPr>
                <w:noProof/>
              </w:rPr>
              <w:t>Naslov</w:t>
            </w:r>
          </w:p>
        </w:tc>
        <w:tc>
          <w:tcPr>
            <w:shd w:val="clear" w:color="auto" w:fill="auto"/>
          </w:tcPr>
          <w:p w:rsidR="004F1EEC" w:rsidRPr="0019232D" w:rsidP="007C7090">
            <w:pPr>
              <w:spacing w:before="0" w:after="0"/>
              <w:rPr>
                <w:color w:val="000000"/>
              </w:rPr>
            </w:pPr>
            <w:r>
              <w:rPr>
                <w:noProof/>
                <w:color w:val="000000"/>
              </w:rPr>
              <w:t>Slovenija National Programme ISF</w:t>
            </w:r>
          </w:p>
        </w:tc>
      </w:tr>
      <w:tr w:rsidTr="008E16E1">
        <w:tblPrEx>
          <w:tblW w:w="5000" w:type="pct"/>
          <w:tblLook w:val="04A0"/>
        </w:tblPrEx>
        <w:trPr>
          <w:trHeight w:val="138"/>
        </w:trPr>
        <w:tc>
          <w:tcPr>
            <w:shd w:val="clear" w:color="auto" w:fill="auto"/>
          </w:tcPr>
          <w:p w:rsidR="004F1EEC" w:rsidRPr="0019232D" w:rsidP="007C7090">
            <w:pPr>
              <w:spacing w:before="0" w:after="0"/>
            </w:pPr>
            <w:r>
              <w:rPr>
                <w:noProof/>
              </w:rPr>
              <w:t>Različica</w:t>
            </w:r>
          </w:p>
        </w:tc>
        <w:tc>
          <w:tcPr>
            <w:shd w:val="clear" w:color="auto" w:fill="auto"/>
          </w:tcPr>
          <w:p w:rsidR="004F1EEC" w:rsidRPr="0019232D" w:rsidP="007C7090">
            <w:pPr>
              <w:spacing w:before="0" w:after="0"/>
              <w:rPr>
                <w:color w:val="000000"/>
              </w:rPr>
            </w:pPr>
            <w:r>
              <w:rPr>
                <w:noProof/>
                <w:color w:val="000000"/>
              </w:rPr>
              <w:t>2022.0</w:t>
            </w:r>
          </w:p>
        </w:tc>
      </w:tr>
    </w:tbl>
    <w:p w:rsidR="004F1EEC" w:rsidP="007C7090">
      <w:pPr>
        <w:spacing w:before="0" w:after="0"/>
      </w:pPr>
    </w:p>
    <w:p w:rsidR="00D22822" w:rsidP="007C7090">
      <w:pPr>
        <w:spacing w:before="0" w:after="0"/>
        <w:jc w:val="left"/>
        <w:rPr>
          <w:noProof/>
        </w:rPr>
      </w:pPr>
      <w:r w:rsidR="004F1EEC">
        <w:br w:type="page"/>
      </w:r>
      <w:r w:rsidRPr="001D77F2" w:rsidR="004F1EEC">
        <w:fldChar w:fldCharType="begin"/>
      </w:r>
      <w:r w:rsidRPr="001D77F2" w:rsidR="004F1EEC">
        <w:instrText xml:space="preserve"> TOC \h Hyperlinks </w:instrText>
      </w:r>
      <w:r w:rsidR="00297757">
        <w:fldChar w:fldCharType="separate"/>
      </w:r>
    </w:p>
    <w:p>
      <w:pPr>
        <w:pStyle w:val="TOC1"/>
        <w:tabs>
          <w:tab w:val="right" w:leader="dot" w:pos="10761"/>
        </w:tabs>
        <w:rPr>
          <w:rFonts w:asciiTheme="minorHAnsi" w:hAnsiTheme="minorHAnsi"/>
          <w:noProof/>
          <w:sz w:val="22"/>
        </w:rPr>
      </w:pPr>
      <w:hyperlink w:anchor="_Toc256000000" w:history="1">
        <w:r w:rsidRPr="004E3E1A">
          <w:rPr>
            <w:rStyle w:val="Hyperlink"/>
            <w:noProof/>
          </w:rPr>
          <w:t>ODDELEK 3: PROGRAMSKI CILJI</w:t>
        </w:r>
        <w:r>
          <w:tab/>
        </w:r>
        <w:r>
          <w:fldChar w:fldCharType="begin"/>
        </w:r>
        <w:r>
          <w:instrText xml:space="preserve"> PAGEREF _Toc256000000 \h </w:instrText>
        </w:r>
        <w:r>
          <w:fldChar w:fldCharType="separate"/>
        </w:r>
        <w:r>
          <w:t>3</w:t>
        </w:r>
        <w:r>
          <w:fldChar w:fldCharType="end"/>
        </w:r>
      </w:hyperlink>
    </w:p>
    <w:p>
      <w:pPr>
        <w:pStyle w:val="TOC1"/>
        <w:tabs>
          <w:tab w:val="right" w:leader="dot" w:pos="10761"/>
        </w:tabs>
        <w:rPr>
          <w:rFonts w:asciiTheme="minorHAnsi" w:hAnsiTheme="minorHAnsi"/>
          <w:noProof/>
          <w:sz w:val="22"/>
        </w:rPr>
      </w:pPr>
      <w:hyperlink w:anchor="_Toc256000001" w:history="1">
        <w:r w:rsidRPr="00F9367D">
          <w:rPr>
            <w:rStyle w:val="Hyperlink"/>
            <w:noProof/>
          </w:rPr>
          <w:t>Okvirni časovni razpored</w:t>
        </w:r>
        <w:r>
          <w:tab/>
        </w:r>
        <w:r>
          <w:fldChar w:fldCharType="begin"/>
        </w:r>
        <w:r>
          <w:instrText xml:space="preserve"> PAGEREF _Toc256000001 \h </w:instrText>
        </w:r>
        <w:r>
          <w:fldChar w:fldCharType="separate"/>
        </w:r>
        <w:r>
          <w:t>17</w:t>
        </w:r>
        <w:r>
          <w:fldChar w:fldCharType="end"/>
        </w:r>
      </w:hyperlink>
    </w:p>
    <w:p>
      <w:pPr>
        <w:pStyle w:val="TOC1"/>
        <w:tabs>
          <w:tab w:val="right" w:leader="dot" w:pos="10761"/>
        </w:tabs>
        <w:rPr>
          <w:rFonts w:asciiTheme="minorHAnsi" w:hAnsiTheme="minorHAnsi"/>
          <w:noProof/>
          <w:sz w:val="22"/>
        </w:rPr>
      </w:pPr>
      <w:hyperlink w:anchor="_Toc256000002" w:history="1">
        <w:r>
          <w:rPr>
            <w:rStyle w:val="Hyperlink"/>
            <w:noProof/>
            <w:lang w:val="fr-BE"/>
          </w:rPr>
          <w:t>ODDELEK 5: SKUPNI KAZALNIKI IN KAZALNIKI ZA POSAMEZNE PROGRAME</w:t>
        </w:r>
        <w:r>
          <w:tab/>
        </w:r>
        <w:r>
          <w:fldChar w:fldCharType="begin"/>
        </w:r>
        <w:r>
          <w:instrText xml:space="preserve"> PAGEREF _Toc256000002 \h </w:instrText>
        </w:r>
        <w:r>
          <w:fldChar w:fldCharType="separate"/>
        </w:r>
        <w:r>
          <w:t>19</w:t>
        </w:r>
        <w:r>
          <w:fldChar w:fldCharType="end"/>
        </w:r>
      </w:hyperlink>
    </w:p>
    <w:p>
      <w:pPr>
        <w:pStyle w:val="TOC1"/>
        <w:tabs>
          <w:tab w:val="right" w:leader="dot" w:pos="10761"/>
        </w:tabs>
        <w:rPr>
          <w:rFonts w:asciiTheme="minorHAnsi" w:hAnsiTheme="minorHAnsi"/>
          <w:noProof/>
          <w:sz w:val="22"/>
        </w:rPr>
      </w:pPr>
      <w:hyperlink w:anchor="_Toc256000003" w:history="1">
        <w:r>
          <w:rPr>
            <w:rStyle w:val="Hyperlink"/>
            <w:noProof/>
            <w:lang w:val="fr-BE"/>
          </w:rPr>
          <w:t>ODDELEK 6: OKVIR ZA PRIPRAVO IN IZVAJANJE PROGRAMA S STRANI DRŽAVE ČLANICE</w:t>
        </w:r>
        <w:r>
          <w:tab/>
        </w:r>
        <w:r>
          <w:fldChar w:fldCharType="begin"/>
        </w:r>
        <w:r>
          <w:instrText xml:space="preserve"> PAGEREF _Toc256000003 \h </w:instrText>
        </w:r>
        <w:r>
          <w:fldChar w:fldCharType="separate"/>
        </w:r>
        <w:r>
          <w:t>23</w:t>
        </w:r>
        <w:r>
          <w:fldChar w:fldCharType="end"/>
        </w:r>
      </w:hyperlink>
    </w:p>
    <w:p>
      <w:pPr>
        <w:pStyle w:val="TOC2"/>
        <w:tabs>
          <w:tab w:val="right" w:leader="dot" w:pos="10761"/>
        </w:tabs>
        <w:rPr>
          <w:rFonts w:asciiTheme="minorHAnsi" w:hAnsiTheme="minorHAnsi"/>
          <w:noProof/>
          <w:sz w:val="22"/>
        </w:rPr>
      </w:pPr>
      <w:hyperlink w:anchor="_Toc256000004" w:history="1">
        <w:r>
          <w:rPr>
            <w:rStyle w:val="Hyperlink"/>
            <w:noProof/>
            <w:lang w:val="fr-BE"/>
          </w:rPr>
          <w:t>6.1 Odbor za spremljanje (člen 12(4) Uredbe (EU) št. 514/2014)</w:t>
        </w:r>
        <w:r>
          <w:tab/>
        </w:r>
        <w:r>
          <w:fldChar w:fldCharType="begin"/>
        </w:r>
        <w:r>
          <w:instrText xml:space="preserve"> PAGEREF _Toc256000004 \h </w:instrText>
        </w:r>
        <w:r>
          <w:fldChar w:fldCharType="separate"/>
        </w:r>
        <w:r>
          <w:t>23</w:t>
        </w:r>
        <w:r>
          <w:fldChar w:fldCharType="end"/>
        </w:r>
      </w:hyperlink>
    </w:p>
    <w:p>
      <w:pPr>
        <w:pStyle w:val="TOC2"/>
        <w:tabs>
          <w:tab w:val="right" w:leader="dot" w:pos="10761"/>
        </w:tabs>
        <w:rPr>
          <w:rFonts w:asciiTheme="minorHAnsi" w:hAnsiTheme="minorHAnsi"/>
          <w:noProof/>
          <w:sz w:val="22"/>
        </w:rPr>
      </w:pPr>
      <w:hyperlink w:anchor="_Toc256000005" w:history="1">
        <w:r>
          <w:rPr>
            <w:rStyle w:val="Hyperlink"/>
            <w:noProof/>
            <w:lang w:val="fr-BE"/>
          </w:rPr>
          <w:t>6.2 Skupni okvir za spremljanje in vrednotenje (člen 14(2)(f) Uredbe (EU) št. 514/2014)</w:t>
        </w:r>
        <w:r>
          <w:tab/>
        </w:r>
        <w:r>
          <w:fldChar w:fldCharType="begin"/>
        </w:r>
        <w:r>
          <w:instrText xml:space="preserve"> PAGEREF _Toc256000005 \h </w:instrText>
        </w:r>
        <w:r>
          <w:fldChar w:fldCharType="separate"/>
        </w:r>
        <w:r>
          <w:t>24</w:t>
        </w:r>
        <w:r>
          <w:fldChar w:fldCharType="end"/>
        </w:r>
      </w:hyperlink>
    </w:p>
    <w:p>
      <w:pPr>
        <w:pStyle w:val="TOC2"/>
        <w:tabs>
          <w:tab w:val="right" w:leader="dot" w:pos="10761"/>
        </w:tabs>
        <w:rPr>
          <w:rFonts w:asciiTheme="minorHAnsi" w:hAnsiTheme="minorHAnsi"/>
          <w:noProof/>
          <w:sz w:val="22"/>
        </w:rPr>
      </w:pPr>
      <w:hyperlink w:anchor="_Toc256000006" w:history="1">
        <w:r>
          <w:rPr>
            <w:rStyle w:val="Hyperlink"/>
            <w:noProof/>
            <w:lang w:val="fr-BE"/>
          </w:rPr>
          <w:t>Ukrepi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_Toc256000006 \h </w:instrText>
        </w:r>
        <w:r>
          <w:fldChar w:fldCharType="separate"/>
        </w:r>
        <w:r>
          <w:t>24</w:t>
        </w:r>
        <w:r>
          <w:fldChar w:fldCharType="end"/>
        </w:r>
      </w:hyperlink>
    </w:p>
    <w:p>
      <w:pPr>
        <w:pStyle w:val="TOC2"/>
        <w:tabs>
          <w:tab w:val="right" w:leader="dot" w:pos="10761"/>
        </w:tabs>
        <w:rPr>
          <w:rFonts w:asciiTheme="minorHAnsi" w:hAnsiTheme="minorHAnsi"/>
          <w:noProof/>
          <w:sz w:val="22"/>
        </w:rPr>
      </w:pPr>
      <w:hyperlink w:anchor="_Toc256000007" w:history="1">
        <w:r>
          <w:rPr>
            <w:rStyle w:val="Hyperlink"/>
            <w:noProof/>
            <w:lang w:val="fr-BE"/>
          </w:rPr>
          <w:t>6.3 Partnersko sodelovanje pri izvajanju, spremljanju in vrednotenju nacionalnega programa (člen 12(3) Uredbe (EU) št. 514/2014)</w:t>
        </w:r>
        <w:r>
          <w:tab/>
        </w:r>
        <w:r>
          <w:fldChar w:fldCharType="begin"/>
        </w:r>
        <w:r>
          <w:instrText xml:space="preserve"> PAGEREF _Toc256000007 \h </w:instrText>
        </w:r>
        <w:r>
          <w:fldChar w:fldCharType="separate"/>
        </w:r>
        <w:r>
          <w:t>26</w:t>
        </w:r>
        <w:r>
          <w:fldChar w:fldCharType="end"/>
        </w:r>
      </w:hyperlink>
    </w:p>
    <w:p>
      <w:pPr>
        <w:pStyle w:val="TOC2"/>
        <w:tabs>
          <w:tab w:val="right" w:leader="dot" w:pos="10761"/>
        </w:tabs>
        <w:rPr>
          <w:rFonts w:asciiTheme="minorHAnsi" w:hAnsiTheme="minorHAnsi"/>
          <w:noProof/>
          <w:sz w:val="22"/>
        </w:rPr>
      </w:pPr>
      <w:hyperlink w:anchor="_Toc256000008" w:history="1">
        <w:r w:rsidRPr="00A1528F">
          <w:rPr>
            <w:rStyle w:val="Hyperlink"/>
            <w:noProof/>
          </w:rPr>
          <w:t>Na kratko opišite glavne prispevke in mnenja partnerjev v proračunskem letu.</w:t>
        </w:r>
        <w:r>
          <w:tab/>
        </w:r>
        <w:r>
          <w:fldChar w:fldCharType="begin"/>
        </w:r>
        <w:r>
          <w:instrText xml:space="preserve"> PAGEREF _Toc256000008 \h </w:instrText>
        </w:r>
        <w:r>
          <w:fldChar w:fldCharType="separate"/>
        </w:r>
        <w:r>
          <w:t>26</w:t>
        </w:r>
        <w:r>
          <w:fldChar w:fldCharType="end"/>
        </w:r>
      </w:hyperlink>
    </w:p>
    <w:p>
      <w:pPr>
        <w:pStyle w:val="TOC2"/>
        <w:tabs>
          <w:tab w:val="right" w:leader="dot" w:pos="10761"/>
        </w:tabs>
        <w:rPr>
          <w:rFonts w:asciiTheme="minorHAnsi" w:hAnsiTheme="minorHAnsi"/>
          <w:noProof/>
          <w:sz w:val="22"/>
        </w:rPr>
      </w:pPr>
      <w:hyperlink w:anchor="_Toc256000009" w:history="1">
        <w:r>
          <w:rPr>
            <w:rStyle w:val="Hyperlink"/>
            <w:noProof/>
            <w:lang w:val="fr-BE"/>
          </w:rPr>
          <w:t>6.4 Obveščanje in objavljanje (člen 48 Uredbe (EU) št. 514/2014)</w:t>
        </w:r>
        <w:r>
          <w:tab/>
        </w:r>
        <w:r>
          <w:fldChar w:fldCharType="begin"/>
        </w:r>
        <w:r>
          <w:instrText xml:space="preserve"> PAGEREF _Toc256000009 \h </w:instrText>
        </w:r>
        <w:r>
          <w:fldChar w:fldCharType="separate"/>
        </w:r>
        <w:r>
          <w:t>28</w:t>
        </w:r>
        <w:r>
          <w:fldChar w:fldCharType="end"/>
        </w:r>
      </w:hyperlink>
    </w:p>
    <w:p>
      <w:pPr>
        <w:pStyle w:val="TOC2"/>
        <w:tabs>
          <w:tab w:val="right" w:leader="dot" w:pos="10761"/>
        </w:tabs>
        <w:rPr>
          <w:rFonts w:asciiTheme="minorHAnsi" w:hAnsiTheme="minorHAnsi"/>
          <w:noProof/>
          <w:sz w:val="22"/>
        </w:rPr>
      </w:pPr>
      <w:hyperlink w:anchor="_Toc256000010" w:history="1">
        <w:r>
          <w:rPr>
            <w:rStyle w:val="Hyperlink"/>
            <w:noProof/>
            <w:lang w:val="fr-BE"/>
          </w:rPr>
          <w:t>Navedite povezavo do spletišča programa.</w:t>
        </w:r>
        <w:r>
          <w:tab/>
        </w:r>
        <w:r>
          <w:fldChar w:fldCharType="begin"/>
        </w:r>
        <w:r>
          <w:instrText xml:space="preserve"> PAGEREF _Toc256000010 \h </w:instrText>
        </w:r>
        <w:r>
          <w:fldChar w:fldCharType="separate"/>
        </w:r>
        <w:r>
          <w:t>28</w:t>
        </w:r>
        <w:r>
          <w:fldChar w:fldCharType="end"/>
        </w:r>
      </w:hyperlink>
    </w:p>
    <w:p>
      <w:pPr>
        <w:pStyle w:val="TOC2"/>
        <w:tabs>
          <w:tab w:val="right" w:leader="dot" w:pos="10761"/>
        </w:tabs>
        <w:rPr>
          <w:rFonts w:asciiTheme="minorHAnsi" w:hAnsiTheme="minorHAnsi"/>
          <w:noProof/>
          <w:sz w:val="22"/>
        </w:rPr>
      </w:pPr>
      <w:hyperlink w:anchor="_Toc256000011" w:history="1">
        <w:r>
          <w:rPr>
            <w:rStyle w:val="Hyperlink"/>
            <w:noProof/>
            <w:lang w:val="fr-BE"/>
          </w:rPr>
          <w:t>Navedite glavne dejavnosti obveščanja in objavljanja, izvedene v proračunskem letu. Priložiti je treba primere gradiva.</w:t>
        </w:r>
        <w:r>
          <w:tab/>
        </w:r>
        <w:r>
          <w:fldChar w:fldCharType="begin"/>
        </w:r>
        <w:r>
          <w:instrText xml:space="preserve"> PAGEREF _Toc256000011 \h </w:instrText>
        </w:r>
        <w:r>
          <w:fldChar w:fldCharType="separate"/>
        </w:r>
        <w:r>
          <w:t>28</w:t>
        </w:r>
        <w:r>
          <w:fldChar w:fldCharType="end"/>
        </w:r>
      </w:hyperlink>
    </w:p>
    <w:p>
      <w:pPr>
        <w:pStyle w:val="TOC2"/>
        <w:tabs>
          <w:tab w:val="right" w:leader="dot" w:pos="10761"/>
        </w:tabs>
        <w:rPr>
          <w:rFonts w:asciiTheme="minorHAnsi" w:hAnsiTheme="minorHAnsi"/>
          <w:noProof/>
          <w:sz w:val="22"/>
        </w:rPr>
      </w:pPr>
      <w:hyperlink w:anchor="_Toc256000012" w:history="1">
        <w:r w:rsidRPr="00A1528F">
          <w:rPr>
            <w:rStyle w:val="Hyperlink"/>
            <w:noProof/>
          </w:rPr>
          <w:t>6.5 Dopolnjevanje z drugimi instrumenti Unije (člen 14(2)(e) in 14(5)(f) Uredbe (EU) št. 514/2014)</w:t>
        </w:r>
        <w:r>
          <w:tab/>
        </w:r>
        <w:r>
          <w:fldChar w:fldCharType="begin"/>
        </w:r>
        <w:r>
          <w:instrText xml:space="preserve"> PAGEREF _Toc256000012 \h </w:instrText>
        </w:r>
        <w:r>
          <w:fldChar w:fldCharType="separate"/>
        </w:r>
        <w:r>
          <w:t>30</w:t>
        </w:r>
        <w:r>
          <w:fldChar w:fldCharType="end"/>
        </w:r>
      </w:hyperlink>
    </w:p>
    <w:p>
      <w:pPr>
        <w:pStyle w:val="TOC2"/>
        <w:tabs>
          <w:tab w:val="right" w:leader="dot" w:pos="10761"/>
        </w:tabs>
        <w:rPr>
          <w:rFonts w:asciiTheme="minorHAnsi" w:hAnsiTheme="minorHAnsi"/>
          <w:noProof/>
          <w:sz w:val="22"/>
        </w:rPr>
      </w:pPr>
      <w:hyperlink w:anchor="_Toc256000013" w:history="1">
        <w:r>
          <w:rPr>
            <w:rStyle w:val="Hyperlink"/>
            <w:noProof/>
            <w:lang w:val="fr-BE"/>
          </w:rPr>
          <w:t>Na kratko opišite glavne ukrepe in posvetovanja, ki so bili izvedeni zaradi usklajevanja z naslednjimi drugimi instrumenti Unije:</w:t>
        </w:r>
        <w:r>
          <w:tab/>
        </w:r>
        <w:r>
          <w:fldChar w:fldCharType="begin"/>
        </w:r>
        <w:r>
          <w:instrText xml:space="preserve"> PAGEREF _Toc256000013 \h </w:instrText>
        </w:r>
        <w:r>
          <w:fldChar w:fldCharType="separate"/>
        </w:r>
        <w:r>
          <w:t>30</w:t>
        </w:r>
        <w:r>
          <w:fldChar w:fldCharType="end"/>
        </w:r>
      </w:hyperlink>
    </w:p>
    <w:p>
      <w:pPr>
        <w:pStyle w:val="TOC2"/>
        <w:tabs>
          <w:tab w:val="right" w:leader="dot" w:pos="10761"/>
        </w:tabs>
        <w:rPr>
          <w:rFonts w:asciiTheme="minorHAnsi" w:hAnsiTheme="minorHAnsi"/>
          <w:noProof/>
          <w:sz w:val="22"/>
        </w:rPr>
      </w:pPr>
      <w:hyperlink w:anchor="_Toc256000014" w:history="1">
        <w:r>
          <w:rPr>
            <w:rStyle w:val="Hyperlink"/>
            <w:noProof/>
            <w:lang w:val="fr-BE"/>
          </w:rPr>
          <w:t>6.6 Neposredna oddaja naročila</w:t>
        </w:r>
        <w:r>
          <w:tab/>
        </w:r>
        <w:r>
          <w:fldChar w:fldCharType="begin"/>
        </w:r>
        <w:r>
          <w:instrText xml:space="preserve"> PAGEREF _Toc256000014 \h </w:instrText>
        </w:r>
        <w:r>
          <w:fldChar w:fldCharType="separate"/>
        </w:r>
        <w:r>
          <w:t>31</w:t>
        </w:r>
        <w:r>
          <w:fldChar w:fldCharType="end"/>
        </w:r>
      </w:hyperlink>
    </w:p>
    <w:p>
      <w:pPr>
        <w:pStyle w:val="TOC2"/>
        <w:tabs>
          <w:tab w:val="right" w:leader="dot" w:pos="10761"/>
        </w:tabs>
        <w:rPr>
          <w:rFonts w:asciiTheme="minorHAnsi" w:hAnsiTheme="minorHAnsi"/>
          <w:noProof/>
          <w:sz w:val="22"/>
        </w:rPr>
      </w:pPr>
      <w:hyperlink w:anchor="_Toc256000015" w:history="1">
        <w:r>
          <w:rPr>
            <w:rStyle w:val="Hyperlink"/>
            <w:noProof/>
            <w:lang w:val="fr-BE"/>
          </w:rPr>
          <w:t>Utemeljite vsak primer neposredne dodelitve.</w:t>
        </w:r>
        <w:r>
          <w:tab/>
        </w:r>
        <w:r>
          <w:fldChar w:fldCharType="begin"/>
        </w:r>
        <w:r>
          <w:instrText xml:space="preserve"> PAGEREF _Toc256000015 \h </w:instrText>
        </w:r>
        <w:r>
          <w:fldChar w:fldCharType="separate"/>
        </w:r>
        <w:r>
          <w:t>31</w:t>
        </w:r>
        <w:r>
          <w:fldChar w:fldCharType="end"/>
        </w:r>
      </w:hyperlink>
    </w:p>
    <w:p>
      <w:pPr>
        <w:pStyle w:val="TOC1"/>
        <w:tabs>
          <w:tab w:val="right" w:leader="dot" w:pos="10761"/>
        </w:tabs>
        <w:rPr>
          <w:rFonts w:asciiTheme="minorHAnsi" w:hAnsiTheme="minorHAnsi"/>
          <w:noProof/>
          <w:sz w:val="22"/>
        </w:rPr>
      </w:pPr>
      <w:hyperlink w:anchor="_Toc256000016" w:history="1">
        <w:r>
          <w:rPr>
            <w:rStyle w:val="Hyperlink"/>
            <w:noProof/>
            <w:lang w:val="fr-BE"/>
          </w:rPr>
          <w:t>ODDELEK 7: FINANČNO POROČILO (ČLEN 54(2)(A) UREDBE (EU) ŠT. 514/2014)</w:t>
        </w:r>
        <w:r>
          <w:tab/>
        </w:r>
        <w:r>
          <w:fldChar w:fldCharType="begin"/>
        </w:r>
        <w:r>
          <w:instrText xml:space="preserve"> PAGEREF _Toc256000016 \h </w:instrText>
        </w:r>
        <w:r>
          <w:fldChar w:fldCharType="separate"/>
        </w:r>
        <w:r>
          <w:t>32</w:t>
        </w:r>
        <w:r>
          <w:fldChar w:fldCharType="end"/>
        </w:r>
      </w:hyperlink>
    </w:p>
    <w:p>
      <w:pPr>
        <w:pStyle w:val="TOC2"/>
        <w:tabs>
          <w:tab w:val="right" w:leader="dot" w:pos="10761"/>
        </w:tabs>
        <w:rPr>
          <w:rFonts w:asciiTheme="minorHAnsi" w:hAnsiTheme="minorHAnsi"/>
          <w:noProof/>
          <w:sz w:val="22"/>
        </w:rPr>
      </w:pPr>
      <w:hyperlink w:anchor="_Toc256000017" w:history="1">
        <w:r>
          <w:rPr>
            <w:rStyle w:val="Hyperlink"/>
            <w:noProof/>
            <w:lang w:val="fr-BE"/>
          </w:rPr>
          <w:t>Preglednica 1. ISF – finančni povzetek za meje, kot je bil prijavljen v Obračunih</w:t>
        </w:r>
        <w:r>
          <w:tab/>
        </w:r>
        <w:r>
          <w:fldChar w:fldCharType="begin"/>
        </w:r>
        <w:r>
          <w:instrText xml:space="preserve"> PAGEREF _Toc256000017 \h </w:instrText>
        </w:r>
        <w:r>
          <w:fldChar w:fldCharType="separate"/>
        </w:r>
        <w:r>
          <w:t>32</w:t>
        </w:r>
        <w:r>
          <w:fldChar w:fldCharType="end"/>
        </w:r>
      </w:hyperlink>
    </w:p>
    <w:p>
      <w:pPr>
        <w:pStyle w:val="TOC2"/>
        <w:tabs>
          <w:tab w:val="right" w:leader="dot" w:pos="10761"/>
        </w:tabs>
        <w:rPr>
          <w:rFonts w:asciiTheme="minorHAnsi" w:hAnsiTheme="minorHAnsi"/>
          <w:noProof/>
          <w:sz w:val="22"/>
        </w:rPr>
      </w:pPr>
      <w:hyperlink w:anchor="_Toc256000018" w:history="1">
        <w:r>
          <w:rPr>
            <w:rStyle w:val="Hyperlink"/>
            <w:noProof/>
            <w:lang w:val="fr-BE"/>
          </w:rPr>
          <w:t>Preglednica 2. ISF – finančni povzetek za policijo, kot je bil prijavljen v Obračunih</w:t>
        </w:r>
        <w:r>
          <w:tab/>
        </w:r>
        <w:r>
          <w:fldChar w:fldCharType="begin"/>
        </w:r>
        <w:r>
          <w:instrText xml:space="preserve"> PAGEREF _Toc256000018 \h </w:instrText>
        </w:r>
        <w:r>
          <w:fldChar w:fldCharType="separate"/>
        </w:r>
        <w:r>
          <w:t>33</w:t>
        </w:r>
        <w:r>
          <w:fldChar w:fldCharType="end"/>
        </w:r>
      </w:hyperlink>
    </w:p>
    <w:p>
      <w:pPr>
        <w:pStyle w:val="TOC2"/>
        <w:tabs>
          <w:tab w:val="right" w:leader="dot" w:pos="10761"/>
        </w:tabs>
        <w:rPr>
          <w:rFonts w:asciiTheme="minorHAnsi" w:hAnsiTheme="minorHAnsi"/>
          <w:noProof/>
          <w:sz w:val="22"/>
        </w:rPr>
      </w:pPr>
      <w:hyperlink w:anchor="_Toc256000019" w:history="1">
        <w:r>
          <w:rPr>
            <w:rStyle w:val="Hyperlink"/>
            <w:noProof/>
            <w:lang w:val="fr-BE"/>
          </w:rPr>
          <w:t>Preglednica 3: Izvajanje finančnega načrta nacionalnega programa, pri čemer je naveden skupni prispevek EU za vsako proračunsko leto</w:t>
        </w:r>
        <w:r>
          <w:tab/>
        </w:r>
        <w:r>
          <w:fldChar w:fldCharType="begin"/>
        </w:r>
        <w:r>
          <w:instrText xml:space="preserve"> PAGEREF _Toc256000019 \h </w:instrText>
        </w:r>
        <w:r>
          <w:fldChar w:fldCharType="separate"/>
        </w:r>
        <w:r>
          <w:t>34</w:t>
        </w:r>
        <w:r>
          <w:fldChar w:fldCharType="end"/>
        </w:r>
      </w:hyperlink>
    </w:p>
    <w:p>
      <w:pPr>
        <w:pStyle w:val="TOC2"/>
        <w:tabs>
          <w:tab w:val="right" w:leader="dot" w:pos="10761"/>
        </w:tabs>
        <w:rPr>
          <w:rFonts w:asciiTheme="minorHAnsi" w:hAnsiTheme="minorHAnsi"/>
          <w:noProof/>
          <w:sz w:val="22"/>
        </w:rPr>
      </w:pPr>
      <w:hyperlink w:anchor="_Toc256000020" w:history="1">
        <w:r>
          <w:rPr>
            <w:rStyle w:val="Hyperlink"/>
            <w:noProof/>
            <w:lang w:val="fr-BE"/>
          </w:rPr>
          <w:t>Utemeljitev morebitnega odstopanja od najnižjih deležev, določenih v posebnih uredbah.</w:t>
        </w:r>
        <w:r>
          <w:tab/>
        </w:r>
        <w:r>
          <w:fldChar w:fldCharType="begin"/>
        </w:r>
        <w:r>
          <w:instrText xml:space="preserve"> PAGEREF _Toc256000020 \h </w:instrText>
        </w:r>
        <w:r>
          <w:fldChar w:fldCharType="separate"/>
        </w:r>
        <w:r>
          <w:t>35</w:t>
        </w:r>
        <w:r>
          <w:fldChar w:fldCharType="end"/>
        </w:r>
      </w:hyperlink>
    </w:p>
    <w:p>
      <w:pPr>
        <w:pStyle w:val="TOC1"/>
        <w:tabs>
          <w:tab w:val="right" w:leader="dot" w:pos="10761"/>
        </w:tabs>
        <w:rPr>
          <w:rFonts w:asciiTheme="minorHAnsi" w:hAnsiTheme="minorHAnsi"/>
          <w:noProof/>
          <w:sz w:val="22"/>
        </w:rPr>
      </w:pPr>
      <w:hyperlink w:anchor="_Toc256000021" w:history="1">
        <w:r>
          <w:rPr>
            <w:rStyle w:val="Hyperlink"/>
            <w:noProof/>
            <w:lang w:val="fr-BE"/>
          </w:rPr>
          <w:t>ODDELEK 8: OBVEZNOSTI V OBLIKI DOGOVORA</w:t>
        </w:r>
        <w:r>
          <w:tab/>
        </w:r>
        <w:r>
          <w:fldChar w:fldCharType="begin"/>
        </w:r>
        <w:r>
          <w:instrText xml:space="preserve"> PAGEREF _Toc256000021 \h </w:instrText>
        </w:r>
        <w:r>
          <w:fldChar w:fldCharType="separate"/>
        </w:r>
        <w:r>
          <w:t>36</w:t>
        </w:r>
        <w:r>
          <w:fldChar w:fldCharType="end"/>
        </w:r>
      </w:hyperlink>
    </w:p>
    <w:p>
      <w:pPr>
        <w:pStyle w:val="TOC1"/>
        <w:tabs>
          <w:tab w:val="right" w:leader="dot" w:pos="10761"/>
        </w:tabs>
        <w:rPr>
          <w:rFonts w:asciiTheme="minorHAnsi" w:hAnsiTheme="minorHAnsi"/>
          <w:noProof/>
          <w:sz w:val="22"/>
        </w:rPr>
      </w:pPr>
      <w:hyperlink w:anchor="_Toc256000022" w:history="1">
        <w:r w:rsidR="00B32D1F">
          <w:rPr>
            <w:rStyle w:val="Hyperlink"/>
            <w:noProof/>
            <w:lang w:val="fr-BE"/>
          </w:rPr>
          <w:t>ODDELEK 9: POROČANJE O ODHODKIH V ZVEZI S COVID-19</w:t>
        </w:r>
        <w:r>
          <w:tab/>
        </w:r>
        <w:r>
          <w:fldChar w:fldCharType="begin"/>
        </w:r>
        <w:r>
          <w:instrText xml:space="preserve"> PAGEREF _Toc256000022 \h </w:instrText>
        </w:r>
        <w:r>
          <w:fldChar w:fldCharType="separate"/>
        </w:r>
        <w:r>
          <w:t>36</w:t>
        </w:r>
        <w:r>
          <w:fldChar w:fldCharType="end"/>
        </w:r>
      </w:hyperlink>
    </w:p>
    <w:p>
      <w:pPr>
        <w:pStyle w:val="TOC1"/>
        <w:tabs>
          <w:tab w:val="right" w:leader="dot" w:pos="10761"/>
        </w:tabs>
        <w:rPr>
          <w:rFonts w:asciiTheme="minorHAnsi" w:hAnsiTheme="minorHAnsi"/>
          <w:noProof/>
          <w:sz w:val="22"/>
        </w:rPr>
      </w:pPr>
      <w:hyperlink w:anchor="_Toc256000023" w:history="1">
        <w:r>
          <w:rPr>
            <w:rStyle w:val="Hyperlink"/>
            <w:noProof/>
          </w:rPr>
          <w:t>Dokumenti</w:t>
        </w:r>
        <w:r>
          <w:tab/>
        </w:r>
        <w:r>
          <w:fldChar w:fldCharType="begin"/>
        </w:r>
        <w:r>
          <w:instrText xml:space="preserve"> PAGEREF _Toc256000023 \h </w:instrText>
        </w:r>
        <w:r>
          <w:fldChar w:fldCharType="separate"/>
        </w:r>
        <w:r>
          <w:t>37</w:t>
        </w:r>
        <w:r>
          <w:fldChar w:fldCharType="end"/>
        </w:r>
      </w:hyperlink>
    </w:p>
    <w:p>
      <w:pPr>
        <w:pStyle w:val="TOC1"/>
        <w:tabs>
          <w:tab w:val="right" w:leader="dot" w:pos="10761"/>
        </w:tabs>
        <w:rPr>
          <w:rFonts w:asciiTheme="minorHAnsi" w:hAnsiTheme="minorHAnsi"/>
          <w:noProof/>
          <w:sz w:val="22"/>
        </w:rPr>
      </w:pPr>
      <w:hyperlink w:anchor="_Toc256000024" w:history="1">
        <w:r w:rsidR="00F05543">
          <w:rPr>
            <w:rStyle w:val="Hyperlink"/>
            <w:noProof/>
          </w:rPr>
          <w:t>Zadnji rezultati validacije</w:t>
        </w:r>
        <w:r>
          <w:tab/>
        </w:r>
        <w:r>
          <w:fldChar w:fldCharType="begin"/>
        </w:r>
        <w:r>
          <w:instrText xml:space="preserve"> PAGEREF _Toc256000024 \h </w:instrText>
        </w:r>
        <w:r>
          <w:fldChar w:fldCharType="separate"/>
        </w:r>
        <w:r>
          <w:t>38</w:t>
        </w:r>
        <w:r>
          <w:fldChar w:fldCharType="end"/>
        </w:r>
      </w:hyperlink>
    </w:p>
    <w:p w:rsidR="004F1EEC" w:rsidP="007C7090">
      <w:pPr>
        <w:spacing w:before="0" w:after="0"/>
        <w:jc w:val="left"/>
      </w:pPr>
      <w:r w:rsidRPr="001D77F2">
        <w:fldChar w:fldCharType="end"/>
      </w:r>
      <w:r w:rsidRPr="001D77F2">
        <w:br w:type="page"/>
      </w:r>
      <w:bookmarkStart w:id="0" w:name="_Toc256000000"/>
      <w:r w:rsidRPr="004E3E1A">
        <w:rPr>
          <w:rStyle w:val="Heading1Char"/>
          <w:b w:val="0"/>
          <w:noProof/>
        </w:rPr>
        <w:t>ODDELEK 3: PROGRAMSKI CILJI</w:t>
      </w:r>
      <w:bookmarkEnd w:id="0"/>
    </w:p>
    <w:p w:rsidR="004F1EEC"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6"/>
        <w:gridCol w:w="7715"/>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6C1127" w:rsidP="007C7090">
            <w:pPr>
              <w:spacing w:before="0" w:after="0"/>
              <w:ind w:hanging="113"/>
              <w:rPr>
                <w:lang w:val="fr-BE"/>
              </w:rPr>
            </w:pPr>
            <w:r w:rsidRPr="006C1127">
              <w:rPr>
                <w:noProof/>
                <w:lang w:val="fr-BE"/>
              </w:rPr>
              <w:t>Posebni cilj</w:t>
            </w:r>
          </w:p>
        </w:tc>
        <w:tc>
          <w:tcPr>
            <w:shd w:val="clear" w:color="auto" w:fill="auto"/>
          </w:tcPr>
          <w:p w:rsidR="004F1EEC" w:rsidRPr="006C1127" w:rsidP="007C7090">
            <w:pPr>
              <w:spacing w:before="0" w:after="0"/>
              <w:rPr>
                <w:lang w:val="fr-BE"/>
              </w:rPr>
            </w:pPr>
            <w:r w:rsidRPr="006C1127">
              <w:rPr>
                <w:noProof/>
                <w:lang w:val="fr-BE"/>
              </w:rPr>
              <w:t>1</w:t>
            </w:r>
            <w:r w:rsidRPr="006C1127">
              <w:rPr>
                <w:lang w:val="fr-BE"/>
              </w:rPr>
              <w:t xml:space="preserve"> - </w:t>
            </w:r>
            <w:r w:rsidRPr="006C1127">
              <w:rPr>
                <w:noProof/>
                <w:lang w:val="fr-BE"/>
              </w:rPr>
              <w:t>Podpora skupni vizumski politiki</w:t>
            </w:r>
          </w:p>
        </w:tc>
      </w:tr>
    </w:tbl>
    <w:p w:rsidR="004F1EEC" w:rsidP="007C7090">
      <w:pPr>
        <w:spacing w:before="0" w:after="0"/>
        <w:rPr>
          <w:lang w:val="fr-BE"/>
        </w:rPr>
      </w:pPr>
    </w:p>
    <w:p w:rsidR="004F1EEC" w:rsidP="007C7090">
      <w:pPr>
        <w:spacing w:before="0" w:after="0"/>
        <w:rPr>
          <w:lang w:val="fr-BE"/>
        </w:rPr>
      </w:pPr>
      <w:r>
        <w:rPr>
          <w:noProof/>
          <w:lang w:val="fr-BE"/>
        </w:rPr>
        <w:t>Povzemite napredek pri izvajanju strategije in doseganju nacionalnih ciljev v proračunskem letu.</w:t>
      </w:r>
    </w:p>
    <w:p w:rsidR="004F1EEC" w:rsidP="007C7090">
      <w:pPr>
        <w:spacing w:before="0" w:after="0"/>
        <w:rPr>
          <w:lang w:val="fr-BE"/>
        </w:rPr>
      </w:pPr>
      <w:r>
        <w:rPr>
          <w:noProof/>
          <w:lang w:val="fr-BE"/>
        </w:rPr>
        <w:t>Navedite morebitne spremembe v strategiji ali nacionalnih ciljih oziroma dejavnike, ki bi lahko privedli do sprememb v prihodnosti.</w:t>
      </w:r>
    </w:p>
    <w:p w:rsidR="004F1EEC" w:rsidP="007C7090">
      <w:pPr>
        <w:spacing w:before="0" w:after="0"/>
        <w:rPr>
          <w:lang w:val="fr-BE"/>
        </w:rPr>
      </w:pPr>
      <w:r>
        <w:rPr>
          <w:noProof/>
          <w:lang w:val="fr-BE"/>
        </w:rPr>
        <w:t>Navedite morebitna pomembna vprašanja, ki vplivajo na uspešnost nacionalnega programa.</w:t>
      </w:r>
    </w:p>
    <w:p w:rsidR="004F1EEC"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Glavni cilj Slovenije na področju vizumske politike, ki je obravnavan v sklopu posebnega cilja IB.SO1 je vzpostavljen učinkovit, robusten sistem za obdelavo vizumskih vlog, ki je prijazen do prosilcev ter učinkovito preprečuje nezakonite migracije. Tudi v obdobju poročanja je Ministrstvo za zunanje zadeve (v nadaljevanju MZZ) kot končni upravičenec na področju vizumske politike sledilo glavnemu cilju in s sodobnim, učinkovitim ter do prosilcev in uporabnikov prijaznim sistemom za obdelavo vizumskih vlog in izpolnjevalo zahteve EU na področju zakonitih migracij.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v obdobju poročanja izboljšala vizumski IT sistem (posodobitev strojne in programske opreme ter delovnih procesov) ter olajšala obravnavo vizumskih vlog. Doseženo je bilo izboljšanje delovanja vizumskega sistema in optimizacija obdelave ter izdaje vizumov.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navedeno ocenjujemo, da je bil narejen napredek pri doseganju ciljev v zvezi z ukrepom »Podpora skupni vizumski politiki«. Delovanje vizumskega sistema se je izboljšalo, kar je tudi razvidno iz obdobnih finančnih in vsebinskih poročil MZZ. Kljub splošni krizi, ki jo je povzročila pandemija covid-19, in skorajšnji ustavitvi izvajanja vizumskih postopkov, MZZ pri izvajanju ukrepov ne beleži drugih težav, ki bi vplivale na izvajanje Nacionalnega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Alokacija sredstev za 2022 je bila končnim upravičencem načrtovana v skladu s potrjenim Akcijskim načrtom. V 2022 pri izvajanju ukrepov v okviru tega posebnega cilja ni bilo težav, ki bi vplivale na izvajanje Nacionalnega programa. V dokumentu poročamo samo o tistih izvedenih aktivnostih in projektih, katerih izdatki so vključeni v Obračune 2022. Posebnih pomembnih vprašanj, ki bi vplivala na uspešnost Nacionalnega programa med izvajanjem ukrepov, ni bilo.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načrtuje kontinuirano izvajanje aktivnosti in porabo sredstev do marca 2023.</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6"/>
        <w:gridCol w:w="4095"/>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1</w:t>
            </w:r>
            <w:r w:rsidRPr="00707975">
              <w:rPr>
                <w:lang w:val="fr-BE"/>
              </w:rPr>
              <w:t xml:space="preserve"> - </w:t>
            </w:r>
            <w:r w:rsidRPr="00707975">
              <w:rPr>
                <w:noProof/>
                <w:lang w:val="fr-BE"/>
              </w:rPr>
              <w:t>Nacionalne zmogljivosti</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IB.SO1.1 je Slovenija izvajala aktivnosti usmerjene k razvoju izboljšanega vizumskega informacijskega sistema z zanesljivimi komunikacijskimi linijami, možnostjo hitre ponovne vzpostavitve delovnega procesa v primeru izpada ter k nadaljnjem razvoju orodij za učinkovito upravljanje sistema ter aktivnosti za zagotovitev ustreznega delovanja viznega sistema na diplomatskin predstavništvih in konzulatih Republike Slovenije v tujini (v nadaljevanju DKP), katerim je potrebno zagotoviti kakovostno spletno povezljivost s centralno lokacijo na MZZ. Slovenija je pozornost namenila izboljšanju varnostnih standardov in procesov na DKP.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Zagotavljanje kvalitetne povezljivosti v IB.SO1.1.1 je vključevalo oddajo javnega naročila in izbiro ponudnikov globalnih storitev za posodobitev in zagotavljanje kvalitetne podatkovne povezave med več DKP in centralno lokacijo MZZ. Ves čas se je spremljalo tudi delovanje povezav, saj izvajalca storitev mesečno pošiljata poročila, ki jih MZZ dopolnjuje z lastnim nadzorom. Povezave so bile izboljšane na osmih DKP-jih – Moskva, Teheran, Canberra, New Delhi, Peking, Tokio, Ankara in Priština. MZZ načrtuje izvajanje nadzora delovanja podatkovnih povezav do zaključka projekta.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podporo obdelavi vizumskih vlog je v IB.SO1.1.2 MZZ posodobilo strojno opremo za zanesljivejšo in hitrejšo obdelavo podatkov ter zmanjšanje števila odpovedi opreme. Dobavljeni so bili tudi strežniki s programsko opremo in osebni računalniki, ki so bili tudi nameščeni.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IB.SO1.1.3 je potekal nadaljnji razvoj programske opreme VIZIS (predanih 28 modulov). Kupljene so bile Microfost in druge licence ter doseženi vsi rezultati.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IB.SO1.1.5 je bila nabavljena varnostno-tehnična oprema, ki DKP-jem omogoča izboljšanje varnostnih standardov in procesov za izvajanje in obravnavo vizumskih storitev. Za namen odzivanja na epidemijo covid-19 je bilo kupiljenih 28 brezkontaktnih termometrov za DKP v državah izven schengenskega območja. Za stalno dosegljivost konzularnih oddelkov na DKP (tudi v kriznih / izrednih razmerah) je bilo kupljenih tudi 27 satelitskih telefonov.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2022 so tekle aktivnosti ukrepov skladno z Akcijskim načrtom. Zaradi odprtja 2 veleposlaništev se je število DKP-jev povečalo na 45. MZZ je s posodobitvijo programske in strojne ter varnostno-tehnične opreme izboljšalo procese in delovanje vizumskega IKT sistema tako na centralni lokaciji MZZ v Ljubljani kot na relevantnih DKP.</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9"/>
        <w:gridCol w:w="3352"/>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2</w:t>
            </w:r>
            <w:r w:rsidRPr="00707975">
              <w:rPr>
                <w:lang w:val="fr-BE"/>
              </w:rPr>
              <w:t xml:space="preserve"> - </w:t>
            </w:r>
            <w:r w:rsidRPr="00707975">
              <w:rPr>
                <w:noProof/>
                <w:lang w:val="fr-BE"/>
              </w:rPr>
              <w:t>Pravni red Unije</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Cilj Slovenije v okviru nacionalnega cilja IB.SO1.2 » Pravni red Unije « je strokovno usposobljeno osebje na DKP. Gre za kader, ki dela na vizumskih postopkih.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IB.SO1.2.2 je MZZ v obdobju poročanja po zahtevkih, vključenih v Obračun 2022 izvedlo 3 letne konzularne posvete in 6 regionalnih konzularnih posvetov.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Letnih konzularnih posvetov, ki so potekali v Ljubljani, se je maja 2017 udeležilo 58 uslužbencev, maja 2018 64 uslužbencev, junija 2019 pa 62 uslužbencev.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Leta 2016 in 2017 sta potekala po dva regionalna konzularna posveta, v letih 2018 in 2019 pa po eden. Na regionalnem konzularnem posvetu septembra 2016 v Beogradu je sodelovalo 19 uslužbencev iz DKP v regiji, ki se ukvarjajo z izvajanjem vizumskih postopkov, ter z MZZ. Posveta decembra 2016, ki je potekal v Ljubljani in v Portorožu, se je udeležilo 16 uslužbencev. Septembra 2017 je regionalni posvet potekal v Ankari, udeležilo se ga je 10 oseb. Drugi regionalni posvet v letu 2017 je potekal novembra v Ljubljani in v Bohinjski Bistrici, udeležilo se ga je 20 uslužbencev. Tudi novembra 2018 je posvet potekal v dveh delih, in sicer v Ljubljani in v Portorožu, udeležilo se ga je 8 oseb. Posveta septembra 2019, ki je potekal v Ljubljani in v Moravskih Toplicah, se je udeležilo 8 uslužbencev. V Abu Dhabiju bi moral marca 2020 potekati naslednji regionalni konzularni posvet, ki pa je zaradi višje sile (pandemija covid-19) odpadel.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so vključevale delavnice in predavanja o novostih s področja vizumske, migracijske in tujske politike EU ter novih postopkov, izmenjavo dobrih praks in krepitev sodelovanja z drugimi pristojnimi organi v RS, predvsem upravnimi enotami in policijo. Udeleženci so se spoznali z novostmi na področju IKT in aplikacij. Na regionalnih posvetih je bil poudarek na izmenjavi dobrih praks, izvajanju skupne vizumske politike EU in na usposabljanju s področja ponarejenih in prenarejenih dokumentov. Na usposabljanjih je bilo skupno 265 udeležencev, praviloma so se isti uslužbenci udeležili večjega števila usposabljanj.</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8"/>
        <w:gridCol w:w="4083"/>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3</w:t>
            </w:r>
            <w:r w:rsidRPr="00707975">
              <w:rPr>
                <w:lang w:val="fr-BE"/>
              </w:rPr>
              <w:t xml:space="preserve"> - </w:t>
            </w:r>
            <w:r w:rsidRPr="00707975">
              <w:rPr>
                <w:noProof/>
                <w:lang w:val="fr-BE"/>
              </w:rPr>
              <w:t>Konzularno sodelovanje</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IB.SO1.3 »Konzularno sodelovanje« in opredeljenem ukrepu »Podpora in nadaljnji razvoj skupnega prijavnega centra (Common Application Centre - CAC)« na slovenskem veleposlaništvu v Podgorici je bila predvidena nabava opreme - specifične in standardne IT opreme, potrebne za CAC operacije, najem poslovnih prostorov, stroški plač, mednarodno in evropsko sodelovanje, idr. Končni upravičenec MZZ je ocenil, da z vidika dejanskih, aktualnih potreb izvedba aktivnosti ni utemeljena. Načrtovana sredstva so bila prerazporejena na ukrep, namenjen izboljšanju delovanja viznega sistema preko zagotavljanja kvalitetne povezljivosti do MZZ. Slovenija je ustrezno revidirala Akcijski načrt že v 2019. V 2022 ni bilo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poročanja se ukrepi nacionalnega cilja IB.SO1.3 »Konzularno sodelovanje« niso izvajali.</w:t>
      </w:r>
    </w:p>
    <w:p w:rsidR="004F1EEC" w:rsidRPr="006C1127" w:rsidP="007C7090">
      <w:pPr>
        <w:spacing w:before="0" w:after="0"/>
        <w:rPr>
          <w:lang w:val="fr-BE"/>
        </w:rPr>
      </w:pPr>
    </w:p>
    <w:p w:rsidR="004F1EEC" w:rsidP="007C7090">
      <w:pPr>
        <w:spacing w:before="0" w:after="0"/>
        <w:rPr>
          <w:lang w:val="fr-BE"/>
        </w:rPr>
      </w:pP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1"/>
        <w:gridCol w:w="6920"/>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Posebni ukrep</w:t>
            </w:r>
          </w:p>
        </w:tc>
        <w:tc>
          <w:tcPr>
            <w:shd w:val="clear" w:color="auto" w:fill="auto"/>
          </w:tcPr>
          <w:p w:rsidR="004F1EEC" w:rsidRPr="00707975" w:rsidP="007C7090">
            <w:pPr>
              <w:spacing w:before="0" w:after="0"/>
              <w:rPr>
                <w:lang w:val="fr-BE"/>
              </w:rPr>
            </w:pPr>
            <w:r w:rsidRPr="00707975">
              <w:rPr>
                <w:noProof/>
                <w:lang w:val="fr-BE"/>
              </w:rPr>
              <w:t>1</w:t>
            </w:r>
            <w:r w:rsidRPr="00707975">
              <w:rPr>
                <w:lang w:val="fr-BE"/>
              </w:rPr>
              <w:t xml:space="preserve"> - </w:t>
            </w:r>
            <w:r w:rsidRPr="00707975">
              <w:rPr>
                <w:noProof/>
                <w:lang w:val="fr-BE"/>
              </w:rPr>
              <w:t>Konzularno sodelovanje</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MZZ je s posebnim ukrepom IB.SO1.1.1 »Konzularno sodelovanje« načrtovalo izvedbo projekta »Schengenska pisarna v Prištini«, ki bi omogočil vzpostavitev vizumske pisarne v Prištini. Leta 2015 je bilo Kosovo v poročilu EK o napredku Kosova pri izpolnjevanju zahtev za vizumsko liberalizacijo navedeno za državo, za katero bo v doslednem času nastopila vizumska liberalizacija (odpravljena vizumska obveznost za njene državljane). S tem je postala vzpostavitev konzularne pisarne v Prištini nepotrebna, sofinanciranje iz ISF pa neupravičeno.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letih 2018 in 2019 je MZZ preusmerilo svoje aktivnosti v iskanje nove lokacije za t.i. schengensko pisarno, vendar neuspešno. Kljub pogovorom s potencialnimi partnerji, tj drugimi schengenskimi državami, Slovenija ni uspela vzpostaviti konkretnega sodelovanja in določiti nove lokacije, zaradi česar je MZZ sprejelo odločitev, da se posebni ukrep ne izvede in o tem obvestila Komisijo. V 2022 ni bilo sprememb.</w:t>
      </w:r>
    </w:p>
    <w:p w:rsidR="004F1EEC" w:rsidRPr="006C1127" w:rsidP="007C7090">
      <w:pPr>
        <w:spacing w:before="0" w:after="0"/>
        <w:rPr>
          <w:lang w:val="fr-BE"/>
        </w:rPr>
      </w:pP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4"/>
        <w:gridCol w:w="4467"/>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6C1127" w:rsidP="007C7090">
            <w:pPr>
              <w:spacing w:before="0" w:after="0"/>
              <w:ind w:hanging="113"/>
              <w:rPr>
                <w:lang w:val="fr-BE"/>
              </w:rPr>
            </w:pPr>
            <w:r w:rsidRPr="006C1127">
              <w:rPr>
                <w:noProof/>
                <w:lang w:val="fr-BE"/>
              </w:rPr>
              <w:t>Posebni cilj</w:t>
            </w:r>
          </w:p>
        </w:tc>
        <w:tc>
          <w:tcPr>
            <w:shd w:val="clear" w:color="auto" w:fill="auto"/>
          </w:tcPr>
          <w:p w:rsidR="004F1EEC" w:rsidRPr="006C1127" w:rsidP="007C7090">
            <w:pPr>
              <w:spacing w:before="0" w:after="0"/>
              <w:rPr>
                <w:lang w:val="fr-BE"/>
              </w:rPr>
            </w:pPr>
            <w:r w:rsidRPr="006C1127">
              <w:rPr>
                <w:noProof/>
                <w:lang w:val="fr-BE"/>
              </w:rPr>
              <w:t>2</w:t>
            </w:r>
            <w:r w:rsidRPr="006C1127">
              <w:rPr>
                <w:lang w:val="fr-BE"/>
              </w:rPr>
              <w:t xml:space="preserve"> - </w:t>
            </w:r>
            <w:r w:rsidRPr="006C1127">
              <w:rPr>
                <w:noProof/>
                <w:lang w:val="fr-BE"/>
              </w:rPr>
              <w:t>Meje</w:t>
            </w:r>
          </w:p>
        </w:tc>
      </w:tr>
    </w:tbl>
    <w:p w:rsidR="004F1EEC" w:rsidP="007C7090">
      <w:pPr>
        <w:spacing w:before="0" w:after="0"/>
        <w:rPr>
          <w:lang w:val="fr-BE"/>
        </w:rPr>
      </w:pPr>
    </w:p>
    <w:p w:rsidR="004F1EEC" w:rsidP="007C7090">
      <w:pPr>
        <w:spacing w:before="0" w:after="0"/>
        <w:rPr>
          <w:lang w:val="fr-BE"/>
        </w:rPr>
      </w:pPr>
      <w:r>
        <w:rPr>
          <w:noProof/>
          <w:lang w:val="fr-BE"/>
        </w:rPr>
        <w:t>Povzemite napredek pri izvajanju strategije in doseganju nacionalnih ciljev v proračunskem letu.</w:t>
      </w:r>
    </w:p>
    <w:p w:rsidR="004F1EEC" w:rsidP="007C7090">
      <w:pPr>
        <w:spacing w:before="0" w:after="0"/>
        <w:rPr>
          <w:lang w:val="fr-BE"/>
        </w:rPr>
      </w:pPr>
      <w:r>
        <w:rPr>
          <w:noProof/>
          <w:lang w:val="fr-BE"/>
        </w:rPr>
        <w:t>Navedite morebitne spremembe v strategiji ali nacionalnih ciljih oziroma dejavnike, ki bi lahko privedli do sprememb v prihodnosti.</w:t>
      </w:r>
    </w:p>
    <w:p w:rsidR="004F1EEC" w:rsidP="007C7090">
      <w:pPr>
        <w:spacing w:before="0" w:after="0"/>
        <w:rPr>
          <w:lang w:val="fr-BE"/>
        </w:rPr>
      </w:pPr>
      <w:r>
        <w:rPr>
          <w:noProof/>
          <w:lang w:val="fr-BE"/>
        </w:rPr>
        <w:t>Navedite morebitna pomembna vprašanja, ki vplivajo na uspešnost nacionalnega programa.</w:t>
      </w:r>
    </w:p>
    <w:p w:rsidR="004F1EEC"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Glavni cilj IB.SO2 je področje upravljanja meje - okrepitev preprečevanja in odkrivanja nedovoljenih migracij ter s tem povezanega čezmejnega kriminala. Aktivnosti so kontinuirano usmerjene v razvoj EUROSUR sistema; izmenjavo informacij z vidika zagotavljanja zmogljivosti centralnega računalnika policije in vzpostavitve infrastrukture; zagotavljanja skupnih standardov in pravnega reda Unije, v prihodnje izzive na področju izravnalnih ukrepov in naložb v opremo za preverjanje dokumentov; zagotavljanje nacionalnih zmogljivosti ter naložbe povezane z vzpostavitvijo ABC vrat na mejnem prehodu na letališču Jožeta Pučnika.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Alokacija sredstev za leto 2022 je bila končnim upravičencem načrtovana v skladu s potrjenim Akcijskim načrtom. V obdobju poročanja pri izvajanju ukrepov v okviru tega posebnega cilja ni bilo težav, ki bi vplivale na izvajanje Nacionalnega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dokumentu poročamo samo o izvedenih aktivnostih in projektih, katerih izdatki so vključeni v Obračune za finančno leto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Splošen napredek pri kategorijah dodatnih sredstev za informacijske sisteme:</w:t>
      </w:r>
    </w:p>
    <w:p>
      <w:pPr>
        <w:numPr>
          <w:ilvl w:val="0"/>
          <w:numId w:val="4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ETIAS - ustanovljeni Nacionalna enota ETIAS in delovna skupina ETIAS v sestavi Uprave kriminalistične policije, Uprave uniformirane policije in Uprave za informatiko in telekomunikacije.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SIS II - prenova je v izvajanju in predstavlja največji in najširši skupek sprememb, katerim je podvržen SIS vse od njegove vpeljave leta 2013. Naš nacionalni informacijski sistem je po večini že popravljen in usklajen z dokumentacijo za SIS Recast. Izvedena je tudi nadgradnja licence komunikacijskega vmesnika (SIB), ki omogoča povezovanje našega nacionalnega informacijskega sistema s centralnim SIS sistemom in brez nje testiranje s centralnim SIS sistemom ni mogoče.</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7"/>
        <w:gridCol w:w="2814"/>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1</w:t>
            </w:r>
            <w:r w:rsidRPr="00707975">
              <w:rPr>
                <w:lang w:val="fr-BE"/>
              </w:rPr>
              <w:t xml:space="preserve"> - </w:t>
            </w:r>
            <w:r w:rsidRPr="00707975">
              <w:rPr>
                <w:noProof/>
                <w:lang w:val="fr-BE"/>
              </w:rPr>
              <w:t>EUROSUR</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IB.SO2.1 »EUROSUR« je Slovenija osredotočena na nadaljnji razvoj sistema EUROSUR na morski meji. Slovenija je prvotno načrtovala tudi, da bo v okviru IB.SO2.1 izvajala aktivnosti za vzpostavitev državne slike o razmerah na morju (radarska antena in infrastruktura), le-te so bile realizirane v okviru EBF in ISEC. Razvoj strojne in programske opreme za nadgradnjo nivoja analiz državne slike o razmerah je bil sofinanciran v okviru operativne podpore. Slovenija ni izvedla ukrepov za delitev državne slike o razmerah na morju s sosednjimi državami članicami, in v okviru tega ukrepa predvidene aktivnosti sodelovanja in krepitve mehanizmov obveščanja za izmenjave informacij, saj je Republika Hrvaška sprejela odločitev, da ne bo nadgrajevala svoje strojne in programske opreme. Le slovenska nadgradnja bi bila tako nesmiselna in nedelujoča. Ustrezno z navedenimi spremembami je Slovenija v 2021 revidirala Akcijski načrt.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ugotavlja, da je stopnja prevzetih obveznosti in stopnja črpanja v okviru specifičnega cilja 1 nižja, vendar ne zaradi morebitnih težav in zamud pri izvajanju specifičnega cilja. Predvideni ukrepi bodo izvedeni po planu.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poročanje se ukrepi nacionalnega cilja IB.SO2.1 »EUROSUR« niso izvajali.</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2"/>
        <w:gridCol w:w="3829"/>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2</w:t>
            </w:r>
            <w:r w:rsidRPr="00707975">
              <w:rPr>
                <w:lang w:val="fr-BE"/>
              </w:rPr>
              <w:t xml:space="preserve"> - </w:t>
            </w:r>
            <w:r w:rsidRPr="00707975">
              <w:rPr>
                <w:noProof/>
                <w:lang w:val="fr-BE"/>
              </w:rPr>
              <w:t>Izmenjava informacij</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IB.SO2.2 »Izmenjava informacij« Slovenija zagotavlja zmogljivost centralnega policijskega strežnika in njegovo delovanje v skladu z zahtevami, ki veljajo za uporabo SIS, nemoteno delovanje sistema AFIS (računalniško podprt sistem za preiskovanje in identifikacijo prstnih odtisov) in sistema LIMS (laboratorijski informacijski sistem).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projekta IB.SO2.2.1 je bila, z izvedbo JN za nadgradnjo centralnih računalnikov, izvedena zamenjava amortiziranega centralnega policijskega strežnika - mainframe (vezano na NS.SIS), ki je vezan na izvajanje investicijskega dela IBM ESSO pogodbe.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Izvedlo se je JN za dobavo strojne opreme in programske opreme (strežniki, podatkovno polje, mrežna oprema, čitalci in tiskalniki črtnih kod, prenosni računalniki, prenos shranjenih podatkov, vmesniki, optični čitalci za odvzem prstnih odtisov, delovne postaje AFIS, prstni mobilni terminali, programska oprema za LIMS in AFIS), prevzem in integracija v obstoječe informacijsko okolje. Nabavljeno je bilo 288 kosov tovrstne opreme.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Nabavljena je bila strojna in programska oprema (skupaj 54 kosov) - strežniki, podatkovno polje, mrežna oprema, prenos shranjenih podatkov, optični čitalci za odvzem prstnih odtisov in dlani, delovne postaje AFIS, mobilni terminali za odvzem prstnih odtisov, programska oprema za AFIS. Sistem je bil prevzet in integriran v obstoječe informacijsko okolje.</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0"/>
        <w:gridCol w:w="3971"/>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3</w:t>
            </w:r>
            <w:r w:rsidRPr="00707975">
              <w:rPr>
                <w:lang w:val="fr-BE"/>
              </w:rPr>
              <w:t xml:space="preserve"> - </w:t>
            </w:r>
            <w:r w:rsidRPr="00707975">
              <w:rPr>
                <w:noProof/>
                <w:lang w:val="fr-BE"/>
              </w:rPr>
              <w:t>Skupni standardi Unije</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Vlaganje v infrastrukturo, IT in programsko opremo, ki se uporablja izključno za naloge, povezane z upravljanjem meje ali na podlagi ključa za dodelitev sorazmernega s temi nalogami se je v okviru nacionalnega cilja IB.SO2.3 »Skupni standardi Unije« že izvajalo v preteklih letih v omejenem obsegu in skladno z izraženimi potrebami po tovrstnih investicijah. Slovenija je aktivnosti usposabljanja za praktično uporabo sodobnih tehnologij združila z ukrepom »projekti nabave opreme« in temu ustrezno revidirala Akcijski načrt.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IB.SO2.3.1 je bila kupljena dodatna računalniška oprema, potrebna za optimalneješe delo v Centrih za policijsko sodelovanje. Poleg te pa še oprema, namenjena opremljanju prostorov, ki izboljšuje funkcionalnost objekta, kar se v splošnem odraža v boljših pogojih za delo.</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9"/>
        <w:gridCol w:w="3352"/>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4</w:t>
            </w:r>
            <w:r w:rsidRPr="00707975">
              <w:rPr>
                <w:lang w:val="fr-BE"/>
              </w:rPr>
              <w:t xml:space="preserve"> - </w:t>
            </w:r>
            <w:r w:rsidRPr="00707975">
              <w:rPr>
                <w:noProof/>
                <w:lang w:val="fr-BE"/>
              </w:rPr>
              <w:t>Pravni red Unije</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IB.SO2.4 »Pravni red Unije« so se aktivnosti v obdobju poročanja izvajale v okviru 2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ukrepa IB.SO2.4.1 se je izvajalo usposabljanje nadzornikov državne meje skladno s sprejetim programom usposabljanja delavcev policije za varovanje zunanje meje EU in priprave na izpit za izvajanje policijskih pooblastil, skladno z verificiranim/sprejetim programom. Program je uspešno končalo 8 kandidatov (10. generacije NDM) in 19 kandidatov (11. generacije NDM).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letnih načrtov usposabljanj je bilo izvedeno specialistično usposabljanje  (opravljanje mejne kontrole, usposabljanje vodje izmen, odkrivanje zlorab listin, opravljanje varovanja državne meje, idr.) za analizo tveganja (nadzor državne meje) katerega se je v dveh izvedbah udeležilo 31 policistov; usposabljanja "PRoglis - zloraba listin" se je udeležilo 20 udeležencev; usposabljanja za inštruktorje za praktično usposabljanje so opravili 3 udeleženci.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ukrepa IB.SO2.4.2 je bila organizirana ena izvedba tečaja italijanskega jezika in dve izvedbi tečaja nemškega jezika. Skupno št. uslužbencev, ki so se udeležili jezikovnih tečajev je 108.</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3243"/>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5</w:t>
            </w:r>
            <w:r w:rsidRPr="00707975">
              <w:rPr>
                <w:lang w:val="fr-BE"/>
              </w:rPr>
              <w:t xml:space="preserve"> - </w:t>
            </w:r>
            <w:r w:rsidRPr="00707975">
              <w:rPr>
                <w:noProof/>
                <w:lang w:val="fr-BE"/>
              </w:rPr>
              <w:t>Prihodnji izzivi</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IB.SO2.5 »Prihodnji izzivi« se je izvajala krepitev zmogljivosti na področju izravnalnih ukrepov z izboljšanjem mobilnosti in opreme policijskih enot, ki te ukrepe izvajajo.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ustanovitvijo nove policijske enote za izravnalne ukrepe in potrebe po zamenjavi amortizinahih vozil v obstoječih enotah, je bila v okviru tega ukrepa izvedena nabava 22 patruljnih vozil namenjenih izvajanju izravnalnih ukrepov ter zamenjanih 30 osebnih vozil.</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6"/>
        <w:gridCol w:w="4095"/>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6</w:t>
            </w:r>
            <w:r w:rsidRPr="00707975">
              <w:rPr>
                <w:lang w:val="fr-BE"/>
              </w:rPr>
              <w:t xml:space="preserve"> - </w:t>
            </w:r>
            <w:r w:rsidRPr="00707975">
              <w:rPr>
                <w:noProof/>
                <w:lang w:val="fr-BE"/>
              </w:rPr>
              <w:t>Nacionalne zmogljivosti</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IB.SO2.6 so se vzdrževali schengenskih standardi z naložbami v opremo za mejno kontrolo in nadzor meje. V obdobju poročanja se je nadaljevala zamenjava amortizirane IKT opreme na SM ter aktivnosti povezane z vstopno-izstopnim sistemom (EES).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Nabava opreme v IB.SO2.6.1 zajema zamenjavo obrabljene, poškodovane ali dotrajane opreme in nadomestitev obrabljenih, poškodovanih ali dotrajanih kontrolnih kabin in zabojnikov, vključno z rušitvijo obstoječih kontejnerjev, potrebnimi pripravljalnimi deli inštalacijami. Opravljena je bila menjava 15 klimatskih naprav, zapornic na 4 MP, UPS naprave, monitor za nadzor prometa, menjava 7 kontejnerjev za delo policije in nakup ter menjava pohištva v njih.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IB.SO2.6.2 je bil napoten policijski ataše v Srbijo za opravljanje nalog s področja dela policije, prvenstveno migracij ter boj proti ilegalnim migracijam. Ataše je nadaljeval s poglabljanjem stikov s ključnimi policijskimi službami na področju mejnih zadev in nadgradil stike z ostalimi tujimi uradniki za zvezo. Istočasno je sodeloval tudi s skupnimi uradniki za zvezo agencij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IB.SO2.6.4 je bila izvedena prenova SIS in nadgradnja licence SIB, ki pomeni posodobitev in uskladitev z dokumentacijo ICD/DTS 4.9.0.4 Evropske komisije. Izvedena je bila tudi aktivnost vzpostavitve CEPIS Disaster Recovery sistema, katerega del je SIS II. Izvedena je bila nabava in namestitev strežnikov za SIS II na rezervni lokaciji v Novem Mestu.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IB.2.6.5 je bila identificirana vsa potrebna oprema ter delovni procesi. Izvedena so bila javna naročila za najem storitve zunanjega razvoja (2 razvijalca) in nabavo opreme v okviru EES za stacionarno implementacijo (čitalci prstnih odtisov, 4-prstni; kamere za zajem obrazne fotografije... ). Pripravljena je bila rešitev za mednarodno letališče Jožeta Pučnika (e-gates, self service kiosks). Za potrebe pospešitve delovnega procesa izvajanja mejne kontrole in EES registracije so bile identificirane dodatne rešitve na kopenskih MP ter pristanišču (self service kiosks, prenosni EES kovčki). Pripravljena / prilagojena je bila mobilna rešitev za delovanje na Androidih ter nabava dodatnih Androidih mobitelov. Za učinkovitejši delovni proces na letališču so bile nabavljene posebne kamere v obliki "tower" izvedbe.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IB.2.6.6 je bil v okviru nabave informacijske in telekomunikacijske opreme izveden nakup 2 prenosnikov. Izvedena sta bila 2 študijska obiska (Avstrija in Madžarska) glede informacijske tehnologije pri vzpostavljanju nacionalnih enot ETIAS.</w:t>
      </w:r>
    </w:p>
    <w:p w:rsidR="004F1EEC" w:rsidRPr="006C1127" w:rsidP="007C7090">
      <w:pPr>
        <w:spacing w:before="0" w:after="0"/>
        <w:rPr>
          <w:lang w:val="fr-BE"/>
        </w:rPr>
      </w:pPr>
    </w:p>
    <w:p w:rsidR="004F1EEC" w:rsidP="007C7090">
      <w:pPr>
        <w:spacing w:before="0" w:after="0"/>
        <w:rPr>
          <w:lang w:val="fr-BE"/>
        </w:rPr>
      </w:pP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2"/>
        <w:gridCol w:w="6729"/>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6C1127" w:rsidP="007C7090">
            <w:pPr>
              <w:spacing w:before="0" w:after="0"/>
              <w:ind w:hanging="113"/>
              <w:rPr>
                <w:lang w:val="fr-BE"/>
              </w:rPr>
            </w:pPr>
            <w:r w:rsidRPr="006C1127">
              <w:rPr>
                <w:noProof/>
                <w:lang w:val="fr-BE"/>
              </w:rPr>
              <w:t>Posebni cilj</w:t>
            </w:r>
          </w:p>
        </w:tc>
        <w:tc>
          <w:tcPr>
            <w:shd w:val="clear" w:color="auto" w:fill="auto"/>
          </w:tcPr>
          <w:p w:rsidR="004F1EEC" w:rsidRPr="006C1127" w:rsidP="007C7090">
            <w:pPr>
              <w:spacing w:before="0" w:after="0"/>
              <w:rPr>
                <w:lang w:val="fr-BE"/>
              </w:rPr>
            </w:pPr>
            <w:r w:rsidRPr="006C1127">
              <w:rPr>
                <w:noProof/>
                <w:lang w:val="fr-BE"/>
              </w:rPr>
              <w:t>3</w:t>
            </w:r>
            <w:r w:rsidRPr="006C1127">
              <w:rPr>
                <w:lang w:val="fr-BE"/>
              </w:rPr>
              <w:t xml:space="preserve"> - </w:t>
            </w:r>
            <w:r w:rsidRPr="006C1127">
              <w:rPr>
                <w:noProof/>
                <w:lang w:val="fr-BE"/>
              </w:rPr>
              <w:t>Operativna podpora</w:t>
            </w:r>
          </w:p>
        </w:tc>
      </w:tr>
    </w:tbl>
    <w:p w:rsidR="004F1EEC" w:rsidP="007C7090">
      <w:pPr>
        <w:spacing w:before="0" w:after="0"/>
        <w:rPr>
          <w:lang w:val="fr-BE"/>
        </w:rPr>
      </w:pPr>
    </w:p>
    <w:p w:rsidR="004F1EEC" w:rsidP="007C7090">
      <w:pPr>
        <w:spacing w:before="0" w:after="0"/>
        <w:rPr>
          <w:lang w:val="fr-BE"/>
        </w:rPr>
      </w:pPr>
      <w:r>
        <w:rPr>
          <w:noProof/>
          <w:lang w:val="fr-BE"/>
        </w:rPr>
        <w:t>Povzemite napredek pri izvajanju strategije in doseganju nacionalnih ciljev v proračunskem letu.</w:t>
      </w:r>
    </w:p>
    <w:p w:rsidR="004F1EEC" w:rsidP="007C7090">
      <w:pPr>
        <w:spacing w:before="0" w:after="0"/>
        <w:rPr>
          <w:lang w:val="fr-BE"/>
        </w:rPr>
      </w:pPr>
      <w:r>
        <w:rPr>
          <w:noProof/>
          <w:lang w:val="fr-BE"/>
        </w:rPr>
        <w:t>Navedite morebitne spremembe v strategiji ali nacionalnih ciljih oziroma dejavnike, ki bi lahko privedli do sprememb v prihodnosti.</w:t>
      </w:r>
    </w:p>
    <w:p w:rsidR="004F1EEC" w:rsidP="007C7090">
      <w:pPr>
        <w:spacing w:before="0" w:after="0"/>
        <w:rPr>
          <w:lang w:val="fr-BE"/>
        </w:rPr>
      </w:pPr>
      <w:r>
        <w:rPr>
          <w:noProof/>
          <w:lang w:val="fr-BE"/>
        </w:rPr>
        <w:t>Navedite morebitna pomembna vprašanja, ki vplivajo na uspešnost nacionalnega programa.</w:t>
      </w:r>
    </w:p>
    <w:p w:rsidR="004F1EEC"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Glavna cilja Slovenije v sklopu specifičnega cilja IB.SO3 »Operativna podpora« sta zagotavljanje stalne in zadostne podpore za postopke izdaje schengenskih vizumov ter zagotavljanje ustrezne operativne zmogljivosti za neprekinjeno in nemoteno izvajanje mejne kontrole, preverjanj in integrirano upravljanje meja v skladu s schengenskim pravnim redom.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Alokacija sredstev za leto 2022 je bila končnim upravičencem načrtovana v skladu s potrjenim Akcijskim načrtom. V obdobju poročanja pri izvajanju ukrepov v okviru tega posebnega cilja ni bilo težav, ki bi vplivale na izvajanje Nacionalnega programa. V okviru izvajanja nacionalnega cilja 1 »Operativna podpora za vizume« so se krili stroški osebja v okviru operativne podpore za projekte za vizume, ki so pristojni za schengenske vizume v skladu s členom 3(1) in členom 3(2)(a) Uredbe (EU) št. 515/2014. Uslužbenci na DKP, ki se financirajo 100 % iz EU sredstev Sklada za notranjo varnost, imajo v Aktu o notranji organizaciji in sistemizaciji v Ministrstvu za zunanje zadeve v sistemizaciji delovnega mesta in v pogodbi o zaposlitvi ali aneksu k pogodbi o zaposlitvi določena dela in naloge: opravljanje konzularnih opravil – vizumski postopki.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dokumentu poročamo samo o tistih izvedenih aktivnostih in projektih, katerih izdatki so vključeni v Obračune 2022. Slovenija načrtuje kontinuirano izvajanje aktivnosti do porabe sredstev tj. do marca 2023.</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2"/>
        <w:gridCol w:w="4579"/>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1</w:t>
            </w:r>
            <w:r w:rsidRPr="00707975">
              <w:rPr>
                <w:lang w:val="fr-BE"/>
              </w:rPr>
              <w:t xml:space="preserve"> - </w:t>
            </w:r>
            <w:r w:rsidRPr="00707975">
              <w:rPr>
                <w:noProof/>
                <w:lang w:val="fr-BE"/>
              </w:rPr>
              <w:t>Operativna podpora za vizume</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IB.SO3.1 »Operativna podpora za vizume« Slovenija uveljavlja stroške za osebje na vizumskih oddelkih DKP, in sicer v Abu Dhabiju, Ankari, Kairu, Moskvi, Pekingu in Prištini.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glavnih ciljev, t. j. večje število obdelanih vizumskih vlog, skrajšan čas trajanja vizumskih postopkov, zagotovljeno nemoteno vizumsko poslovanje, je končni upravičenec, MZZ, v obdobju poročanja v okviru izvajanja ukrepa IB.SO3.1.1 sofinanciral stroške dela 6 uslužbencev, ki opravljajo vizumsko poslovanje na različnih DKP. Plačilo stroškov dela zaposlenega v tujini obsega osnovno plačo za delo v tujini ter davke in prispevke, poleg pa še vse dodatke, deloma tudi najemnine za stanovanja uslužbencev in z njimi povezane stroške.</w:t>
      </w:r>
      <w:r>
        <w:rPr>
          <w:rFonts w:ascii="Times New Roman" w:eastAsia="Times New Roman" w:hAnsi="Times New Roman" w:cs="Times New Roman"/>
          <w:b/>
          <w:bCs/>
        </w:rPr>
        <w:t xml:space="preserv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31. 7. 2019 zaradi poteka mandata nista bili zasedeni delovni mesti v Veleposlaništvu RS Moskva ter Veleposlaništvu RS Kairo. Do napotitve novih javnih uslužbencev so delo opravljali zaposleni MZZ, napoteni na DKP v okviru začasne kadrovske pomoči oz. ostali zaposleni na veleposlaništvu. Z 2. 8. 2020 je ponovno zasedeno delovno mesto v Veleposlaništvu RS Kairo, s 1. 12. 2020 pa tudi delovno mesto v Veleposlaništvu RS Moskva. Od 25. 5. 2020 zaradi zaključka mandata ni bilo zasedeno delovno mesto v Veleposlaništvu RS Teheran, ki je bilo ponovno zasedeno s 1. 4. 2022.</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7"/>
        <w:gridCol w:w="4394"/>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2</w:t>
            </w:r>
            <w:r w:rsidRPr="00707975">
              <w:rPr>
                <w:lang w:val="fr-BE"/>
              </w:rPr>
              <w:t xml:space="preserve"> - </w:t>
            </w:r>
            <w:r w:rsidRPr="00707975">
              <w:rPr>
                <w:noProof/>
                <w:lang w:val="fr-BE"/>
              </w:rPr>
              <w:t>Operativna podpora za meje</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IB.SO3.2 »Operativna podpora za meje« so se izvajale aktivnosti v okviru 3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IB.SO3.2.1 so se aktivnosti vsebinsko izvajale v skladu z načrtom in mesečnimi odreditvami pripravljenosti na domu. Projekt se je zaključil 21 mesecev pred predvidenim zaključkom zaradi odločitve KU o financiranju iz integralnih sredstev proračuna.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ukrepa IB.SO3.2.2 so se izvajala popravila in zamenjava okvarjenih delov (trdi diski, napajalniki, kamere, monitorji, vmesniki...) specifične namenske opreme videonadzornih sistemov na državni meji. Poleg popravil, se v omenjeno vzdrževanje všteva tudi občasne dopolnitve oz. nadgraditve softverske opreme. Vse skupaj omogoča, da je oprema kot celota brezhibna in posodobljena.</w:t>
      </w:r>
      <w:r>
        <w:rPr>
          <w:rFonts w:ascii="Times New Roman" w:eastAsia="Times New Roman" w:hAnsi="Times New Roman" w:cs="Times New Roman"/>
          <w:b/>
          <w:bCs/>
        </w:rPr>
        <w:t xml:space="preserve"> </w:t>
      </w:r>
      <w:r>
        <w:rPr>
          <w:rFonts w:ascii="Times New Roman" w:eastAsia="Times New Roman" w:hAnsi="Times New Roman" w:cs="Times New Roman"/>
        </w:rPr>
        <w:t>Zagotovljena je bila razpoložljivost operativno-tehnične opreme za izvajanje policijskih nalog pri nadzoru državne meje v največji možni meri.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IB.SO3.2.4 so bile poleg rednega čiščenja/upravljanja/vzdrževanja objektov ter servisiranja vgrajenih sistemov in naprav na MP za potrebe mejne policije na schengenski meji z RH izvršene naslednje aktivnosti: popravila zapornic in induktivnih zank, odstranjevanje rečnih naplavin na 1 MP, kleparska popravila na nadstrešnicah na treh MP , letni pregledi, meritve in servisi kotlov za ogrevanje, popravila okvarjenih UPS naprav na večih MP, popravila konvektorjev za ogrevanje in hlajenje, sanacija ogrevalnega sistema in urgentno popravilo okvare vodovodne napeljave objekta policije na MP Dragonja, odprava ugotovljenih napak na požarni opremi na večih mejnih prehodih, elaborat cestne zapore in postavitev signalizacije za zaporo ceste in čiščenje meteornih odtokov na MP Sočerga ter rekonstrukcija kanalete za odvodnjavanje na MP Zg. Leskovec.</w:t>
      </w:r>
    </w:p>
    <w:p w:rsidR="004F1EEC" w:rsidRPr="006C1127" w:rsidP="007C7090">
      <w:pPr>
        <w:spacing w:before="0" w:after="0"/>
        <w:rPr>
          <w:lang w:val="fr-BE"/>
        </w:rPr>
      </w:pPr>
    </w:p>
    <w:p w:rsidR="004F1EEC" w:rsidP="007C7090">
      <w:pPr>
        <w:spacing w:before="0" w:after="0"/>
        <w:rPr>
          <w:lang w:val="fr-BE"/>
        </w:rPr>
      </w:pP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7"/>
        <w:gridCol w:w="8174"/>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6C1127" w:rsidP="007C7090">
            <w:pPr>
              <w:spacing w:before="0" w:after="0"/>
              <w:ind w:hanging="113"/>
              <w:rPr>
                <w:lang w:val="fr-BE"/>
              </w:rPr>
            </w:pPr>
            <w:r w:rsidRPr="006C1127">
              <w:rPr>
                <w:noProof/>
                <w:lang w:val="fr-BE"/>
              </w:rPr>
              <w:t>Posebni cilj</w:t>
            </w:r>
          </w:p>
        </w:tc>
        <w:tc>
          <w:tcPr>
            <w:shd w:val="clear" w:color="auto" w:fill="auto"/>
          </w:tcPr>
          <w:p w:rsidR="004F1EEC" w:rsidRPr="006C1127" w:rsidP="007C7090">
            <w:pPr>
              <w:spacing w:before="0" w:after="0"/>
              <w:rPr>
                <w:lang w:val="fr-BE"/>
              </w:rPr>
            </w:pPr>
            <w:r w:rsidRPr="006C1127">
              <w:rPr>
                <w:noProof/>
                <w:lang w:val="fr-BE"/>
              </w:rPr>
              <w:t>5</w:t>
            </w:r>
            <w:r w:rsidRPr="006C1127">
              <w:rPr>
                <w:lang w:val="fr-BE"/>
              </w:rPr>
              <w:t xml:space="preserve"> - </w:t>
            </w:r>
            <w:r w:rsidRPr="006C1127">
              <w:rPr>
                <w:noProof/>
                <w:lang w:val="fr-BE"/>
              </w:rPr>
              <w:t>Preprečevanje kriminala in boj proti njemu</w:t>
            </w:r>
          </w:p>
        </w:tc>
      </w:tr>
    </w:tbl>
    <w:p w:rsidR="004F1EEC" w:rsidP="007C7090">
      <w:pPr>
        <w:spacing w:before="0" w:after="0"/>
        <w:rPr>
          <w:lang w:val="fr-BE"/>
        </w:rPr>
      </w:pPr>
    </w:p>
    <w:p w:rsidR="004F1EEC" w:rsidP="007C7090">
      <w:pPr>
        <w:spacing w:before="0" w:after="0"/>
        <w:rPr>
          <w:lang w:val="fr-BE"/>
        </w:rPr>
      </w:pPr>
      <w:r>
        <w:rPr>
          <w:noProof/>
          <w:lang w:val="fr-BE"/>
        </w:rPr>
        <w:t>Povzemite napredek pri izvajanju strategije in doseganju nacionalnih ciljev v proračunskem letu.</w:t>
      </w:r>
    </w:p>
    <w:p w:rsidR="004F1EEC" w:rsidP="007C7090">
      <w:pPr>
        <w:spacing w:before="0" w:after="0"/>
        <w:rPr>
          <w:lang w:val="fr-BE"/>
        </w:rPr>
      </w:pPr>
      <w:r>
        <w:rPr>
          <w:noProof/>
          <w:lang w:val="fr-BE"/>
        </w:rPr>
        <w:t>Navedite morebitne spremembe v strategiji ali nacionalnih ciljih oziroma dejavnike, ki bi lahko privedli do sprememb v prihodnosti.</w:t>
      </w:r>
    </w:p>
    <w:p w:rsidR="004F1EEC" w:rsidP="007C7090">
      <w:pPr>
        <w:spacing w:before="0" w:after="0"/>
        <w:rPr>
          <w:lang w:val="fr-BE"/>
        </w:rPr>
      </w:pPr>
      <w:r>
        <w:rPr>
          <w:noProof/>
          <w:lang w:val="fr-BE"/>
        </w:rPr>
        <w:t>Navedite morebitna pomembna vprašanja, ki vplivajo na uspešnost nacionalnega programa.</w:t>
      </w:r>
    </w:p>
    <w:p w:rsidR="004F1EEC"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Cilji Slovenije, ki jih obravnavamo v sklopu IP.SO5, so zagotavljanje varnosti državljanov in skupnosti, varovanje človekovih pravic in temeljnih svoboščin ter krepitev pravne države. S kontinuiranim izvajanjem ukrepov IP.SO5 je bila zagotovljena zaščita državljanom EU pred vse bolj nadnacionalnimi grožnjami kriminala, posebej tistimi, ki izvirajo iz območja Zahodnega Balkana.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Dogajanja v okviru organizirane kriminalitete zaznamuje geografski položaj Slovenije z izpostavljenostjo t.i. »Balkanski poti«, slovensko ozemlje pri tem predstavlja pomembno tranzitno območje za vstop v EU. Tudi v obdobju poročanja je policija pozornost namenila izvajanju prikritih preiskovalnih ukrepov z namenom odkrivanja in preiskovanja organiziranih in hudih oblik čezmejne kriminalitete. Potekalo je izvajanje iniciative na področju policijskega sodelovanja zoper terorizem. Intenzivna izmenjava informacij je potekala z Europolom, DČ EU in državami Zahodnega Balkana.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načrtuje kontinuirano izvajanje aktivnosti porabe sredstev do konca junija 2023.</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8"/>
        <w:gridCol w:w="4663"/>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1</w:t>
            </w:r>
            <w:r w:rsidRPr="00707975">
              <w:rPr>
                <w:lang w:val="fr-BE"/>
              </w:rPr>
              <w:t xml:space="preserve"> - </w:t>
            </w:r>
            <w:r w:rsidRPr="00707975">
              <w:rPr>
                <w:noProof/>
                <w:lang w:val="fr-BE"/>
              </w:rPr>
              <w:t>Kriminal – preprečevanje in boj</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je nadaljevala z izvajanjem ukrepov v IP.SO5.1.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IP.SO5.1.1 so bila v obdobju poročanja izvedena štiri enodnevna usposabljanja na temo detekcija in zaščita ob prisotnosti nevarnih plinov in enodnevo usposabljanje za multiplikatorje za uporabo dekontaminacijske linije pri ogražanju s CBRN. Za potrebe usposabljanj, ki so bila namenjena kriminalistom in pripadnikom specialne enote, je bil izveden nakup materialno tehnične opreme (dekontaminacijska linija, modularni kontejner s predelavo in 4 kamere), skupno 90 kosov.</w:t>
      </w:r>
      <w:r>
        <w:rPr>
          <w:rFonts w:ascii="Times New Roman" w:eastAsia="Times New Roman" w:hAnsi="Times New Roman" w:cs="Times New Roman"/>
          <w:b/>
          <w:bCs/>
        </w:rPr>
        <w:t xml:space="preserve"> </w:t>
      </w:r>
      <w:r>
        <w:rPr>
          <w:rFonts w:ascii="Times New Roman" w:eastAsia="Times New Roman" w:hAnsi="Times New Roman" w:cs="Times New Roman"/>
        </w:rPr>
        <w:t>V Ljubljani je bil izveden operativni posvet s področja preprečevanja deovanja organiziranih kriminalnih združb, ki tihotapijo nevarne snovi.</w:t>
      </w:r>
      <w:r>
        <w:rPr>
          <w:rFonts w:ascii="Times New Roman" w:eastAsia="Times New Roman" w:hAnsi="Times New Roman" w:cs="Times New Roman"/>
          <w:b/>
          <w:bCs/>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2022 je bil zakupljen dostop do elektronskih baz TAX -Fin-Lex, OnBoard, Poslovna Srbija, Poslovna Hrvaška, GVIN, AJPES;EBR in elektronski dostop do zakonov s komentarji. V obdobju poročanja je bil izveden nakup 3 prenosnih računalnikov, 8 diskov, 4 Blu-ray zapisovalniki in obnovljene licence za programsko opremo GeoTime (15).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IP.SO5.1.1 je bil v obdobju poročanja izveden nakup specialne opreme za potrebe delovanja mobilnih kriminalističnih oddelkov (90 taktičnih svetilk, 12 prenosnikov in 2 optična transakcijska čitalca).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IP.SO5.1.2 je bil izveden nakup programske in strojne opreme za nadgradnjo sistemov za prikrito komuniciranje (skupaj 66 kosov opreme). S sredstvi projekta se je krilo tudi stroške, ki nastanejo pri najemu lokacij, kjer deluje enota za tajno opazovanje.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IP.SO5.1.3 je bil izveden nakup računalniške forenzične opreme (9 zmogljivih delovnih postaj in 18 zaslonov).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IP.SO5.1.7 je bilo na novo zaposlenih 5 kriminalistov (dveh oseb na SKP PU Ljubljana, dveh oseb na SKP PU Maribor in ene osebe na GPU UKP SMPS) za izvajanje nalog ciljnega iskanja oseb na državnem nivoju.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5"/>
        <w:gridCol w:w="4726"/>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2</w:t>
            </w:r>
            <w:r w:rsidRPr="00707975">
              <w:rPr>
                <w:lang w:val="fr-BE"/>
              </w:rPr>
              <w:t xml:space="preserve"> - </w:t>
            </w:r>
            <w:r w:rsidRPr="00707975">
              <w:rPr>
                <w:noProof/>
                <w:lang w:val="fr-BE"/>
              </w:rPr>
              <w:t>Kriminal – izmenjava informacij</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IP.SO5.2 so se v obdobju poročanja izvajale aktivnosti v okviru 4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IP.SO5.2.1 so se izvajali prikriti preiskovalni ukrepi tajnega delovanja, izvedeni so bili navidezni odkupi. Skupaj je bilo izvedeno 21 mednarodnih policijskih preiskav in 1820 prikritih preiskovalnih ukrepov.</w:t>
      </w:r>
      <w:r>
        <w:rPr>
          <w:rFonts w:ascii="Times New Roman" w:eastAsia="Times New Roman" w:hAnsi="Times New Roman" w:cs="Times New Roman"/>
          <w:b/>
          <w:bCs/>
        </w:rPr>
        <w:t xml:space="preserve"> </w:t>
      </w:r>
      <w:r>
        <w:rPr>
          <w:rFonts w:ascii="Times New Roman" w:eastAsia="Times New Roman" w:hAnsi="Times New Roman" w:cs="Times New Roman"/>
        </w:rPr>
        <w:t>Izvedeni so bili tudi operativni - delovni sestanki v tujini (Srbija, BIH, Španija in ZDA).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IP.SO5.2.2</w:t>
      </w:r>
      <w:r>
        <w:rPr>
          <w:rFonts w:ascii="Times New Roman" w:eastAsia="Times New Roman" w:hAnsi="Times New Roman" w:cs="Times New Roman"/>
          <w:b/>
          <w:bCs/>
        </w:rPr>
        <w:t xml:space="preserve"> </w:t>
      </w:r>
      <w:r>
        <w:rPr>
          <w:rFonts w:ascii="Times New Roman" w:eastAsia="Times New Roman" w:hAnsi="Times New Roman" w:cs="Times New Roman"/>
        </w:rPr>
        <w:t>je v okviru projekta potekalo financiranje plače in dodatkov za delo v tujini, regresa za letni dopust, povračila stroškov za nastanitev, povračila za izobraževanje otrok, dodatka za nezaposlenega zakonskega partnerja, povračila stroškov obveznega zdravstvenega zavarovanja za javnega uslužbenca in njegove družinske člane, povračila stroškov stalne uporabe službenega vozila in mobilnega telefona.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IP.SO5.2.6 so bile izvedene konference delovne skupine forenzičnih strokovnjakov za preiskovanje prstnih odtisov (Švica in Portugalska), za izdelavo priročnika dobre prakse ENFSI  in za preiskave rokopisov ENFHEX (obakrat Portugalska), za preiskave prepovedanih drog (Malta), za preiskave požarov in eksplozij FEIWG (Estonija) ter ekspertne delovne skupine za preiskave eksplozij (Velika Britanija in Francija). Konferenc se je udeležilo 7 oseb.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IP.SO5.2.7 se je izvedla</w:t>
      </w:r>
      <w:r>
        <w:rPr>
          <w:rFonts w:ascii="Times New Roman" w:eastAsia="Times New Roman" w:hAnsi="Times New Roman" w:cs="Times New Roman"/>
          <w:b/>
          <w:bCs/>
        </w:rPr>
        <w:t xml:space="preserve"> </w:t>
      </w:r>
      <w:r>
        <w:rPr>
          <w:rFonts w:ascii="Times New Roman" w:eastAsia="Times New Roman" w:hAnsi="Times New Roman" w:cs="Times New Roman"/>
        </w:rPr>
        <w:t>nabava interaktivne table in izveden nakup 3 prenosnih računalnikov, osebnega računalnika, 33 monitorjev, video sistema, 24 spominskih modulov za strežnik, 10 kosov RAM 16 GB za PC, 7 grafičnih kartic za GeoTime in podaljšanje licenc za GeoTime. Na podlagi pogodbe o zaposlitvi sta bila zaposlena dva programerja aplikacij.</w:t>
      </w:r>
      <w:r>
        <w:rPr>
          <w:rFonts w:ascii="Times New Roman" w:eastAsia="Times New Roman" w:hAnsi="Times New Roman" w:cs="Times New Roman"/>
          <w:b/>
          <w:bCs/>
        </w:rPr>
        <w:t xml:space="preserve"> </w:t>
      </w:r>
      <w:r>
        <w:rPr>
          <w:rFonts w:ascii="Times New Roman" w:eastAsia="Times New Roman" w:hAnsi="Times New Roman" w:cs="Times New Roman"/>
        </w:rPr>
        <w:t>Podaljšanje so bile tudi licence za programsko opremo KNIME za leto 2021.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4"/>
        <w:gridCol w:w="4147"/>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3</w:t>
            </w:r>
            <w:r w:rsidRPr="00707975">
              <w:rPr>
                <w:lang w:val="fr-BE"/>
              </w:rPr>
              <w:t xml:space="preserve"> - </w:t>
            </w:r>
            <w:r w:rsidRPr="00707975">
              <w:rPr>
                <w:noProof/>
                <w:lang w:val="fr-BE"/>
              </w:rPr>
              <w:t>Kriminal – usposabljanje</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je v obdobju poročanja za svojo prednostno nalogo v okviru IP.SO5.3 »Kriminal – usposabljanje« določila usposabljanje in izpopolnjevanje preiskovalcev s ciljem krepiti preiskovalne zmogljivosti pri odkrivanju in preiskovanju gospodarske kriminalitete ter pridobivanje specifičnosti znanj in veščin za čezmejno tajno policijsko delovanje. Slovenija ocenjuje, da bo z izvedbo vseh načrtovanih usposabljanj v celotni finančni perspektivi dosegla zastavljene cilje. Pri izvajanju ukrepov ni bilo težav, ki bi vplivale na izvajanje Nacionalnega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IP.SO5.3.1 je bilo izvedeno 41 usposabljanj s področja pridobivanja specifičnih znanj s področja tajnega delovanja, ki se jih je udeležilo 277 oseb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IP.SO5.3.2 je bilo izvedeno več usposabljanj</w:t>
      </w:r>
      <w:r>
        <w:rPr>
          <w:rFonts w:ascii="Times New Roman" w:eastAsia="Times New Roman" w:hAnsi="Times New Roman" w:cs="Times New Roman"/>
          <w:b/>
          <w:bCs/>
        </w:rPr>
        <w:t xml:space="preserve"> </w:t>
      </w:r>
      <w:r>
        <w:rPr>
          <w:rFonts w:ascii="Times New Roman" w:eastAsia="Times New Roman" w:hAnsi="Times New Roman" w:cs="Times New Roman"/>
        </w:rPr>
        <w:t>(Bančna šola, Branje in analiza bilanc za nefinančnike, 4. konferenca poslovne forenzike »Boj proti poslovnim goljufijam«,  Strokovnjak za javna naročila (korupcija), 27. Posvet »Gospodarski subjekti na trgu«, korupcija, korupcija v športu), katerih se je udeležilo 187 oseb.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IP.SO5.3.3</w:t>
      </w:r>
      <w:r>
        <w:rPr>
          <w:rFonts w:ascii="Times New Roman" w:eastAsia="Times New Roman" w:hAnsi="Times New Roman" w:cs="Times New Roman"/>
          <w:b/>
          <w:bCs/>
        </w:rPr>
        <w:t xml:space="preserve"> </w:t>
      </w:r>
      <w:r>
        <w:rPr>
          <w:rFonts w:ascii="Times New Roman" w:eastAsia="Times New Roman" w:hAnsi="Times New Roman" w:cs="Times New Roman"/>
        </w:rPr>
        <w:t>so bila izvedena usposabljanja za delo z viri in informatorji. Uslužbenci kriminalistične policije so se udeleževali strokovnega usposabljanja s področja kriminalističnoobveščevalne analitike. Izvedena je bila projektna zaposlitev diplomiranega psihologa, ki sodeluje pri usposabljanju in strokovni pomoči preiskovalcem pri delu z viri in informatorji.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IP.SO5.3.4</w:t>
      </w:r>
      <w:r>
        <w:rPr>
          <w:rFonts w:ascii="Times New Roman" w:eastAsia="Times New Roman" w:hAnsi="Times New Roman" w:cs="Times New Roman"/>
          <w:b/>
          <w:bCs/>
        </w:rPr>
        <w:t xml:space="preserve"> </w:t>
      </w:r>
      <w:r>
        <w:rPr>
          <w:rFonts w:ascii="Times New Roman" w:eastAsia="Times New Roman" w:hAnsi="Times New Roman" w:cs="Times New Roman"/>
        </w:rPr>
        <w:t>je bilo izvedeno pet specialističnih usposabljanj za preiskovanje računalniške kriminalitete in izvajanje digitalne forenzike na elektronskih napravah in podatkih. Preiskovalci so se udeležili sedmih strokovnih usposabljanj s področja spolnega izkoriščanja otrok na spletu in mladoletniškega kriminala, dveh strokovnih usposabljanj s področja zlorab plačilnih kartic in enega s področja trgovine z ljudmi ter trgovine z ljudmi in tihotapstva ljudi. Preiskovalci so se udeležili specialističnega usposabljanja o zlorabah otrok preko spleta in usposbljanja o uporabi računalniške platforme SharePoint, ki se uporablja pri preiskovanju kaznivih dejanj.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1"/>
        <w:gridCol w:w="4320"/>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4</w:t>
            </w:r>
            <w:r w:rsidRPr="00707975">
              <w:rPr>
                <w:lang w:val="fr-BE"/>
              </w:rPr>
              <w:t xml:space="preserve"> - </w:t>
            </w:r>
            <w:r w:rsidRPr="00707975">
              <w:rPr>
                <w:noProof/>
                <w:lang w:val="fr-BE"/>
              </w:rPr>
              <w:t>Kriminal – podpora žrtvam</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obdobju poročanje se ukrepi nacionalnega cilja IP.SO5.4 »Kriminal – podpora žrtvam« niso izvajali.</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3"/>
        <w:gridCol w:w="5118"/>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5</w:t>
            </w:r>
            <w:r w:rsidRPr="00707975">
              <w:rPr>
                <w:lang w:val="fr-BE"/>
              </w:rPr>
              <w:t xml:space="preserve"> - </w:t>
            </w:r>
            <w:r w:rsidRPr="00707975">
              <w:rPr>
                <w:noProof/>
                <w:lang w:val="fr-BE"/>
              </w:rPr>
              <w:t>Kriminal – ocena nevarnosti in tveganj</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v okviru nacionalnega cilja IP.SO5.5 »Kriminal – Ocenjevanje nevarnosti in tveganj« nima načrtovanih aktivnosti.</w:t>
      </w:r>
    </w:p>
    <w:p w:rsidR="004F1EEC" w:rsidRPr="006C1127" w:rsidP="007C7090">
      <w:pPr>
        <w:spacing w:before="0" w:after="0"/>
        <w:rPr>
          <w:lang w:val="fr-BE"/>
        </w:rPr>
      </w:pPr>
    </w:p>
    <w:p w:rsidR="004F1EEC" w:rsidP="007C7090">
      <w:pPr>
        <w:spacing w:before="0" w:after="0"/>
        <w:rPr>
          <w:lang w:val="fr-BE"/>
        </w:rPr>
      </w:pP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5"/>
        <w:gridCol w:w="6476"/>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6C1127" w:rsidP="007C7090">
            <w:pPr>
              <w:spacing w:before="0" w:after="0"/>
              <w:ind w:hanging="113"/>
              <w:rPr>
                <w:lang w:val="fr-BE"/>
              </w:rPr>
            </w:pPr>
            <w:r w:rsidRPr="006C1127">
              <w:rPr>
                <w:noProof/>
                <w:lang w:val="fr-BE"/>
              </w:rPr>
              <w:t>Posebni cilj</w:t>
            </w:r>
          </w:p>
        </w:tc>
        <w:tc>
          <w:tcPr>
            <w:shd w:val="clear" w:color="auto" w:fill="auto"/>
          </w:tcPr>
          <w:p w:rsidR="004F1EEC" w:rsidRPr="006C1127" w:rsidP="007C7090">
            <w:pPr>
              <w:spacing w:before="0" w:after="0"/>
              <w:rPr>
                <w:lang w:val="fr-BE"/>
              </w:rPr>
            </w:pPr>
            <w:r w:rsidRPr="006C1127">
              <w:rPr>
                <w:noProof/>
                <w:lang w:val="fr-BE"/>
              </w:rPr>
              <w:t>6</w:t>
            </w:r>
            <w:r w:rsidRPr="006C1127">
              <w:rPr>
                <w:lang w:val="fr-BE"/>
              </w:rPr>
              <w:t xml:space="preserve"> - </w:t>
            </w:r>
            <w:r w:rsidRPr="006C1127">
              <w:rPr>
                <w:noProof/>
                <w:lang w:val="fr-BE"/>
              </w:rPr>
              <w:t>Tveganja in krize</w:t>
            </w:r>
          </w:p>
        </w:tc>
      </w:tr>
    </w:tbl>
    <w:p w:rsidR="004F1EEC" w:rsidP="007C7090">
      <w:pPr>
        <w:spacing w:before="0" w:after="0"/>
        <w:rPr>
          <w:lang w:val="fr-BE"/>
        </w:rPr>
      </w:pPr>
    </w:p>
    <w:p w:rsidR="004F1EEC" w:rsidP="007C7090">
      <w:pPr>
        <w:spacing w:before="0" w:after="0"/>
        <w:rPr>
          <w:lang w:val="fr-BE"/>
        </w:rPr>
      </w:pPr>
      <w:r>
        <w:rPr>
          <w:noProof/>
          <w:lang w:val="fr-BE"/>
        </w:rPr>
        <w:t>Povzemite napredek pri izvajanju strategije in doseganju nacionalnih ciljev v proračunskem letu.</w:t>
      </w:r>
    </w:p>
    <w:p w:rsidR="004F1EEC" w:rsidP="007C7090">
      <w:pPr>
        <w:spacing w:before="0" w:after="0"/>
        <w:rPr>
          <w:lang w:val="fr-BE"/>
        </w:rPr>
      </w:pPr>
      <w:r>
        <w:rPr>
          <w:noProof/>
          <w:lang w:val="fr-BE"/>
        </w:rPr>
        <w:t>Navedite morebitne spremembe v strategiji ali nacionalnih ciljih oziroma dejavnike, ki bi lahko privedli do sprememb v prihodnosti.</w:t>
      </w:r>
    </w:p>
    <w:p w:rsidR="004F1EEC" w:rsidP="007C7090">
      <w:pPr>
        <w:spacing w:before="0" w:after="0"/>
        <w:rPr>
          <w:lang w:val="fr-BE"/>
        </w:rPr>
      </w:pPr>
      <w:r>
        <w:rPr>
          <w:noProof/>
          <w:lang w:val="fr-BE"/>
        </w:rPr>
        <w:t>Navedite morebitna pomembna vprašanja, ki vplivajo na uspešnost nacionalnega programa.</w:t>
      </w:r>
    </w:p>
    <w:p w:rsidR="004F1EEC"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Glavni cilj Slovenije v sklopu posebnega cilja IP.SO6 »Tveganja in krize« je preučevanje tehničnih rešitev in zagotavljanje ustrezne opreme za neprekinjeno in učinkovito delovanje centrov in subjektov, ki delujejo na področju kriznega upravljanja. Cilj je zmanjšati odvečno komunikacijo med subjekti za krizno upravljanje in zagotoviti boljšo podporo kriznemu upravljanju/odločanju na državni ravni. Načrtovana je tudi omejena uporaba novih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Alokacija sredstev za leto 2022 je bila končnemu upravičencu Ministrstvu za obrambo (MO) načrtovana v skladu s potrjenim Akcijskim načrtom. V obdobju poročanja pri izvajanju ukrepov v okviru tega posebnega cilja ni bilo težav, ki bi vplivale na izvajanje Nacionalnega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Posebnih pomembnih vprašanj, ki bi vplivala na uspešnost nacionalnega programa med izvajanjem ukrepov, ni bilo. Črpanje v okviru specifičnega cilja 6 - Tveganja in krize je usklajeno s poročanjem v Obračunih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s terminskim načrtom bodo projekti zaključeni do konca 2022, zato bo Slovenija statistične podatke o napredku na posameznem področju ter končno stopnjo črpanja poročala v okviru naslednjega AIR. Del sredstev, ki smo jih uveljavljali v predhodnih letnih izkazih, tudi ni bil priznan zaradi naknadnih sprememb upravičenih stroškov, pri čimer prihaja do razlike med načrtovanim proračunom v Nacionalnem programu in realizacijo. Slovenija načrtuje kontinuirano izvajanje aktivnosti porabe sredstev tj. do konca 2022.</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9"/>
        <w:gridCol w:w="4682"/>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1</w:t>
            </w:r>
            <w:r w:rsidRPr="00707975">
              <w:rPr>
                <w:lang w:val="fr-BE"/>
              </w:rPr>
              <w:t xml:space="preserve"> - </w:t>
            </w:r>
            <w:r w:rsidRPr="00707975">
              <w:rPr>
                <w:noProof/>
                <w:lang w:val="fr-BE"/>
              </w:rPr>
              <w:t>Tveganja – preprečevanje in boj</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IP.SO6.1 »Tveganja - preprečevanje in boj« je Slovenija v obdobju poročanja izvedla aktivnosti v okviru nadgradnje informacijskega sistema za podporo odločanju z modulom za kritično infrastrukturo.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IP.SO6.1.2 se je izvedla priprava</w:t>
      </w:r>
      <w:r>
        <w:rPr>
          <w:rFonts w:ascii="Times New Roman" w:eastAsia="Times New Roman" w:hAnsi="Times New Roman" w:cs="Times New Roman"/>
          <w:b/>
          <w:bCs/>
        </w:rPr>
        <w:t xml:space="preserve"> </w:t>
      </w:r>
      <w:r>
        <w:rPr>
          <w:rFonts w:ascii="Times New Roman" w:eastAsia="Times New Roman" w:hAnsi="Times New Roman" w:cs="Times New Roman"/>
        </w:rPr>
        <w:t>strokovnih podlag za ocenjevanje tveganj za delovanje kritične infrastrukture ob upoštevanju različnih vrst nevarnosti ter soodvisnosti sektorjev kritične infrastrukture in njihovega medsebojnega vpliva. Izvedeni sta bili dve predstavitvi: 30. 5. 2019 za nosilce sektorjev KI in 13. 9. za upravljavce KI in strokovno javnost.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IP.SO6.1.3 je bila v letu 2020 realizirana nabava dela predvidenih kriptirnih naprav (18 od 35).</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6"/>
        <w:gridCol w:w="4745"/>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2</w:t>
            </w:r>
            <w:r w:rsidRPr="00707975">
              <w:rPr>
                <w:lang w:val="fr-BE"/>
              </w:rPr>
              <w:t xml:space="preserve"> - </w:t>
            </w:r>
            <w:r w:rsidRPr="00707975">
              <w:rPr>
                <w:noProof/>
                <w:lang w:val="fr-BE"/>
              </w:rPr>
              <w:t>Tveganja – izmenjava informacij</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IP.SO6.2 »Izmenjava informacij« v obdobju poročanja Slovenija ni predvidela aktivnosti.</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1"/>
        <w:gridCol w:w="4170"/>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3</w:t>
            </w:r>
            <w:r w:rsidRPr="00707975">
              <w:rPr>
                <w:lang w:val="fr-BE"/>
              </w:rPr>
              <w:t xml:space="preserve"> - </w:t>
            </w:r>
            <w:r w:rsidRPr="00707975">
              <w:rPr>
                <w:noProof/>
                <w:lang w:val="fr-BE"/>
              </w:rPr>
              <w:t>Tveganja – usposabljanje</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IP.SO6.3 »Tveganja – usposabljanja« v obdobju poročanja Slovenija ni predvidela aktivnosti.</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0"/>
        <w:gridCol w:w="4341"/>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4</w:t>
            </w:r>
            <w:r w:rsidRPr="00707975">
              <w:rPr>
                <w:lang w:val="fr-BE"/>
              </w:rPr>
              <w:t xml:space="preserve"> - </w:t>
            </w:r>
            <w:r w:rsidRPr="00707975">
              <w:rPr>
                <w:noProof/>
                <w:lang w:val="fr-BE"/>
              </w:rPr>
              <w:t>Tveganja – podpora žrtvam</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IP.SO6.4 »Tveganja - podpora žrtvam« je Slovenija v letu 2017 zaključila z razvojem in izvajanjem sistema za podporo žrtvam in upravljanje s psihosocialno pomočjo. Vzpostavljen je bil sistem psihosocialne pomoči reševalcem in prebivalcem po večjih naravnih in drugih nesrečah, izdelana gradiva za psihosocialno pomoč (brošure in priročnik) in izvedena usposabljanja različnih deležnikov na lokalnem in regijskem nivoju za psihosocialno pomoč prebivalcem in reševalcem.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nacionalnega cilja IP.SO6.4 »Tveganja - podpora žrtvam« Slovenija v obdobju poročanja ni predvidela aktivnosti.</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2"/>
        <w:gridCol w:w="4169"/>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5</w:t>
            </w:r>
            <w:r w:rsidRPr="00707975">
              <w:rPr>
                <w:lang w:val="fr-BE"/>
              </w:rPr>
              <w:t xml:space="preserve"> - </w:t>
            </w:r>
            <w:r w:rsidRPr="00707975">
              <w:rPr>
                <w:noProof/>
                <w:lang w:val="fr-BE"/>
              </w:rPr>
              <w:t>Tveganja – infrastruktura</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IP.SO6.5 »Tveganja – infrastruktura« je MO v letih 2016 in 2017 izvedlo posodobitev multimedijskega sistema Nacionalnega centra za krizno upravljanje  za podporo odločanju in povezljivost z ostalimi subjekti kriznega upravljanja in zaščite kritične infrastrukture; v letu 2015 je bila izvedena posodobitev štabne sobe za upravljanje in ukrepanje ob nesrečah z nabavo IKT opreme. V okviru pregleda in nadgradnje mehanizmov kriznega upravljanja in vodenja v Sloveniji, zaključenega v letu 2017, so bile oblikovane opredelitve kriz večjih družbenih razsežnosti v slovenskem prostoru in določeni kazalniki za njihovo razmejitev ter pripravljen predlog nadgradnje sistema kriznega upravljanja in vodenja, ki je rezultiral v leta 2018 sprejeti Uredbi o kriznem upravljanju in vodenju ter Nacionalnem centru za krizno upravljanje (Uradni list RS, št. 28/18).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IP.SO6.5.3 prvotno predvidene aktivnosti za presojo potrebnosti in primernosti redundančnih poti in lokacij se ne bodo izvajale v finančni perspektivi 2014-2020, saj je sprejeti Zakon o kritični infrastrukturi (Uradni list RS, št. 75/17) določil odgovornost nosilcev sektorjev kritične infrastrukture za izvedbo ukrepov za zaščito kritične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Sprejem Zakona o kritični infrastrukturi je vplival tudi na spremenjeno dinamiko izvajanja aktivnosti IP.SO6.5.5 »Priprave ocenjevalnih orodjih/aplikacij, alternativnih načrtov, postopkov za odzivanje na grožnje ukrepov« in IP.SO6.5.6 »Raziskave o možnih ukrepih za ublažitev škode v primerih onesposobitve kritične infrastrukture in uvedbe ukrepov za delovanje v nujnih primerih«. Ukrepi bodo izvedeni v okviru naslednje finančne perspektive.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IP.SO6.5 v obdobju poročanja ni bilo predvidenih aktivnosti.</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0"/>
        <w:gridCol w:w="5191"/>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6</w:t>
            </w:r>
            <w:r w:rsidRPr="00707975">
              <w:rPr>
                <w:lang w:val="fr-BE"/>
              </w:rPr>
              <w:t xml:space="preserve"> - </w:t>
            </w:r>
            <w:r w:rsidRPr="00707975">
              <w:rPr>
                <w:noProof/>
                <w:lang w:val="fr-BE"/>
              </w:rPr>
              <w:t>Tveganja – zgodnje opozarjanje in krize</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IP.SO6.6 »Tveganja – zgodnje opozarjanje in krize« Slovenija izvaja tehnične rešitve in zagotavlja ustrezno opremo za neprekinjeno in učinkovito delovanje centrov in subjektov, ki delujejo na področju kriznega upravljanja. Zmanjšanje odvečne komunikacije med subjekti za krizno upravljanje in zagotovitev boljše podpore kriznemu upravljanju/odločanju na državni ravni je z izvedenimi projekti skoraj doseženo.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nacionalnega cilja IP.SO6.6 »Tveganja – zgodnje opozarjanje in krize« Slovenija v obdobju poročanja ni predvidela aktivnosti.</w:t>
      </w:r>
    </w:p>
    <w:p w:rsidR="004F1EEC" w:rsidRPr="006C1127"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7"/>
        <w:gridCol w:w="5134"/>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707975" w:rsidP="007C7090">
            <w:pPr>
              <w:spacing w:before="0" w:after="0"/>
              <w:rPr>
                <w:lang w:val="fr-BE"/>
              </w:rPr>
            </w:pPr>
            <w:r w:rsidRPr="00707975">
              <w:rPr>
                <w:noProof/>
                <w:lang w:val="fr-BE"/>
              </w:rPr>
              <w:t>Ukrepi, financirani v okviru nacionalnega cilja</w:t>
            </w:r>
          </w:p>
        </w:tc>
        <w:tc>
          <w:tcPr>
            <w:shd w:val="clear" w:color="auto" w:fill="auto"/>
          </w:tcPr>
          <w:p w:rsidR="004F1EEC" w:rsidRPr="00707975" w:rsidP="007C7090">
            <w:pPr>
              <w:spacing w:before="0" w:after="0"/>
              <w:rPr>
                <w:lang w:val="fr-BE"/>
              </w:rPr>
            </w:pPr>
            <w:r w:rsidRPr="00707975">
              <w:rPr>
                <w:noProof/>
                <w:lang w:val="fr-BE"/>
              </w:rPr>
              <w:t>7</w:t>
            </w:r>
            <w:r w:rsidRPr="00707975">
              <w:rPr>
                <w:lang w:val="fr-BE"/>
              </w:rPr>
              <w:t xml:space="preserve"> - </w:t>
            </w:r>
            <w:r w:rsidRPr="00707975">
              <w:rPr>
                <w:noProof/>
                <w:lang w:val="fr-BE"/>
              </w:rPr>
              <w:t>Tveganja – ocena nevarnosti in tveganj</w:t>
            </w:r>
          </w:p>
        </w:tc>
      </w:tr>
    </w:tbl>
    <w:p w:rsidR="004F1EEC" w:rsidRPr="006C1127"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IP.SO6.7. »Tveganja – ocena nevarnosti in tveganj« Slovenija v obdobju poročanja ni predvidela aktivnosti.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4F1EEC" w:rsidRPr="006C1127" w:rsidP="007C7090">
      <w:pPr>
        <w:spacing w:before="0" w:after="0"/>
        <w:rPr>
          <w:lang w:val="fr-BE"/>
        </w:rPr>
      </w:pPr>
    </w:p>
    <w:p w:rsidR="004F1EEC" w:rsidP="007C7090">
      <w:pPr>
        <w:spacing w:before="0" w:after="0"/>
        <w:rPr>
          <w:lang w:val="fr-BE"/>
        </w:rPr>
      </w:pPr>
    </w:p>
    <w:p w:rsidR="004F1EEC" w:rsidRPr="006C1127" w:rsidP="007C7090">
      <w:pPr>
        <w:spacing w:before="0" w:after="0"/>
        <w:rPr>
          <w:lang w:val="fr-BE"/>
        </w:rPr>
      </w:pPr>
    </w:p>
    <w:p w:rsidR="004F1EEC" w:rsidP="007C7090">
      <w:pPr>
        <w:spacing w:before="0" w:after="0"/>
        <w:rPr>
          <w:lang w:val="fr-BE"/>
        </w:rPr>
      </w:pPr>
    </w:p>
    <w:p w:rsidR="004F1EEC" w:rsidRPr="00F9367D" w:rsidP="007C7090">
      <w:pPr>
        <w:pStyle w:val="Heading1"/>
        <w:numPr>
          <w:ilvl w:val="0"/>
          <w:numId w:val="0"/>
        </w:numPr>
        <w:spacing w:before="0" w:after="0"/>
      </w:pPr>
      <w:r>
        <w:rPr>
          <w:lang w:val="fr-BE"/>
        </w:rPr>
        <w:br w:type="page"/>
      </w:r>
      <w:bookmarkStart w:id="1" w:name="_Toc256000001"/>
      <w:r w:rsidRPr="00F9367D">
        <w:rPr>
          <w:noProof/>
        </w:rPr>
        <w:t>Okvirni časovni razpored</w:t>
      </w:r>
      <w:bookmarkEnd w:id="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1942"/>
        <w:gridCol w:w="698"/>
        <w:gridCol w:w="3353"/>
        <w:gridCol w:w="1063"/>
        <w:gridCol w:w="867"/>
        <w:gridCol w:w="894"/>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4F1EEC" w:rsidRPr="00CB3B6C" w:rsidP="007C7090">
            <w:pPr>
              <w:spacing w:before="0" w:after="0"/>
              <w:rPr>
                <w:b/>
                <w:sz w:val="16"/>
                <w:szCs w:val="16"/>
              </w:rPr>
            </w:pPr>
            <w:r w:rsidRPr="00CB3B6C">
              <w:rPr>
                <w:b/>
                <w:noProof/>
                <w:sz w:val="16"/>
                <w:szCs w:val="16"/>
              </w:rPr>
              <w:t>Posebni cilj</w:t>
            </w:r>
          </w:p>
        </w:tc>
        <w:tc>
          <w:tcPr>
            <w:shd w:val="clear" w:color="auto" w:fill="auto"/>
          </w:tcPr>
          <w:p w:rsidR="004F1EEC" w:rsidRPr="00CB3B6C" w:rsidP="007C7090">
            <w:pPr>
              <w:spacing w:before="0" w:after="0"/>
              <w:rPr>
                <w:b/>
                <w:sz w:val="16"/>
                <w:szCs w:val="16"/>
              </w:rPr>
            </w:pPr>
            <w:r w:rsidRPr="00CB3B6C">
              <w:rPr>
                <w:b/>
                <w:noProof/>
                <w:sz w:val="16"/>
                <w:szCs w:val="16"/>
              </w:rPr>
              <w:t>Nacionalni cilj / posebni ukrep</w:t>
            </w:r>
          </w:p>
        </w:tc>
        <w:tc>
          <w:tcPr>
            <w:shd w:val="clear" w:color="auto" w:fill="auto"/>
          </w:tcPr>
          <w:p w:rsidR="004F1EEC" w:rsidRPr="00CB3B6C" w:rsidP="007C7090">
            <w:pPr>
              <w:spacing w:before="0" w:after="0"/>
              <w:jc w:val="center"/>
              <w:rPr>
                <w:b/>
                <w:sz w:val="16"/>
                <w:szCs w:val="16"/>
              </w:rPr>
            </w:pPr>
            <w:r w:rsidRPr="00CB3B6C">
              <w:rPr>
                <w:b/>
                <w:noProof/>
                <w:sz w:val="16"/>
                <w:szCs w:val="16"/>
              </w:rPr>
              <w:t>Glavni ukrep</w:t>
            </w:r>
          </w:p>
        </w:tc>
        <w:tc>
          <w:tcPr>
            <w:shd w:val="clear" w:color="auto" w:fill="auto"/>
          </w:tcPr>
          <w:p w:rsidR="004F1EEC" w:rsidRPr="00CB3B6C" w:rsidP="007C7090">
            <w:pPr>
              <w:spacing w:before="0" w:after="0"/>
              <w:rPr>
                <w:b/>
                <w:sz w:val="16"/>
                <w:szCs w:val="16"/>
              </w:rPr>
            </w:pPr>
            <w:r w:rsidRPr="00CB3B6C">
              <w:rPr>
                <w:b/>
                <w:noProof/>
                <w:sz w:val="16"/>
                <w:szCs w:val="16"/>
              </w:rPr>
              <w:t>Ime ukrepa</w:t>
            </w:r>
          </w:p>
        </w:tc>
        <w:tc>
          <w:tcPr>
            <w:shd w:val="clear" w:color="auto" w:fill="auto"/>
          </w:tcPr>
          <w:p w:rsidR="004F1EEC" w:rsidRPr="00CB3B6C" w:rsidP="007C7090">
            <w:pPr>
              <w:spacing w:before="0" w:after="0"/>
              <w:jc w:val="center"/>
              <w:rPr>
                <w:b/>
                <w:sz w:val="16"/>
                <w:szCs w:val="16"/>
              </w:rPr>
            </w:pPr>
            <w:r w:rsidRPr="00CB3B6C">
              <w:rPr>
                <w:b/>
                <w:noProof/>
                <w:sz w:val="16"/>
                <w:szCs w:val="16"/>
              </w:rPr>
              <w:t>Začetek faze načrtovanja</w:t>
            </w:r>
          </w:p>
        </w:tc>
        <w:tc>
          <w:tcPr>
            <w:shd w:val="clear" w:color="auto" w:fill="auto"/>
          </w:tcPr>
          <w:p w:rsidR="004F1EEC" w:rsidRPr="00CB3B6C" w:rsidP="007C7090">
            <w:pPr>
              <w:spacing w:before="0" w:after="0"/>
              <w:jc w:val="center"/>
              <w:rPr>
                <w:b/>
                <w:sz w:val="16"/>
                <w:szCs w:val="16"/>
              </w:rPr>
            </w:pPr>
            <w:r w:rsidRPr="00CB3B6C">
              <w:rPr>
                <w:b/>
                <w:noProof/>
                <w:sz w:val="16"/>
                <w:szCs w:val="16"/>
              </w:rPr>
              <w:t>Začetek faze izvajanja</w:t>
            </w:r>
          </w:p>
        </w:tc>
        <w:tc>
          <w:tcPr>
            <w:shd w:val="clear" w:color="auto" w:fill="auto"/>
          </w:tcPr>
          <w:p w:rsidR="004F1EEC" w:rsidRPr="00CB3B6C" w:rsidP="007C7090">
            <w:pPr>
              <w:spacing w:before="0" w:after="0"/>
              <w:jc w:val="center"/>
              <w:rPr>
                <w:b/>
                <w:sz w:val="16"/>
                <w:szCs w:val="16"/>
              </w:rPr>
            </w:pPr>
            <w:r w:rsidRPr="00CB3B6C">
              <w:rPr>
                <w:b/>
                <w:noProof/>
                <w:sz w:val="16"/>
                <w:szCs w:val="16"/>
              </w:rPr>
              <w:t>Začetek zaključne faze</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Podpora skupni vizumski politiki</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Nacionalne zmogljivosti</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Acquisition of hardware that supports visa processing</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2022</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Podpora skupni vizumski politiki</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Nacionalne zmogljivosti</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Improvement of security standards, features, work processes at consular premises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2022</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Podpora skupni vizumski politiki</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Nacionalne zmogljivosti</w:t>
            </w:r>
          </w:p>
        </w:tc>
        <w:tc>
          <w:tcPr>
            <w:shd w:val="clear" w:color="auto" w:fill="auto"/>
          </w:tcPr>
          <w:p w:rsidR="004F1EEC" w:rsidRPr="00557448" w:rsidP="007C7090">
            <w:pPr>
              <w:spacing w:before="0" w:after="0"/>
              <w:jc w:val="center"/>
              <w:rPr>
                <w:sz w:val="16"/>
                <w:szCs w:val="16"/>
              </w:rPr>
            </w:pPr>
            <w:r w:rsidRPr="00557448">
              <w:rPr>
                <w:noProof/>
                <w:sz w:val="16"/>
                <w:szCs w:val="16"/>
              </w:rPr>
              <w:t>3</w:t>
            </w:r>
          </w:p>
        </w:tc>
        <w:tc>
          <w:tcPr>
            <w:shd w:val="clear" w:color="auto" w:fill="auto"/>
          </w:tcPr>
          <w:p w:rsidR="004F1EEC" w:rsidRPr="00557448" w:rsidP="007C7090">
            <w:pPr>
              <w:spacing w:before="0" w:after="0"/>
              <w:rPr>
                <w:sz w:val="16"/>
                <w:szCs w:val="16"/>
              </w:rPr>
            </w:pPr>
            <w:r w:rsidRPr="00557448">
              <w:rPr>
                <w:noProof/>
                <w:sz w:val="16"/>
                <w:szCs w:val="16"/>
              </w:rPr>
              <w:t>Development of an improved visa IT system</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2022</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Podpora skupni vizumski politiki</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Pravni red Unije</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Training of staff in the area of detection of fraudulent documents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Podpora skupni vizumski politiki</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Pravni red Unije</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Training on latest developments in EU acquis, technologies and working methods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2022</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Podpora skupni vizumski politiki</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Pravni red Unije</w:t>
            </w:r>
          </w:p>
        </w:tc>
        <w:tc>
          <w:tcPr>
            <w:shd w:val="clear" w:color="auto" w:fill="auto"/>
          </w:tcPr>
          <w:p w:rsidR="004F1EEC" w:rsidRPr="00557448" w:rsidP="007C7090">
            <w:pPr>
              <w:spacing w:before="0" w:after="0"/>
              <w:jc w:val="center"/>
              <w:rPr>
                <w:sz w:val="16"/>
                <w:szCs w:val="16"/>
              </w:rPr>
            </w:pPr>
            <w:r w:rsidRPr="00557448">
              <w:rPr>
                <w:noProof/>
                <w:sz w:val="16"/>
                <w:szCs w:val="16"/>
              </w:rPr>
              <w:t>3</w:t>
            </w:r>
          </w:p>
        </w:tc>
        <w:tc>
          <w:tcPr>
            <w:shd w:val="clear" w:color="auto" w:fill="auto"/>
          </w:tcPr>
          <w:p w:rsidR="004F1EEC" w:rsidRPr="00557448" w:rsidP="007C7090">
            <w:pPr>
              <w:spacing w:before="0" w:after="0"/>
              <w:rPr>
                <w:sz w:val="16"/>
                <w:szCs w:val="16"/>
              </w:rPr>
            </w:pPr>
            <w:r w:rsidRPr="00557448">
              <w:rPr>
                <w:noProof/>
                <w:sz w:val="16"/>
                <w:szCs w:val="16"/>
              </w:rPr>
              <w:t>Training for staff dealing and communicating with visa applicants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Podpora skupni vizumski politiki</w:t>
            </w:r>
          </w:p>
        </w:tc>
        <w:tc>
          <w:tcPr>
            <w:shd w:val="clear" w:color="auto" w:fill="auto"/>
          </w:tcPr>
          <w:p w:rsidR="004F1EEC" w:rsidRPr="00557448" w:rsidP="007C7090">
            <w:pPr>
              <w:spacing w:before="0" w:after="0"/>
              <w:rPr>
                <w:sz w:val="16"/>
                <w:szCs w:val="16"/>
              </w:rPr>
            </w:pPr>
            <w:r>
              <w:rPr>
                <w:noProof/>
                <w:sz w:val="16"/>
                <w:szCs w:val="16"/>
              </w:rPr>
              <w:t>Posebni ukrep</w:t>
            </w:r>
            <w:r>
              <w:rPr>
                <w:noProof/>
                <w:sz w:val="16"/>
                <w:szCs w:val="16"/>
              </w:rPr>
              <w:t>1</w:t>
            </w:r>
            <w:r>
              <w:rPr>
                <w:sz w:val="16"/>
                <w:szCs w:val="16"/>
              </w:rPr>
              <w:t xml:space="preserve"> - </w:t>
            </w:r>
            <w:r>
              <w:rPr>
                <w:noProof/>
                <w:sz w:val="16"/>
                <w:szCs w:val="16"/>
              </w:rPr>
              <w:t>Konzularno sodelovanje</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Schengen office in Priština</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2018</w:t>
            </w:r>
          </w:p>
        </w:tc>
        <w:tc>
          <w:tcPr>
            <w:shd w:val="clear" w:color="auto" w:fill="auto"/>
          </w:tcPr>
          <w:p w:rsidR="004F1EEC" w:rsidRPr="00557448" w:rsidP="007C7090">
            <w:pPr>
              <w:spacing w:before="0" w:after="0"/>
              <w:jc w:val="center"/>
              <w:rPr>
                <w:sz w:val="16"/>
                <w:szCs w:val="16"/>
              </w:rPr>
            </w:pPr>
            <w:r>
              <w:rPr>
                <w:noProof/>
                <w:sz w:val="16"/>
                <w:szCs w:val="16"/>
              </w:rPr>
              <w:t>2020</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EUROSUR</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Purchase of boats for national border controls</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2020</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EUROSUR</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Support for risk analysis for border controls in the maritime transport</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2020</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Izmenjava informacij</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Assuring sufficient capacity at the central police computer and VDI</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Skupni standardi Unije</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Further development of Police Cooperation Centers</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Skupni standardi Unije</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Enhanced use of interoperable modern technologies</w:t>
            </w:r>
          </w:p>
        </w:tc>
        <w:tc>
          <w:tcPr>
            <w:shd w:val="clear" w:color="auto" w:fill="auto"/>
          </w:tcPr>
          <w:p w:rsidR="004F1EEC" w:rsidRPr="00557448" w:rsidP="007C7090">
            <w:pPr>
              <w:spacing w:before="0" w:after="0"/>
              <w:jc w:val="center"/>
              <w:rPr>
                <w:sz w:val="16"/>
                <w:szCs w:val="16"/>
              </w:rPr>
            </w:pPr>
            <w:r>
              <w:rPr>
                <w:noProof/>
                <w:sz w:val="16"/>
                <w:szCs w:val="16"/>
              </w:rPr>
              <w:t>2019</w:t>
            </w:r>
          </w:p>
        </w:tc>
        <w:tc>
          <w:tcPr>
            <w:shd w:val="clear" w:color="auto" w:fill="auto"/>
          </w:tcPr>
          <w:p w:rsidR="004F1EEC" w:rsidRPr="00557448" w:rsidP="007C7090">
            <w:pPr>
              <w:spacing w:before="0" w:after="0"/>
              <w:jc w:val="center"/>
              <w:rPr>
                <w:sz w:val="16"/>
                <w:szCs w:val="16"/>
              </w:rPr>
            </w:pPr>
            <w:r>
              <w:rPr>
                <w:noProof/>
                <w:sz w:val="16"/>
                <w:szCs w:val="16"/>
              </w:rPr>
              <w:t>2020</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4</w:t>
            </w:r>
            <w:r>
              <w:rPr>
                <w:sz w:val="16"/>
                <w:szCs w:val="16"/>
              </w:rPr>
              <w:t xml:space="preserve"> - </w:t>
            </w:r>
            <w:r>
              <w:rPr>
                <w:noProof/>
                <w:sz w:val="16"/>
                <w:szCs w:val="16"/>
              </w:rPr>
              <w:t>Pravni red Unije</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Organization and implementation of trainings for border guards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4</w:t>
            </w:r>
            <w:r>
              <w:rPr>
                <w:sz w:val="16"/>
                <w:szCs w:val="16"/>
              </w:rPr>
              <w:t xml:space="preserve"> - </w:t>
            </w:r>
            <w:r>
              <w:rPr>
                <w:noProof/>
                <w:sz w:val="16"/>
                <w:szCs w:val="16"/>
              </w:rPr>
              <w:t>Pravni red Unije</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Language and intercultural competencies oriented trainings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4</w:t>
            </w:r>
            <w:r>
              <w:rPr>
                <w:sz w:val="16"/>
                <w:szCs w:val="16"/>
              </w:rPr>
              <w:t xml:space="preserve"> - </w:t>
            </w:r>
            <w:r>
              <w:rPr>
                <w:noProof/>
                <w:sz w:val="16"/>
                <w:szCs w:val="16"/>
              </w:rPr>
              <w:t>Pravni red Unije</w:t>
            </w:r>
          </w:p>
        </w:tc>
        <w:tc>
          <w:tcPr>
            <w:shd w:val="clear" w:color="auto" w:fill="auto"/>
          </w:tcPr>
          <w:p w:rsidR="004F1EEC" w:rsidRPr="00557448" w:rsidP="007C7090">
            <w:pPr>
              <w:spacing w:before="0" w:after="0"/>
              <w:jc w:val="center"/>
              <w:rPr>
                <w:sz w:val="16"/>
                <w:szCs w:val="16"/>
              </w:rPr>
            </w:pPr>
            <w:r w:rsidRPr="00557448">
              <w:rPr>
                <w:noProof/>
                <w:sz w:val="16"/>
                <w:szCs w:val="16"/>
              </w:rPr>
              <w:t>3</w:t>
            </w:r>
          </w:p>
        </w:tc>
        <w:tc>
          <w:tcPr>
            <w:shd w:val="clear" w:color="auto" w:fill="auto"/>
          </w:tcPr>
          <w:p w:rsidR="004F1EEC" w:rsidRPr="00557448" w:rsidP="007C7090">
            <w:pPr>
              <w:spacing w:before="0" w:after="0"/>
              <w:rPr>
                <w:sz w:val="16"/>
                <w:szCs w:val="16"/>
              </w:rPr>
            </w:pPr>
            <w:r w:rsidRPr="00557448">
              <w:rPr>
                <w:noProof/>
                <w:sz w:val="16"/>
                <w:szCs w:val="16"/>
              </w:rPr>
              <w:t>Follow-up of Schengen Evaluation recommendations, such as purchasing of vehicle examination equipme</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2017</w:t>
            </w:r>
          </w:p>
        </w:tc>
        <w:tc>
          <w:tcPr>
            <w:shd w:val="clear" w:color="auto" w:fill="auto"/>
          </w:tcPr>
          <w:p w:rsidR="004F1EEC" w:rsidRPr="00557448" w:rsidP="007C7090">
            <w:pPr>
              <w:spacing w:before="0" w:after="0"/>
              <w:jc w:val="center"/>
              <w:rPr>
                <w:sz w:val="16"/>
                <w:szCs w:val="16"/>
              </w:rPr>
            </w:pPr>
            <w:r>
              <w:rPr>
                <w:noProof/>
                <w:sz w:val="16"/>
                <w:szCs w:val="16"/>
              </w:rPr>
              <w:t>2020</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5</w:t>
            </w:r>
            <w:r>
              <w:rPr>
                <w:sz w:val="16"/>
                <w:szCs w:val="16"/>
              </w:rPr>
              <w:t xml:space="preserve"> - </w:t>
            </w:r>
            <w:r>
              <w:rPr>
                <w:noProof/>
                <w:sz w:val="16"/>
                <w:szCs w:val="16"/>
              </w:rPr>
              <w:t>Prihodnji izzivi</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Vehicles, equipment and infrastructure for compensatory measures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2020</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5</w:t>
            </w:r>
            <w:r>
              <w:rPr>
                <w:sz w:val="16"/>
                <w:szCs w:val="16"/>
              </w:rPr>
              <w:t xml:space="preserve"> - </w:t>
            </w:r>
            <w:r>
              <w:rPr>
                <w:noProof/>
                <w:sz w:val="16"/>
                <w:szCs w:val="16"/>
              </w:rPr>
              <w:t>Prihodnji izzivi</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Equipment for documents check at the police units</w:t>
            </w:r>
          </w:p>
        </w:tc>
        <w:tc>
          <w:tcPr>
            <w:shd w:val="clear" w:color="auto" w:fill="auto"/>
          </w:tcPr>
          <w:p w:rsidR="004F1EEC" w:rsidRPr="00557448" w:rsidP="007C7090">
            <w:pPr>
              <w:spacing w:before="0" w:after="0"/>
              <w:jc w:val="center"/>
              <w:rPr>
                <w:sz w:val="16"/>
                <w:szCs w:val="16"/>
              </w:rPr>
            </w:pPr>
            <w:r>
              <w:rPr>
                <w:noProof/>
                <w:sz w:val="16"/>
                <w:szCs w:val="16"/>
              </w:rPr>
              <w:t>2018</w:t>
            </w:r>
          </w:p>
        </w:tc>
        <w:tc>
          <w:tcPr>
            <w:shd w:val="clear" w:color="auto" w:fill="auto"/>
          </w:tcPr>
          <w:p w:rsidR="004F1EEC" w:rsidRPr="00557448" w:rsidP="007C7090">
            <w:pPr>
              <w:spacing w:before="0" w:after="0"/>
              <w:jc w:val="center"/>
              <w:rPr>
                <w:sz w:val="16"/>
                <w:szCs w:val="16"/>
              </w:rPr>
            </w:pPr>
            <w:r>
              <w:rPr>
                <w:noProof/>
                <w:sz w:val="16"/>
                <w:szCs w:val="16"/>
              </w:rPr>
              <w:t>2019</w:t>
            </w:r>
          </w:p>
        </w:tc>
        <w:tc>
          <w:tcPr>
            <w:shd w:val="clear" w:color="auto" w:fill="auto"/>
          </w:tcPr>
          <w:p w:rsidR="004F1EEC" w:rsidRPr="00557448" w:rsidP="007C7090">
            <w:pPr>
              <w:spacing w:before="0" w:after="0"/>
              <w:jc w:val="center"/>
              <w:rPr>
                <w:sz w:val="16"/>
                <w:szCs w:val="16"/>
              </w:rPr>
            </w:pPr>
            <w:r>
              <w:rPr>
                <w:noProof/>
                <w:sz w:val="16"/>
                <w:szCs w:val="16"/>
              </w:rPr>
              <w:t>2020</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6</w:t>
            </w:r>
            <w:r>
              <w:rPr>
                <w:sz w:val="16"/>
                <w:szCs w:val="16"/>
              </w:rPr>
              <w:t xml:space="preserve"> - </w:t>
            </w:r>
            <w:r>
              <w:rPr>
                <w:noProof/>
                <w:sz w:val="16"/>
                <w:szCs w:val="16"/>
              </w:rPr>
              <w:t>Nacionalne zmogljivosti</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Replacement of obsolete equipment at BCPs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6</w:t>
            </w:r>
            <w:r>
              <w:rPr>
                <w:sz w:val="16"/>
                <w:szCs w:val="16"/>
              </w:rPr>
              <w:t xml:space="preserve"> - </w:t>
            </w:r>
            <w:r>
              <w:rPr>
                <w:noProof/>
                <w:sz w:val="16"/>
                <w:szCs w:val="16"/>
              </w:rPr>
              <w:t>Nacionalne zmogljivosti</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Deployment of a liaison officer to a Western Balkan country</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2020</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Meje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6</w:t>
            </w:r>
            <w:r>
              <w:rPr>
                <w:sz w:val="16"/>
                <w:szCs w:val="16"/>
              </w:rPr>
              <w:t xml:space="preserve"> - </w:t>
            </w:r>
            <w:r>
              <w:rPr>
                <w:noProof/>
                <w:sz w:val="16"/>
                <w:szCs w:val="16"/>
              </w:rPr>
              <w:t>Nacionalne zmogljivosti</w:t>
            </w:r>
          </w:p>
        </w:tc>
        <w:tc>
          <w:tcPr>
            <w:shd w:val="clear" w:color="auto" w:fill="auto"/>
          </w:tcPr>
          <w:p w:rsidR="004F1EEC" w:rsidRPr="00557448" w:rsidP="007C7090">
            <w:pPr>
              <w:spacing w:before="0" w:after="0"/>
              <w:jc w:val="center"/>
              <w:rPr>
                <w:sz w:val="16"/>
                <w:szCs w:val="16"/>
              </w:rPr>
            </w:pPr>
            <w:r w:rsidRPr="00557448">
              <w:rPr>
                <w:noProof/>
                <w:sz w:val="16"/>
                <w:szCs w:val="16"/>
              </w:rPr>
              <w:t>3</w:t>
            </w:r>
          </w:p>
        </w:tc>
        <w:tc>
          <w:tcPr>
            <w:shd w:val="clear" w:color="auto" w:fill="auto"/>
          </w:tcPr>
          <w:p w:rsidR="004F1EEC" w:rsidRPr="00557448" w:rsidP="007C7090">
            <w:pPr>
              <w:spacing w:before="0" w:after="0"/>
              <w:rPr>
                <w:sz w:val="16"/>
                <w:szCs w:val="16"/>
              </w:rPr>
            </w:pPr>
            <w:r w:rsidRPr="00557448">
              <w:rPr>
                <w:noProof/>
                <w:sz w:val="16"/>
                <w:szCs w:val="16"/>
              </w:rPr>
              <w:t>Continuous operation of SIS II national system and SIRENE</w:t>
            </w:r>
          </w:p>
        </w:tc>
        <w:tc>
          <w:tcPr>
            <w:shd w:val="clear" w:color="auto" w:fill="auto"/>
          </w:tcPr>
          <w:p w:rsidR="004F1EEC" w:rsidRPr="00557448" w:rsidP="007C7090">
            <w:pPr>
              <w:spacing w:before="0" w:after="0"/>
              <w:jc w:val="center"/>
              <w:rPr>
                <w:sz w:val="16"/>
                <w:szCs w:val="16"/>
              </w:rPr>
            </w:pPr>
            <w:r>
              <w:rPr>
                <w:noProof/>
                <w:sz w:val="16"/>
                <w:szCs w:val="16"/>
              </w:rPr>
              <w:t>2017</w:t>
            </w:r>
          </w:p>
        </w:tc>
        <w:tc>
          <w:tcPr>
            <w:shd w:val="clear" w:color="auto" w:fill="auto"/>
          </w:tcPr>
          <w:p w:rsidR="004F1EEC" w:rsidRPr="00557448" w:rsidP="007C7090">
            <w:pPr>
              <w:spacing w:before="0" w:after="0"/>
              <w:jc w:val="center"/>
              <w:rPr>
                <w:sz w:val="16"/>
                <w:szCs w:val="16"/>
              </w:rPr>
            </w:pPr>
            <w:r>
              <w:rPr>
                <w:noProof/>
                <w:sz w:val="16"/>
                <w:szCs w:val="16"/>
              </w:rPr>
              <w:t>2018</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3</w:t>
            </w:r>
            <w:r>
              <w:rPr>
                <w:sz w:val="16"/>
                <w:szCs w:val="16"/>
              </w:rPr>
              <w:t xml:space="preserve"> - </w:t>
            </w:r>
            <w:r>
              <w:rPr>
                <w:noProof/>
                <w:sz w:val="16"/>
                <w:szCs w:val="16"/>
              </w:rPr>
              <w:t>Operativna podpora</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Operativna podpora za vizume</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Staff costs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2022</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3</w:t>
            </w:r>
            <w:r>
              <w:rPr>
                <w:sz w:val="16"/>
                <w:szCs w:val="16"/>
              </w:rPr>
              <w:t xml:space="preserve"> - </w:t>
            </w:r>
            <w:r>
              <w:rPr>
                <w:noProof/>
                <w:sz w:val="16"/>
                <w:szCs w:val="16"/>
              </w:rPr>
              <w:t>Operativna podpora</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Operativna podpora za meje</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Staff costs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2018</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3</w:t>
            </w:r>
            <w:r>
              <w:rPr>
                <w:sz w:val="16"/>
                <w:szCs w:val="16"/>
              </w:rPr>
              <w:t xml:space="preserve"> - </w:t>
            </w:r>
            <w:r>
              <w:rPr>
                <w:noProof/>
                <w:sz w:val="16"/>
                <w:szCs w:val="16"/>
              </w:rPr>
              <w:t>Operativna podpora</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Operativna podpora za meje</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Management and maintenance of the BCPs infrastructure and border equipment</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3</w:t>
            </w:r>
            <w:r>
              <w:rPr>
                <w:sz w:val="16"/>
                <w:szCs w:val="16"/>
              </w:rPr>
              <w:t xml:space="preserve"> - </w:t>
            </w:r>
            <w:r>
              <w:rPr>
                <w:noProof/>
                <w:sz w:val="16"/>
                <w:szCs w:val="16"/>
              </w:rPr>
              <w:t>Operativna podpora</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Operativna podpora za meje</w:t>
            </w:r>
          </w:p>
        </w:tc>
        <w:tc>
          <w:tcPr>
            <w:shd w:val="clear" w:color="auto" w:fill="auto"/>
          </w:tcPr>
          <w:p w:rsidR="004F1EEC" w:rsidRPr="00557448" w:rsidP="007C7090">
            <w:pPr>
              <w:spacing w:before="0" w:after="0"/>
              <w:jc w:val="center"/>
              <w:rPr>
                <w:sz w:val="16"/>
                <w:szCs w:val="16"/>
              </w:rPr>
            </w:pPr>
            <w:r w:rsidRPr="00557448">
              <w:rPr>
                <w:noProof/>
                <w:sz w:val="16"/>
                <w:szCs w:val="16"/>
              </w:rPr>
              <w:t>3</w:t>
            </w:r>
          </w:p>
        </w:tc>
        <w:tc>
          <w:tcPr>
            <w:shd w:val="clear" w:color="auto" w:fill="auto"/>
          </w:tcPr>
          <w:p w:rsidR="004F1EEC" w:rsidRPr="00557448" w:rsidP="007C7090">
            <w:pPr>
              <w:spacing w:before="0" w:after="0"/>
              <w:rPr>
                <w:sz w:val="16"/>
                <w:szCs w:val="16"/>
              </w:rPr>
            </w:pPr>
            <w:r w:rsidRPr="00557448">
              <w:rPr>
                <w:noProof/>
                <w:sz w:val="16"/>
                <w:szCs w:val="16"/>
              </w:rPr>
              <w:t>Operational management of SIS and new national systems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5</w:t>
            </w:r>
            <w:r>
              <w:rPr>
                <w:sz w:val="16"/>
                <w:szCs w:val="16"/>
              </w:rPr>
              <w:t xml:space="preserve"> - </w:t>
            </w:r>
            <w:r>
              <w:rPr>
                <w:noProof/>
                <w:sz w:val="16"/>
                <w:szCs w:val="16"/>
              </w:rPr>
              <w:t>Preprečevanje kriminala in boj proti njemu</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Kriminal – preprečevanje in boj</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Capacities for prevention, detection, identification and investigation of crime</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5</w:t>
            </w:r>
            <w:r>
              <w:rPr>
                <w:sz w:val="16"/>
                <w:szCs w:val="16"/>
              </w:rPr>
              <w:t xml:space="preserve"> - </w:t>
            </w:r>
            <w:r>
              <w:rPr>
                <w:noProof/>
                <w:sz w:val="16"/>
                <w:szCs w:val="16"/>
              </w:rPr>
              <w:t>Preprečevanje kriminala in boj proti njemu</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Kriminal – preprečevanje in boj</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Special (covert) investigative measures and joint cross-border police activities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5</w:t>
            </w:r>
            <w:r>
              <w:rPr>
                <w:sz w:val="16"/>
                <w:szCs w:val="16"/>
              </w:rPr>
              <w:t xml:space="preserve"> - </w:t>
            </w:r>
            <w:r>
              <w:rPr>
                <w:noProof/>
                <w:sz w:val="16"/>
                <w:szCs w:val="16"/>
              </w:rPr>
              <w:t>Preprečevanje kriminala in boj proti njemu</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Kriminal – preprečevanje in boj</w:t>
            </w:r>
          </w:p>
        </w:tc>
        <w:tc>
          <w:tcPr>
            <w:shd w:val="clear" w:color="auto" w:fill="auto"/>
          </w:tcPr>
          <w:p w:rsidR="004F1EEC" w:rsidRPr="00557448" w:rsidP="007C7090">
            <w:pPr>
              <w:spacing w:before="0" w:after="0"/>
              <w:jc w:val="center"/>
              <w:rPr>
                <w:sz w:val="16"/>
                <w:szCs w:val="16"/>
              </w:rPr>
            </w:pPr>
            <w:r w:rsidRPr="00557448">
              <w:rPr>
                <w:noProof/>
                <w:sz w:val="16"/>
                <w:szCs w:val="16"/>
              </w:rPr>
              <w:t>3</w:t>
            </w:r>
          </w:p>
        </w:tc>
        <w:tc>
          <w:tcPr>
            <w:shd w:val="clear" w:color="auto" w:fill="auto"/>
          </w:tcPr>
          <w:p w:rsidR="004F1EEC" w:rsidRPr="00557448" w:rsidP="007C7090">
            <w:pPr>
              <w:spacing w:before="0" w:after="0"/>
              <w:rPr>
                <w:sz w:val="16"/>
                <w:szCs w:val="16"/>
              </w:rPr>
            </w:pPr>
            <w:r w:rsidRPr="00557448">
              <w:rPr>
                <w:noProof/>
                <w:sz w:val="16"/>
                <w:szCs w:val="16"/>
              </w:rPr>
              <w:t>Upgrading of National forensic laboratory capacities</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5</w:t>
            </w:r>
            <w:r>
              <w:rPr>
                <w:sz w:val="16"/>
                <w:szCs w:val="16"/>
              </w:rPr>
              <w:t xml:space="preserve"> - </w:t>
            </w:r>
            <w:r>
              <w:rPr>
                <w:noProof/>
                <w:sz w:val="16"/>
                <w:szCs w:val="16"/>
              </w:rPr>
              <w:t>Preprečevanje kriminala in boj proti njemu</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Kriminal – izmenjava informacij</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Police cooperation and coordination with other MS, Europol and third countries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5</w:t>
            </w:r>
            <w:r>
              <w:rPr>
                <w:sz w:val="16"/>
                <w:szCs w:val="16"/>
              </w:rPr>
              <w:t xml:space="preserve"> - </w:t>
            </w:r>
            <w:r>
              <w:rPr>
                <w:noProof/>
                <w:sz w:val="16"/>
                <w:szCs w:val="16"/>
              </w:rPr>
              <w:t>Preprečevanje kriminala in boj proti njemu</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Kriminal – izmenjava informacij</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Deployment of a Liaison Officer to Rome, Italy</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2019</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5</w:t>
            </w:r>
            <w:r>
              <w:rPr>
                <w:sz w:val="16"/>
                <w:szCs w:val="16"/>
              </w:rPr>
              <w:t xml:space="preserve"> - </w:t>
            </w:r>
            <w:r>
              <w:rPr>
                <w:noProof/>
                <w:sz w:val="16"/>
                <w:szCs w:val="16"/>
              </w:rPr>
              <w:t>Preprečevanje kriminala in boj proti njemu</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Kriminal – izmenjava informacij</w:t>
            </w:r>
          </w:p>
        </w:tc>
        <w:tc>
          <w:tcPr>
            <w:shd w:val="clear" w:color="auto" w:fill="auto"/>
          </w:tcPr>
          <w:p w:rsidR="004F1EEC" w:rsidRPr="00557448" w:rsidP="007C7090">
            <w:pPr>
              <w:spacing w:before="0" w:after="0"/>
              <w:jc w:val="center"/>
              <w:rPr>
                <w:sz w:val="16"/>
                <w:szCs w:val="16"/>
              </w:rPr>
            </w:pPr>
            <w:r w:rsidRPr="00557448">
              <w:rPr>
                <w:noProof/>
                <w:sz w:val="16"/>
                <w:szCs w:val="16"/>
              </w:rPr>
              <w:t>3</w:t>
            </w:r>
          </w:p>
        </w:tc>
        <w:tc>
          <w:tcPr>
            <w:shd w:val="clear" w:color="auto" w:fill="auto"/>
          </w:tcPr>
          <w:p w:rsidR="004F1EEC" w:rsidRPr="00557448" w:rsidP="007C7090">
            <w:pPr>
              <w:spacing w:before="0" w:after="0"/>
              <w:rPr>
                <w:sz w:val="16"/>
                <w:szCs w:val="16"/>
              </w:rPr>
            </w:pPr>
            <w:r w:rsidRPr="00557448">
              <w:rPr>
                <w:noProof/>
                <w:sz w:val="16"/>
                <w:szCs w:val="16"/>
              </w:rPr>
              <w:t>Facilitation of intelligence and information exchange</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5</w:t>
            </w:r>
            <w:r>
              <w:rPr>
                <w:sz w:val="16"/>
                <w:szCs w:val="16"/>
              </w:rPr>
              <w:t xml:space="preserve"> - </w:t>
            </w:r>
            <w:r>
              <w:rPr>
                <w:noProof/>
                <w:sz w:val="16"/>
                <w:szCs w:val="16"/>
              </w:rPr>
              <w:t>Preprečevanje kriminala in boj proti njemu</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Kriminal – usposabljanje</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Training on international police cooperation and covert measures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5</w:t>
            </w:r>
            <w:r>
              <w:rPr>
                <w:sz w:val="16"/>
                <w:szCs w:val="16"/>
              </w:rPr>
              <w:t xml:space="preserve"> - </w:t>
            </w:r>
            <w:r>
              <w:rPr>
                <w:noProof/>
                <w:sz w:val="16"/>
                <w:szCs w:val="16"/>
              </w:rPr>
              <w:t>Preprečevanje kriminala in boj proti njemu</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Kriminal – usposabljanje</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Qualifications on economic crime, corruption, financial investigations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5</w:t>
            </w:r>
            <w:r>
              <w:rPr>
                <w:sz w:val="16"/>
                <w:szCs w:val="16"/>
              </w:rPr>
              <w:t xml:space="preserve"> - </w:t>
            </w:r>
            <w:r>
              <w:rPr>
                <w:noProof/>
                <w:sz w:val="16"/>
                <w:szCs w:val="16"/>
              </w:rPr>
              <w:t>Preprečevanje kriminala in boj proti njemu</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Kriminal – usposabljanje</w:t>
            </w:r>
          </w:p>
        </w:tc>
        <w:tc>
          <w:tcPr>
            <w:shd w:val="clear" w:color="auto" w:fill="auto"/>
          </w:tcPr>
          <w:p w:rsidR="004F1EEC" w:rsidRPr="00557448" w:rsidP="007C7090">
            <w:pPr>
              <w:spacing w:before="0" w:after="0"/>
              <w:jc w:val="center"/>
              <w:rPr>
                <w:sz w:val="16"/>
                <w:szCs w:val="16"/>
              </w:rPr>
            </w:pPr>
            <w:r w:rsidRPr="00557448">
              <w:rPr>
                <w:noProof/>
                <w:sz w:val="16"/>
                <w:szCs w:val="16"/>
              </w:rPr>
              <w:t>3</w:t>
            </w:r>
          </w:p>
        </w:tc>
        <w:tc>
          <w:tcPr>
            <w:shd w:val="clear" w:color="auto" w:fill="auto"/>
          </w:tcPr>
          <w:p w:rsidR="004F1EEC" w:rsidRPr="00557448" w:rsidP="007C7090">
            <w:pPr>
              <w:spacing w:before="0" w:after="0"/>
              <w:rPr>
                <w:sz w:val="16"/>
                <w:szCs w:val="16"/>
              </w:rPr>
            </w:pPr>
            <w:r w:rsidRPr="00557448">
              <w:rPr>
                <w:noProof/>
                <w:sz w:val="16"/>
                <w:szCs w:val="16"/>
              </w:rPr>
              <w:t>Training in the field of criminal intelligence activity and crime analyses</w:t>
            </w:r>
          </w:p>
        </w:tc>
        <w:tc>
          <w:tcPr>
            <w:shd w:val="clear" w:color="auto" w:fill="auto"/>
          </w:tcPr>
          <w:p w:rsidR="004F1EEC" w:rsidRPr="00557448" w:rsidP="007C7090">
            <w:pPr>
              <w:spacing w:before="0" w:after="0"/>
              <w:jc w:val="center"/>
              <w:rPr>
                <w:sz w:val="16"/>
                <w:szCs w:val="16"/>
              </w:rPr>
            </w:pPr>
            <w:r>
              <w:rPr>
                <w:noProof/>
                <w:sz w:val="16"/>
                <w:szCs w:val="16"/>
              </w:rPr>
              <w:t>2014</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5</w:t>
            </w:r>
            <w:r>
              <w:rPr>
                <w:sz w:val="16"/>
                <w:szCs w:val="16"/>
              </w:rPr>
              <w:t xml:space="preserve"> - </w:t>
            </w:r>
            <w:r>
              <w:rPr>
                <w:noProof/>
                <w:sz w:val="16"/>
                <w:szCs w:val="16"/>
              </w:rPr>
              <w:t>Preprečevanje kriminala in boj proti njemu</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4</w:t>
            </w:r>
            <w:r>
              <w:rPr>
                <w:sz w:val="16"/>
                <w:szCs w:val="16"/>
              </w:rPr>
              <w:t xml:space="preserve"> - </w:t>
            </w:r>
            <w:r>
              <w:rPr>
                <w:noProof/>
                <w:sz w:val="16"/>
                <w:szCs w:val="16"/>
              </w:rPr>
              <w:t>Kriminal – podpora žrtvam</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Reintegration of victims of trafficking</w:t>
            </w:r>
          </w:p>
        </w:tc>
        <w:tc>
          <w:tcPr>
            <w:shd w:val="clear" w:color="auto" w:fill="auto"/>
          </w:tcPr>
          <w:p w:rsidR="004F1EEC" w:rsidRPr="00557448" w:rsidP="007C7090">
            <w:pPr>
              <w:spacing w:before="0" w:after="0"/>
              <w:jc w:val="center"/>
              <w:rPr>
                <w:sz w:val="16"/>
                <w:szCs w:val="16"/>
              </w:rPr>
            </w:pPr>
            <w:r>
              <w:rPr>
                <w:noProof/>
                <w:sz w:val="16"/>
                <w:szCs w:val="16"/>
              </w:rPr>
              <w:t>2017</w:t>
            </w:r>
          </w:p>
        </w:tc>
        <w:tc>
          <w:tcPr>
            <w:shd w:val="clear" w:color="auto" w:fill="auto"/>
          </w:tcPr>
          <w:p w:rsidR="004F1EEC" w:rsidRPr="00557448" w:rsidP="007C7090">
            <w:pPr>
              <w:spacing w:before="0" w:after="0"/>
              <w:jc w:val="center"/>
              <w:rPr>
                <w:sz w:val="16"/>
                <w:szCs w:val="16"/>
              </w:rPr>
            </w:pPr>
            <w:r>
              <w:rPr>
                <w:noProof/>
                <w:sz w:val="16"/>
                <w:szCs w:val="16"/>
              </w:rPr>
              <w:t>2018</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5</w:t>
            </w:r>
            <w:r>
              <w:rPr>
                <w:sz w:val="16"/>
                <w:szCs w:val="16"/>
              </w:rPr>
              <w:t xml:space="preserve"> - </w:t>
            </w:r>
            <w:r>
              <w:rPr>
                <w:noProof/>
                <w:sz w:val="16"/>
                <w:szCs w:val="16"/>
              </w:rPr>
              <w:t>Preprečevanje kriminala in boj proti njemu</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4</w:t>
            </w:r>
            <w:r>
              <w:rPr>
                <w:sz w:val="16"/>
                <w:szCs w:val="16"/>
              </w:rPr>
              <w:t xml:space="preserve"> - </w:t>
            </w:r>
            <w:r>
              <w:rPr>
                <w:noProof/>
                <w:sz w:val="16"/>
                <w:szCs w:val="16"/>
              </w:rPr>
              <w:t>Kriminal – podpora žrtvam</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Preparation of preventive materials</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2018</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Tveganja – preprečevanje in boj</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High-quality and functional contingency plans for CIP</w:t>
            </w:r>
          </w:p>
        </w:tc>
        <w:tc>
          <w:tcPr>
            <w:shd w:val="clear" w:color="auto" w:fill="auto"/>
          </w:tcPr>
          <w:p w:rsidR="004F1EEC" w:rsidRPr="00557448" w:rsidP="007C7090">
            <w:pPr>
              <w:spacing w:before="0" w:after="0"/>
              <w:jc w:val="center"/>
              <w:rPr>
                <w:sz w:val="16"/>
                <w:szCs w:val="16"/>
              </w:rPr>
            </w:pPr>
            <w:r>
              <w:rPr>
                <w:noProof/>
                <w:sz w:val="16"/>
                <w:szCs w:val="16"/>
              </w:rPr>
              <w:t>2017</w:t>
            </w:r>
          </w:p>
        </w:tc>
        <w:tc>
          <w:tcPr>
            <w:shd w:val="clear" w:color="auto" w:fill="auto"/>
          </w:tcPr>
          <w:p w:rsidR="004F1EEC" w:rsidRPr="00557448" w:rsidP="007C7090">
            <w:pPr>
              <w:spacing w:before="0" w:after="0"/>
              <w:jc w:val="center"/>
              <w:rPr>
                <w:sz w:val="16"/>
                <w:szCs w:val="16"/>
              </w:rPr>
            </w:pPr>
            <w:r>
              <w:rPr>
                <w:noProof/>
                <w:sz w:val="16"/>
                <w:szCs w:val="16"/>
              </w:rPr>
              <w:t>2018</w:t>
            </w:r>
          </w:p>
        </w:tc>
        <w:tc>
          <w:tcPr>
            <w:shd w:val="clear" w:color="auto" w:fill="auto"/>
          </w:tcPr>
          <w:p w:rsidR="004F1EEC" w:rsidRPr="00557448" w:rsidP="007C7090">
            <w:pPr>
              <w:spacing w:before="0" w:after="0"/>
              <w:jc w:val="center"/>
              <w:rPr>
                <w:sz w:val="16"/>
                <w:szCs w:val="16"/>
              </w:rPr>
            </w:pPr>
            <w:r>
              <w:rPr>
                <w:noProof/>
                <w:sz w:val="16"/>
                <w:szCs w:val="16"/>
              </w:rPr>
              <w:t>2020</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Tveganja – preprečevanje in boj</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Establishment and implementation of CIP measures</w:t>
            </w:r>
          </w:p>
        </w:tc>
        <w:tc>
          <w:tcPr>
            <w:shd w:val="clear" w:color="auto" w:fill="auto"/>
          </w:tcPr>
          <w:p w:rsidR="004F1EEC" w:rsidRPr="00557448" w:rsidP="007C7090">
            <w:pPr>
              <w:spacing w:before="0" w:after="0"/>
              <w:jc w:val="center"/>
              <w:rPr>
                <w:sz w:val="16"/>
                <w:szCs w:val="16"/>
              </w:rPr>
            </w:pPr>
            <w:r>
              <w:rPr>
                <w:noProof/>
                <w:sz w:val="16"/>
                <w:szCs w:val="16"/>
              </w:rPr>
              <w:t>2017</w:t>
            </w:r>
          </w:p>
        </w:tc>
        <w:tc>
          <w:tcPr>
            <w:shd w:val="clear" w:color="auto" w:fill="auto"/>
          </w:tcPr>
          <w:p w:rsidR="004F1EEC" w:rsidRPr="00557448" w:rsidP="007C7090">
            <w:pPr>
              <w:spacing w:before="0" w:after="0"/>
              <w:jc w:val="center"/>
              <w:rPr>
                <w:sz w:val="16"/>
                <w:szCs w:val="16"/>
              </w:rPr>
            </w:pPr>
            <w:r>
              <w:rPr>
                <w:noProof/>
                <w:sz w:val="16"/>
                <w:szCs w:val="16"/>
              </w:rPr>
              <w:t>2018</w:t>
            </w:r>
          </w:p>
        </w:tc>
        <w:tc>
          <w:tcPr>
            <w:shd w:val="clear" w:color="auto" w:fill="auto"/>
          </w:tcPr>
          <w:p w:rsidR="004F1EEC" w:rsidRPr="00557448" w:rsidP="007C7090">
            <w:pPr>
              <w:spacing w:before="0" w:after="0"/>
              <w:jc w:val="center"/>
              <w:rPr>
                <w:sz w:val="16"/>
                <w:szCs w:val="16"/>
              </w:rPr>
            </w:pPr>
            <w:r>
              <w:rPr>
                <w:noProof/>
                <w:sz w:val="16"/>
                <w:szCs w:val="16"/>
              </w:rPr>
              <w:t>2020</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Tveganja – preprečevanje in boj</w:t>
            </w:r>
          </w:p>
        </w:tc>
        <w:tc>
          <w:tcPr>
            <w:shd w:val="clear" w:color="auto" w:fill="auto"/>
          </w:tcPr>
          <w:p w:rsidR="004F1EEC" w:rsidRPr="00557448" w:rsidP="007C7090">
            <w:pPr>
              <w:spacing w:before="0" w:after="0"/>
              <w:jc w:val="center"/>
              <w:rPr>
                <w:sz w:val="16"/>
                <w:szCs w:val="16"/>
              </w:rPr>
            </w:pPr>
            <w:r w:rsidRPr="00557448">
              <w:rPr>
                <w:noProof/>
                <w:sz w:val="16"/>
                <w:szCs w:val="16"/>
              </w:rPr>
              <w:t>3</w:t>
            </w:r>
          </w:p>
        </w:tc>
        <w:tc>
          <w:tcPr>
            <w:shd w:val="clear" w:color="auto" w:fill="auto"/>
          </w:tcPr>
          <w:p w:rsidR="004F1EEC" w:rsidRPr="00557448" w:rsidP="007C7090">
            <w:pPr>
              <w:spacing w:before="0" w:after="0"/>
              <w:rPr>
                <w:sz w:val="16"/>
                <w:szCs w:val="16"/>
              </w:rPr>
            </w:pPr>
            <w:r w:rsidRPr="00557448">
              <w:rPr>
                <w:noProof/>
                <w:sz w:val="16"/>
                <w:szCs w:val="16"/>
              </w:rPr>
              <w:t>Design and development of sector-specific tools, plans, and applications for CIP</w:t>
            </w:r>
          </w:p>
        </w:tc>
        <w:tc>
          <w:tcPr>
            <w:shd w:val="clear" w:color="auto" w:fill="auto"/>
          </w:tcPr>
          <w:p w:rsidR="004F1EEC" w:rsidRPr="00557448" w:rsidP="007C7090">
            <w:pPr>
              <w:spacing w:before="0" w:after="0"/>
              <w:jc w:val="center"/>
              <w:rPr>
                <w:sz w:val="16"/>
                <w:szCs w:val="16"/>
              </w:rPr>
            </w:pPr>
            <w:r>
              <w:rPr>
                <w:noProof/>
                <w:sz w:val="16"/>
                <w:szCs w:val="16"/>
              </w:rPr>
              <w:t>2019</w:t>
            </w:r>
          </w:p>
        </w:tc>
        <w:tc>
          <w:tcPr>
            <w:shd w:val="clear" w:color="auto" w:fill="auto"/>
          </w:tcPr>
          <w:p w:rsidR="004F1EEC" w:rsidRPr="00557448" w:rsidP="007C7090">
            <w:pPr>
              <w:spacing w:before="0" w:after="0"/>
              <w:jc w:val="center"/>
              <w:rPr>
                <w:sz w:val="16"/>
                <w:szCs w:val="16"/>
              </w:rPr>
            </w:pPr>
            <w:r>
              <w:rPr>
                <w:noProof/>
                <w:sz w:val="16"/>
                <w:szCs w:val="16"/>
              </w:rPr>
              <w:t>2020</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Tveganja – usposabljanje</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Training and education programs in individual sectors of critical infrastructure</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Tveganja – usposabljanje</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Trainings for managers/owners of critical infrastructure</w:t>
            </w:r>
          </w:p>
        </w:tc>
        <w:tc>
          <w:tcPr>
            <w:shd w:val="clear" w:color="auto" w:fill="auto"/>
          </w:tcPr>
          <w:p w:rsidR="004F1EEC" w:rsidRPr="00557448" w:rsidP="007C7090">
            <w:pPr>
              <w:spacing w:before="0" w:after="0"/>
              <w:jc w:val="center"/>
              <w:rPr>
                <w:sz w:val="16"/>
                <w:szCs w:val="16"/>
              </w:rPr>
            </w:pPr>
            <w:r>
              <w:rPr>
                <w:noProof/>
                <w:sz w:val="16"/>
                <w:szCs w:val="16"/>
              </w:rPr>
              <w:t>2017</w:t>
            </w:r>
          </w:p>
        </w:tc>
        <w:tc>
          <w:tcPr>
            <w:shd w:val="clear" w:color="auto" w:fill="auto"/>
          </w:tcPr>
          <w:p w:rsidR="004F1EEC" w:rsidRPr="00557448" w:rsidP="007C7090">
            <w:pPr>
              <w:spacing w:before="0" w:after="0"/>
              <w:jc w:val="center"/>
              <w:rPr>
                <w:sz w:val="16"/>
                <w:szCs w:val="16"/>
              </w:rPr>
            </w:pPr>
            <w:r>
              <w:rPr>
                <w:noProof/>
                <w:sz w:val="16"/>
                <w:szCs w:val="16"/>
              </w:rPr>
              <w:t>2018</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Tveganja – usposabljanje</w:t>
            </w:r>
          </w:p>
        </w:tc>
        <w:tc>
          <w:tcPr>
            <w:shd w:val="clear" w:color="auto" w:fill="auto"/>
          </w:tcPr>
          <w:p w:rsidR="004F1EEC" w:rsidRPr="00557448" w:rsidP="007C7090">
            <w:pPr>
              <w:spacing w:before="0" w:after="0"/>
              <w:jc w:val="center"/>
              <w:rPr>
                <w:sz w:val="16"/>
                <w:szCs w:val="16"/>
              </w:rPr>
            </w:pPr>
            <w:r w:rsidRPr="00557448">
              <w:rPr>
                <w:noProof/>
                <w:sz w:val="16"/>
                <w:szCs w:val="16"/>
              </w:rPr>
              <w:t>3</w:t>
            </w:r>
          </w:p>
        </w:tc>
        <w:tc>
          <w:tcPr>
            <w:shd w:val="clear" w:color="auto" w:fill="auto"/>
          </w:tcPr>
          <w:p w:rsidR="004F1EEC" w:rsidRPr="00557448" w:rsidP="007C7090">
            <w:pPr>
              <w:spacing w:before="0" w:after="0"/>
              <w:rPr>
                <w:sz w:val="16"/>
                <w:szCs w:val="16"/>
              </w:rPr>
            </w:pPr>
            <w:r w:rsidRPr="00557448">
              <w:rPr>
                <w:noProof/>
                <w:sz w:val="16"/>
                <w:szCs w:val="16"/>
              </w:rPr>
              <w:t>Workshops on measures for CIP</w:t>
            </w:r>
          </w:p>
        </w:tc>
        <w:tc>
          <w:tcPr>
            <w:shd w:val="clear" w:color="auto" w:fill="auto"/>
          </w:tcPr>
          <w:p w:rsidR="004F1EEC" w:rsidRPr="00557448" w:rsidP="007C7090">
            <w:pPr>
              <w:spacing w:before="0" w:after="0"/>
              <w:jc w:val="center"/>
              <w:rPr>
                <w:sz w:val="16"/>
                <w:szCs w:val="16"/>
              </w:rPr>
            </w:pPr>
            <w:r>
              <w:rPr>
                <w:noProof/>
                <w:sz w:val="16"/>
                <w:szCs w:val="16"/>
              </w:rPr>
              <w:t>2018</w:t>
            </w:r>
          </w:p>
        </w:tc>
        <w:tc>
          <w:tcPr>
            <w:shd w:val="clear" w:color="auto" w:fill="auto"/>
          </w:tcPr>
          <w:p w:rsidR="004F1EEC" w:rsidRPr="00557448" w:rsidP="007C7090">
            <w:pPr>
              <w:spacing w:before="0" w:after="0"/>
              <w:jc w:val="center"/>
              <w:rPr>
                <w:sz w:val="16"/>
                <w:szCs w:val="16"/>
              </w:rPr>
            </w:pPr>
            <w:r>
              <w:rPr>
                <w:noProof/>
                <w:sz w:val="16"/>
                <w:szCs w:val="16"/>
              </w:rPr>
              <w:t>2019</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4</w:t>
            </w:r>
            <w:r>
              <w:rPr>
                <w:sz w:val="16"/>
                <w:szCs w:val="16"/>
              </w:rPr>
              <w:t xml:space="preserve"> - </w:t>
            </w:r>
            <w:r>
              <w:rPr>
                <w:noProof/>
                <w:sz w:val="16"/>
                <w:szCs w:val="16"/>
              </w:rPr>
              <w:t>Tveganja – podpora žrtvam</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Development of a system for victim support and management of psychosocial assistance</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2018</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5</w:t>
            </w:r>
            <w:r>
              <w:rPr>
                <w:sz w:val="16"/>
                <w:szCs w:val="16"/>
              </w:rPr>
              <w:t xml:space="preserve"> - </w:t>
            </w:r>
            <w:r>
              <w:rPr>
                <w:noProof/>
                <w:sz w:val="16"/>
                <w:szCs w:val="16"/>
              </w:rPr>
              <w:t>Tveganja – infrastruktura</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Modernization of the consequence management situation room</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2018</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5</w:t>
            </w:r>
            <w:r>
              <w:rPr>
                <w:sz w:val="16"/>
                <w:szCs w:val="16"/>
              </w:rPr>
              <w:t xml:space="preserve"> - </w:t>
            </w:r>
            <w:r>
              <w:rPr>
                <w:noProof/>
                <w:sz w:val="16"/>
                <w:szCs w:val="16"/>
              </w:rPr>
              <w:t>Tveganja – infrastruktura</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Modernization of information systems for decision-making support and CIP</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2018</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5</w:t>
            </w:r>
            <w:r>
              <w:rPr>
                <w:sz w:val="16"/>
                <w:szCs w:val="16"/>
              </w:rPr>
              <w:t xml:space="preserve"> - </w:t>
            </w:r>
            <w:r>
              <w:rPr>
                <w:noProof/>
                <w:sz w:val="16"/>
                <w:szCs w:val="16"/>
              </w:rPr>
              <w:t>Tveganja – infrastruktura</w:t>
            </w:r>
          </w:p>
        </w:tc>
        <w:tc>
          <w:tcPr>
            <w:shd w:val="clear" w:color="auto" w:fill="auto"/>
          </w:tcPr>
          <w:p w:rsidR="004F1EEC" w:rsidRPr="00557448" w:rsidP="007C7090">
            <w:pPr>
              <w:spacing w:before="0" w:after="0"/>
              <w:jc w:val="center"/>
              <w:rPr>
                <w:sz w:val="16"/>
                <w:szCs w:val="16"/>
              </w:rPr>
            </w:pPr>
            <w:r w:rsidRPr="00557448">
              <w:rPr>
                <w:noProof/>
                <w:sz w:val="16"/>
                <w:szCs w:val="16"/>
              </w:rPr>
              <w:t>3</w:t>
            </w:r>
          </w:p>
        </w:tc>
        <w:tc>
          <w:tcPr>
            <w:shd w:val="clear" w:color="auto" w:fill="auto"/>
          </w:tcPr>
          <w:p w:rsidR="004F1EEC" w:rsidRPr="00557448" w:rsidP="007C7090">
            <w:pPr>
              <w:spacing w:before="0" w:after="0"/>
              <w:rPr>
                <w:sz w:val="16"/>
                <w:szCs w:val="16"/>
              </w:rPr>
            </w:pPr>
            <w:r w:rsidRPr="00557448">
              <w:rPr>
                <w:noProof/>
                <w:sz w:val="16"/>
                <w:szCs w:val="16"/>
              </w:rPr>
              <w:t>Assessment tools/applications, plans, procedures to respond to threats</w:t>
            </w:r>
          </w:p>
        </w:tc>
        <w:tc>
          <w:tcPr>
            <w:shd w:val="clear" w:color="auto" w:fill="auto"/>
          </w:tcPr>
          <w:p w:rsidR="004F1EEC" w:rsidRPr="00557448" w:rsidP="007C7090">
            <w:pPr>
              <w:spacing w:before="0" w:after="0"/>
              <w:jc w:val="center"/>
              <w:rPr>
                <w:sz w:val="16"/>
                <w:szCs w:val="16"/>
              </w:rPr>
            </w:pPr>
            <w:r>
              <w:rPr>
                <w:noProof/>
                <w:sz w:val="16"/>
                <w:szCs w:val="16"/>
              </w:rPr>
              <w:t>2019</w:t>
            </w:r>
          </w:p>
        </w:tc>
        <w:tc>
          <w:tcPr>
            <w:shd w:val="clear" w:color="auto" w:fill="auto"/>
          </w:tcPr>
          <w:p w:rsidR="004F1EEC" w:rsidRPr="00557448" w:rsidP="007C7090">
            <w:pPr>
              <w:spacing w:before="0" w:after="0"/>
              <w:jc w:val="center"/>
              <w:rPr>
                <w:sz w:val="16"/>
                <w:szCs w:val="16"/>
              </w:rPr>
            </w:pPr>
            <w:r>
              <w:rPr>
                <w:noProof/>
                <w:sz w:val="16"/>
                <w:szCs w:val="16"/>
              </w:rPr>
              <w:t>2020</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6</w:t>
            </w:r>
            <w:r>
              <w:rPr>
                <w:sz w:val="16"/>
                <w:szCs w:val="16"/>
              </w:rPr>
              <w:t xml:space="preserve"> - </w:t>
            </w:r>
            <w:r>
              <w:rPr>
                <w:noProof/>
                <w:sz w:val="16"/>
                <w:szCs w:val="16"/>
              </w:rPr>
              <w:t>Tveganja – zgodnje opozarjanje in krize</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Technical equipment, IT systems for operators of critical infrastructure</w:t>
            </w:r>
          </w:p>
        </w:tc>
        <w:tc>
          <w:tcPr>
            <w:shd w:val="clear" w:color="auto" w:fill="auto"/>
          </w:tcPr>
          <w:p w:rsidR="004F1EEC" w:rsidRPr="00557448" w:rsidP="007C7090">
            <w:pPr>
              <w:spacing w:before="0" w:after="0"/>
              <w:jc w:val="center"/>
              <w:rPr>
                <w:sz w:val="16"/>
                <w:szCs w:val="16"/>
              </w:rPr>
            </w:pPr>
            <w:r>
              <w:rPr>
                <w:noProof/>
                <w:sz w:val="16"/>
                <w:szCs w:val="16"/>
              </w:rPr>
              <w:t>2015</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2020</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6</w:t>
            </w:r>
            <w:r>
              <w:rPr>
                <w:sz w:val="16"/>
                <w:szCs w:val="16"/>
              </w:rPr>
              <w:t xml:space="preserve"> - </w:t>
            </w:r>
            <w:r>
              <w:rPr>
                <w:noProof/>
                <w:sz w:val="16"/>
                <w:szCs w:val="16"/>
              </w:rPr>
              <w:t>Tveganja – zgodnje opozarjanje in krize</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Development of the capacity of a dynamic and fast response capture 2D and 3D spatial data</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7</w:t>
            </w:r>
            <w:r>
              <w:rPr>
                <w:sz w:val="16"/>
                <w:szCs w:val="16"/>
              </w:rPr>
              <w:t xml:space="preserve"> - </w:t>
            </w:r>
            <w:r>
              <w:rPr>
                <w:noProof/>
                <w:sz w:val="16"/>
                <w:szCs w:val="16"/>
              </w:rPr>
              <w:t>Tveganja – ocena nevarnosti in tveganj</w:t>
            </w:r>
          </w:p>
        </w:tc>
        <w:tc>
          <w:tcPr>
            <w:shd w:val="clear" w:color="auto" w:fill="auto"/>
          </w:tcPr>
          <w:p w:rsidR="004F1EEC" w:rsidRPr="00557448" w:rsidP="007C7090">
            <w:pPr>
              <w:spacing w:before="0" w:after="0"/>
              <w:jc w:val="center"/>
              <w:rPr>
                <w:sz w:val="16"/>
                <w:szCs w:val="16"/>
              </w:rPr>
            </w:pPr>
            <w:r w:rsidRPr="00557448">
              <w:rPr>
                <w:noProof/>
                <w:sz w:val="16"/>
                <w:szCs w:val="16"/>
              </w:rPr>
              <w:t>1</w:t>
            </w:r>
          </w:p>
        </w:tc>
        <w:tc>
          <w:tcPr>
            <w:shd w:val="clear" w:color="auto" w:fill="auto"/>
          </w:tcPr>
          <w:p w:rsidR="004F1EEC" w:rsidRPr="00557448" w:rsidP="007C7090">
            <w:pPr>
              <w:spacing w:before="0" w:after="0"/>
              <w:rPr>
                <w:sz w:val="16"/>
                <w:szCs w:val="16"/>
              </w:rPr>
            </w:pPr>
            <w:r w:rsidRPr="00557448">
              <w:rPr>
                <w:noProof/>
                <w:sz w:val="16"/>
                <w:szCs w:val="16"/>
              </w:rPr>
              <w:t>Research on threat and risk assessment, crisis management and planning</w:t>
            </w:r>
          </w:p>
        </w:tc>
        <w:tc>
          <w:tcPr>
            <w:shd w:val="clear" w:color="auto" w:fill="auto"/>
          </w:tcPr>
          <w:p w:rsidR="004F1EEC" w:rsidRPr="00557448" w:rsidP="007C7090">
            <w:pPr>
              <w:spacing w:before="0" w:after="0"/>
              <w:jc w:val="center"/>
              <w:rPr>
                <w:sz w:val="16"/>
                <w:szCs w:val="16"/>
              </w:rPr>
            </w:pPr>
            <w:r>
              <w:rPr>
                <w:noProof/>
                <w:sz w:val="16"/>
                <w:szCs w:val="16"/>
              </w:rPr>
              <w:t>2018</w:t>
            </w:r>
          </w:p>
        </w:tc>
        <w:tc>
          <w:tcPr>
            <w:shd w:val="clear" w:color="auto" w:fill="auto"/>
          </w:tcPr>
          <w:p w:rsidR="004F1EEC" w:rsidRPr="00557448" w:rsidP="007C7090">
            <w:pPr>
              <w:spacing w:before="0" w:after="0"/>
              <w:jc w:val="center"/>
              <w:rPr>
                <w:sz w:val="16"/>
                <w:szCs w:val="16"/>
              </w:rPr>
            </w:pPr>
            <w:r>
              <w:rPr>
                <w:noProof/>
                <w:sz w:val="16"/>
                <w:szCs w:val="16"/>
              </w:rPr>
              <w:t>2019</w:t>
            </w:r>
          </w:p>
        </w:tc>
        <w:tc>
          <w:tcPr>
            <w:shd w:val="clear" w:color="auto" w:fill="auto"/>
          </w:tcPr>
          <w:p w:rsidR="004F1EEC" w:rsidRPr="00557448" w:rsidP="007C7090">
            <w:pPr>
              <w:spacing w:before="0" w:after="0"/>
              <w:jc w:val="center"/>
              <w:rPr>
                <w:sz w:val="16"/>
                <w:szCs w:val="16"/>
              </w:rPr>
            </w:pPr>
            <w:r>
              <w:rPr>
                <w:noProof/>
                <w:sz w:val="16"/>
                <w:szCs w:val="16"/>
              </w:rPr>
              <w:t>2021</w:t>
            </w:r>
          </w:p>
        </w:tc>
      </w:tr>
      <w:tr w:rsidTr="008E16E1">
        <w:tblPrEx>
          <w:tblW w:w="5000" w:type="pct"/>
          <w:tblLook w:val="04A0"/>
        </w:tblPrEx>
        <w:tc>
          <w:tcPr>
            <w:shd w:val="clear" w:color="auto" w:fill="auto"/>
          </w:tcPr>
          <w:p w:rsidR="004F1EEC" w:rsidRPr="00557448"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shd w:val="clear" w:color="auto" w:fill="auto"/>
          </w:tcPr>
          <w:p w:rsidR="004F1EEC" w:rsidRPr="00557448" w:rsidP="007C7090">
            <w:pPr>
              <w:spacing w:before="0" w:after="0"/>
              <w:rPr>
                <w:sz w:val="16"/>
                <w:szCs w:val="16"/>
              </w:rPr>
            </w:pPr>
            <w:r>
              <w:rPr>
                <w:noProof/>
                <w:sz w:val="16"/>
                <w:szCs w:val="16"/>
              </w:rPr>
              <w:t>Nacionalni cilj</w:t>
            </w:r>
            <w:r>
              <w:rPr>
                <w:noProof/>
                <w:sz w:val="16"/>
                <w:szCs w:val="16"/>
              </w:rPr>
              <w:t>7</w:t>
            </w:r>
            <w:r>
              <w:rPr>
                <w:sz w:val="16"/>
                <w:szCs w:val="16"/>
              </w:rPr>
              <w:t xml:space="preserve"> - </w:t>
            </w:r>
            <w:r>
              <w:rPr>
                <w:noProof/>
                <w:sz w:val="16"/>
                <w:szCs w:val="16"/>
              </w:rPr>
              <w:t>Tveganja – ocena nevarnosti in tveganj</w:t>
            </w:r>
          </w:p>
        </w:tc>
        <w:tc>
          <w:tcPr>
            <w:shd w:val="clear" w:color="auto" w:fill="auto"/>
          </w:tcPr>
          <w:p w:rsidR="004F1EEC" w:rsidRPr="00557448" w:rsidP="007C7090">
            <w:pPr>
              <w:spacing w:before="0" w:after="0"/>
              <w:jc w:val="center"/>
              <w:rPr>
                <w:sz w:val="16"/>
                <w:szCs w:val="16"/>
              </w:rPr>
            </w:pPr>
            <w:r w:rsidRPr="00557448">
              <w:rPr>
                <w:noProof/>
                <w:sz w:val="16"/>
                <w:szCs w:val="16"/>
              </w:rPr>
              <w:t>2</w:t>
            </w:r>
          </w:p>
        </w:tc>
        <w:tc>
          <w:tcPr>
            <w:shd w:val="clear" w:color="auto" w:fill="auto"/>
          </w:tcPr>
          <w:p w:rsidR="004F1EEC" w:rsidRPr="00557448" w:rsidP="007C7090">
            <w:pPr>
              <w:spacing w:before="0" w:after="0"/>
              <w:rPr>
                <w:sz w:val="16"/>
                <w:szCs w:val="16"/>
              </w:rPr>
            </w:pPr>
            <w:r w:rsidRPr="00557448">
              <w:rPr>
                <w:noProof/>
                <w:sz w:val="16"/>
                <w:szCs w:val="16"/>
              </w:rPr>
              <w:t>Raising cyber security of the secured network for crisis management</w:t>
            </w:r>
          </w:p>
        </w:tc>
        <w:tc>
          <w:tcPr>
            <w:shd w:val="clear" w:color="auto" w:fill="auto"/>
          </w:tcPr>
          <w:p w:rsidR="004F1EEC" w:rsidRPr="00557448" w:rsidP="007C7090">
            <w:pPr>
              <w:spacing w:before="0" w:after="0"/>
              <w:jc w:val="center"/>
              <w:rPr>
                <w:sz w:val="16"/>
                <w:szCs w:val="16"/>
              </w:rPr>
            </w:pPr>
            <w:r>
              <w:rPr>
                <w:noProof/>
                <w:sz w:val="16"/>
                <w:szCs w:val="16"/>
              </w:rPr>
              <w:t>2016</w:t>
            </w:r>
          </w:p>
        </w:tc>
        <w:tc>
          <w:tcPr>
            <w:shd w:val="clear" w:color="auto" w:fill="auto"/>
          </w:tcPr>
          <w:p w:rsidR="004F1EEC" w:rsidRPr="00557448" w:rsidP="007C7090">
            <w:pPr>
              <w:spacing w:before="0" w:after="0"/>
              <w:jc w:val="center"/>
              <w:rPr>
                <w:sz w:val="16"/>
                <w:szCs w:val="16"/>
              </w:rPr>
            </w:pPr>
            <w:r>
              <w:rPr>
                <w:noProof/>
                <w:sz w:val="16"/>
                <w:szCs w:val="16"/>
              </w:rPr>
              <w:t>2017</w:t>
            </w:r>
          </w:p>
        </w:tc>
        <w:tc>
          <w:tcPr>
            <w:shd w:val="clear" w:color="auto" w:fill="auto"/>
          </w:tcPr>
          <w:p w:rsidR="004F1EEC" w:rsidRPr="00557448" w:rsidP="007C7090">
            <w:pPr>
              <w:spacing w:before="0" w:after="0"/>
              <w:jc w:val="center"/>
              <w:rPr>
                <w:sz w:val="16"/>
                <w:szCs w:val="16"/>
              </w:rPr>
            </w:pPr>
            <w:r>
              <w:rPr>
                <w:noProof/>
                <w:sz w:val="16"/>
                <w:szCs w:val="16"/>
              </w:rPr>
              <w:t>2020</w:t>
            </w:r>
          </w:p>
        </w:tc>
      </w:tr>
    </w:tbl>
    <w:p w:rsidR="004F1EEC" w:rsidP="007C7090">
      <w:pPr>
        <w:spacing w:before="0" w:after="0"/>
        <w:rPr>
          <w:lang w:val="fr-BE"/>
        </w:rPr>
      </w:pPr>
    </w:p>
    <w:p w:rsidR="004F1EEC" w:rsidP="007C7090">
      <w:pPr>
        <w:pStyle w:val="Text1"/>
        <w:spacing w:before="0" w:after="0"/>
        <w:ind w:left="0"/>
        <w:rPr>
          <w:lang w:val="fr-BE"/>
        </w:rPr>
      </w:pPr>
    </w:p>
    <w:p w:rsidR="004F1EEC" w:rsidP="007C7090">
      <w:pPr>
        <w:pStyle w:val="Text1"/>
        <w:spacing w:before="0" w:after="0"/>
        <w:ind w:left="0"/>
        <w:rPr>
          <w:lang w:val="fr-BE"/>
        </w:rPr>
      </w:pPr>
    </w:p>
    <w:p w:rsidR="004F1EEC" w:rsidP="007C7090">
      <w:pPr>
        <w:pStyle w:val="Heading1"/>
        <w:numPr>
          <w:ilvl w:val="0"/>
          <w:numId w:val="0"/>
        </w:numPr>
        <w:spacing w:before="0" w:after="0"/>
        <w:rPr>
          <w:lang w:val="fr-BE"/>
        </w:rPr>
      </w:pPr>
      <w:r>
        <w:rPr>
          <w:lang w:val="fr-BE"/>
        </w:rPr>
        <w:br w:type="page"/>
      </w:r>
      <w:bookmarkStart w:id="2" w:name="_Toc256000002"/>
      <w:r>
        <w:rPr>
          <w:noProof/>
          <w:lang w:val="fr-BE"/>
        </w:rPr>
        <w:t>ODDELEK 5: SKUPNI KAZALNIKI IN KAZALNIKI ZA POSAMEZNE PROGRAME</w:t>
      </w:r>
      <w:bookmarkEnd w:id="2"/>
    </w:p>
    <w:p w:rsidR="004F1EEC" w:rsidP="007C7090">
      <w:pPr>
        <w:spacing w:before="0" w:after="0"/>
        <w:rPr>
          <w:lang w:val="fr-BE"/>
        </w:rPr>
      </w:pPr>
    </w:p>
    <w:p w:rsidR="004F1EEC" w:rsidP="007C7090">
      <w:pPr>
        <w:spacing w:before="0" w:after="0"/>
        <w:rPr>
          <w:lang w:val="fr-BE"/>
        </w:rPr>
      </w:pPr>
      <w:r>
        <w:rPr>
          <w:noProof/>
          <w:lang w:val="fr-BE"/>
        </w:rPr>
        <w:t>Razložite morebitne dejavnike, ki bi lahko znatno vplivali na doseganje katerih koli ciljev, zlasti pa prepočasen napredek.</w:t>
      </w:r>
    </w:p>
    <w:p w:rsidR="004F1EEC" w:rsidP="007C709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Poročane vrednosti kazalnikov temeljijo na odobrenih zahtevkih, ki so bili vključeni v Obračune 2022.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OO je nadgradil sistem MIGRA II, preko katerega končni upravičenci poročajo o doseženih kazalnikih (v oddanih zahtevkih za povračilo - ZzP), tako, da se vrednosti posameznih kazalnikov pravilno zajemajo v poročila. Poleg tega smo v fazi pregleda zaključnih ZzP dodatno preverili ustreznost posameznih kazalnikov.  Skladno s tem smo popravili vrednosti vseh kazalnikov skozi vsa leta poročanja.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Podkazalniki pod SO5, tj. C2.1.a-C2.1.b, C2.2.a-C.2.2.b, C3.1.a-C3.1.b, C3.2.a-C3.2.b, se nanašajo na a.Terorizem in b.Trgovina z ljudmi in spolna zloraba žensk in otrok. Ker se v MIGRI II zbirajo skupaj in ločitev vrednosti ni mogoča, jih poročamo pod prvim kazalnikom vsakega para (a.Terorizem).</w:t>
      </w:r>
    </w:p>
    <w:p w:rsidR="004F1EEC" w:rsidP="007C7090">
      <w:pPr>
        <w:spacing w:before="0" w:after="0"/>
        <w:rPr>
          <w:lang w:val="fr-BE"/>
        </w:rPr>
      </w:pPr>
    </w:p>
    <w:p w:rsidR="004F1EEC" w:rsidP="007C7090">
      <w:pPr>
        <w:spacing w:before="0" w:after="0"/>
        <w:rPr>
          <w:lang w:val="fr-BE"/>
        </w:rPr>
      </w:pPr>
    </w:p>
    <w:p w:rsidR="004F1EEC" w:rsidP="007C7090">
      <w:pPr>
        <w:spacing w:before="0" w:after="0"/>
        <w:rPr>
          <w:lang w:val="fr-BE"/>
        </w:rPr>
        <w:sectPr w:rsidSect="00BD46AA">
          <w:headerReference w:type="default" r:id="rId5"/>
          <w:footerReference w:type="default" r:id="rId6"/>
          <w:pgSz w:w="11906" w:h="16838"/>
          <w:pgMar w:top="284" w:right="851" w:bottom="284" w:left="284" w:header="567" w:footer="0" w:gutter="0"/>
          <w:cols w:space="708"/>
          <w:docGrid w:linePitch="360"/>
        </w:sectPr>
      </w:pPr>
    </w:p>
    <w:p w:rsidR="004F1EEC" w:rsidP="007C7090">
      <w:pPr>
        <w:spacing w:before="0" w:after="0"/>
        <w:rPr>
          <w:lang w:val="fr-BE"/>
        </w:rPr>
      </w:pPr>
      <w:r>
        <w:rPr>
          <w:noProof/>
          <w:lang w:val="fr-BE"/>
        </w:rPr>
        <w:t>Preglednica kazalnikov</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
      <w:tblGrid>
        <w:gridCol w:w="6372"/>
        <w:gridCol w:w="795"/>
        <w:gridCol w:w="1105"/>
        <w:gridCol w:w="884"/>
        <w:gridCol w:w="776"/>
        <w:gridCol w:w="374"/>
        <w:gridCol w:w="374"/>
        <w:gridCol w:w="374"/>
        <w:gridCol w:w="374"/>
        <w:gridCol w:w="374"/>
        <w:gridCol w:w="374"/>
        <w:gridCol w:w="374"/>
        <w:gridCol w:w="409"/>
        <w:gridCol w:w="409"/>
        <w:gridCol w:w="374"/>
        <w:gridCol w:w="1032"/>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Ex>
        <w:trPr>
          <w:cantSplit/>
          <w:tblHeader/>
        </w:trPr>
        <w:tc>
          <w:tcPr>
            <w:gridSpan w:val="2"/>
            <w:shd w:val="clear" w:color="auto" w:fill="auto"/>
          </w:tcPr>
          <w:p w:rsidR="004F1EEC" w:rsidRPr="00F07BE5" w:rsidP="007C7090">
            <w:pPr>
              <w:spacing w:before="0" w:after="0"/>
              <w:rPr>
                <w:b/>
                <w:sz w:val="12"/>
                <w:szCs w:val="12"/>
                <w:lang w:val="fr-BE"/>
              </w:rPr>
            </w:pPr>
            <w:r w:rsidRPr="00F07BE5">
              <w:rPr>
                <w:b/>
                <w:noProof/>
                <w:sz w:val="12"/>
                <w:szCs w:val="12"/>
                <w:lang w:val="fr-BE"/>
              </w:rPr>
              <w:t>Posebni cilj</w:t>
            </w:r>
          </w:p>
        </w:tc>
        <w:tc>
          <w:tcPr>
            <w:gridSpan w:val="14"/>
            <w:shd w:val="clear" w:color="auto" w:fill="auto"/>
          </w:tcPr>
          <w:p w:rsidR="004F1EEC" w:rsidRPr="00F07BE5" w:rsidP="007C7090">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Podpora skupni vizumski politiki</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b/>
                <w:sz w:val="12"/>
                <w:szCs w:val="12"/>
                <w:lang w:val="fr-BE"/>
              </w:rPr>
            </w:pPr>
            <w:r w:rsidRPr="00F07BE5">
              <w:rPr>
                <w:b/>
                <w:noProof/>
                <w:sz w:val="12"/>
                <w:szCs w:val="12"/>
                <w:lang w:val="fr-BE"/>
              </w:rPr>
              <w:t>Kazalnik</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Merska enota</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Izhodiščna vrednost</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Ciljna vrednost</w:t>
            </w:r>
          </w:p>
        </w:tc>
        <w:tc>
          <w:tcPr/>
          <w:p w:rsidR="004F1EEC" w:rsidRPr="00F07BE5" w:rsidP="007C7090">
            <w:pPr>
              <w:spacing w:before="0" w:after="0"/>
              <w:rPr>
                <w:b/>
                <w:sz w:val="12"/>
                <w:szCs w:val="12"/>
                <w:lang w:val="fr-BE"/>
              </w:rPr>
            </w:pPr>
            <w:r>
              <w:rPr>
                <w:b/>
                <w:noProof/>
                <w:sz w:val="12"/>
                <w:szCs w:val="12"/>
                <w:lang w:val="fr-BE"/>
              </w:rPr>
              <w:t>Vir podatkov</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2014</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2015</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2016</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2017</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2018</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2019</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2020</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2021</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2022</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2023</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Kumulativna vrednost</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dejavnosti konzularnega sodelovanja, razvitih s pomočjo sklada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namestitev</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skupnih centrov za sprejem vlog</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predstavništev</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C1.d</w:t>
            </w:r>
            <w:r w:rsidRPr="00F07BE5">
              <w:rPr>
                <w:sz w:val="12"/>
                <w:szCs w:val="12"/>
                <w:lang w:val="fr-BE"/>
              </w:rPr>
              <w:t xml:space="preserve"> - </w:t>
            </w:r>
            <w:r w:rsidRPr="00F07BE5">
              <w:rPr>
                <w:noProof/>
                <w:sz w:val="12"/>
                <w:szCs w:val="12"/>
                <w:lang w:val="fr-BE"/>
              </w:rPr>
              <w:t>Število drugih</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usposobljenih o vidikih, povezanih s skupno vizumsko politiko, za katere so bila uporabljena sredstva sklada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440,00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92,00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265,00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364,00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Število tečajev (opravljene ure)</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348,00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152,00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176,00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392,00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specializiranih delovnih mest v tretjih državah, za katera so bila uporabljena sredstva sklada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Uradniki za zvezo</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Drugo</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C4.1</w:t>
            </w:r>
            <w:r w:rsidRPr="00F07BE5">
              <w:rPr>
                <w:sz w:val="12"/>
                <w:szCs w:val="12"/>
                <w:lang w:val="fr-BE"/>
              </w:rPr>
              <w:t xml:space="preserve"> - </w:t>
            </w:r>
            <w:r w:rsidRPr="00F07BE5">
              <w:rPr>
                <w:noProof/>
                <w:sz w:val="12"/>
                <w:szCs w:val="12"/>
                <w:lang w:val="fr-BE"/>
              </w:rPr>
              <w:t>Število konzulatov, odprtih ali razširjenih s sredstvi sklada, glede na celotno število konzulatov</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43,00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C4.2</w:t>
            </w:r>
            <w:r w:rsidRPr="00F07BE5">
              <w:rPr>
                <w:sz w:val="12"/>
                <w:szCs w:val="12"/>
                <w:lang w:val="fr-BE"/>
              </w:rPr>
              <w:t xml:space="preserve"> - </w:t>
            </w:r>
            <w:r w:rsidRPr="00F07BE5">
              <w:rPr>
                <w:noProof/>
                <w:sz w:val="12"/>
                <w:szCs w:val="12"/>
                <w:lang w:val="fr-BE"/>
              </w:rPr>
              <w:t>Odstotek konzulatov, odprtih ali razširjenih s sredstvi sklada, glede na celotno število konzulatov</w:t>
            </w:r>
          </w:p>
        </w:tc>
        <w:tc>
          <w:tcPr>
            <w:shd w:val="clear" w:color="auto" w:fill="auto"/>
          </w:tcPr>
          <w:p w:rsidR="004F1EEC" w:rsidRPr="00F07BE5" w:rsidP="007C7090">
            <w:pPr>
              <w:spacing w:before="0" w:after="0"/>
              <w:rPr>
                <w:sz w:val="12"/>
                <w:szCs w:val="12"/>
                <w:lang w:val="fr-BE"/>
              </w:rPr>
            </w:pPr>
            <w:r w:rsidRPr="00F07BE5">
              <w:rPr>
                <w:noProof/>
                <w:sz w:val="12"/>
                <w:szCs w:val="12"/>
              </w:rPr>
              <w:t>%</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80,00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Pr>
                <w:noProof/>
                <w:sz w:val="12"/>
                <w:szCs w:val="12"/>
                <w:lang w:val="fr-BE"/>
              </w:rPr>
              <w:t>C4.3</w:t>
            </w:r>
            <w:r w:rsidRPr="00F07BE5">
              <w:rPr>
                <w:sz w:val="12"/>
                <w:szCs w:val="12"/>
                <w:lang w:val="fr-BE"/>
              </w:rPr>
              <w:t xml:space="preserve"> - </w:t>
            </w:r>
            <w:r>
              <w:rPr>
                <w:noProof/>
                <w:sz w:val="12"/>
                <w:szCs w:val="12"/>
                <w:lang w:val="fr-BE"/>
              </w:rPr>
              <w:t>Number of consular cooperation activities developed with the help of the Fund as part of specific action on consular cooperation</w:t>
            </w:r>
          </w:p>
        </w:tc>
        <w:tc>
          <w:tcPr>
            <w:shd w:val="clear" w:color="auto" w:fill="auto"/>
          </w:tcPr>
          <w:p w:rsidR="004F1EEC" w:rsidRPr="00F07BE5" w:rsidP="007C7090">
            <w:pPr>
              <w:spacing w:before="0" w:after="0"/>
              <w:rPr>
                <w:sz w:val="12"/>
                <w:szCs w:val="12"/>
                <w:lang w:val="fr-BE"/>
              </w:rPr>
            </w:pPr>
            <w:r w:rsidRPr="00F07BE5">
              <w:rPr>
                <w:noProof/>
                <w:sz w:val="12"/>
                <w:szCs w:val="12"/>
                <w:lang w:val="fr-BE"/>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p w:rsidR="004F1EEC" w:rsidRPr="003F352C" w:rsidP="007C7090">
            <w:pPr>
              <w:spacing w:before="0" w:after="0"/>
              <w:rPr>
                <w:sz w:val="10"/>
                <w:szCs w:val="10"/>
                <w:lang w:val="fr-BE"/>
              </w:rPr>
            </w:pP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bl>
    <w:p w:rsidR="004F1EEC"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
      <w:tblGrid>
        <w:gridCol w:w="4887"/>
        <w:gridCol w:w="673"/>
        <w:gridCol w:w="932"/>
        <w:gridCol w:w="761"/>
        <w:gridCol w:w="2532"/>
        <w:gridCol w:w="374"/>
        <w:gridCol w:w="374"/>
        <w:gridCol w:w="374"/>
        <w:gridCol w:w="409"/>
        <w:gridCol w:w="484"/>
        <w:gridCol w:w="409"/>
        <w:gridCol w:w="484"/>
        <w:gridCol w:w="409"/>
        <w:gridCol w:w="484"/>
        <w:gridCol w:w="374"/>
        <w:gridCol w:w="814"/>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Ex>
        <w:trPr>
          <w:cantSplit/>
          <w:tblHeader/>
        </w:trPr>
        <w:tc>
          <w:tcPr>
            <w:gridSpan w:val="2"/>
            <w:shd w:val="clear" w:color="auto" w:fill="auto"/>
          </w:tcPr>
          <w:p w:rsidR="004F1EEC" w:rsidRPr="00F07BE5" w:rsidP="007C7090">
            <w:pPr>
              <w:spacing w:before="0" w:after="0"/>
              <w:rPr>
                <w:b/>
                <w:sz w:val="12"/>
                <w:szCs w:val="12"/>
                <w:lang w:val="fr-BE"/>
              </w:rPr>
            </w:pPr>
            <w:r w:rsidRPr="00F07BE5">
              <w:rPr>
                <w:b/>
                <w:noProof/>
                <w:sz w:val="12"/>
                <w:szCs w:val="12"/>
                <w:lang w:val="fr-BE"/>
              </w:rPr>
              <w:t>Posebni cilj</w:t>
            </w:r>
          </w:p>
        </w:tc>
        <w:tc>
          <w:tcPr>
            <w:gridSpan w:val="14"/>
            <w:shd w:val="clear" w:color="auto" w:fill="auto"/>
          </w:tcPr>
          <w:p w:rsidR="004F1EEC" w:rsidRPr="00F07BE5" w:rsidP="007C7090">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Meje</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b/>
                <w:sz w:val="12"/>
                <w:szCs w:val="12"/>
                <w:lang w:val="fr-BE"/>
              </w:rPr>
            </w:pPr>
            <w:r w:rsidRPr="00F07BE5">
              <w:rPr>
                <w:b/>
                <w:noProof/>
                <w:sz w:val="12"/>
                <w:szCs w:val="12"/>
                <w:lang w:val="fr-BE"/>
              </w:rPr>
              <w:t>Kazalnik</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Merska enota</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Izhodiščna vrednost</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Ciljna vrednost</w:t>
            </w:r>
          </w:p>
        </w:tc>
        <w:tc>
          <w:tcPr/>
          <w:p w:rsidR="004F1EEC" w:rsidRPr="00F07BE5" w:rsidP="007C7090">
            <w:pPr>
              <w:spacing w:before="0" w:after="0"/>
              <w:rPr>
                <w:b/>
                <w:sz w:val="12"/>
                <w:szCs w:val="12"/>
                <w:lang w:val="fr-BE"/>
              </w:rPr>
            </w:pPr>
            <w:r>
              <w:rPr>
                <w:b/>
                <w:noProof/>
                <w:sz w:val="12"/>
                <w:szCs w:val="12"/>
                <w:lang w:val="fr-BE"/>
              </w:rPr>
              <w:t>Vir podatkov</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2014</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2015</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2016</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2017</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2018</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2019</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2020</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2021</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2022</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2023</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Kumulativna vrednost</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C1.1</w:t>
            </w:r>
            <w:r w:rsidRPr="00F07BE5">
              <w:rPr>
                <w:sz w:val="12"/>
                <w:szCs w:val="12"/>
                <w:lang w:val="fr-BE"/>
              </w:rPr>
              <w:t xml:space="preserve"> - </w:t>
            </w:r>
            <w:r w:rsidRPr="00F07BE5">
              <w:rPr>
                <w:noProof/>
                <w:sz w:val="12"/>
                <w:szCs w:val="12"/>
                <w:lang w:val="fr-BE"/>
              </w:rPr>
              <w:t>Število uslužbencev, usposobljenih o vidikih, povezanih z upravljanjem meja, za katere so bila uporabljena sredstva sklada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3.640,00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459,00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237,00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275,00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397,00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103,00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1.471,00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C1.2</w:t>
            </w:r>
            <w:r w:rsidRPr="00F07BE5">
              <w:rPr>
                <w:sz w:val="12"/>
                <w:szCs w:val="12"/>
                <w:lang w:val="fr-BE"/>
              </w:rPr>
              <w:t xml:space="preserve"> - </w:t>
            </w:r>
            <w:r w:rsidRPr="00F07BE5">
              <w:rPr>
                <w:noProof/>
                <w:sz w:val="12"/>
                <w:szCs w:val="12"/>
                <w:lang w:val="fr-BE"/>
              </w:rPr>
              <w:t>Število tečajev o vidikih, povezanih z upravljanjem meja, za katere so bila uporabljena sredstva sklada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4.700,00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188,00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912,00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1.647,00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1.832,00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4.585,00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objektov za nadzor nad mejami (kontrole in nadzor) in sredstva, razvita ali izboljšana s pomočjo sklada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5.176,00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2.556,00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931,00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475,00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622,00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4.894,00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C2.a</w:t>
            </w:r>
            <w:r w:rsidRPr="00F07BE5">
              <w:rPr>
                <w:sz w:val="12"/>
                <w:szCs w:val="12"/>
                <w:lang w:val="fr-BE"/>
              </w:rPr>
              <w:t xml:space="preserve"> - </w:t>
            </w:r>
            <w:r w:rsidRPr="00F07BE5">
              <w:rPr>
                <w:noProof/>
                <w:sz w:val="12"/>
                <w:szCs w:val="12"/>
                <w:lang w:val="fr-BE"/>
              </w:rPr>
              <w:t>Infrastruktura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48,00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52,00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C2.b</w:t>
            </w:r>
            <w:r w:rsidRPr="00F07BE5">
              <w:rPr>
                <w:sz w:val="12"/>
                <w:szCs w:val="12"/>
                <w:lang w:val="fr-BE"/>
              </w:rPr>
              <w:t xml:space="preserve"> - </w:t>
            </w:r>
            <w:r w:rsidRPr="00F07BE5">
              <w:rPr>
                <w:noProof/>
                <w:sz w:val="12"/>
                <w:szCs w:val="12"/>
                <w:lang w:val="fr-BE"/>
              </w:rPr>
              <w:t>Flota (zračne, kopenske, morske meje)</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23,00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C2.c</w:t>
            </w:r>
            <w:r w:rsidRPr="00F07BE5">
              <w:rPr>
                <w:sz w:val="12"/>
                <w:szCs w:val="12"/>
                <w:lang w:val="fr-BE"/>
              </w:rPr>
              <w:t xml:space="preserve"> - </w:t>
            </w:r>
            <w:r w:rsidRPr="00F07BE5">
              <w:rPr>
                <w:noProof/>
                <w:sz w:val="12"/>
                <w:szCs w:val="12"/>
                <w:lang w:val="fr-BE"/>
              </w:rPr>
              <w:t>Oprema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158,00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78,00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92,00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930,00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475,00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537,00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2.270,00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C2.d</w:t>
            </w:r>
            <w:r w:rsidRPr="00F07BE5">
              <w:rPr>
                <w:sz w:val="12"/>
                <w:szCs w:val="12"/>
                <w:lang w:val="fr-BE"/>
              </w:rPr>
              <w:t xml:space="preserve"> - </w:t>
            </w:r>
            <w:r w:rsidRPr="00F07BE5">
              <w:rPr>
                <w:noProof/>
                <w:sz w:val="12"/>
                <w:szCs w:val="12"/>
                <w:lang w:val="fr-BE"/>
              </w:rPr>
              <w:t>Drugo</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11,00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11,00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mejnih prehodov na zunanjih mejah prek kontrolnih vrat ABC, za katere je bila uporabljena podpora sklada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100.000,00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Skupno število mejnih prehodov</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371.000.000,00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infrastrukturnih objektov za nacionalni mejni nadzor, odprtih/nadgrajenih v okviru mreže EUROSUR</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Nacionalni koordinacijski centri</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Regionalni koordinacijski centri</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Lokalni koordinacijski centri</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C4.d</w:t>
            </w:r>
            <w:r w:rsidRPr="00F07BE5">
              <w:rPr>
                <w:sz w:val="12"/>
                <w:szCs w:val="12"/>
                <w:lang w:val="fr-BE"/>
              </w:rPr>
              <w:t xml:space="preserve"> - </w:t>
            </w:r>
            <w:r w:rsidRPr="00F07BE5">
              <w:rPr>
                <w:noProof/>
                <w:sz w:val="12"/>
                <w:szCs w:val="12"/>
                <w:lang w:val="fr-BE"/>
              </w:rPr>
              <w:t>Druge vrste koordinacijskih centrov</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incidentov, o katerih države članice poročajo za evropsko sliko o razmerah</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10,00</w:t>
            </w:r>
          </w:p>
        </w:tc>
        <w:tc>
          <w:tcPr/>
          <w:p w:rsidR="004F1EEC" w:rsidRPr="003F352C" w:rsidP="007C7090">
            <w:pPr>
              <w:spacing w:before="0" w:after="0"/>
              <w:rPr>
                <w:sz w:val="10"/>
                <w:szCs w:val="10"/>
                <w:lang w:val="fr-BE"/>
              </w:rPr>
            </w:pPr>
            <w:r>
              <w:rPr>
                <w:noProof/>
                <w:sz w:val="10"/>
                <w:szCs w:val="10"/>
                <w:lang w:val="fr-BE"/>
              </w:rPr>
              <w:t>Annual report from the Uniformed Police Directorate – Border Police Division</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C5.a</w:t>
            </w:r>
            <w:r w:rsidRPr="00F07BE5">
              <w:rPr>
                <w:sz w:val="12"/>
                <w:szCs w:val="12"/>
                <w:lang w:val="fr-BE"/>
              </w:rPr>
              <w:t xml:space="preserve"> - </w:t>
            </w:r>
            <w:r w:rsidRPr="00F07BE5">
              <w:rPr>
                <w:noProof/>
                <w:sz w:val="12"/>
                <w:szCs w:val="12"/>
                <w:lang w:val="fr-BE"/>
              </w:rPr>
              <w:t>Nezakonito priseljevanje, vključno z incidenti, pri katerih je ogroženo življenje migrantov</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C5.b</w:t>
            </w:r>
            <w:r w:rsidRPr="00F07BE5">
              <w:rPr>
                <w:sz w:val="12"/>
                <w:szCs w:val="12"/>
                <w:lang w:val="fr-BE"/>
              </w:rPr>
              <w:t xml:space="preserve"> - </w:t>
            </w:r>
            <w:r w:rsidRPr="00F07BE5">
              <w:rPr>
                <w:noProof/>
                <w:sz w:val="12"/>
                <w:szCs w:val="12"/>
                <w:lang w:val="fr-BE"/>
              </w:rPr>
              <w:t>Čezmejni kriminal</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C5.c</w:t>
            </w:r>
            <w:r w:rsidRPr="00F07BE5">
              <w:rPr>
                <w:sz w:val="12"/>
                <w:szCs w:val="12"/>
                <w:lang w:val="fr-BE"/>
              </w:rPr>
              <w:t xml:space="preserve"> - </w:t>
            </w:r>
            <w:r w:rsidRPr="00F07BE5">
              <w:rPr>
                <w:noProof/>
                <w:sz w:val="12"/>
                <w:szCs w:val="12"/>
                <w:lang w:val="fr-BE"/>
              </w:rPr>
              <w:t>Krizne razmere</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bl>
    <w:p w:rsidR="004F1EEC"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
      <w:tblGrid>
        <w:gridCol w:w="6737"/>
        <w:gridCol w:w="527"/>
        <w:gridCol w:w="687"/>
        <w:gridCol w:w="659"/>
        <w:gridCol w:w="614"/>
        <w:gridCol w:w="374"/>
        <w:gridCol w:w="374"/>
        <w:gridCol w:w="409"/>
        <w:gridCol w:w="484"/>
        <w:gridCol w:w="534"/>
        <w:gridCol w:w="584"/>
        <w:gridCol w:w="584"/>
        <w:gridCol w:w="484"/>
        <w:gridCol w:w="534"/>
        <w:gridCol w:w="374"/>
        <w:gridCol w:w="814"/>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Ex>
        <w:trPr>
          <w:cantSplit/>
          <w:tblHeader/>
        </w:trPr>
        <w:tc>
          <w:tcPr>
            <w:gridSpan w:val="2"/>
            <w:shd w:val="clear" w:color="auto" w:fill="auto"/>
          </w:tcPr>
          <w:p w:rsidR="004F1EEC" w:rsidRPr="00F07BE5" w:rsidP="007C7090">
            <w:pPr>
              <w:spacing w:before="0" w:after="0"/>
              <w:rPr>
                <w:b/>
                <w:sz w:val="12"/>
                <w:szCs w:val="12"/>
                <w:lang w:val="fr-BE"/>
              </w:rPr>
            </w:pPr>
            <w:r w:rsidRPr="00F07BE5">
              <w:rPr>
                <w:b/>
                <w:noProof/>
                <w:sz w:val="12"/>
                <w:szCs w:val="12"/>
                <w:lang w:val="fr-BE"/>
              </w:rPr>
              <w:t>Posebni cilj</w:t>
            </w:r>
          </w:p>
        </w:tc>
        <w:tc>
          <w:tcPr>
            <w:gridSpan w:val="14"/>
            <w:shd w:val="clear" w:color="auto" w:fill="auto"/>
          </w:tcPr>
          <w:p w:rsidR="004F1EEC" w:rsidRPr="00F07BE5" w:rsidP="007C7090">
            <w:pPr>
              <w:spacing w:before="0" w:after="0"/>
              <w:rPr>
                <w:b/>
                <w:sz w:val="12"/>
                <w:szCs w:val="12"/>
                <w:lang w:val="fr-BE"/>
              </w:rPr>
            </w:pPr>
            <w:r w:rsidRPr="00F07BE5">
              <w:rPr>
                <w:b/>
                <w:noProof/>
                <w:sz w:val="12"/>
                <w:szCs w:val="12"/>
              </w:rPr>
              <w:t>5</w:t>
            </w:r>
            <w:r w:rsidRPr="00F07BE5">
              <w:rPr>
                <w:b/>
                <w:sz w:val="12"/>
                <w:szCs w:val="12"/>
              </w:rPr>
              <w:t xml:space="preserve"> - </w:t>
            </w:r>
            <w:r w:rsidRPr="00F07BE5">
              <w:rPr>
                <w:b/>
                <w:noProof/>
                <w:sz w:val="12"/>
                <w:szCs w:val="12"/>
              </w:rPr>
              <w:t>Preprečevanje kriminala in boj proti njemu</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b/>
                <w:sz w:val="12"/>
                <w:szCs w:val="12"/>
                <w:lang w:val="fr-BE"/>
              </w:rPr>
            </w:pPr>
            <w:r w:rsidRPr="00F07BE5">
              <w:rPr>
                <w:b/>
                <w:noProof/>
                <w:sz w:val="12"/>
                <w:szCs w:val="12"/>
                <w:lang w:val="fr-BE"/>
              </w:rPr>
              <w:t>Kazalnik</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Merska enota</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Izhodiščna vrednost</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Ciljna vrednost</w:t>
            </w:r>
          </w:p>
        </w:tc>
        <w:tc>
          <w:tcPr/>
          <w:p w:rsidR="004F1EEC" w:rsidRPr="00F07BE5" w:rsidP="007C7090">
            <w:pPr>
              <w:spacing w:before="0" w:after="0"/>
              <w:rPr>
                <w:b/>
                <w:sz w:val="12"/>
                <w:szCs w:val="12"/>
                <w:lang w:val="fr-BE"/>
              </w:rPr>
            </w:pPr>
            <w:r>
              <w:rPr>
                <w:b/>
                <w:noProof/>
                <w:sz w:val="12"/>
                <w:szCs w:val="12"/>
                <w:lang w:val="fr-BE"/>
              </w:rPr>
              <w:t>Vir podatkov</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2014</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2015</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2016</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2017</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2018</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2019</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2020</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2021</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2022</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2023</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Kumulativna vrednost</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skupnih preiskovalnih ekip in operativnih projektov Evropske multidisciplinarne platforme proti kriminalnim grožnjam (EMPACT), ki jih podpira sklad, vključno s sodelujočimi državami članicami in javnimi organi</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21,00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Nosilec (država članica)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Partnerji (države članice)</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Sodelujoči javni organi</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C1.d</w:t>
            </w:r>
            <w:r w:rsidRPr="00F07BE5">
              <w:rPr>
                <w:sz w:val="12"/>
                <w:szCs w:val="12"/>
                <w:lang w:val="fr-BE"/>
              </w:rPr>
              <w:t xml:space="preserve"> - </w:t>
            </w:r>
            <w:r w:rsidRPr="00F07BE5">
              <w:rPr>
                <w:noProof/>
                <w:sz w:val="12"/>
                <w:szCs w:val="12"/>
                <w:lang w:val="fr-BE"/>
              </w:rPr>
              <w:t>Sodelujoča agencija EU (Eurojust, Europol), če je ustrezno</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organov pregona, usposobljenih na področjih čezmejne narave s pomočjo sklada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1.320,00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39,00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146,00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833,00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36,00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246,00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58,00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63,00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1.421,00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C2.1.a</w:t>
            </w:r>
            <w:r w:rsidRPr="00F07BE5">
              <w:rPr>
                <w:sz w:val="12"/>
                <w:szCs w:val="12"/>
                <w:lang w:val="fr-BE"/>
              </w:rPr>
              <w:t xml:space="preserve"> - </w:t>
            </w:r>
            <w:r w:rsidRPr="00F07BE5">
              <w:rPr>
                <w:noProof/>
                <w:sz w:val="12"/>
                <w:szCs w:val="12"/>
                <w:lang w:val="fr-BE"/>
              </w:rPr>
              <w:t>Terorizem</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72,00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125,00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C2.1.b</w:t>
            </w:r>
            <w:r w:rsidRPr="00F07BE5">
              <w:rPr>
                <w:sz w:val="12"/>
                <w:szCs w:val="12"/>
                <w:lang w:val="fr-BE"/>
              </w:rPr>
              <w:t xml:space="preserve"> - </w:t>
            </w:r>
            <w:r w:rsidRPr="00F07BE5">
              <w:rPr>
                <w:noProof/>
                <w:sz w:val="12"/>
                <w:szCs w:val="12"/>
                <w:lang w:val="fr-BE"/>
              </w:rPr>
              <w:t>Trgovina z ljudmi in spolna zloraba žensk in otrok</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C2.1.c</w:t>
            </w:r>
            <w:r w:rsidRPr="00F07BE5">
              <w:rPr>
                <w:sz w:val="12"/>
                <w:szCs w:val="12"/>
                <w:lang w:val="fr-BE"/>
              </w:rPr>
              <w:t xml:space="preserve"> - </w:t>
            </w:r>
            <w:r w:rsidRPr="00F07BE5">
              <w:rPr>
                <w:noProof/>
                <w:sz w:val="12"/>
                <w:szCs w:val="12"/>
                <w:lang w:val="fr-BE"/>
              </w:rPr>
              <w:t>Nedovoljen promet s prepovedanimi drogami</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C2.1.d</w:t>
            </w:r>
            <w:r w:rsidRPr="00F07BE5">
              <w:rPr>
                <w:sz w:val="12"/>
                <w:szCs w:val="12"/>
                <w:lang w:val="fr-BE"/>
              </w:rPr>
              <w:t xml:space="preserve"> - </w:t>
            </w:r>
            <w:r w:rsidRPr="00F07BE5">
              <w:rPr>
                <w:noProof/>
                <w:sz w:val="12"/>
                <w:szCs w:val="12"/>
                <w:lang w:val="fr-BE"/>
              </w:rPr>
              <w:t>Nedovoljen promet z orožjem</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C2.1.e</w:t>
            </w:r>
            <w:r w:rsidRPr="00F07BE5">
              <w:rPr>
                <w:sz w:val="12"/>
                <w:szCs w:val="12"/>
                <w:lang w:val="fr-BE"/>
              </w:rPr>
              <w:t xml:space="preserve"> - </w:t>
            </w:r>
            <w:r w:rsidRPr="00F07BE5">
              <w:rPr>
                <w:noProof/>
                <w:sz w:val="12"/>
                <w:szCs w:val="12"/>
                <w:lang w:val="fr-BE"/>
              </w:rPr>
              <w:t>Pranje denarja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275,00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45,00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327,00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C2.1.f</w:t>
            </w:r>
            <w:r w:rsidRPr="00F07BE5">
              <w:rPr>
                <w:sz w:val="12"/>
                <w:szCs w:val="12"/>
                <w:lang w:val="fr-BE"/>
              </w:rPr>
              <w:t xml:space="preserve"> - </w:t>
            </w:r>
            <w:r w:rsidRPr="00F07BE5">
              <w:rPr>
                <w:noProof/>
                <w:sz w:val="12"/>
                <w:szCs w:val="12"/>
                <w:lang w:val="fr-BE"/>
              </w:rPr>
              <w:t>Korupcija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225,00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239,00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C2.1.g</w:t>
            </w:r>
            <w:r w:rsidRPr="00F07BE5">
              <w:rPr>
                <w:sz w:val="12"/>
                <w:szCs w:val="12"/>
                <w:lang w:val="fr-BE"/>
              </w:rPr>
              <w:t xml:space="preserve"> - </w:t>
            </w:r>
            <w:r w:rsidRPr="00F07BE5">
              <w:rPr>
                <w:noProof/>
                <w:sz w:val="12"/>
                <w:szCs w:val="12"/>
                <w:lang w:val="fr-BE"/>
              </w:rPr>
              <w:t>Ponarejanje plačilnih sredstev</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C2.1.h</w:t>
            </w:r>
            <w:r w:rsidRPr="00F07BE5">
              <w:rPr>
                <w:sz w:val="12"/>
                <w:szCs w:val="12"/>
                <w:lang w:val="fr-BE"/>
              </w:rPr>
              <w:t xml:space="preserve"> - </w:t>
            </w:r>
            <w:r w:rsidRPr="00F07BE5">
              <w:rPr>
                <w:noProof/>
                <w:sz w:val="12"/>
                <w:szCs w:val="12"/>
                <w:lang w:val="fr-BE"/>
              </w:rPr>
              <w:t>Računalniški kriminal</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83,00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104,00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C2.1.i</w:t>
            </w:r>
            <w:r w:rsidRPr="00F07BE5">
              <w:rPr>
                <w:sz w:val="12"/>
                <w:szCs w:val="12"/>
                <w:lang w:val="fr-BE"/>
              </w:rPr>
              <w:t xml:space="preserve"> - </w:t>
            </w:r>
            <w:r w:rsidRPr="00F07BE5">
              <w:rPr>
                <w:noProof/>
                <w:sz w:val="12"/>
                <w:szCs w:val="12"/>
                <w:lang w:val="fr-BE"/>
              </w:rPr>
              <w:t>Organizirani kriminal</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78,00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C2.1.j</w:t>
            </w:r>
            <w:r w:rsidRPr="00F07BE5">
              <w:rPr>
                <w:sz w:val="12"/>
                <w:szCs w:val="12"/>
                <w:lang w:val="fr-BE"/>
              </w:rPr>
              <w:t xml:space="preserve"> - </w:t>
            </w:r>
            <w:r w:rsidRPr="00F07BE5">
              <w:rPr>
                <w:noProof/>
                <w:sz w:val="12"/>
                <w:szCs w:val="12"/>
                <w:lang w:val="fr-BE"/>
              </w:rPr>
              <w:t>Področje kazenskega pregona: izmenjava informacij</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126,00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45,00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172,00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C2.1.k</w:t>
            </w:r>
            <w:r w:rsidRPr="00F07BE5">
              <w:rPr>
                <w:sz w:val="12"/>
                <w:szCs w:val="12"/>
                <w:lang w:val="fr-BE"/>
              </w:rPr>
              <w:t xml:space="preserve"> - </w:t>
            </w:r>
            <w:r w:rsidRPr="00F07BE5">
              <w:rPr>
                <w:noProof/>
                <w:sz w:val="12"/>
                <w:szCs w:val="12"/>
                <w:lang w:val="fr-BE"/>
              </w:rPr>
              <w:t>Področje kazenskega pregona: operativno sodelovanje</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36,00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65,00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13,00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304,00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Trajanje usposabljanja (izvedenega) o čezmejnih temah, za katero so bila uporabljena sredstva sklada</w:t>
            </w:r>
          </w:p>
        </w:tc>
        <w:tc>
          <w:tcPr>
            <w:shd w:val="clear" w:color="auto" w:fill="auto"/>
          </w:tcPr>
          <w:p w:rsidR="004F1EEC" w:rsidRPr="00F07BE5" w:rsidP="007C7090">
            <w:pPr>
              <w:spacing w:before="0" w:after="0"/>
              <w:rPr>
                <w:sz w:val="12"/>
                <w:szCs w:val="12"/>
                <w:lang w:val="fr-BE"/>
              </w:rPr>
            </w:pPr>
            <w:r w:rsidRPr="00F07BE5">
              <w:rPr>
                <w:noProof/>
                <w:sz w:val="12"/>
                <w:szCs w:val="12"/>
              </w:rPr>
              <w:t>Oseba dnevi</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83.490,00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279,00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9.248,00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6.318,00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571,00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5.168,00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689,00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1.672,00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23.945,00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C2.2.a</w:t>
            </w:r>
            <w:r w:rsidRPr="00F07BE5">
              <w:rPr>
                <w:sz w:val="12"/>
                <w:szCs w:val="12"/>
                <w:lang w:val="fr-BE"/>
              </w:rPr>
              <w:t xml:space="preserve"> - </w:t>
            </w:r>
            <w:r w:rsidRPr="00F07BE5">
              <w:rPr>
                <w:noProof/>
                <w:sz w:val="12"/>
                <w:szCs w:val="12"/>
                <w:lang w:val="fr-BE"/>
              </w:rPr>
              <w:t>Terorizem</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302,00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696,00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670,00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1.668,00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C2.2.b</w:t>
            </w:r>
            <w:r w:rsidRPr="00F07BE5">
              <w:rPr>
                <w:sz w:val="12"/>
                <w:szCs w:val="12"/>
                <w:lang w:val="fr-BE"/>
              </w:rPr>
              <w:t xml:space="preserve"> - </w:t>
            </w:r>
            <w:r w:rsidRPr="00F07BE5">
              <w:rPr>
                <w:noProof/>
                <w:sz w:val="12"/>
                <w:szCs w:val="12"/>
                <w:lang w:val="fr-BE"/>
              </w:rPr>
              <w:t>Trgovina z ljudmi in spolna zloraba žensk in otrok</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C2.2.c</w:t>
            </w:r>
            <w:r w:rsidRPr="00F07BE5">
              <w:rPr>
                <w:sz w:val="12"/>
                <w:szCs w:val="12"/>
                <w:lang w:val="fr-BE"/>
              </w:rPr>
              <w:t xml:space="preserve"> - </w:t>
            </w:r>
            <w:r w:rsidRPr="00F07BE5">
              <w:rPr>
                <w:noProof/>
                <w:sz w:val="12"/>
                <w:szCs w:val="12"/>
                <w:lang w:val="fr-BE"/>
              </w:rPr>
              <w:t>Nedovoljen promet s prepovedanimi drogami</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C2.2.d</w:t>
            </w:r>
            <w:r w:rsidRPr="00F07BE5">
              <w:rPr>
                <w:sz w:val="12"/>
                <w:szCs w:val="12"/>
                <w:lang w:val="fr-BE"/>
              </w:rPr>
              <w:t xml:space="preserve"> - </w:t>
            </w:r>
            <w:r w:rsidRPr="00F07BE5">
              <w:rPr>
                <w:noProof/>
                <w:sz w:val="12"/>
                <w:szCs w:val="12"/>
                <w:lang w:val="fr-BE"/>
              </w:rPr>
              <w:t>Nedovoljen promet z orožjem</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C2.2.e</w:t>
            </w:r>
            <w:r w:rsidRPr="00F07BE5">
              <w:rPr>
                <w:sz w:val="12"/>
                <w:szCs w:val="12"/>
                <w:lang w:val="fr-BE"/>
              </w:rPr>
              <w:t xml:space="preserve"> - </w:t>
            </w:r>
            <w:r w:rsidRPr="00F07BE5">
              <w:rPr>
                <w:noProof/>
                <w:sz w:val="12"/>
                <w:szCs w:val="12"/>
                <w:lang w:val="fr-BE"/>
              </w:rPr>
              <w:t>Pranje denarja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882,00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145,00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267,00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1.304,00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C2.2.f</w:t>
            </w:r>
            <w:r w:rsidRPr="00F07BE5">
              <w:rPr>
                <w:sz w:val="12"/>
                <w:szCs w:val="12"/>
                <w:lang w:val="fr-BE"/>
              </w:rPr>
              <w:t xml:space="preserve"> - </w:t>
            </w:r>
            <w:r w:rsidRPr="00F07BE5">
              <w:rPr>
                <w:noProof/>
                <w:sz w:val="12"/>
                <w:szCs w:val="12"/>
                <w:lang w:val="fr-BE"/>
              </w:rPr>
              <w:t>Korupcija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1.514,00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82,00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418,00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266,00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2.280,00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C2.2.g</w:t>
            </w:r>
            <w:r w:rsidRPr="00F07BE5">
              <w:rPr>
                <w:sz w:val="12"/>
                <w:szCs w:val="12"/>
                <w:lang w:val="fr-BE"/>
              </w:rPr>
              <w:t xml:space="preserve"> - </w:t>
            </w:r>
            <w:r w:rsidRPr="00F07BE5">
              <w:rPr>
                <w:noProof/>
                <w:sz w:val="12"/>
                <w:szCs w:val="12"/>
                <w:lang w:val="fr-BE"/>
              </w:rPr>
              <w:t>Ponarejanje plačilnih sredstev</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59,00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59,00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C2.2.h</w:t>
            </w:r>
            <w:r w:rsidRPr="00F07BE5">
              <w:rPr>
                <w:sz w:val="12"/>
                <w:szCs w:val="12"/>
                <w:lang w:val="fr-BE"/>
              </w:rPr>
              <w:t xml:space="preserve"> - </w:t>
            </w:r>
            <w:r w:rsidRPr="00F07BE5">
              <w:rPr>
                <w:noProof/>
                <w:sz w:val="12"/>
                <w:szCs w:val="12"/>
                <w:lang w:val="fr-BE"/>
              </w:rPr>
              <w:t>Računalniški kriminal</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2.340,00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381,00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104,00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2.849,00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C2.2.i</w:t>
            </w:r>
            <w:r w:rsidRPr="00F07BE5">
              <w:rPr>
                <w:sz w:val="12"/>
                <w:szCs w:val="12"/>
                <w:lang w:val="fr-BE"/>
              </w:rPr>
              <w:t xml:space="preserve"> - </w:t>
            </w:r>
            <w:r w:rsidRPr="00F07BE5">
              <w:rPr>
                <w:noProof/>
                <w:sz w:val="12"/>
                <w:szCs w:val="12"/>
                <w:lang w:val="fr-BE"/>
              </w:rPr>
              <w:t>Organizirani kriminal</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1.117,00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1.584,00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2.701,00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C2.2.j</w:t>
            </w:r>
            <w:r w:rsidRPr="00F07BE5">
              <w:rPr>
                <w:sz w:val="12"/>
                <w:szCs w:val="12"/>
                <w:lang w:val="fr-BE"/>
              </w:rPr>
              <w:t xml:space="preserve"> - </w:t>
            </w:r>
            <w:r w:rsidRPr="00F07BE5">
              <w:rPr>
                <w:noProof/>
                <w:sz w:val="12"/>
                <w:szCs w:val="12"/>
                <w:lang w:val="fr-BE"/>
              </w:rPr>
              <w:t>Področje kazenskega pregona: izmenjava informacij</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484,00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206,00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714,00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C2.2.k</w:t>
            </w:r>
            <w:r w:rsidRPr="00F07BE5">
              <w:rPr>
                <w:sz w:val="12"/>
                <w:szCs w:val="12"/>
                <w:lang w:val="fr-BE"/>
              </w:rPr>
              <w:t xml:space="preserve"> - </w:t>
            </w:r>
            <w:r w:rsidRPr="00F07BE5">
              <w:rPr>
                <w:noProof/>
                <w:sz w:val="12"/>
                <w:szCs w:val="12"/>
                <w:lang w:val="fr-BE"/>
              </w:rPr>
              <w:t>Področje kazenskega pregona: operativno sodelovanje</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261,00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6.908,00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1.644,00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571,00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2.655,00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357,00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12.400,00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projektov na področju preprečevanja kriminala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C3.1.a</w:t>
            </w:r>
            <w:r w:rsidRPr="00F07BE5">
              <w:rPr>
                <w:sz w:val="12"/>
                <w:szCs w:val="12"/>
                <w:lang w:val="fr-BE"/>
              </w:rPr>
              <w:t xml:space="preserve"> - </w:t>
            </w:r>
            <w:r w:rsidRPr="00F07BE5">
              <w:rPr>
                <w:noProof/>
                <w:sz w:val="12"/>
                <w:szCs w:val="12"/>
                <w:lang w:val="fr-BE"/>
              </w:rPr>
              <w:t>Terorizem</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C3.1.b</w:t>
            </w:r>
            <w:r w:rsidRPr="00F07BE5">
              <w:rPr>
                <w:sz w:val="12"/>
                <w:szCs w:val="12"/>
                <w:lang w:val="fr-BE"/>
              </w:rPr>
              <w:t xml:space="preserve"> - </w:t>
            </w:r>
            <w:r w:rsidRPr="00F07BE5">
              <w:rPr>
                <w:noProof/>
                <w:sz w:val="12"/>
                <w:szCs w:val="12"/>
                <w:lang w:val="fr-BE"/>
              </w:rPr>
              <w:t>Trgovina z ljudmi in spolna zloraba žensk in otrok</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C3.1.c</w:t>
            </w:r>
            <w:r w:rsidRPr="00F07BE5">
              <w:rPr>
                <w:sz w:val="12"/>
                <w:szCs w:val="12"/>
                <w:lang w:val="fr-BE"/>
              </w:rPr>
              <w:t xml:space="preserve"> - </w:t>
            </w:r>
            <w:r w:rsidRPr="00F07BE5">
              <w:rPr>
                <w:noProof/>
                <w:sz w:val="12"/>
                <w:szCs w:val="12"/>
                <w:lang w:val="fr-BE"/>
              </w:rPr>
              <w:t>Nedovoljen promet s prepovedanimi drogami</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C3.1.d</w:t>
            </w:r>
            <w:r w:rsidRPr="00F07BE5">
              <w:rPr>
                <w:sz w:val="12"/>
                <w:szCs w:val="12"/>
                <w:lang w:val="fr-BE"/>
              </w:rPr>
              <w:t xml:space="preserve"> - </w:t>
            </w:r>
            <w:r w:rsidRPr="00F07BE5">
              <w:rPr>
                <w:noProof/>
                <w:sz w:val="12"/>
                <w:szCs w:val="12"/>
                <w:lang w:val="fr-BE"/>
              </w:rPr>
              <w:t>Nedovoljen promet z orožjem</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C3.1.e</w:t>
            </w:r>
            <w:r w:rsidRPr="00F07BE5">
              <w:rPr>
                <w:sz w:val="12"/>
                <w:szCs w:val="12"/>
                <w:lang w:val="fr-BE"/>
              </w:rPr>
              <w:t xml:space="preserve"> - </w:t>
            </w:r>
            <w:r w:rsidRPr="00F07BE5">
              <w:rPr>
                <w:noProof/>
                <w:sz w:val="12"/>
                <w:szCs w:val="12"/>
                <w:lang w:val="fr-BE"/>
              </w:rPr>
              <w:t>Pranje denarja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C3.1.f</w:t>
            </w:r>
            <w:r w:rsidRPr="00F07BE5">
              <w:rPr>
                <w:sz w:val="12"/>
                <w:szCs w:val="12"/>
                <w:lang w:val="fr-BE"/>
              </w:rPr>
              <w:t xml:space="preserve"> - </w:t>
            </w:r>
            <w:r w:rsidRPr="00F07BE5">
              <w:rPr>
                <w:noProof/>
                <w:sz w:val="12"/>
                <w:szCs w:val="12"/>
                <w:lang w:val="fr-BE"/>
              </w:rPr>
              <w:t>Korupcija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C3.1.g</w:t>
            </w:r>
            <w:r w:rsidRPr="00F07BE5">
              <w:rPr>
                <w:sz w:val="12"/>
                <w:szCs w:val="12"/>
                <w:lang w:val="fr-BE"/>
              </w:rPr>
              <w:t xml:space="preserve"> - </w:t>
            </w:r>
            <w:r w:rsidRPr="00F07BE5">
              <w:rPr>
                <w:noProof/>
                <w:sz w:val="12"/>
                <w:szCs w:val="12"/>
                <w:lang w:val="fr-BE"/>
              </w:rPr>
              <w:t>Ponarejanje plačilnih sredstev</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C3.1.h</w:t>
            </w:r>
            <w:r w:rsidRPr="00F07BE5">
              <w:rPr>
                <w:sz w:val="12"/>
                <w:szCs w:val="12"/>
                <w:lang w:val="fr-BE"/>
              </w:rPr>
              <w:t xml:space="preserve"> - </w:t>
            </w:r>
            <w:r w:rsidRPr="00F07BE5">
              <w:rPr>
                <w:noProof/>
                <w:sz w:val="12"/>
                <w:szCs w:val="12"/>
                <w:lang w:val="fr-BE"/>
              </w:rPr>
              <w:t>Računalniški kriminal</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C3.1.i</w:t>
            </w:r>
            <w:r w:rsidRPr="00F07BE5">
              <w:rPr>
                <w:sz w:val="12"/>
                <w:szCs w:val="12"/>
                <w:lang w:val="fr-BE"/>
              </w:rPr>
              <w:t xml:space="preserve"> - </w:t>
            </w:r>
            <w:r w:rsidRPr="00F07BE5">
              <w:rPr>
                <w:noProof/>
                <w:sz w:val="12"/>
                <w:szCs w:val="12"/>
                <w:lang w:val="fr-BE"/>
              </w:rPr>
              <w:t>Organizirani kriminal</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Finančna vrednost projektov na področju preprečevanja kriminala</w:t>
            </w:r>
          </w:p>
        </w:tc>
        <w:tc>
          <w:tcPr>
            <w:shd w:val="clear" w:color="auto" w:fill="auto"/>
          </w:tcPr>
          <w:p w:rsidR="004F1EEC" w:rsidRPr="00F07BE5" w:rsidP="007C7090">
            <w:pPr>
              <w:spacing w:before="0" w:after="0"/>
              <w:rPr>
                <w:sz w:val="12"/>
                <w:szCs w:val="12"/>
                <w:lang w:val="fr-BE"/>
              </w:rPr>
            </w:pPr>
            <w:r w:rsidRPr="00F07BE5">
              <w:rPr>
                <w:noProof/>
                <w:sz w:val="12"/>
                <w:szCs w:val="12"/>
              </w:rPr>
              <w:t>EUR</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1.447.000,00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53.505,97</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224.102,69</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233.407,60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2.988,28</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95.801,07</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609.805,61</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C3.2.a</w:t>
            </w:r>
            <w:r w:rsidRPr="00F07BE5">
              <w:rPr>
                <w:sz w:val="12"/>
                <w:szCs w:val="12"/>
                <w:lang w:val="fr-BE"/>
              </w:rPr>
              <w:t xml:space="preserve"> - </w:t>
            </w:r>
            <w:r w:rsidRPr="00F07BE5">
              <w:rPr>
                <w:noProof/>
                <w:sz w:val="12"/>
                <w:szCs w:val="12"/>
                <w:lang w:val="fr-BE"/>
              </w:rPr>
              <w:t>Terorizem</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10.124,87</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1.208,90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2.988,28</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14.322,05</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C3.2.b</w:t>
            </w:r>
            <w:r w:rsidRPr="00F07BE5">
              <w:rPr>
                <w:sz w:val="12"/>
                <w:szCs w:val="12"/>
                <w:lang w:val="fr-BE"/>
              </w:rPr>
              <w:t xml:space="preserve"> - </w:t>
            </w:r>
            <w:r w:rsidRPr="00F07BE5">
              <w:rPr>
                <w:noProof/>
                <w:sz w:val="12"/>
                <w:szCs w:val="12"/>
                <w:lang w:val="fr-BE"/>
              </w:rPr>
              <w:t>Trgovina z ljudmi in spolna zloraba žensk in otrok</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C3.2.c</w:t>
            </w:r>
            <w:r w:rsidRPr="00F07BE5">
              <w:rPr>
                <w:sz w:val="12"/>
                <w:szCs w:val="12"/>
                <w:lang w:val="fr-BE"/>
              </w:rPr>
              <w:t xml:space="preserve"> - </w:t>
            </w:r>
            <w:r w:rsidRPr="00F07BE5">
              <w:rPr>
                <w:noProof/>
                <w:sz w:val="12"/>
                <w:szCs w:val="12"/>
                <w:lang w:val="fr-BE"/>
              </w:rPr>
              <w:t>Nedovoljen promet s prepovedanimi drogami</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C3.2.d</w:t>
            </w:r>
            <w:r w:rsidRPr="00F07BE5">
              <w:rPr>
                <w:sz w:val="12"/>
                <w:szCs w:val="12"/>
                <w:lang w:val="fr-BE"/>
              </w:rPr>
              <w:t xml:space="preserve"> - </w:t>
            </w:r>
            <w:r w:rsidRPr="00F07BE5">
              <w:rPr>
                <w:noProof/>
                <w:sz w:val="12"/>
                <w:szCs w:val="12"/>
                <w:lang w:val="fr-BE"/>
              </w:rPr>
              <w:t>Nedovoljen promet z orožjem</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C3.2.e</w:t>
            </w:r>
            <w:r w:rsidRPr="00F07BE5">
              <w:rPr>
                <w:sz w:val="12"/>
                <w:szCs w:val="12"/>
                <w:lang w:val="fr-BE"/>
              </w:rPr>
              <w:t xml:space="preserve"> - </w:t>
            </w:r>
            <w:r w:rsidRPr="00F07BE5">
              <w:rPr>
                <w:noProof/>
                <w:sz w:val="12"/>
                <w:szCs w:val="12"/>
                <w:lang w:val="fr-BE"/>
              </w:rPr>
              <w:t>Pranje denarja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C3.2.f</w:t>
            </w:r>
            <w:r w:rsidRPr="00F07BE5">
              <w:rPr>
                <w:sz w:val="12"/>
                <w:szCs w:val="12"/>
                <w:lang w:val="fr-BE"/>
              </w:rPr>
              <w:t xml:space="preserve"> - </w:t>
            </w:r>
            <w:r w:rsidRPr="00F07BE5">
              <w:rPr>
                <w:noProof/>
                <w:sz w:val="12"/>
                <w:szCs w:val="12"/>
                <w:lang w:val="fr-BE"/>
              </w:rPr>
              <w:t>Korupcija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C3.2.g</w:t>
            </w:r>
            <w:r w:rsidRPr="00F07BE5">
              <w:rPr>
                <w:sz w:val="12"/>
                <w:szCs w:val="12"/>
                <w:lang w:val="fr-BE"/>
              </w:rPr>
              <w:t xml:space="preserve"> - </w:t>
            </w:r>
            <w:r w:rsidRPr="00F07BE5">
              <w:rPr>
                <w:noProof/>
                <w:sz w:val="12"/>
                <w:szCs w:val="12"/>
                <w:lang w:val="fr-BE"/>
              </w:rPr>
              <w:t>Ponarejanje plačilnih sredstev</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C3.2.h</w:t>
            </w:r>
            <w:r w:rsidRPr="00F07BE5">
              <w:rPr>
                <w:sz w:val="12"/>
                <w:szCs w:val="12"/>
                <w:lang w:val="fr-BE"/>
              </w:rPr>
              <w:t xml:space="preserve"> - </w:t>
            </w:r>
            <w:r w:rsidRPr="00F07BE5">
              <w:rPr>
                <w:noProof/>
                <w:sz w:val="12"/>
                <w:szCs w:val="12"/>
                <w:lang w:val="fr-BE"/>
              </w:rPr>
              <w:t>Računalniški kriminal</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C3.2.i</w:t>
            </w:r>
            <w:r w:rsidRPr="00F07BE5">
              <w:rPr>
                <w:sz w:val="12"/>
                <w:szCs w:val="12"/>
                <w:lang w:val="fr-BE"/>
              </w:rPr>
              <w:t xml:space="preserve"> - </w:t>
            </w:r>
            <w:r w:rsidRPr="00F07BE5">
              <w:rPr>
                <w:noProof/>
                <w:sz w:val="12"/>
                <w:szCs w:val="12"/>
                <w:lang w:val="fr-BE"/>
              </w:rPr>
              <w:t>Organizirani kriminal</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43.381,10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224.102,69</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232.198,72</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95.801,07</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595.483,58</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podprtih iz Sklada, za izboljšanje izmenjave informacij na področju kazenskega pregona, ki so povezani s podatkovnimi sistemi, zbirkami ali komunikacijskimi orodji Europola (npr. orodja za nalaganje podatkov, razširitev dostopa do orodja SIENA, projekti za izboljšanje priprave analitičnih delovnih datotek itd.)</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Orodja za nalaganje podatkov</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Razširitev dostopa do orodja SIENA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Projekti za izboljšanje priprave analitičnih delovnih datotek itd.</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r>
    </w:tbl>
    <w:p w:rsidR="004F1EEC" w:rsidP="007C709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
      <w:tblGrid>
        <w:gridCol w:w="6952"/>
        <w:gridCol w:w="729"/>
        <w:gridCol w:w="1013"/>
        <w:gridCol w:w="811"/>
        <w:gridCol w:w="714"/>
        <w:gridCol w:w="374"/>
        <w:gridCol w:w="374"/>
        <w:gridCol w:w="374"/>
        <w:gridCol w:w="374"/>
        <w:gridCol w:w="374"/>
        <w:gridCol w:w="374"/>
        <w:gridCol w:w="374"/>
        <w:gridCol w:w="374"/>
        <w:gridCol w:w="374"/>
        <w:gridCol w:w="374"/>
        <w:gridCol w:w="814"/>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Ex>
        <w:trPr>
          <w:cantSplit/>
          <w:tblHeader/>
        </w:trPr>
        <w:tc>
          <w:tcPr>
            <w:gridSpan w:val="2"/>
            <w:shd w:val="clear" w:color="auto" w:fill="auto"/>
          </w:tcPr>
          <w:p w:rsidR="004F1EEC" w:rsidRPr="00F07BE5" w:rsidP="007C7090">
            <w:pPr>
              <w:spacing w:before="0" w:after="0"/>
              <w:rPr>
                <w:b/>
                <w:sz w:val="12"/>
                <w:szCs w:val="12"/>
                <w:lang w:val="fr-BE"/>
              </w:rPr>
            </w:pPr>
            <w:r w:rsidRPr="00F07BE5">
              <w:rPr>
                <w:b/>
                <w:noProof/>
                <w:sz w:val="12"/>
                <w:szCs w:val="12"/>
                <w:lang w:val="fr-BE"/>
              </w:rPr>
              <w:t>Posebni cilj</w:t>
            </w:r>
          </w:p>
        </w:tc>
        <w:tc>
          <w:tcPr>
            <w:gridSpan w:val="14"/>
            <w:shd w:val="clear" w:color="auto" w:fill="auto"/>
          </w:tcPr>
          <w:p w:rsidR="004F1EEC" w:rsidRPr="00F07BE5" w:rsidP="007C7090">
            <w:pPr>
              <w:spacing w:before="0" w:after="0"/>
              <w:rPr>
                <w:b/>
                <w:sz w:val="12"/>
                <w:szCs w:val="12"/>
                <w:lang w:val="fr-BE"/>
              </w:rPr>
            </w:pPr>
            <w:r w:rsidRPr="00F07BE5">
              <w:rPr>
                <w:b/>
                <w:noProof/>
                <w:sz w:val="12"/>
                <w:szCs w:val="12"/>
              </w:rPr>
              <w:t>6</w:t>
            </w:r>
            <w:r w:rsidRPr="00F07BE5">
              <w:rPr>
                <w:b/>
                <w:sz w:val="12"/>
                <w:szCs w:val="12"/>
              </w:rPr>
              <w:t xml:space="preserve"> - </w:t>
            </w:r>
            <w:r w:rsidRPr="00F07BE5">
              <w:rPr>
                <w:b/>
                <w:noProof/>
                <w:sz w:val="12"/>
                <w:szCs w:val="12"/>
              </w:rPr>
              <w:t>Tveganja in krize</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b/>
                <w:sz w:val="12"/>
                <w:szCs w:val="12"/>
                <w:lang w:val="fr-BE"/>
              </w:rPr>
            </w:pPr>
            <w:r w:rsidRPr="00F07BE5">
              <w:rPr>
                <w:b/>
                <w:noProof/>
                <w:sz w:val="12"/>
                <w:szCs w:val="12"/>
                <w:lang w:val="fr-BE"/>
              </w:rPr>
              <w:t>Kazalnik</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Merska enota</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Izhodiščna vrednost</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Ciljna vrednost</w:t>
            </w:r>
          </w:p>
        </w:tc>
        <w:tc>
          <w:tcPr/>
          <w:p w:rsidR="004F1EEC" w:rsidRPr="00F07BE5" w:rsidP="007C7090">
            <w:pPr>
              <w:spacing w:before="0" w:after="0"/>
              <w:rPr>
                <w:b/>
                <w:sz w:val="12"/>
                <w:szCs w:val="12"/>
                <w:lang w:val="fr-BE"/>
              </w:rPr>
            </w:pPr>
            <w:r>
              <w:rPr>
                <w:b/>
                <w:noProof/>
                <w:sz w:val="12"/>
                <w:szCs w:val="12"/>
                <w:lang w:val="fr-BE"/>
              </w:rPr>
              <w:t>Vir podatkov</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2014</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2015</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2016</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2017</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2018</w:t>
            </w:r>
          </w:p>
        </w:tc>
        <w:tc>
          <w:tcPr>
            <w:shd w:val="clear" w:color="auto" w:fill="auto"/>
          </w:tcPr>
          <w:p w:rsidR="004F1EEC" w:rsidRPr="00F07BE5" w:rsidP="007C7090">
            <w:pPr>
              <w:spacing w:before="0" w:after="0"/>
              <w:rPr>
                <w:b/>
                <w:sz w:val="12"/>
                <w:szCs w:val="12"/>
                <w:lang w:val="fr-BE"/>
              </w:rPr>
            </w:pPr>
            <w:r w:rsidRPr="00F07BE5">
              <w:rPr>
                <w:b/>
                <w:sz w:val="12"/>
                <w:szCs w:val="12"/>
                <w:lang w:val="fr-BE"/>
              </w:rPr>
              <w:t>2019</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2020</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2021</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2022</w:t>
            </w:r>
          </w:p>
        </w:tc>
        <w:tc>
          <w:tcPr>
            <w:shd w:val="clear" w:color="auto" w:fill="auto"/>
          </w:tcPr>
          <w:p w:rsidR="004F1EEC" w:rsidRPr="00F07BE5" w:rsidP="007C7090">
            <w:pPr>
              <w:spacing w:before="0" w:after="0"/>
              <w:rPr>
                <w:b/>
                <w:sz w:val="12"/>
                <w:szCs w:val="12"/>
                <w:lang w:val="fr-BE"/>
              </w:rPr>
            </w:pPr>
            <w:r w:rsidRPr="00F07BE5">
              <w:rPr>
                <w:b/>
                <w:sz w:val="12"/>
                <w:szCs w:val="12"/>
                <w:lang w:val="fr-BE"/>
              </w:rPr>
              <w:t>2023</w:t>
            </w:r>
          </w:p>
        </w:tc>
        <w:tc>
          <w:tcPr>
            <w:shd w:val="clear" w:color="auto" w:fill="auto"/>
          </w:tcPr>
          <w:p w:rsidR="004F1EEC" w:rsidRPr="00F07BE5" w:rsidP="007C7090">
            <w:pPr>
              <w:spacing w:before="0" w:after="0"/>
              <w:rPr>
                <w:b/>
                <w:sz w:val="12"/>
                <w:szCs w:val="12"/>
                <w:lang w:val="fr-BE"/>
              </w:rPr>
            </w:pPr>
            <w:r w:rsidRPr="00F07BE5">
              <w:rPr>
                <w:b/>
                <w:noProof/>
                <w:sz w:val="12"/>
                <w:szCs w:val="12"/>
                <w:lang w:val="fr-BE"/>
              </w:rPr>
              <w:t>Kumulativna vrednost</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orodij, ki so jih države članice s pomočjo sklada vzpostavile in/ali izpopolnile za olajšanje varstva kritične infrastrukture na vseh področjih gospodarstva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7,00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7,00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podprtih iz sklada, ki so povezani z oceno in upravljanjem tveganj na področju notranje varnosti</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7,00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8,00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strokovnih srečanj, delavnic, seminarjev, konferenc, objav, spletnih mest in (spletnih) posvetov, organiziranih s pomočjo sklada</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16,00</w:t>
            </w:r>
          </w:p>
        </w:tc>
        <w:tc>
          <w:tcPr/>
          <w:p w:rsidR="004F1EEC" w:rsidRPr="003F352C" w:rsidP="007C7090">
            <w:pPr>
              <w:spacing w:before="0" w:after="0"/>
              <w:rPr>
                <w:sz w:val="10"/>
                <w:szCs w:val="10"/>
                <w:lang w:val="fr-BE"/>
              </w:rPr>
            </w:pPr>
            <w:r>
              <w:rPr>
                <w:noProof/>
                <w:sz w:val="10"/>
                <w:szCs w:val="10"/>
                <w:lang w:val="fr-BE"/>
              </w:rPr>
              <w:t>Projekti</w:t>
            </w: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29,00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38,00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Povezava z zaščito kritične infrastrukture</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7,00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12,00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Povezava z obvladovanjem kriznih razmer in tveganjem</w:t>
            </w:r>
          </w:p>
        </w:tc>
        <w:tc>
          <w:tcPr>
            <w:shd w:val="clear" w:color="auto" w:fill="auto"/>
          </w:tcPr>
          <w:p w:rsidR="004F1EEC" w:rsidRPr="00F07BE5" w:rsidP="007C7090">
            <w:pPr>
              <w:spacing w:before="0" w:after="0"/>
              <w:rPr>
                <w:sz w:val="12"/>
                <w:szCs w:val="12"/>
                <w:lang w:val="fr-BE"/>
              </w:rPr>
            </w:pPr>
            <w:r w:rsidRPr="00F07BE5">
              <w:rPr>
                <w:noProof/>
                <w:sz w:val="12"/>
                <w:szCs w:val="12"/>
              </w:rPr>
              <w:t>Število</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p>
        </w:tc>
        <w:tc>
          <w:tcPr/>
          <w:p w:rsidR="004F1EEC" w:rsidRPr="003F352C" w:rsidP="007C7090">
            <w:pPr>
              <w:spacing w:before="0" w:after="0"/>
              <w:rPr>
                <w:sz w:val="10"/>
                <w:szCs w:val="10"/>
                <w:lang w:val="fr-BE"/>
              </w:rPr>
            </w:pPr>
            <w:r>
              <w:rPr>
                <w:noProof/>
                <w:sz w:val="10"/>
                <w:szCs w:val="10"/>
                <w:lang w:val="fr-BE"/>
              </w:rPr>
              <w:t>Projekti</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22,00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4,00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26,00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Pr>
                <w:noProof/>
                <w:sz w:val="12"/>
                <w:szCs w:val="12"/>
                <w:lang w:val="fr-BE"/>
              </w:rPr>
              <w:t>C3.1</w:t>
            </w:r>
            <w:r w:rsidRPr="00F07BE5">
              <w:rPr>
                <w:sz w:val="12"/>
                <w:szCs w:val="12"/>
                <w:lang w:val="fr-BE"/>
              </w:rPr>
              <w:t xml:space="preserve"> - </w:t>
            </w:r>
            <w:r>
              <w:rPr>
                <w:noProof/>
                <w:sz w:val="12"/>
                <w:szCs w:val="12"/>
                <w:lang w:val="fr-BE"/>
              </w:rPr>
              <w:t>Number of them related to protection of critical infrastructure</w:t>
            </w:r>
          </w:p>
        </w:tc>
        <w:tc>
          <w:tcPr>
            <w:shd w:val="clear" w:color="auto" w:fill="auto"/>
          </w:tcPr>
          <w:p w:rsidR="004F1EEC" w:rsidRPr="00F07BE5" w:rsidP="007C7090">
            <w:pPr>
              <w:spacing w:before="0" w:after="0"/>
              <w:rPr>
                <w:sz w:val="12"/>
                <w:szCs w:val="12"/>
                <w:lang w:val="fr-BE"/>
              </w:rPr>
            </w:pPr>
            <w:r w:rsidRPr="00F07BE5">
              <w:rPr>
                <w:noProof/>
                <w:sz w:val="12"/>
                <w:szCs w:val="12"/>
                <w:lang w:val="fr-BE"/>
              </w:rPr>
              <w:t>Number</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3,00</w:t>
            </w:r>
          </w:p>
        </w:tc>
        <w:tc>
          <w:tcPr/>
          <w:p w:rsidR="004F1EEC" w:rsidRPr="003F352C" w:rsidP="007C7090">
            <w:pPr>
              <w:spacing w:before="0" w:after="0"/>
              <w:rPr>
                <w:sz w:val="10"/>
                <w:szCs w:val="10"/>
                <w:lang w:val="fr-BE"/>
              </w:rPr>
            </w:pP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r w:rsidTr="008E16E1">
        <w:tblPrEx>
          <w:tblW w:w="5000" w:type="pct"/>
          <w:tblCellMar>
            <w:left w:w="57" w:type="dxa"/>
            <w:right w:w="57" w:type="dxa"/>
          </w:tblCellMar>
          <w:tblLook w:val="0420"/>
        </w:tblPrEx>
        <w:trPr>
          <w:cantSplit/>
          <w:tblHeader/>
        </w:trPr>
        <w:tc>
          <w:tcPr>
            <w:shd w:val="clear" w:color="auto" w:fill="auto"/>
          </w:tcPr>
          <w:p w:rsidR="004F1EEC" w:rsidRPr="00F07BE5" w:rsidP="007C7090">
            <w:pPr>
              <w:spacing w:before="0" w:after="0"/>
              <w:rPr>
                <w:sz w:val="12"/>
                <w:szCs w:val="12"/>
                <w:lang w:val="fr-BE"/>
              </w:rPr>
            </w:pPr>
            <w:r>
              <w:rPr>
                <w:noProof/>
                <w:sz w:val="12"/>
                <w:szCs w:val="12"/>
                <w:lang w:val="fr-BE"/>
              </w:rPr>
              <w:t>C3.2</w:t>
            </w:r>
            <w:r w:rsidRPr="00F07BE5">
              <w:rPr>
                <w:sz w:val="12"/>
                <w:szCs w:val="12"/>
                <w:lang w:val="fr-BE"/>
              </w:rPr>
              <w:t xml:space="preserve"> - </w:t>
            </w:r>
            <w:r>
              <w:rPr>
                <w:noProof/>
                <w:sz w:val="12"/>
                <w:szCs w:val="12"/>
                <w:lang w:val="fr-BE"/>
              </w:rPr>
              <w:t>Number of them related to risk and crisis management</w:t>
            </w:r>
          </w:p>
        </w:tc>
        <w:tc>
          <w:tcPr>
            <w:shd w:val="clear" w:color="auto" w:fill="auto"/>
          </w:tcPr>
          <w:p w:rsidR="004F1EEC" w:rsidRPr="00F07BE5" w:rsidP="007C7090">
            <w:pPr>
              <w:spacing w:before="0" w:after="0"/>
              <w:rPr>
                <w:sz w:val="12"/>
                <w:szCs w:val="12"/>
                <w:lang w:val="fr-BE"/>
              </w:rPr>
            </w:pPr>
            <w:r w:rsidRPr="00F07BE5">
              <w:rPr>
                <w:noProof/>
                <w:sz w:val="12"/>
                <w:szCs w:val="12"/>
                <w:lang w:val="fr-BE"/>
              </w:rPr>
              <w:t>Number</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13,00</w:t>
            </w:r>
          </w:p>
        </w:tc>
        <w:tc>
          <w:tcPr/>
          <w:p w:rsidR="004F1EEC" w:rsidRPr="003F352C" w:rsidP="007C7090">
            <w:pPr>
              <w:spacing w:before="0" w:after="0"/>
              <w:rPr>
                <w:sz w:val="10"/>
                <w:szCs w:val="10"/>
                <w:lang w:val="fr-BE"/>
              </w:rPr>
            </w:pPr>
            <w:r>
              <w:rPr>
                <w:noProof/>
                <w:sz w:val="10"/>
                <w:szCs w:val="10"/>
                <w:lang w:val="fr-BE"/>
              </w:rPr>
              <w:t>Projects</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c>
          <w:tcPr>
            <w:shd w:val="clear" w:color="auto" w:fill="auto"/>
          </w:tcPr>
          <w:p w:rsidR="004F1EEC" w:rsidRPr="003F352C" w:rsidP="007C7090">
            <w:pPr>
              <w:spacing w:before="0" w:after="0"/>
              <w:jc w:val="right"/>
              <w:rPr>
                <w:sz w:val="10"/>
                <w:szCs w:val="10"/>
                <w:lang w:val="fr-BE"/>
              </w:rPr>
            </w:pPr>
          </w:p>
        </w:tc>
        <w:tc>
          <w:tcPr>
            <w:shd w:val="clear" w:color="auto" w:fill="auto"/>
          </w:tcPr>
          <w:p w:rsidR="004F1EEC" w:rsidRPr="003F352C" w:rsidP="007C7090">
            <w:pPr>
              <w:spacing w:before="0" w:after="0"/>
              <w:jc w:val="right"/>
              <w:rPr>
                <w:sz w:val="10"/>
                <w:szCs w:val="10"/>
                <w:lang w:val="fr-BE"/>
              </w:rPr>
            </w:pPr>
            <w:r w:rsidRPr="003F352C">
              <w:rPr>
                <w:noProof/>
                <w:sz w:val="10"/>
                <w:szCs w:val="10"/>
                <w:lang w:val="fr-BE"/>
              </w:rPr>
              <w:t>0,00</w:t>
            </w:r>
          </w:p>
        </w:tc>
      </w:tr>
    </w:tbl>
    <w:p w:rsidR="004F1EEC" w:rsidP="007C7090">
      <w:pPr>
        <w:spacing w:before="0" w:after="0"/>
        <w:rPr>
          <w:lang w:val="fr-BE"/>
        </w:rPr>
      </w:pPr>
    </w:p>
    <w:p w:rsidR="004F1EEC" w:rsidP="007C7090">
      <w:pPr>
        <w:pStyle w:val="Heading1"/>
        <w:numPr>
          <w:ilvl w:val="0"/>
          <w:numId w:val="0"/>
        </w:numPr>
        <w:spacing w:before="0" w:after="0"/>
        <w:rPr>
          <w:lang w:val="fr-BE"/>
        </w:rPr>
        <w:sectPr w:rsidSect="008E16E1">
          <w:footerReference w:type="default" r:id="rId7"/>
          <w:pgSz w:w="16838" w:h="11906" w:orient="landscape"/>
          <w:pgMar w:top="1584" w:right="1022" w:bottom="1699" w:left="1022" w:header="283" w:footer="283" w:gutter="0"/>
          <w:cols w:space="708"/>
          <w:docGrid w:linePitch="360"/>
        </w:sectPr>
      </w:pPr>
    </w:p>
    <w:p w:rsidR="004F1EEC" w:rsidP="007C7090">
      <w:pPr>
        <w:pStyle w:val="Heading1"/>
        <w:numPr>
          <w:ilvl w:val="0"/>
          <w:numId w:val="0"/>
        </w:numPr>
        <w:spacing w:before="0" w:after="0"/>
        <w:rPr>
          <w:lang w:val="fr-BE"/>
        </w:rPr>
      </w:pPr>
      <w:bookmarkStart w:id="3" w:name="_Toc256000003"/>
      <w:r>
        <w:rPr>
          <w:noProof/>
          <w:lang w:val="fr-BE"/>
        </w:rPr>
        <w:t>ODDELEK 6: OKVIR ZA PRIPRAVO IN IZVAJANJE PROGRAMA S STRANI DRŽAVE ČLANICE</w:t>
      </w:r>
      <w:bookmarkEnd w:id="3"/>
    </w:p>
    <w:p w:rsidR="004F1EEC" w:rsidP="007C7090">
      <w:pPr>
        <w:pStyle w:val="Text1"/>
        <w:spacing w:before="0" w:after="0"/>
        <w:ind w:left="0"/>
        <w:rPr>
          <w:lang w:val="fr-BE"/>
        </w:rPr>
      </w:pPr>
    </w:p>
    <w:p w:rsidR="004F1EEC" w:rsidP="007C7090">
      <w:pPr>
        <w:pStyle w:val="Heading2"/>
        <w:numPr>
          <w:ilvl w:val="0"/>
          <w:numId w:val="0"/>
        </w:numPr>
        <w:spacing w:before="0" w:after="0"/>
        <w:rPr>
          <w:lang w:val="fr-BE"/>
        </w:rPr>
      </w:pPr>
      <w:bookmarkStart w:id="4" w:name="_Toc256000004"/>
      <w:r>
        <w:rPr>
          <w:noProof/>
          <w:lang w:val="fr-BE"/>
        </w:rPr>
        <w:t>6.1 Odbor za spremljanje (člen 12(4) Uredbe (EU) št. 514/2014)</w:t>
      </w:r>
      <w:bookmarkEnd w:id="4"/>
    </w:p>
    <w:p w:rsidR="004F1EEC" w:rsidP="007C7090">
      <w:pPr>
        <w:pStyle w:val="Text1"/>
        <w:spacing w:before="0" w:after="0"/>
        <w:ind w:left="0"/>
        <w:rPr>
          <w:lang w:val="fr-BE"/>
        </w:rPr>
      </w:pPr>
    </w:p>
    <w:p w:rsidR="004F1EEC" w:rsidP="007C7090">
      <w:pPr>
        <w:pStyle w:val="Text1"/>
        <w:spacing w:before="0" w:after="0"/>
        <w:ind w:left="0"/>
        <w:rPr>
          <w:lang w:val="fr-BE"/>
        </w:rPr>
      </w:pPr>
      <w:r>
        <w:rPr>
          <w:noProof/>
          <w:lang w:val="fr-BE"/>
        </w:rPr>
        <w:t>Navedite glavne odločitve odbora za spremljanje in vprašanja, ki jih ta še obravnava.</w:t>
      </w:r>
    </w:p>
    <w:p w:rsidR="004F1EEC" w:rsidP="007C7090">
      <w:pPr>
        <w:pStyle w:val="Text1"/>
        <w:spacing w:before="0" w:after="0"/>
        <w:ind w:left="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Nadzorni odbor za spremljanje skladov s področja notranje varnosti in migracij (NO) sestavljajo predstavniki Ministrstva za notranje zadeve, Ministrstva za javno upravo, Ministrstva za notranje zadeve - Policija, Ministrstva za zunanje zadeve, Ministrstva za izobraževanje, znanost in šport, Ministrstva za kulturo, Ministrstva za delo, družino, socialne zadeve in enake možnosti, Službe Vlade Republike Slovenije za razvoj in evropsko kohezijsko politiko, Ministrstva za obrambo, Ministrstva za zdravje, Urada Vlade RS za oskrbo in integracijo migrantov. Predstavniki Ministrstva za finance (Sektor za upravljanje s sredstvi EU/PO) so v vlogi pooblaščenega organa. V vlogi opazovalcev pa predstavniki Ministrstva za finance (Urad RS za nadzor proračuna), Službe za notranjo revizijo Ministrstva za notranje zadeve in predstavnik Evropske komisije. Za zagotavljanje izvajanja t.i. načela partnerstva je v NO imenovan tudi predstavnik nevladnih organizacij.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Ključne naloge NO so opredeljene s Poslovnikom (http://www.mnz.gov.si/si/o_ministrstvu/crpanje_evropskih_sredstev/sklad_za_notranjo_varnost_in_sklad_za_azil_migracije_in_vkljucevanje_2014_2020/prirocniki_pravilniki_in_navodila/).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NO je v 2022 zaradi COVID-19 razmer zasedal le v okviru ene seje (9. 3. 2022). Obravnavano je bilo: </w:t>
      </w:r>
    </w:p>
    <w:p>
      <w:pPr>
        <w:numPr>
          <w:ilvl w:val="0"/>
          <w:numId w:val="3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Predstavitev sprememb Akcijskega načrta za črpanje sredstev Sklada za azil, migracije in vključevanje ter Sklada za notranjo varnost (Različica 1.8) (Priloga 1, 2, 3);</w:t>
      </w:r>
    </w:p>
    <w:p>
      <w:pPr>
        <w:numPr>
          <w:ilvl w:val="0"/>
          <w:numId w:val="3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Informacija o letnih izkazih za leto 2021 in implementacijsko poročilo AMIF in ISF za leto 2021 (Priloga 4, 5);</w:t>
      </w:r>
    </w:p>
    <w:p>
      <w:pPr>
        <w:numPr>
          <w:ilvl w:val="0"/>
          <w:numId w:val="3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Informacija o trenutnem stanju nacionalnih programov za sklade  AMIF, ISF, BMVI za finančno shemo 2021-2027;</w:t>
      </w:r>
    </w:p>
    <w:p>
      <w:pPr>
        <w:numPr>
          <w:ilvl w:val="0"/>
          <w:numId w:val="3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Dopolnjevanje projektov AMIF in ISF z drugimi evropskimi skladi ali finančnimi instrumenti EU (t.i. komplementarnost);</w:t>
      </w:r>
    </w:p>
    <w:p>
      <w:pPr>
        <w:numPr>
          <w:ilvl w:val="0"/>
          <w:numId w:val="3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Programa AMIF in ISF pripravlja Služba za evropska sredstva MNZ, ki načelo partnerstva udejanja preko sodelovanja z državnimi resorji, službami in predstavniki civilne družbe, na način, da se obravnavajo vsi dani predlogi glede izboljšav, izvajanja in spremljanja programov preko MDS in NO. Dobra praksa sodelovanja predstavnika civilne družbe na sejah NO se bo izvajala tudi v prihodnje. </w:t>
      </w:r>
    </w:p>
    <w:p w:rsidR="004F1EEC" w:rsidP="007C7090">
      <w:pPr>
        <w:pStyle w:val="Text1"/>
        <w:spacing w:before="0" w:after="0"/>
        <w:ind w:left="0"/>
        <w:rPr>
          <w:lang w:val="fr-BE"/>
        </w:rPr>
      </w:pPr>
    </w:p>
    <w:p w:rsidR="004F1EEC" w:rsidP="007C7090">
      <w:pPr>
        <w:pStyle w:val="Heading2"/>
        <w:numPr>
          <w:ilvl w:val="0"/>
          <w:numId w:val="0"/>
        </w:numPr>
        <w:spacing w:before="0" w:after="0"/>
        <w:rPr>
          <w:lang w:val="fr-BE"/>
        </w:rPr>
      </w:pPr>
      <w:r>
        <w:rPr>
          <w:lang w:val="fr-BE"/>
        </w:rPr>
        <w:br w:type="page"/>
      </w:r>
      <w:bookmarkStart w:id="5" w:name="_Toc256000005"/>
      <w:r>
        <w:rPr>
          <w:noProof/>
          <w:lang w:val="fr-BE"/>
        </w:rPr>
        <w:t>6.2 Skupni okvir za spremljanje in vrednotenje (člen 14(2)(f) Uredbe (EU) št. 514/2014)</w:t>
      </w:r>
      <w:bookmarkEnd w:id="5"/>
    </w:p>
    <w:p w:rsidR="004F1EEC" w:rsidP="007C7090">
      <w:pPr>
        <w:pStyle w:val="Text1"/>
        <w:spacing w:before="0" w:after="0"/>
        <w:ind w:left="0"/>
        <w:rPr>
          <w:lang w:val="fr-BE"/>
        </w:rPr>
      </w:pPr>
    </w:p>
    <w:p w:rsidR="004F1EEC" w:rsidP="007C7090">
      <w:pPr>
        <w:pStyle w:val="Heading2"/>
        <w:numPr>
          <w:ilvl w:val="0"/>
          <w:numId w:val="0"/>
        </w:numPr>
        <w:spacing w:before="0" w:after="0"/>
        <w:rPr>
          <w:lang w:val="fr-BE"/>
        </w:rPr>
      </w:pPr>
      <w:bookmarkStart w:id="6" w:name="_Toc256000006"/>
      <w:r>
        <w:rPr>
          <w:noProof/>
          <w:lang w:val="fr-BE"/>
        </w:rPr>
        <w:t>Ukrepi spremljanja in vrednotenja, ki jih sprejme pristojni organ, vključno z ureditvijo zbiranja podatkov, dejavnostmi vrednotenja, ugotovljenimi težavami ter ukrepi za njihovo odpravo.</w:t>
      </w:r>
      <w:bookmarkEnd w:id="6"/>
    </w:p>
    <w:p w:rsidR="004F1EEC" w:rsidP="007C7090">
      <w:pPr>
        <w:pStyle w:val="Text1"/>
        <w:spacing w:before="0" w:after="0"/>
        <w:ind w:left="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Za spremljanje in finančno upravljanje se uporablja aplikacijo - elektronski sistem za upravljanje skladov AMIF in ISF - MIGRA II. Spremljanje programov AMIF in ISF teče v okviru MIGRA II na podlagi podatkov zahtevkov za povračilo (ZzP) in izvedbe kontrol na kraju samem. OO v okviru upravnega nadzora pregleda finančna in vsebinska poročila končnih upravičencev o okviru posredovanih ZzP-jev v okviru MIGRA II in v skladu s Priročnikom za izvajanje AMIF in ISF ter drugimi programskimi dokumenti OO. Izvedba 100 % administrativne in finančne kontrole popolnosti, pravilnosti in upravičenosti ZzP zajema:</w:t>
      </w:r>
    </w:p>
    <w:p>
      <w:pPr>
        <w:numPr>
          <w:ilvl w:val="0"/>
          <w:numId w:val="3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preverjanje formalne pravilnosti in točnost finančnih izjav, </w:t>
      </w:r>
    </w:p>
    <w:p>
      <w:pPr>
        <w:numPr>
          <w:ilvl w:val="0"/>
          <w:numId w:val="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ali projekt dosega zastavljene cilje oz. viden napredek,</w:t>
      </w:r>
    </w:p>
    <w:p>
      <w:pPr>
        <w:numPr>
          <w:ilvl w:val="0"/>
          <w:numId w:val="3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analitični pregled za oceno relevantnosti prijavljenih izdatkov v finančnih izjavah in njihove skladnosti s pogodbo o financiranju programa/projekta, odločitvi o podpori oz. sklepu o financiranju tehnične pomoči, pravili upravičenosti ter z drugimi veljavnimi pravili EU in nacionalnimi pravili.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OO izvaja dve vrsti kontrol na kraju samem (lahko so tudi nenapovedane), in sicer:</w:t>
      </w:r>
    </w:p>
    <w:p>
      <w:pPr>
        <w:numPr>
          <w:ilvl w:val="0"/>
          <w:numId w:val="3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finančne kontrole na kraju samem ter</w:t>
      </w:r>
    </w:p>
    <w:p>
      <w:pPr>
        <w:numPr>
          <w:ilvl w:val="0"/>
          <w:numId w:val="3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operativne kontrole na kraju samem.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Kontrole na kraju samem se izvaja na podlagi načrta, ki ga OO pripravi na podlagi analize tveganja v skladu z metodologijo in naključnega izbora. Slednji dopolnjuje analizo tveganja na način, da načrt upošteva tudi ustrezno razmerje vrst in velikosti projektov, transakcij, upravičencev in izvajalskih teles, ki se pojavljajo pri izvajanju skladov.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OO je v letu 2022 v okviru spremljanja izvajanja projektov AMIF in ISF pri kontroli na kraju samem preverjal, ali se projekti izvajajo v skladu z odločitvijo o podpori, napredek projektov, zanesljivost kazalnikov in morebitne težave pri izvajanju. Poleg tega se je preverjalo:</w:t>
      </w:r>
    </w:p>
    <w:p>
      <w:pPr>
        <w:numPr>
          <w:ilvl w:val="0"/>
          <w:numId w:val="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ali so končni upravičenci razumeli pravila upravičenosti,</w:t>
      </w:r>
    </w:p>
    <w:p>
      <w:pPr>
        <w:numPr>
          <w:ilvl w:val="0"/>
          <w:numId w:val="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ali imajo vzpostavljeno ustrezno metodologijo, s katero zagotavljajo ustrezno ciljno skupino,</w:t>
      </w:r>
    </w:p>
    <w:p>
      <w:pPr>
        <w:numPr>
          <w:ilvl w:val="0"/>
          <w:numId w:val="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ali beležijo ustrezne kazalnike v pravem času,</w:t>
      </w:r>
    </w:p>
    <w:p>
      <w:pPr>
        <w:numPr>
          <w:ilvl w:val="0"/>
          <w:numId w:val="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ali izvajajo določbe vezane na informiranje in obveščanje ter</w:t>
      </w:r>
    </w:p>
    <w:p>
      <w:pPr>
        <w:numPr>
          <w:ilvl w:val="0"/>
          <w:numId w:val="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ali dejansko uporabljajo blago, ki je bilo nabavljeno glede na izkazane izdatke.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OO o vsebinskih in finančnih elementih programov AMIF in ISF redno poroča MDS in NO, v obeh telesih so v skladu z načelom partnerstva zastopana vsa ministrstva/resorji, ki pri črpanju sredstev iz AMIF in ISF sodelujejo kot pristojni organi MCS (»Management and Control System«) in NVO preko izbranega predstavnika. OO vse zaznane pomanjkljivosti oz. novosti aplicira v strateških dokumentih, kateri so navedeni pod rubriko 6.1. in so dosegljivi preko spletne strani: http://www.mnz.gov.si/si/o_ministrstvu/crpanje_evropskih_sredstev/sklad_za_notranjo_varnost_in_sklad_za_azil_migracije_in_vkljucevanje_2014_2020/prirocniki_pravilniki_in_navodila/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OO sodeluje tudi v postopkih izvajanja revizij s strani RO. Naloga OO, po zaključeni reviziji je, da izvede priporočila RO.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OO aktivno deluje v okviru monitoringov s strani EK ter predlagane usmeritve aplicira na sistemski okvir izvajanja skladov AMIF in ISF.</w:t>
      </w:r>
    </w:p>
    <w:p w:rsidR="004F1EEC" w:rsidP="007C7090">
      <w:pPr>
        <w:pStyle w:val="Text1"/>
        <w:spacing w:before="0" w:after="0"/>
        <w:ind w:left="0"/>
        <w:rPr>
          <w:lang w:val="fr-BE"/>
        </w:rPr>
      </w:pPr>
    </w:p>
    <w:p w:rsidR="004F1EEC" w:rsidRPr="00E30D80" w:rsidP="007C7090">
      <w:pPr>
        <w:pStyle w:val="Text1"/>
        <w:spacing w:before="0" w:after="0"/>
        <w:ind w:left="0"/>
        <w:rPr>
          <w:lang w:val="fr-BE"/>
        </w:rPr>
      </w:pPr>
    </w:p>
    <w:p w:rsidR="004F1EEC" w:rsidP="007C7090">
      <w:pPr>
        <w:pStyle w:val="Heading2"/>
        <w:numPr>
          <w:ilvl w:val="0"/>
          <w:numId w:val="0"/>
        </w:numPr>
        <w:spacing w:before="0" w:after="0"/>
        <w:rPr>
          <w:lang w:val="fr-BE"/>
        </w:rPr>
      </w:pPr>
      <w:r>
        <w:rPr>
          <w:lang w:val="fr-BE"/>
        </w:rPr>
        <w:br w:type="page"/>
      </w:r>
      <w:bookmarkStart w:id="7" w:name="_Toc256000007"/>
      <w:r>
        <w:rPr>
          <w:noProof/>
          <w:lang w:val="fr-BE"/>
        </w:rPr>
        <w:t>6.3 Partnersko sodelovanje pri izvajanju, spremljanju in vrednotenju nacionalnega programa (člen 12(3) Uredbe (EU) št. 514/2014)</w:t>
      </w:r>
      <w:bookmarkEnd w:id="7"/>
    </w:p>
    <w:p w:rsidR="004F1EEC" w:rsidP="007C7090">
      <w:pPr>
        <w:pStyle w:val="Text1"/>
        <w:spacing w:before="0" w:after="0"/>
        <w:ind w:left="0"/>
        <w:rPr>
          <w:lang w:val="fr-BE"/>
        </w:rPr>
      </w:pPr>
    </w:p>
    <w:p w:rsidR="004F1EEC" w:rsidRPr="00A1528F" w:rsidP="007C7090">
      <w:pPr>
        <w:pStyle w:val="Heading2"/>
        <w:numPr>
          <w:ilvl w:val="0"/>
          <w:numId w:val="0"/>
        </w:numPr>
        <w:spacing w:before="0" w:after="0"/>
      </w:pPr>
      <w:bookmarkStart w:id="8" w:name="_Toc256000008"/>
      <w:r w:rsidRPr="00A1528F">
        <w:rPr>
          <w:noProof/>
        </w:rPr>
        <w:t>Na kratko opišite glavne prispevke in mnenja partnerjev v proračunskem letu.</w:t>
      </w:r>
      <w:bookmarkEnd w:id="8"/>
    </w:p>
    <w:p w:rsidR="004F1EEC" w:rsidRPr="00A1528F" w:rsidP="007C7090">
      <w:pPr>
        <w:pStyle w:val="Text1"/>
        <w:spacing w:before="0" w:after="0"/>
        <w:ind w:left="0"/>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Za pripravo Nacionalnih programov skladov AMIF in ISF je zadolžena Projektna enota za sklade notranje varnosti in migracije znotraj Službe za evropska sredstva Ministrstva za notranje zadeve (MNZ SES PESNVM).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Ves čas </w:t>
      </w:r>
      <w:r>
        <w:rPr>
          <w:rFonts w:ascii="Times New Roman" w:eastAsia="Times New Roman" w:hAnsi="Times New Roman" w:cs="Times New Roman"/>
          <w:u w:val="single"/>
        </w:rPr>
        <w:t>priprave </w:t>
      </w:r>
      <w:r>
        <w:rPr>
          <w:rFonts w:ascii="Times New Roman" w:eastAsia="Times New Roman" w:hAnsi="Times New Roman" w:cs="Times New Roman"/>
        </w:rPr>
        <w:t>NP je MNZ-SES-PESNVM sledila načelu javnosti in publicitete, zato so bile dopolnjene različice programov sproti objavljene na spletnem mestu: http://www.mnz.gov.si/si/o_ministrstvu/crpanje_evropskih_sredstev/sklad_za_notranjo_varnost_in_sklad_za_azil_migracije_in_vkljucevanje_2014_2020/priprava_nacionalnih_programov/.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MNZ-SES-PESNVM </w:t>
      </w:r>
      <w:r>
        <w:rPr>
          <w:rFonts w:ascii="Times New Roman" w:eastAsia="Times New Roman" w:hAnsi="Times New Roman" w:cs="Times New Roman"/>
          <w:u w:val="single"/>
        </w:rPr>
        <w:t>implementacijo</w:t>
      </w:r>
      <w:r>
        <w:rPr>
          <w:rFonts w:ascii="Times New Roman" w:eastAsia="Times New Roman" w:hAnsi="Times New Roman" w:cs="Times New Roman"/>
        </w:rPr>
        <w:t> NP izvaja preko Akcijskega načrta, ki je temeljni in celovit programski dokument namenjen izvajanju skladov AMIF in ISF v Sloveniji. Predstavlja osnovo za prijavo in odobritev projektov s strani OO, na predlog končnih upravičencev, po odobritvi na NO, in je izvedbeni dokument, ki razčlenjuje NP na projekte s podatki o finančni alokaciji po letih.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reševanja problematike oseb v zvezi z razmerami v Ukrajini so partnerji delili svoje poglede: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Priprava pisma komisarki Johannson, da bi se namensko dodeljena sredstva ISF-B (EES, ETIAS) v višini 9,3 mio EUR prerazporedila za stroške oskrbe beguncev iz Ukrajine.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Sprememba NP AMIF v zvezi z dodatnimi aktivnostmi.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Iskalo se bo možnosti, da se sredstva, ki so dodeljena Sloveniji, čimprej aktivirajo za pomoč osebam iz Ukrajine, ki nameravajo zaprositi za začasno zaščito.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Sprejet Zakon o začasni zaščiti razseljenih oseb daje pravice določenim kategorijam oseb, ki so upravičene do začasne zaščite.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Ocenjuje se, da se bodo na področju izobraževanja povečale potrebe po učenju slovenščine kot tujega jezika, psihosocialna pomoč za otroke, zagotavljanje osnovnošolskega in srednješolskega izobraževanja, pri tem vprašanje vrtčevske oskrbe ostaja še odprto.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Civilna družba in nevladne organizacije so tudi vključene v reševanje problematike, saj sta sodelovanje in koordinacija med sektorji nujno potrebna pogoja za učinkovito naslavljanje aktualnih razmer povezanih s krizo v Ukrajini.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fazo </w:t>
      </w:r>
      <w:r>
        <w:rPr>
          <w:rFonts w:ascii="Times New Roman" w:eastAsia="Times New Roman" w:hAnsi="Times New Roman" w:cs="Times New Roman"/>
          <w:u w:val="single"/>
        </w:rPr>
        <w:t>vrednotenja</w:t>
      </w:r>
      <w:r>
        <w:rPr>
          <w:rFonts w:ascii="Times New Roman" w:eastAsia="Times New Roman" w:hAnsi="Times New Roman" w:cs="Times New Roman"/>
        </w:rPr>
        <w:t> NP so vključena vsa pristojna ministrstva/organi kot tudi predstavniki NVO preko delovanja Medresorske delovne skupine za koordinacijo in operativno usklajevanje izvajanja projektov, ki se financirajo iz sredstev AMIF in ISF kot tudi preko NO. V fazi vrednotenja izvajanja napredka je pristojnost odločanja na NO, ki o tem seznani tudi Vlado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izvajanjem projektov je prišlo do nekaterih sprememb, vendar so bile vse skupaj v manjšem obsegu od meje, zaradi katere je potrebno spreminjati NP. </w:t>
      </w:r>
    </w:p>
    <w:p w:rsidR="004F1EEC" w:rsidRPr="00A1528F" w:rsidP="007C7090">
      <w:pPr>
        <w:pStyle w:val="Text1"/>
        <w:spacing w:before="0" w:after="0"/>
        <w:ind w:left="0"/>
      </w:pPr>
    </w:p>
    <w:p w:rsidR="004F1EEC" w:rsidRPr="00A1528F" w:rsidP="007C7090">
      <w:pPr>
        <w:pStyle w:val="Text1"/>
        <w:spacing w:before="0" w:after="0"/>
        <w:ind w:left="0"/>
      </w:pPr>
    </w:p>
    <w:p w:rsidR="004F1EEC" w:rsidP="007C7090">
      <w:pPr>
        <w:pStyle w:val="Heading2"/>
        <w:numPr>
          <w:ilvl w:val="0"/>
          <w:numId w:val="0"/>
        </w:numPr>
        <w:spacing w:before="0" w:after="0"/>
        <w:rPr>
          <w:lang w:val="fr-BE"/>
        </w:rPr>
      </w:pPr>
      <w:r w:rsidRPr="00A1528F">
        <w:br w:type="page"/>
      </w:r>
      <w:bookmarkStart w:id="9" w:name="_Toc256000009"/>
      <w:r>
        <w:rPr>
          <w:noProof/>
          <w:lang w:val="fr-BE"/>
        </w:rPr>
        <w:t>6.4 Obveščanje in objavljanje (člen 48 Uredbe (EU) št. 514/2014)</w:t>
      </w:r>
      <w:bookmarkEnd w:id="9"/>
    </w:p>
    <w:p w:rsidR="004F1EEC" w:rsidP="007C7090">
      <w:pPr>
        <w:pStyle w:val="Text1"/>
        <w:spacing w:before="0" w:after="0"/>
        <w:ind w:left="0"/>
        <w:rPr>
          <w:lang w:val="fr-BE"/>
        </w:rPr>
      </w:pPr>
    </w:p>
    <w:p w:rsidR="004F1EEC" w:rsidP="007C7090">
      <w:pPr>
        <w:pStyle w:val="Heading2"/>
        <w:numPr>
          <w:ilvl w:val="0"/>
          <w:numId w:val="0"/>
        </w:numPr>
        <w:spacing w:before="0" w:after="0"/>
        <w:rPr>
          <w:lang w:val="fr-BE"/>
        </w:rPr>
      </w:pPr>
      <w:bookmarkStart w:id="10" w:name="_Toc256000010"/>
      <w:r>
        <w:rPr>
          <w:noProof/>
          <w:lang w:val="fr-BE"/>
        </w:rPr>
        <w:t>Navedite povezavo do spletišča programa.</w:t>
      </w:r>
      <w:bookmarkEnd w:id="10"/>
    </w:p>
    <w:p w:rsidR="004F1EEC" w:rsidP="007C7090">
      <w:pPr>
        <w:pStyle w:val="Heading2"/>
        <w:numPr>
          <w:ilvl w:val="0"/>
          <w:numId w:val="0"/>
        </w:numPr>
        <w:spacing w:before="0" w:after="0"/>
        <w:rPr>
          <w:lang w:val="fr-BE"/>
        </w:rPr>
      </w:pPr>
      <w:bookmarkStart w:id="11" w:name="_Toc256000011"/>
      <w:r>
        <w:rPr>
          <w:noProof/>
          <w:lang w:val="fr-BE"/>
        </w:rPr>
        <w:t>Navedite glavne dejavnosti obveščanja in objavljanja, izvedene v proračunskem letu. Priložiti je treba primere gradiva.</w:t>
      </w:r>
      <w:bookmarkEnd w:id="11"/>
    </w:p>
    <w:p w:rsidR="004F1EEC" w:rsidP="007C7090">
      <w:pPr>
        <w:pStyle w:val="Text1"/>
        <w:spacing w:before="0" w:after="0"/>
        <w:ind w:left="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letu 2022 so bile izvedene sledeče dejavnosti s ciljem obveščanja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Na državnem nivoju vzpostavljeni spletni strani državne uprave je vzdrževan dostop do spletne strani odgovornega organa z dostopom do vseh potrebnih programskih dokumentov: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https://www.gov.si/drzavni-organi/ministrstva/ministrstvo-za-notranje-zadeve/o-ministrstvu/sekretariat/sluzba-za-evropska-sredstva/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Vzpostavljena nova povezava do Akcijskih načrtov za črpanje sredstev iz skladov AMIF in ISF (različica 1.8) (marec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https://urednik-gov.sigov.si/assets/ministrstva/MNZ/Dokumenti/SES/Akcijski-nacrt/Akcijski-AMIF-razlicica-1.8_9.-3.-2022.xlsx</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https://urednik-gov.sigov.si/assets/ministrstva/MNZ/Dokumenti/SES/Akcijski-nacrt/Akcijski-ISFB-razlicica-1-v2.8_9.-3.-2022.xlsx</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https://urednik-gov.sigov.si/assets/ministrstva/MNZ/Dokumenti/SES/Akcijski-nacrt/Akcijski-ISFP-razlicica-1.8_9.-3.-2022.xlsx</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Spletna objava nove različice Priročnika za izvajanje Sklada za azil, migracije in vključevanje ter Sklada za notranjo varnost (različica 1.6) z vsemi prilogami (marec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https://urednik-gov.sigov.si/assets/ministrstva/MNZ/Dokumenti/SES/Prirocnik/Prirocnik_AMIF-ISF_Razlicica_1_6_P.pdf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Obvestilo o seznamu odobrenih projektov za leto 2021 ter končnih upravičencev, zneskov javnih sredstev in sredstev Evropske Unije za AMIF in ISF na podlagi javnih razpisov in neposredne dodelitve s strani odgovornega organa (marec 2022)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https://urednik-gov.sigov.si/assets/ministrstva/MNZ/Dokumenti/SES/Obvestila-odobrenih-projektov/Obvestilo-o-seznamu-odobrenih-projektov-ter-koncnih-upravicencev-zneskov-javnih-sredstev-in-sredstev-EU-za-AMIF-in-ISF-za-leto-2021.pdf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 Na spletni strani objavljena Nacionalna pravila o upravičenih stroških Sklada za azil, migracije in vključevanje ter Sklada za notranjo varnost za obdobje 2014-2020 (različica 1.7) (september 202):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https://urednik-gov.sigov.si/assets/ministrstva/MNZ/Dokumenti/SES/Nacionalna-pravila-upravicenosti/Nacionalna-pravila-o-upravicenih-stroskih-AMIF-in-ISF_razlicica_1.7.pd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 Spletna objava nove različice Priročnika za izvajanje Sklada za azil, migracije in vključevanje ter Sklada za notranjo varnost (različica 1.7) z vsemi prilogami (september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https://urednik-gov.sigov.si/assets/ministrstva/MNZ/Dokumenti/SES/Prirocnik/Prirocnik_AMIF-ISF_Razlicica_1_7_P.pdf.pdf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 Spletna objava potrjenih Implementacijskih poročil 2021 in Obračunov 2021 v razdelku Poročila za Evropsko komisijo (december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https://www.gov.si/drzavni-organi/ministrstva/ministrstvo-za-notranje-zadeve/o-ministrstvu/sekretariat/sluzba-za-evropska-sredstva/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 Na državnem nivoju vzpostavljena nova spletna stran za sklade EU, ki vključuje tudi sklade AMIF, SNV in IUMV, ki se redno posodablja z objavami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https://evropskasredstva.si/skladi-eu-s-podrocja-notranjih-zadev/</w:t>
      </w:r>
    </w:p>
    <w:p w:rsidR="004F1EEC" w:rsidRPr="00A1528F" w:rsidP="007C7090">
      <w:pPr>
        <w:pStyle w:val="Text1"/>
        <w:spacing w:before="0" w:after="0"/>
        <w:ind w:left="0"/>
      </w:pPr>
    </w:p>
    <w:p w:rsidR="004F1EEC" w:rsidRPr="00A1528F" w:rsidP="007C7090">
      <w:pPr>
        <w:pStyle w:val="Text1"/>
        <w:spacing w:before="0" w:after="0"/>
        <w:ind w:left="0"/>
      </w:pPr>
    </w:p>
    <w:p w:rsidR="004F1EEC" w:rsidRPr="00A1528F" w:rsidP="007C7090">
      <w:pPr>
        <w:pStyle w:val="Heading2"/>
        <w:numPr>
          <w:ilvl w:val="0"/>
          <w:numId w:val="0"/>
        </w:numPr>
        <w:spacing w:before="0" w:after="0"/>
      </w:pPr>
      <w:r w:rsidRPr="00A1528F">
        <w:br w:type="page"/>
      </w:r>
      <w:bookmarkStart w:id="12" w:name="_Toc256000012"/>
      <w:r w:rsidRPr="00A1528F">
        <w:rPr>
          <w:noProof/>
        </w:rPr>
        <w:t>6.5 Dopolnjevanje z drugimi instrumenti Unije (člen 14(2)(e) in 14(5)(f) Uredbe (EU) št. 514/2014)</w:t>
      </w:r>
      <w:bookmarkEnd w:id="12"/>
    </w:p>
    <w:p w:rsidR="004F1EEC" w:rsidRPr="00A1528F" w:rsidP="007C7090">
      <w:pPr>
        <w:pStyle w:val="Text1"/>
        <w:spacing w:before="0" w:after="0"/>
        <w:ind w:left="0"/>
      </w:pPr>
    </w:p>
    <w:p w:rsidR="004F1EEC" w:rsidP="007C7090">
      <w:pPr>
        <w:pStyle w:val="Heading2"/>
        <w:numPr>
          <w:ilvl w:val="0"/>
          <w:numId w:val="0"/>
        </w:numPr>
        <w:spacing w:before="0" w:after="0"/>
        <w:rPr>
          <w:lang w:val="fr-BE"/>
        </w:rPr>
      </w:pPr>
      <w:bookmarkStart w:id="13" w:name="_Toc256000013"/>
      <w:r>
        <w:rPr>
          <w:noProof/>
          <w:lang w:val="fr-BE"/>
        </w:rPr>
        <w:t>Na kratko opišite glavne ukrepe in posvetovanja, ki so bili izvedeni zaradi usklajevanja z naslednjimi drugimi instrumenti Unije:</w:t>
      </w:r>
      <w:bookmarkEnd w:id="13"/>
    </w:p>
    <w:p w:rsidR="004F1EEC" w:rsidRPr="00E30D80" w:rsidP="007C7090">
      <w:pPr>
        <w:pStyle w:val="Text1"/>
        <w:numPr>
          <w:ilvl w:val="0"/>
          <w:numId w:val="36"/>
        </w:numPr>
        <w:spacing w:before="0" w:after="0"/>
        <w:ind w:left="0"/>
        <w:jc w:val="left"/>
        <w:rPr>
          <w:lang w:val="fr-BE"/>
        </w:rPr>
      </w:pPr>
      <w:r>
        <w:rPr>
          <w:noProof/>
          <w:lang w:val="fr-BE"/>
        </w:rPr>
        <w:t>evropski strukturni in investicijski skladi (Evropski sklad za regionalni razvoj, Evropski socialni sklad, Kohezijski sklad, Evropski kmetijski sklad za razvoj podeželja, Evropski sklad za pomorstvo in ribištvo),</w:t>
      </w:r>
    </w:p>
    <w:p w:rsidR="004F1EEC" w:rsidRPr="00E30D80" w:rsidP="007C7090">
      <w:pPr>
        <w:pStyle w:val="Text1"/>
        <w:numPr>
          <w:ilvl w:val="0"/>
          <w:numId w:val="36"/>
        </w:numPr>
        <w:spacing w:before="0" w:after="0"/>
        <w:ind w:left="0"/>
        <w:jc w:val="left"/>
        <w:rPr>
          <w:lang w:val="fr-BE"/>
        </w:rPr>
      </w:pPr>
      <w:r>
        <w:rPr>
          <w:lang w:val="fr-BE"/>
        </w:rPr>
        <w:t>d</w:t>
      </w:r>
      <w:r>
        <w:rPr>
          <w:lang w:val="fr-BE"/>
        </w:rPr>
        <w:t>r</w:t>
      </w:r>
      <w:r>
        <w:rPr>
          <w:lang w:val="fr-BE"/>
        </w:rPr>
        <w:t>u</w:t>
      </w:r>
      <w:r>
        <w:rPr>
          <w:lang w:val="fr-BE"/>
        </w:rPr>
        <w:t>g</w:t>
      </w:r>
      <w:r>
        <w:rPr>
          <w:lang w:val="fr-BE"/>
        </w:rPr>
        <w:t>i</w:t>
      </w:r>
      <w:r>
        <w:rPr>
          <w:lang w:val="fr-BE"/>
        </w:rPr>
        <w:t xml:space="preserve"> </w:t>
      </w:r>
      <w:r>
        <w:rPr>
          <w:lang w:val="fr-BE"/>
        </w:rPr>
        <w:t>s</w:t>
      </w:r>
      <w:r>
        <w:rPr>
          <w:lang w:val="fr-BE"/>
        </w:rPr>
        <w:t>k</w:t>
      </w:r>
      <w:r>
        <w:rPr>
          <w:lang w:val="fr-BE"/>
        </w:rPr>
        <w:t>l</w:t>
      </w:r>
      <w:r>
        <w:rPr>
          <w:lang w:val="fr-BE"/>
        </w:rPr>
        <w:t>a</w:t>
      </w:r>
      <w:r>
        <w:rPr>
          <w:lang w:val="fr-BE"/>
        </w:rPr>
        <w:t>d</w:t>
      </w:r>
      <w:r>
        <w:rPr>
          <w:lang w:val="fr-BE"/>
        </w:rPr>
        <w:t>i</w:t>
      </w:r>
      <w:r>
        <w:rPr>
          <w:lang w:val="fr-BE"/>
        </w:rPr>
        <w:t xml:space="preserve"> </w:t>
      </w:r>
      <w:r>
        <w:rPr>
          <w:lang w:val="fr-BE"/>
        </w:rPr>
        <w:t>a</w:t>
      </w:r>
      <w:r>
        <w:rPr>
          <w:lang w:val="fr-BE"/>
        </w:rPr>
        <w:t>l</w:t>
      </w:r>
      <w:r>
        <w:rPr>
          <w:lang w:val="fr-BE"/>
        </w:rPr>
        <w:t>i</w:t>
      </w:r>
      <w:r>
        <w:rPr>
          <w:lang w:val="fr-BE"/>
        </w:rPr>
        <w:t xml:space="preserve"> </w:t>
      </w:r>
      <w:r>
        <w:rPr>
          <w:lang w:val="fr-BE"/>
        </w:rPr>
        <w:t>p</w:t>
      </w:r>
      <w:r>
        <w:rPr>
          <w:lang w:val="fr-BE"/>
        </w:rPr>
        <w:t>r</w:t>
      </w:r>
      <w:r>
        <w:rPr>
          <w:lang w:val="fr-BE"/>
        </w:rPr>
        <w:t>o</w:t>
      </w:r>
      <w:r>
        <w:rPr>
          <w:lang w:val="fr-BE"/>
        </w:rPr>
        <w:t>g</w:t>
      </w:r>
      <w:r>
        <w:rPr>
          <w:lang w:val="fr-BE"/>
        </w:rPr>
        <w:t>r</w:t>
      </w:r>
      <w:r>
        <w:rPr>
          <w:lang w:val="fr-BE"/>
        </w:rPr>
        <w:t>a</w:t>
      </w:r>
      <w:r>
        <w:rPr>
          <w:lang w:val="fr-BE"/>
        </w:rPr>
        <w:t>m</w:t>
      </w:r>
      <w:r>
        <w:rPr>
          <w:lang w:val="fr-BE"/>
        </w:rPr>
        <w:t>i</w:t>
      </w:r>
      <w:r>
        <w:rPr>
          <w:lang w:val="fr-BE"/>
        </w:rPr>
        <w:t xml:space="preserve"> </w:t>
      </w:r>
      <w:r>
        <w:rPr>
          <w:lang w:val="fr-BE"/>
        </w:rPr>
        <w:t>E</w:t>
      </w:r>
      <w:r>
        <w:rPr>
          <w:lang w:val="fr-BE"/>
        </w:rPr>
        <w:t>U</w:t>
      </w:r>
      <w:r>
        <w:rPr>
          <w:lang w:val="fr-BE"/>
        </w:rPr>
        <w:t xml:space="preserve"> </w:t>
      </w:r>
      <w:r>
        <w:rPr>
          <w:lang w:val="fr-BE"/>
        </w:rPr>
        <w:t>(</w:t>
      </w:r>
      <w:r>
        <w:rPr>
          <w:lang w:val="fr-BE"/>
        </w:rPr>
        <w:t>n</w:t>
      </w:r>
      <w:r>
        <w:rPr>
          <w:lang w:val="fr-BE"/>
        </w:rPr>
        <w:t>p</w:t>
      </w:r>
      <w:r>
        <w:rPr>
          <w:lang w:val="fr-BE"/>
        </w:rPr>
        <w:t>r</w:t>
      </w:r>
      <w:r>
        <w:rPr>
          <w:lang w:val="fr-BE"/>
        </w:rPr>
        <w:t>.</w:t>
      </w:r>
      <w:r>
        <w:rPr>
          <w:lang w:val="fr-BE"/>
        </w:rPr>
        <w:t xml:space="preserve"> </w:t>
      </w:r>
      <w:r>
        <w:rPr>
          <w:lang w:val="fr-BE"/>
        </w:rPr>
        <w:t>p</w:t>
      </w:r>
      <w:r>
        <w:rPr>
          <w:lang w:val="fr-BE"/>
        </w:rPr>
        <w:t>r</w:t>
      </w:r>
      <w:r>
        <w:rPr>
          <w:lang w:val="fr-BE"/>
        </w:rPr>
        <w:t>o</w:t>
      </w:r>
      <w:r>
        <w:rPr>
          <w:lang w:val="fr-BE"/>
        </w:rPr>
        <w:t>g</w:t>
      </w:r>
      <w:r>
        <w:rPr>
          <w:lang w:val="fr-BE"/>
        </w:rPr>
        <w:t>r</w:t>
      </w:r>
      <w:r>
        <w:rPr>
          <w:lang w:val="fr-BE"/>
        </w:rPr>
        <w:t>a</w:t>
      </w:r>
      <w:r>
        <w:rPr>
          <w:lang w:val="fr-BE"/>
        </w:rPr>
        <w:t>m</w:t>
      </w:r>
      <w:r>
        <w:rPr>
          <w:lang w:val="fr-BE"/>
        </w:rPr>
        <w:t>a</w:t>
      </w:r>
      <w:r>
        <w:rPr>
          <w:lang w:val="fr-BE"/>
        </w:rPr>
        <w:t xml:space="preserve"> </w:t>
      </w:r>
      <w:r>
        <w:rPr>
          <w:lang w:val="fr-BE"/>
        </w:rPr>
        <w:fldChar w:fldCharType="begin"/>
      </w:r>
      <w:r>
        <w:rPr>
          <w:lang w:val="fr-BE"/>
        </w:rPr>
        <w:instrText xml:space="preserve">QUOTE </w:instrText>
      </w:r>
      <w:r>
        <w:rPr>
          <w:lang w:val="fr-BE"/>
        </w:rPr>
        <w:instrText>34</w:instrText>
      </w:r>
      <w:r>
        <w:rPr>
          <w:lang w:val="fr-BE"/>
        </w:rPr>
        <w:fldChar w:fldCharType="separate"/>
      </w:r>
      <w:r>
        <w:rPr>
          <w:lang w:val="fr-BE"/>
        </w:rPr>
        <w:t>"</w:t>
      </w:r>
      <w:r>
        <w:rPr>
          <w:lang w:val="fr-BE"/>
        </w:rPr>
        <w:fldChar w:fldCharType="end"/>
      </w:r>
      <w:r>
        <w:rPr>
          <w:lang w:val="fr-BE"/>
        </w:rPr>
        <w:t>V</w:t>
      </w:r>
      <w:r>
        <w:rPr>
          <w:lang w:val="fr-BE"/>
        </w:rPr>
        <w:t>s</w:t>
      </w:r>
      <w:r>
        <w:rPr>
          <w:lang w:val="fr-BE"/>
        </w:rPr>
        <w:t>e</w:t>
      </w:r>
      <w:r>
        <w:rPr>
          <w:lang w:val="fr-BE"/>
        </w:rPr>
        <w:t>ž</w:t>
      </w:r>
      <w:r>
        <w:rPr>
          <w:lang w:val="fr-BE"/>
        </w:rPr>
        <w:t>i</w:t>
      </w:r>
      <w:r>
        <w:rPr>
          <w:lang w:val="fr-BE"/>
        </w:rPr>
        <w:t>v</w:t>
      </w:r>
      <w:r>
        <w:rPr>
          <w:lang w:val="fr-BE"/>
        </w:rPr>
        <w:t>l</w:t>
      </w:r>
      <w:r>
        <w:rPr>
          <w:lang w:val="fr-BE"/>
        </w:rPr>
        <w:t>j</w:t>
      </w:r>
      <w:r>
        <w:rPr>
          <w:lang w:val="fr-BE"/>
        </w:rPr>
        <w:t>e</w:t>
      </w:r>
      <w:r>
        <w:rPr>
          <w:lang w:val="fr-BE"/>
        </w:rPr>
        <w:t>n</w:t>
      </w:r>
      <w:r>
        <w:rPr>
          <w:lang w:val="fr-BE"/>
        </w:rPr>
        <w:t>j</w:t>
      </w:r>
      <w:r>
        <w:rPr>
          <w:lang w:val="fr-BE"/>
        </w:rPr>
        <w:t>s</w:t>
      </w:r>
      <w:r>
        <w:rPr>
          <w:lang w:val="fr-BE"/>
        </w:rPr>
        <w:t>k</w:t>
      </w:r>
      <w:r>
        <w:rPr>
          <w:lang w:val="fr-BE"/>
        </w:rPr>
        <w:t>o</w:t>
      </w:r>
      <w:r>
        <w:rPr>
          <w:lang w:val="fr-BE"/>
        </w:rPr>
        <w:t xml:space="preserve"> </w:t>
      </w:r>
      <w:r>
        <w:rPr>
          <w:lang w:val="fr-BE"/>
        </w:rPr>
        <w:t>u</w:t>
      </w:r>
      <w:r>
        <w:rPr>
          <w:lang w:val="fr-BE"/>
        </w:rPr>
        <w:t>č</w:t>
      </w:r>
      <w:r>
        <w:rPr>
          <w:lang w:val="fr-BE"/>
        </w:rPr>
        <w:t>e</w:t>
      </w:r>
      <w:r>
        <w:rPr>
          <w:lang w:val="fr-BE"/>
        </w:rPr>
        <w:t>n</w:t>
      </w:r>
      <w:r>
        <w:rPr>
          <w:lang w:val="fr-BE"/>
        </w:rPr>
        <w:t>j</w:t>
      </w:r>
      <w:r>
        <w:rPr>
          <w:lang w:val="fr-BE"/>
        </w:rPr>
        <w:t>e</w:t>
      </w:r>
      <w:r>
        <w:rPr>
          <w:lang w:val="fr-BE"/>
        </w:rPr>
        <w:fldChar w:fldCharType="begin"/>
      </w:r>
      <w:r>
        <w:rPr>
          <w:lang w:val="fr-BE"/>
        </w:rPr>
        <w:instrText xml:space="preserve">QUOTE </w:instrText>
      </w:r>
      <w:r>
        <w:rPr>
          <w:lang w:val="fr-BE"/>
        </w:rPr>
        <w:instrText>34</w:instrText>
      </w:r>
      <w:r>
        <w:rPr>
          <w:lang w:val="fr-BE"/>
        </w:rPr>
        <w:fldChar w:fldCharType="separate"/>
      </w:r>
      <w:r>
        <w:rPr>
          <w:lang w:val="fr-BE"/>
        </w:rPr>
        <w:t>"</w:t>
      </w:r>
      <w:r>
        <w:rPr>
          <w:lang w:val="fr-BE"/>
        </w:rPr>
        <w:fldChar w:fldCharType="end"/>
      </w:r>
      <w:r>
        <w:rPr>
          <w:lang w:val="fr-BE"/>
        </w:rPr>
        <w:t>,</w:t>
      </w:r>
      <w:r>
        <w:rPr>
          <w:lang w:val="fr-BE"/>
        </w:rPr>
        <w:t xml:space="preserve"> </w:t>
      </w:r>
      <w:r>
        <w:rPr>
          <w:lang w:val="fr-BE"/>
        </w:rPr>
        <w:fldChar w:fldCharType="begin"/>
      </w:r>
      <w:r>
        <w:rPr>
          <w:lang w:val="fr-BE"/>
        </w:rPr>
        <w:instrText xml:space="preserve">QUOTE </w:instrText>
      </w:r>
      <w:r>
        <w:rPr>
          <w:lang w:val="fr-BE"/>
        </w:rPr>
        <w:instrText>34</w:instrText>
      </w:r>
      <w:r>
        <w:rPr>
          <w:lang w:val="fr-BE"/>
        </w:rPr>
        <w:fldChar w:fldCharType="separate"/>
      </w:r>
      <w:r>
        <w:rPr>
          <w:lang w:val="fr-BE"/>
        </w:rPr>
        <w:t>"</w:t>
      </w:r>
      <w:r>
        <w:rPr>
          <w:lang w:val="fr-BE"/>
        </w:rPr>
        <w:fldChar w:fldCharType="end"/>
      </w:r>
      <w:r>
        <w:rPr>
          <w:lang w:val="fr-BE"/>
        </w:rPr>
        <w:t>M</w:t>
      </w:r>
      <w:r>
        <w:rPr>
          <w:lang w:val="fr-BE"/>
        </w:rPr>
        <w:t>l</w:t>
      </w:r>
      <w:r>
        <w:rPr>
          <w:lang w:val="fr-BE"/>
        </w:rPr>
        <w:t>a</w:t>
      </w:r>
      <w:r>
        <w:rPr>
          <w:lang w:val="fr-BE"/>
        </w:rPr>
        <w:t>d</w:t>
      </w:r>
      <w:r>
        <w:rPr>
          <w:lang w:val="fr-BE"/>
        </w:rPr>
        <w:t>i</w:t>
      </w:r>
      <w:r>
        <w:rPr>
          <w:lang w:val="fr-BE"/>
        </w:rPr>
        <w:t xml:space="preserve"> </w:t>
      </w:r>
      <w:r>
        <w:rPr>
          <w:lang w:val="fr-BE"/>
        </w:rPr>
        <w:t>v</w:t>
      </w:r>
      <w:r>
        <w:rPr>
          <w:lang w:val="fr-BE"/>
        </w:rPr>
        <w:t xml:space="preserve"> </w:t>
      </w:r>
      <w:r>
        <w:rPr>
          <w:lang w:val="fr-BE"/>
        </w:rPr>
        <w:t>a</w:t>
      </w:r>
      <w:r>
        <w:rPr>
          <w:lang w:val="fr-BE"/>
        </w:rPr>
        <w:t>k</w:t>
      </w:r>
      <w:r>
        <w:rPr>
          <w:lang w:val="fr-BE"/>
        </w:rPr>
        <w:t>c</w:t>
      </w:r>
      <w:r>
        <w:rPr>
          <w:lang w:val="fr-BE"/>
        </w:rPr>
        <w:t>i</w:t>
      </w:r>
      <w:r>
        <w:rPr>
          <w:lang w:val="fr-BE"/>
        </w:rPr>
        <w:t>j</w:t>
      </w:r>
      <w:r>
        <w:rPr>
          <w:lang w:val="fr-BE"/>
        </w:rPr>
        <w:t>i</w:t>
      </w:r>
      <w:r>
        <w:rPr>
          <w:lang w:val="fr-BE"/>
        </w:rPr>
        <w:fldChar w:fldCharType="begin"/>
      </w:r>
      <w:r>
        <w:rPr>
          <w:lang w:val="fr-BE"/>
        </w:rPr>
        <w:instrText xml:space="preserve">QUOTE </w:instrText>
      </w:r>
      <w:r>
        <w:rPr>
          <w:lang w:val="fr-BE"/>
        </w:rPr>
        <w:instrText>34</w:instrText>
      </w:r>
      <w:r>
        <w:rPr>
          <w:lang w:val="fr-BE"/>
        </w:rPr>
        <w:fldChar w:fldCharType="separate"/>
      </w:r>
      <w:r>
        <w:rPr>
          <w:lang w:val="fr-BE"/>
        </w:rPr>
        <w:t>"</w:t>
      </w:r>
      <w:r>
        <w:rPr>
          <w:lang w:val="fr-BE"/>
        </w:rPr>
        <w:fldChar w:fldCharType="end"/>
      </w:r>
      <w:r>
        <w:rPr>
          <w:lang w:val="fr-BE"/>
        </w:rPr>
        <w:t>)</w:t>
      </w:r>
      <w:r>
        <w:rPr>
          <w:lang w:val="fr-BE"/>
        </w:rPr>
        <w:t>,</w:t>
      </w:r>
      <w:r>
        <w:rPr>
          <w:lang w:val="fr-BE"/>
        </w:rPr>
        <w:t xml:space="preserve"> </w:t>
      </w:r>
    </w:p>
    <w:p w:rsidR="004F1EEC" w:rsidRPr="00E30D80" w:rsidP="007C7090">
      <w:pPr>
        <w:pStyle w:val="Text1"/>
        <w:numPr>
          <w:ilvl w:val="0"/>
          <w:numId w:val="36"/>
        </w:numPr>
        <w:spacing w:before="0" w:after="0"/>
        <w:ind w:left="0"/>
        <w:jc w:val="left"/>
        <w:rPr>
          <w:lang w:val="fr-BE"/>
        </w:rPr>
      </w:pPr>
      <w:r>
        <w:rPr>
          <w:noProof/>
          <w:lang w:val="fr-BE"/>
        </w:rPr>
        <w:t>instrumenti EU za zunanje odnose (npr. instrument za predpristopno pomoč, evropski instrument sosedstva in partnerstva, instrument za stabilnost), kar zadeva ukrepe v tretjih državah oziroma odnose z njimi.</w:t>
      </w:r>
    </w:p>
    <w:p w:rsidR="004F1EEC" w:rsidP="007C7090">
      <w:pPr>
        <w:pStyle w:val="Text1"/>
        <w:spacing w:before="0" w:after="0"/>
        <w:ind w:left="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OO zagotavlja komplementarnost preko različnih ravni organizacijske strukture:</w:t>
      </w:r>
    </w:p>
    <w:p>
      <w:pPr>
        <w:numPr>
          <w:ilvl w:val="0"/>
          <w:numId w:val="4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hierarhično na najvišji ravni (Nadzorni odbor), v katerem so v skladu z načelom partnerstva zastopana vsa ministrstva/telesa, ki so vključena v izvajanje AMIF in ISF. Sestavljajo ga predstavniki državnih organov - pristojni organi MCS, drugi organi, katerih pristojnosti (delno) vsebinsko zadevajo tudi projekte, ki se financirajo iz AMIF in ISF, predstavnik nevladnih organizacij ter predstavnik Službe vlade RS za razvoj in evropsko kohezijsko politiko - z namenom zagotavljanja skladnosti in dopolnjevanja z drugimi finančnimi instrumenti EU.</w:t>
      </w:r>
    </w:p>
    <w:p>
      <w:pPr>
        <w:numPr>
          <w:ilvl w:val="0"/>
          <w:numId w:val="4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ravni Medresorske delovne skupine (MDS), ki deluje kot operativna delovna skupina Nadzornega odbora, velja enako pravilo sestave članstva kot pri Nadzornem odboru, z namenom zagotavljanja skladnosti in dopolnjevanja z drugimi finančnimi instrumenti EU tudi v MDS sodeluje predstavnik Službe vlade RS za razvoj in evropsko kohezijsko politiko.</w:t>
      </w:r>
    </w:p>
    <w:p>
      <w:pPr>
        <w:numPr>
          <w:ilvl w:val="0"/>
          <w:numId w:val="4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 ravni projekta se komplementarnost zagotavlja že v okviru faze prijave projekta, v kateri mora končni upravičenec (oz. vodja projekta) za vsak projekt, ki je odobren s strani OO, kot upravičenec do finančnih sredstev AMIF in ISF podati informacijo o komplementarnosti z drugimi projekti oz. viri financiranja, kadar je to relevantno.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 letu 2022 je OO nadaljeval z vzpostavljeno prakso, da na rednih sejah MDS, resorji predstavijo možnosti dopolnjevanja skladov AMIF in ISF z drugimi evropskimi skladi ali finančnimi instrumenti.</w:t>
      </w:r>
    </w:p>
    <w:p w:rsidR="004F1EEC" w:rsidP="007C7090">
      <w:pPr>
        <w:pStyle w:val="Text1"/>
        <w:spacing w:before="0" w:after="0"/>
        <w:ind w:left="0"/>
        <w:rPr>
          <w:lang w:val="fr-BE"/>
        </w:rPr>
      </w:pPr>
    </w:p>
    <w:p w:rsidR="004F1EEC" w:rsidP="007C7090">
      <w:pPr>
        <w:pStyle w:val="Text1"/>
        <w:spacing w:before="0" w:after="0"/>
        <w:ind w:left="0"/>
        <w:rPr>
          <w:lang w:val="fr-BE"/>
        </w:rPr>
      </w:pPr>
    </w:p>
    <w:p w:rsidR="004F1EEC" w:rsidP="007C7090">
      <w:pPr>
        <w:pStyle w:val="Heading2"/>
        <w:numPr>
          <w:ilvl w:val="0"/>
          <w:numId w:val="0"/>
        </w:numPr>
        <w:spacing w:before="0" w:after="0"/>
        <w:rPr>
          <w:lang w:val="fr-BE"/>
        </w:rPr>
      </w:pPr>
      <w:r>
        <w:rPr>
          <w:lang w:val="fr-BE"/>
        </w:rPr>
        <w:br w:type="page"/>
      </w:r>
      <w:bookmarkStart w:id="14" w:name="_Toc256000014"/>
      <w:r>
        <w:rPr>
          <w:noProof/>
          <w:lang w:val="fr-BE"/>
        </w:rPr>
        <w:t>6.6 Neposredna oddaja naročila</w:t>
      </w:r>
      <w:bookmarkEnd w:id="14"/>
    </w:p>
    <w:p w:rsidR="004F1EEC" w:rsidP="007C7090">
      <w:pPr>
        <w:pStyle w:val="Text1"/>
        <w:spacing w:before="0" w:after="0"/>
        <w:ind w:left="0"/>
        <w:rPr>
          <w:lang w:val="fr-BE"/>
        </w:rPr>
      </w:pPr>
    </w:p>
    <w:p w:rsidR="004F1EEC" w:rsidP="007C7090">
      <w:pPr>
        <w:pStyle w:val="Heading2"/>
        <w:numPr>
          <w:ilvl w:val="0"/>
          <w:numId w:val="0"/>
        </w:numPr>
        <w:spacing w:before="0" w:after="0"/>
        <w:rPr>
          <w:lang w:val="fr-BE"/>
        </w:rPr>
      </w:pPr>
      <w:bookmarkStart w:id="15" w:name="_Toc256000015"/>
      <w:r>
        <w:rPr>
          <w:noProof/>
          <w:lang w:val="fr-BE"/>
        </w:rPr>
        <w:t>Utemeljite vsak primer neposredne dodelitve.</w:t>
      </w:r>
      <w:bookmarkEnd w:id="15"/>
    </w:p>
    <w:p w:rsidR="004F1EEC" w:rsidP="007C7090">
      <w:pPr>
        <w:pStyle w:val="Text1"/>
        <w:spacing w:before="0" w:after="0"/>
        <w:ind w:left="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obdobju poročanja je bilo preko neposredne dodelitve odobrenih 44 projektov končnih upravičencev, v vseh primerih zaradi narave projekta oz. legalnega monopola končnega upravičenca.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Dokument "Implementacijsko poročilo 2022 – seznam projektov ISF in utemeljitev glede načina dodelitve" je pripet v rubriki "Dokumenti" (Priloga 1).</w:t>
      </w:r>
    </w:p>
    <w:p w:rsidR="004F1EEC" w:rsidP="007C7090">
      <w:pPr>
        <w:pStyle w:val="Text1"/>
        <w:spacing w:before="0" w:after="0"/>
        <w:ind w:left="0"/>
        <w:rPr>
          <w:lang w:val="fr-BE"/>
        </w:rPr>
      </w:pPr>
    </w:p>
    <w:p w:rsidR="004F1EEC" w:rsidRPr="00E30D80" w:rsidP="007C7090">
      <w:pPr>
        <w:pStyle w:val="Text1"/>
        <w:spacing w:before="0" w:after="0"/>
        <w:ind w:left="0"/>
        <w:rPr>
          <w:lang w:val="fr-BE"/>
        </w:rPr>
      </w:pPr>
    </w:p>
    <w:p w:rsidR="004F1EEC" w:rsidP="007C7090">
      <w:pPr>
        <w:pStyle w:val="Heading1"/>
        <w:numPr>
          <w:ilvl w:val="0"/>
          <w:numId w:val="0"/>
        </w:numPr>
        <w:spacing w:before="0" w:after="0"/>
        <w:rPr>
          <w:lang w:val="fr-BE"/>
        </w:rPr>
      </w:pPr>
      <w:r>
        <w:rPr>
          <w:lang w:val="fr-BE"/>
        </w:rPr>
        <w:br w:type="page"/>
      </w:r>
      <w:bookmarkStart w:id="16" w:name="_Toc256000016"/>
      <w:r>
        <w:rPr>
          <w:noProof/>
          <w:lang w:val="fr-BE"/>
        </w:rPr>
        <w:t>ODDELEK 7: FINANČNO POROČILO (ČLEN 54(2)(A) UREDBE (EU) ŠT. 514/2014)</w:t>
      </w:r>
      <w:bookmarkEnd w:id="16"/>
    </w:p>
    <w:p w:rsidR="004F1EEC" w:rsidP="007C7090">
      <w:pPr>
        <w:pStyle w:val="Text1"/>
        <w:spacing w:before="0" w:after="0"/>
        <w:ind w:left="0"/>
        <w:rPr>
          <w:lang w:val="fr-BE"/>
        </w:rPr>
      </w:pPr>
    </w:p>
    <w:p w:rsidR="004F1EEC" w:rsidP="007C7090">
      <w:pPr>
        <w:pStyle w:val="Heading2"/>
        <w:numPr>
          <w:ilvl w:val="0"/>
          <w:numId w:val="0"/>
        </w:numPr>
        <w:spacing w:before="0" w:after="0"/>
        <w:rPr>
          <w:lang w:val="fr-BE"/>
        </w:rPr>
      </w:pPr>
      <w:bookmarkStart w:id="17" w:name="_Toc256000017"/>
      <w:r>
        <w:rPr>
          <w:noProof/>
          <w:lang w:val="fr-BE"/>
        </w:rPr>
        <w:t>Preglednica 1. ISF – finančni povzetek za meje, kot je bil prijavljen v Obračunih</w:t>
      </w:r>
      <w:bookmarkEnd w:id="17"/>
    </w:p>
    <w:p w:rsidR="004F1EEC" w:rsidP="007C709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2720"/>
        <w:gridCol w:w="786"/>
        <w:gridCol w:w="2525"/>
        <w:gridCol w:w="786"/>
      </w:tblGrid>
      <w:tr w:rsidTr="006B7AC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6B7AC0" w:rsidRPr="004A389B" w:rsidP="007C7090">
            <w:pPr>
              <w:pStyle w:val="Text1"/>
              <w:spacing w:before="0" w:after="0"/>
              <w:ind w:left="0"/>
              <w:rPr>
                <w:b/>
                <w:sz w:val="20"/>
                <w:szCs w:val="20"/>
                <w:lang w:val="fr-BE"/>
              </w:rPr>
            </w:pPr>
            <w:r w:rsidRPr="004A389B">
              <w:rPr>
                <w:b/>
                <w:noProof/>
                <w:sz w:val="20"/>
                <w:szCs w:val="20"/>
                <w:lang w:val="fr-BE"/>
              </w:rPr>
              <w:t>Nacionalni cilj / Specifični ukrep</w:t>
            </w:r>
          </w:p>
        </w:tc>
        <w:tc>
          <w:tcPr/>
          <w:p w:rsidR="006B7AC0" w:rsidRPr="004A389B" w:rsidP="007C7090">
            <w:pPr>
              <w:pStyle w:val="Text1"/>
              <w:spacing w:before="0" w:after="0"/>
              <w:ind w:left="0"/>
              <w:jc w:val="left"/>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2022</w:t>
            </w:r>
          </w:p>
        </w:tc>
        <w:tc>
          <w:tcPr/>
          <w:p w:rsidR="006B7AC0" w:rsidRPr="004A389B" w:rsidP="007C7090">
            <w:pPr>
              <w:pStyle w:val="Text1"/>
              <w:spacing w:before="0" w:after="0"/>
              <w:ind w:left="0"/>
              <w:jc w:val="center"/>
              <w:rPr>
                <w:b/>
                <w:sz w:val="20"/>
                <w:szCs w:val="20"/>
                <w:lang w:val="fr-BE"/>
              </w:rPr>
            </w:pPr>
            <w:r w:rsidR="008C3550">
              <w:rPr>
                <w:b/>
                <w:sz w:val="20"/>
                <w:szCs w:val="20"/>
                <w:lang w:val="fr-BE"/>
              </w:rPr>
              <w:t>%</w:t>
            </w:r>
          </w:p>
        </w:tc>
        <w:tc>
          <w:tcPr>
            <w:shd w:val="clear" w:color="auto" w:fill="auto"/>
          </w:tcPr>
          <w:p w:rsidR="006B7AC0" w:rsidRPr="004A389B"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shd w:val="clear" w:color="auto" w:fill="auto"/>
          </w:tcPr>
          <w:p w:rsidR="006B7AC0" w:rsidRPr="004A389B" w:rsidP="007C7090">
            <w:pPr>
              <w:pStyle w:val="Text1"/>
              <w:spacing w:before="0" w:after="0"/>
              <w:ind w:left="0"/>
              <w:jc w:val="center"/>
              <w:rPr>
                <w:b/>
                <w:sz w:val="20"/>
                <w:szCs w:val="20"/>
                <w:lang w:val="fr-BE"/>
              </w:rPr>
            </w:pPr>
            <w:r w:rsidRPr="004A389B">
              <w:rPr>
                <w:b/>
                <w:sz w:val="20"/>
                <w:szCs w:val="20"/>
                <w:lang w:val="fr-BE"/>
              </w:rPr>
              <w:t>%</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sz w:val="20"/>
                <w:szCs w:val="20"/>
              </w:rPr>
              <w:t>Posebni cilj1.Nacionalni cilj1 Nacionalne zmogljivosti</w:t>
            </w:r>
          </w:p>
        </w:tc>
        <w:tc>
          <w:tcPr/>
          <w:p w:rsidR="006B7AC0" w:rsidRPr="004A389B" w:rsidP="007C7090">
            <w:pPr>
              <w:pStyle w:val="Text1"/>
              <w:spacing w:before="0" w:after="0"/>
              <w:ind w:left="0"/>
              <w:jc w:val="right"/>
              <w:rPr>
                <w:sz w:val="20"/>
                <w:szCs w:val="20"/>
                <w:lang w:val="fr-BE"/>
              </w:rPr>
            </w:pPr>
            <w:r w:rsidRPr="004A389B">
              <w:rPr>
                <w:noProof/>
                <w:sz w:val="20"/>
                <w:szCs w:val="20"/>
              </w:rPr>
              <w:t>369.556,95</w:t>
            </w:r>
          </w:p>
        </w:tc>
        <w:tc>
          <w:tcPr/>
          <w:p w:rsidR="006B7AC0" w:rsidRPr="004A389B" w:rsidP="007C7090">
            <w:pPr>
              <w:pStyle w:val="Text1"/>
              <w:spacing w:before="0" w:after="0"/>
              <w:ind w:left="0"/>
              <w:jc w:val="right"/>
              <w:rPr>
                <w:sz w:val="20"/>
                <w:szCs w:val="20"/>
                <w:lang w:val="fr-BE"/>
              </w:rPr>
            </w:pPr>
            <w:r w:rsidRPr="004A389B">
              <w:rPr>
                <w:noProof/>
                <w:sz w:val="20"/>
                <w:szCs w:val="20"/>
              </w:rPr>
              <w:t>80,38</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1.644.435,79</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93,49</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sz w:val="20"/>
                <w:szCs w:val="20"/>
              </w:rPr>
              <w:t>Posebni cilj1.Nacionalni cilj2 Pravni red Unije</w:t>
            </w:r>
          </w:p>
        </w:tc>
        <w:tc>
          <w:tcPr/>
          <w:p w:rsidR="006B7AC0" w:rsidRPr="004A389B" w:rsidP="007C7090">
            <w:pPr>
              <w:pStyle w:val="Text1"/>
              <w:spacing w:before="0" w:after="0"/>
              <w:ind w:left="0"/>
              <w:jc w:val="right"/>
              <w:rPr>
                <w:sz w:val="20"/>
                <w:szCs w:val="20"/>
                <w:lang w:val="fr-BE"/>
              </w:rPr>
            </w:pPr>
            <w:r w:rsidRPr="004A389B">
              <w:rPr>
                <w:noProof/>
                <w:sz w:val="20"/>
                <w:szCs w:val="20"/>
              </w:rPr>
              <w:t>90.188,29</w:t>
            </w:r>
          </w:p>
        </w:tc>
        <w:tc>
          <w:tcPr/>
          <w:p w:rsidR="006B7AC0" w:rsidRPr="004A389B" w:rsidP="007C7090">
            <w:pPr>
              <w:pStyle w:val="Text1"/>
              <w:spacing w:before="0" w:after="0"/>
              <w:ind w:left="0"/>
              <w:jc w:val="right"/>
              <w:rPr>
                <w:sz w:val="20"/>
                <w:szCs w:val="20"/>
                <w:lang w:val="fr-BE"/>
              </w:rPr>
            </w:pPr>
            <w:r w:rsidRPr="004A389B">
              <w:rPr>
                <w:noProof/>
                <w:sz w:val="20"/>
                <w:szCs w:val="20"/>
              </w:rPr>
              <w:t>19,62</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114.442,33</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6,51</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b/>
                <w:noProof/>
                <w:sz w:val="20"/>
                <w:szCs w:val="20"/>
              </w:rPr>
              <w:t>SKUPAJ NACIONALNI CILJI / POSEBNI CILJI1</w:t>
            </w:r>
          </w:p>
        </w:tc>
        <w:tc>
          <w:tcPr/>
          <w:p w:rsidR="006B7AC0" w:rsidRPr="004A389B" w:rsidP="007C7090">
            <w:pPr>
              <w:pStyle w:val="Text1"/>
              <w:spacing w:before="0" w:after="0"/>
              <w:ind w:left="0"/>
              <w:jc w:val="right"/>
              <w:rPr>
                <w:sz w:val="20"/>
                <w:szCs w:val="20"/>
                <w:lang w:val="fr-BE"/>
              </w:rPr>
            </w:pPr>
            <w:r w:rsidRPr="004A389B">
              <w:rPr>
                <w:b/>
                <w:noProof/>
                <w:sz w:val="20"/>
                <w:szCs w:val="20"/>
              </w:rPr>
              <w:t>459.745,24</w:t>
            </w:r>
          </w:p>
        </w:tc>
        <w:tc>
          <w:tcPr/>
          <w:p w:rsidR="006B7AC0" w:rsidRPr="004A389B" w:rsidP="007C7090">
            <w:pPr>
              <w:pStyle w:val="Text1"/>
              <w:spacing w:before="0" w:after="0"/>
              <w:ind w:left="0"/>
              <w:jc w:val="right"/>
              <w:rPr>
                <w:sz w:val="20"/>
                <w:szCs w:val="20"/>
                <w:lang w:val="fr-BE"/>
              </w:rPr>
            </w:pPr>
            <w:r w:rsidRPr="004A389B">
              <w:rPr>
                <w:b/>
                <w:noProof/>
                <w:sz w:val="20"/>
                <w:szCs w:val="20"/>
              </w:rPr>
              <w:t>100,00</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1.758.878,12</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100,00</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b/>
                <w:noProof/>
                <w:sz w:val="20"/>
                <w:szCs w:val="20"/>
              </w:rPr>
              <w:t>SKUPAJ Posebni cilj1</w:t>
            </w:r>
          </w:p>
        </w:tc>
        <w:tc>
          <w:tcPr/>
          <w:p w:rsidR="006B7AC0" w:rsidRPr="004A389B" w:rsidP="007C7090">
            <w:pPr>
              <w:pStyle w:val="Text1"/>
              <w:spacing w:before="0" w:after="0"/>
              <w:ind w:left="0"/>
              <w:jc w:val="right"/>
              <w:rPr>
                <w:sz w:val="20"/>
                <w:szCs w:val="20"/>
                <w:lang w:val="fr-BE"/>
              </w:rPr>
            </w:pPr>
            <w:r w:rsidRPr="004A389B">
              <w:rPr>
                <w:b/>
                <w:noProof/>
                <w:sz w:val="20"/>
                <w:szCs w:val="20"/>
              </w:rPr>
              <w:t>459.745,24</w:t>
            </w:r>
          </w:p>
        </w:tc>
        <w:tc>
          <w:tcPr/>
          <w:p w:rsidR="006B7AC0" w:rsidRPr="004A389B" w:rsidP="007C7090">
            <w:pPr>
              <w:pStyle w:val="Text1"/>
              <w:spacing w:before="0" w:after="0"/>
              <w:ind w:left="0"/>
              <w:jc w:val="right"/>
              <w:rPr>
                <w:sz w:val="20"/>
                <w:szCs w:val="20"/>
                <w:lang w:val="fr-BE"/>
              </w:rPr>
            </w:pPr>
            <w:r w:rsidRPr="004A389B">
              <w:rPr>
                <w:b/>
                <w:noProof/>
                <w:sz w:val="20"/>
                <w:szCs w:val="20"/>
              </w:rPr>
              <w:t>8,96</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1.758.878,12</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5,97</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sz w:val="20"/>
                <w:szCs w:val="20"/>
              </w:rPr>
              <w:t>Posebni cilj2.Nacionalni cilj1 EUROSUR</w:t>
            </w:r>
          </w:p>
        </w:tc>
        <w:tc>
          <w:tcPr/>
          <w:p w:rsidR="006B7AC0" w:rsidRPr="004A389B" w:rsidP="007C7090">
            <w:pPr>
              <w:pStyle w:val="Text1"/>
              <w:spacing w:before="0" w:after="0"/>
              <w:ind w:left="0"/>
              <w:jc w:val="right"/>
              <w:rPr>
                <w:sz w:val="20"/>
                <w:szCs w:val="20"/>
                <w:lang w:val="fr-BE"/>
              </w:rPr>
            </w:pPr>
            <w:r w:rsidRPr="004A389B">
              <w:rPr>
                <w:noProof/>
                <w:sz w:val="20"/>
                <w:szCs w:val="20"/>
              </w:rPr>
              <w:t>0,00</w:t>
            </w:r>
          </w:p>
        </w:tc>
        <w:tc>
          <w:tcPr/>
          <w:p w:rsidR="006B7AC0" w:rsidRPr="004A389B" w:rsidP="007C7090">
            <w:pPr>
              <w:pStyle w:val="Text1"/>
              <w:spacing w:before="0" w:after="0"/>
              <w:ind w:left="0"/>
              <w:jc w:val="right"/>
              <w:rPr>
                <w:sz w:val="20"/>
                <w:szCs w:val="20"/>
                <w:lang w:val="fr-BE"/>
              </w:rPr>
            </w:pPr>
            <w:r w:rsidRPr="004A389B">
              <w:rPr>
                <w:noProof/>
                <w:sz w:val="20"/>
                <w:szCs w:val="20"/>
              </w:rPr>
              <w:t>0,00</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965.426,97</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7,39</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sz w:val="20"/>
                <w:szCs w:val="20"/>
              </w:rPr>
              <w:t>Posebni cilj2.Nacionalni cilj2 Izmenjava informacij</w:t>
            </w:r>
          </w:p>
        </w:tc>
        <w:tc>
          <w:tcPr/>
          <w:p w:rsidR="006B7AC0" w:rsidRPr="004A389B" w:rsidP="007C7090">
            <w:pPr>
              <w:pStyle w:val="Text1"/>
              <w:spacing w:before="0" w:after="0"/>
              <w:ind w:left="0"/>
              <w:jc w:val="right"/>
              <w:rPr>
                <w:sz w:val="20"/>
                <w:szCs w:val="20"/>
                <w:lang w:val="fr-BE"/>
              </w:rPr>
            </w:pPr>
            <w:r w:rsidRPr="004A389B">
              <w:rPr>
                <w:noProof/>
                <w:sz w:val="20"/>
                <w:szCs w:val="20"/>
              </w:rPr>
              <w:t>1.290.915,31</w:t>
            </w:r>
          </w:p>
        </w:tc>
        <w:tc>
          <w:tcPr/>
          <w:p w:rsidR="006B7AC0" w:rsidRPr="004A389B" w:rsidP="007C7090">
            <w:pPr>
              <w:pStyle w:val="Text1"/>
              <w:spacing w:before="0" w:after="0"/>
              <w:ind w:left="0"/>
              <w:jc w:val="right"/>
              <w:rPr>
                <w:sz w:val="20"/>
                <w:szCs w:val="20"/>
                <w:lang w:val="fr-BE"/>
              </w:rPr>
            </w:pPr>
            <w:r w:rsidRPr="004A389B">
              <w:rPr>
                <w:noProof/>
                <w:sz w:val="20"/>
                <w:szCs w:val="20"/>
              </w:rPr>
              <w:t>40,24</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1.716.059,37</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13,13</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sz w:val="20"/>
                <w:szCs w:val="20"/>
              </w:rPr>
              <w:t>Posebni cilj2.Nacionalni cilj3 Skupni standardi Unije</w:t>
            </w:r>
          </w:p>
        </w:tc>
        <w:tc>
          <w:tcPr/>
          <w:p w:rsidR="006B7AC0" w:rsidRPr="004A389B" w:rsidP="007C7090">
            <w:pPr>
              <w:pStyle w:val="Text1"/>
              <w:spacing w:before="0" w:after="0"/>
              <w:ind w:left="0"/>
              <w:jc w:val="right"/>
              <w:rPr>
                <w:sz w:val="20"/>
                <w:szCs w:val="20"/>
                <w:lang w:val="fr-BE"/>
              </w:rPr>
            </w:pPr>
            <w:r w:rsidRPr="004A389B">
              <w:rPr>
                <w:noProof/>
                <w:sz w:val="20"/>
                <w:szCs w:val="20"/>
              </w:rPr>
              <w:t>3.647,86</w:t>
            </w:r>
          </w:p>
        </w:tc>
        <w:tc>
          <w:tcPr/>
          <w:p w:rsidR="006B7AC0" w:rsidRPr="004A389B" w:rsidP="007C7090">
            <w:pPr>
              <w:pStyle w:val="Text1"/>
              <w:spacing w:before="0" w:after="0"/>
              <w:ind w:left="0"/>
              <w:jc w:val="right"/>
              <w:rPr>
                <w:sz w:val="20"/>
                <w:szCs w:val="20"/>
                <w:lang w:val="fr-BE"/>
              </w:rPr>
            </w:pPr>
            <w:r w:rsidRPr="004A389B">
              <w:rPr>
                <w:noProof/>
                <w:sz w:val="20"/>
                <w:szCs w:val="20"/>
              </w:rPr>
              <w:t>0,11</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13.950,75</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0,11</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sz w:val="20"/>
                <w:szCs w:val="20"/>
              </w:rPr>
              <w:t>Posebni cilj2.Nacionalni cilj4 Pravni red Unije</w:t>
            </w:r>
          </w:p>
        </w:tc>
        <w:tc>
          <w:tcPr/>
          <w:p w:rsidR="006B7AC0" w:rsidRPr="004A389B" w:rsidP="007C7090">
            <w:pPr>
              <w:pStyle w:val="Text1"/>
              <w:spacing w:before="0" w:after="0"/>
              <w:ind w:left="0"/>
              <w:jc w:val="right"/>
              <w:rPr>
                <w:sz w:val="20"/>
                <w:szCs w:val="20"/>
                <w:lang w:val="fr-BE"/>
              </w:rPr>
            </w:pPr>
            <w:r w:rsidRPr="004A389B">
              <w:rPr>
                <w:noProof/>
                <w:sz w:val="20"/>
                <w:szCs w:val="20"/>
              </w:rPr>
              <w:t>18.144,97</w:t>
            </w:r>
          </w:p>
        </w:tc>
        <w:tc>
          <w:tcPr/>
          <w:p w:rsidR="006B7AC0" w:rsidRPr="004A389B" w:rsidP="007C7090">
            <w:pPr>
              <w:pStyle w:val="Text1"/>
              <w:spacing w:before="0" w:after="0"/>
              <w:ind w:left="0"/>
              <w:jc w:val="right"/>
              <w:rPr>
                <w:sz w:val="20"/>
                <w:szCs w:val="20"/>
                <w:lang w:val="fr-BE"/>
              </w:rPr>
            </w:pPr>
            <w:r w:rsidRPr="004A389B">
              <w:rPr>
                <w:noProof/>
                <w:sz w:val="20"/>
                <w:szCs w:val="20"/>
              </w:rPr>
              <w:t>0,57</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2.543.128,45</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19,46</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sz w:val="20"/>
                <w:szCs w:val="20"/>
              </w:rPr>
              <w:t>Posebni cilj2.Nacionalni cilj5 Prihodnji izzivi</w:t>
            </w:r>
          </w:p>
        </w:tc>
        <w:tc>
          <w:tcPr/>
          <w:p w:rsidR="006B7AC0" w:rsidRPr="004A389B" w:rsidP="007C7090">
            <w:pPr>
              <w:pStyle w:val="Text1"/>
              <w:spacing w:before="0" w:after="0"/>
              <w:ind w:left="0"/>
              <w:jc w:val="right"/>
              <w:rPr>
                <w:sz w:val="20"/>
                <w:szCs w:val="20"/>
                <w:lang w:val="fr-BE"/>
              </w:rPr>
            </w:pPr>
            <w:r w:rsidRPr="004A389B">
              <w:rPr>
                <w:noProof/>
                <w:sz w:val="20"/>
                <w:szCs w:val="20"/>
              </w:rPr>
              <w:t>633.321,03</w:t>
            </w:r>
          </w:p>
        </w:tc>
        <w:tc>
          <w:tcPr/>
          <w:p w:rsidR="006B7AC0" w:rsidRPr="004A389B" w:rsidP="007C7090">
            <w:pPr>
              <w:pStyle w:val="Text1"/>
              <w:spacing w:before="0" w:after="0"/>
              <w:ind w:left="0"/>
              <w:jc w:val="right"/>
              <w:rPr>
                <w:sz w:val="20"/>
                <w:szCs w:val="20"/>
                <w:lang w:val="fr-BE"/>
              </w:rPr>
            </w:pPr>
            <w:r w:rsidRPr="004A389B">
              <w:rPr>
                <w:noProof/>
                <w:sz w:val="20"/>
                <w:szCs w:val="20"/>
              </w:rPr>
              <w:t>19,74</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1.886.809,38</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14,44</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sz w:val="20"/>
                <w:szCs w:val="20"/>
              </w:rPr>
              <w:t>Posebni cilj2.Nacionalni cilj6 Nacionalne zmogljivosti</w:t>
            </w:r>
          </w:p>
        </w:tc>
        <w:tc>
          <w:tcPr/>
          <w:p w:rsidR="006B7AC0" w:rsidRPr="004A389B" w:rsidP="007C7090">
            <w:pPr>
              <w:pStyle w:val="Text1"/>
              <w:spacing w:before="0" w:after="0"/>
              <w:ind w:left="0"/>
              <w:jc w:val="right"/>
              <w:rPr>
                <w:sz w:val="20"/>
                <w:szCs w:val="20"/>
                <w:lang w:val="fr-BE"/>
              </w:rPr>
            </w:pPr>
            <w:r w:rsidRPr="004A389B">
              <w:rPr>
                <w:noProof/>
                <w:sz w:val="20"/>
                <w:szCs w:val="20"/>
              </w:rPr>
              <w:t>1.262.008,42</w:t>
            </w:r>
          </w:p>
        </w:tc>
        <w:tc>
          <w:tcPr/>
          <w:p w:rsidR="006B7AC0" w:rsidRPr="004A389B" w:rsidP="007C7090">
            <w:pPr>
              <w:pStyle w:val="Text1"/>
              <w:spacing w:before="0" w:after="0"/>
              <w:ind w:left="0"/>
              <w:jc w:val="right"/>
              <w:rPr>
                <w:sz w:val="20"/>
                <w:szCs w:val="20"/>
                <w:lang w:val="fr-BE"/>
              </w:rPr>
            </w:pPr>
            <w:r w:rsidRPr="004A389B">
              <w:rPr>
                <w:noProof/>
                <w:sz w:val="20"/>
                <w:szCs w:val="20"/>
              </w:rPr>
              <w:t>39,34</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5.945.554,72</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45,49</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b/>
                <w:noProof/>
                <w:sz w:val="20"/>
                <w:szCs w:val="20"/>
              </w:rPr>
              <w:t>SKUPAJ NACIONALNI CILJI / POSEBNI CILJI2</w:t>
            </w:r>
          </w:p>
        </w:tc>
        <w:tc>
          <w:tcPr/>
          <w:p w:rsidR="006B7AC0" w:rsidRPr="004A389B" w:rsidP="007C7090">
            <w:pPr>
              <w:pStyle w:val="Text1"/>
              <w:spacing w:before="0" w:after="0"/>
              <w:ind w:left="0"/>
              <w:jc w:val="right"/>
              <w:rPr>
                <w:sz w:val="20"/>
                <w:szCs w:val="20"/>
                <w:lang w:val="fr-BE"/>
              </w:rPr>
            </w:pPr>
            <w:r w:rsidRPr="004A389B">
              <w:rPr>
                <w:b/>
                <w:noProof/>
                <w:sz w:val="20"/>
                <w:szCs w:val="20"/>
              </w:rPr>
              <w:t>3.208.037,59</w:t>
            </w:r>
          </w:p>
        </w:tc>
        <w:tc>
          <w:tcPr/>
          <w:p w:rsidR="006B7AC0" w:rsidRPr="004A389B" w:rsidP="007C7090">
            <w:pPr>
              <w:pStyle w:val="Text1"/>
              <w:spacing w:before="0" w:after="0"/>
              <w:ind w:left="0"/>
              <w:jc w:val="right"/>
              <w:rPr>
                <w:sz w:val="20"/>
                <w:szCs w:val="20"/>
                <w:lang w:val="fr-BE"/>
              </w:rPr>
            </w:pPr>
            <w:r w:rsidRPr="004A389B">
              <w:rPr>
                <w:b/>
                <w:noProof/>
                <w:sz w:val="20"/>
                <w:szCs w:val="20"/>
              </w:rPr>
              <w:t>100,00</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13.070.929,64</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100,00</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b/>
                <w:noProof/>
                <w:sz w:val="20"/>
                <w:szCs w:val="20"/>
              </w:rPr>
              <w:t>SKUPAJ Posebni cilj2</w:t>
            </w:r>
          </w:p>
        </w:tc>
        <w:tc>
          <w:tcPr/>
          <w:p w:rsidR="006B7AC0" w:rsidRPr="004A389B" w:rsidP="007C7090">
            <w:pPr>
              <w:pStyle w:val="Text1"/>
              <w:spacing w:before="0" w:after="0"/>
              <w:ind w:left="0"/>
              <w:jc w:val="right"/>
              <w:rPr>
                <w:sz w:val="20"/>
                <w:szCs w:val="20"/>
                <w:lang w:val="fr-BE"/>
              </w:rPr>
            </w:pPr>
            <w:r w:rsidRPr="004A389B">
              <w:rPr>
                <w:b/>
                <w:noProof/>
                <w:sz w:val="20"/>
                <w:szCs w:val="20"/>
              </w:rPr>
              <w:t>3.208.037,59</w:t>
            </w:r>
          </w:p>
        </w:tc>
        <w:tc>
          <w:tcPr/>
          <w:p w:rsidR="006B7AC0" w:rsidRPr="004A389B" w:rsidP="007C7090">
            <w:pPr>
              <w:pStyle w:val="Text1"/>
              <w:spacing w:before="0" w:after="0"/>
              <w:ind w:left="0"/>
              <w:jc w:val="right"/>
              <w:rPr>
                <w:sz w:val="20"/>
                <w:szCs w:val="20"/>
                <w:lang w:val="fr-BE"/>
              </w:rPr>
            </w:pPr>
            <w:r w:rsidRPr="004A389B">
              <w:rPr>
                <w:b/>
                <w:noProof/>
                <w:sz w:val="20"/>
                <w:szCs w:val="20"/>
              </w:rPr>
              <w:t>62,54</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13.070.929,64</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44,34</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sz w:val="20"/>
                <w:szCs w:val="20"/>
              </w:rPr>
              <w:t>Posebni cilj3.Nacionalni cilj1 Operativna podpora za vizume</w:t>
            </w:r>
          </w:p>
        </w:tc>
        <w:tc>
          <w:tcPr/>
          <w:p w:rsidR="006B7AC0" w:rsidRPr="004A389B" w:rsidP="007C7090">
            <w:pPr>
              <w:pStyle w:val="Text1"/>
              <w:spacing w:before="0" w:after="0"/>
              <w:ind w:left="0"/>
              <w:jc w:val="right"/>
              <w:rPr>
                <w:sz w:val="20"/>
                <w:szCs w:val="20"/>
                <w:lang w:val="fr-BE"/>
              </w:rPr>
            </w:pPr>
            <w:r w:rsidRPr="004A389B">
              <w:rPr>
                <w:noProof/>
                <w:sz w:val="20"/>
                <w:szCs w:val="20"/>
              </w:rPr>
              <w:t>858.065,27</w:t>
            </w:r>
          </w:p>
        </w:tc>
        <w:tc>
          <w:tcPr/>
          <w:p w:rsidR="006B7AC0" w:rsidRPr="004A389B" w:rsidP="007C7090">
            <w:pPr>
              <w:pStyle w:val="Text1"/>
              <w:spacing w:before="0" w:after="0"/>
              <w:ind w:left="0"/>
              <w:jc w:val="right"/>
              <w:rPr>
                <w:sz w:val="20"/>
                <w:szCs w:val="20"/>
                <w:lang w:val="fr-BE"/>
              </w:rPr>
            </w:pPr>
            <w:r w:rsidRPr="004A389B">
              <w:rPr>
                <w:noProof/>
                <w:sz w:val="20"/>
                <w:szCs w:val="20"/>
              </w:rPr>
              <w:t>58,72</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3.175.688,36</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23,27</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sz w:val="20"/>
                <w:szCs w:val="20"/>
              </w:rPr>
              <w:t>Posebni cilj3.Nacionalni cilj2 Operativna podpora za meje</w:t>
            </w:r>
          </w:p>
        </w:tc>
        <w:tc>
          <w:tcPr/>
          <w:p w:rsidR="006B7AC0" w:rsidRPr="004A389B" w:rsidP="007C7090">
            <w:pPr>
              <w:pStyle w:val="Text1"/>
              <w:spacing w:before="0" w:after="0"/>
              <w:ind w:left="0"/>
              <w:jc w:val="right"/>
              <w:rPr>
                <w:sz w:val="20"/>
                <w:szCs w:val="20"/>
                <w:lang w:val="fr-BE"/>
              </w:rPr>
            </w:pPr>
            <w:r w:rsidRPr="004A389B">
              <w:rPr>
                <w:noProof/>
                <w:sz w:val="20"/>
                <w:szCs w:val="20"/>
              </w:rPr>
              <w:t>603.341,38</w:t>
            </w:r>
          </w:p>
        </w:tc>
        <w:tc>
          <w:tcPr/>
          <w:p w:rsidR="006B7AC0" w:rsidRPr="004A389B" w:rsidP="007C7090">
            <w:pPr>
              <w:pStyle w:val="Text1"/>
              <w:spacing w:before="0" w:after="0"/>
              <w:ind w:left="0"/>
              <w:jc w:val="right"/>
              <w:rPr>
                <w:sz w:val="20"/>
                <w:szCs w:val="20"/>
                <w:lang w:val="fr-BE"/>
              </w:rPr>
            </w:pPr>
            <w:r w:rsidRPr="004A389B">
              <w:rPr>
                <w:noProof/>
                <w:sz w:val="20"/>
                <w:szCs w:val="20"/>
              </w:rPr>
              <w:t>41,28</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10.472.852,76</w:t>
            </w:r>
          </w:p>
        </w:tc>
        <w:tc>
          <w:tcPr>
            <w:shd w:val="clear" w:color="auto" w:fill="auto"/>
          </w:tcPr>
          <w:p w:rsidR="006B7AC0" w:rsidRPr="004A389B" w:rsidP="007C7090">
            <w:pPr>
              <w:pStyle w:val="Text1"/>
              <w:spacing w:before="0" w:after="0"/>
              <w:ind w:left="0"/>
              <w:jc w:val="right"/>
              <w:rPr>
                <w:sz w:val="20"/>
                <w:szCs w:val="20"/>
                <w:lang w:val="fr-BE"/>
              </w:rPr>
            </w:pPr>
            <w:r w:rsidRPr="004A389B">
              <w:rPr>
                <w:noProof/>
                <w:sz w:val="20"/>
                <w:szCs w:val="20"/>
              </w:rPr>
              <w:t>76,73</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b/>
                <w:noProof/>
                <w:sz w:val="20"/>
                <w:szCs w:val="20"/>
              </w:rPr>
              <w:t>SKUPAJ NACIONALNI CILJI / POSEBNI CILJI3</w:t>
            </w:r>
          </w:p>
        </w:tc>
        <w:tc>
          <w:tcPr/>
          <w:p w:rsidR="006B7AC0" w:rsidRPr="004A389B" w:rsidP="007C7090">
            <w:pPr>
              <w:pStyle w:val="Text1"/>
              <w:spacing w:before="0" w:after="0"/>
              <w:ind w:left="0"/>
              <w:jc w:val="right"/>
              <w:rPr>
                <w:sz w:val="20"/>
                <w:szCs w:val="20"/>
                <w:lang w:val="fr-BE"/>
              </w:rPr>
            </w:pPr>
            <w:r w:rsidRPr="004A389B">
              <w:rPr>
                <w:b/>
                <w:noProof/>
                <w:sz w:val="20"/>
                <w:szCs w:val="20"/>
              </w:rPr>
              <w:t>1.461.406,65</w:t>
            </w:r>
          </w:p>
        </w:tc>
        <w:tc>
          <w:tcPr/>
          <w:p w:rsidR="006B7AC0" w:rsidRPr="004A389B" w:rsidP="007C7090">
            <w:pPr>
              <w:pStyle w:val="Text1"/>
              <w:spacing w:before="0" w:after="0"/>
              <w:ind w:left="0"/>
              <w:jc w:val="right"/>
              <w:rPr>
                <w:sz w:val="20"/>
                <w:szCs w:val="20"/>
                <w:lang w:val="fr-BE"/>
              </w:rPr>
            </w:pPr>
            <w:r w:rsidRPr="004A389B">
              <w:rPr>
                <w:b/>
                <w:noProof/>
                <w:sz w:val="20"/>
                <w:szCs w:val="20"/>
              </w:rPr>
              <w:t>100,00</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13.648.541,12</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100,00</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b/>
                <w:noProof/>
                <w:sz w:val="20"/>
                <w:szCs w:val="20"/>
              </w:rPr>
              <w:t>SKUPAJ Posebni cilj3</w:t>
            </w:r>
          </w:p>
        </w:tc>
        <w:tc>
          <w:tcPr/>
          <w:p w:rsidR="006B7AC0" w:rsidRPr="004A389B" w:rsidP="007C7090">
            <w:pPr>
              <w:pStyle w:val="Text1"/>
              <w:spacing w:before="0" w:after="0"/>
              <w:ind w:left="0"/>
              <w:jc w:val="right"/>
              <w:rPr>
                <w:sz w:val="20"/>
                <w:szCs w:val="20"/>
                <w:lang w:val="fr-BE"/>
              </w:rPr>
            </w:pPr>
            <w:r w:rsidRPr="004A389B">
              <w:rPr>
                <w:b/>
                <w:noProof/>
                <w:sz w:val="20"/>
                <w:szCs w:val="20"/>
              </w:rPr>
              <w:t>1.461.406,65</w:t>
            </w:r>
          </w:p>
        </w:tc>
        <w:tc>
          <w:tcPr/>
          <w:p w:rsidR="006B7AC0" w:rsidRPr="004A389B" w:rsidP="007C7090">
            <w:pPr>
              <w:pStyle w:val="Text1"/>
              <w:spacing w:before="0" w:after="0"/>
              <w:ind w:left="0"/>
              <w:jc w:val="right"/>
              <w:rPr>
                <w:sz w:val="20"/>
                <w:szCs w:val="20"/>
                <w:lang w:val="fr-BE"/>
              </w:rPr>
            </w:pPr>
            <w:r w:rsidRPr="004A389B">
              <w:rPr>
                <w:b/>
                <w:noProof/>
                <w:sz w:val="20"/>
                <w:szCs w:val="20"/>
              </w:rPr>
              <w:t>28,49</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13.648.541,12</w:t>
            </w: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46,30</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b/>
                <w:noProof/>
                <w:sz w:val="20"/>
                <w:szCs w:val="20"/>
              </w:rPr>
              <w:t>TOTAL</w:t>
            </w:r>
          </w:p>
        </w:tc>
        <w:tc>
          <w:tcPr/>
          <w:p w:rsidR="006B7AC0" w:rsidRPr="004A389B" w:rsidP="007C7090">
            <w:pPr>
              <w:pStyle w:val="Text1"/>
              <w:spacing w:before="0" w:after="0"/>
              <w:ind w:left="0"/>
              <w:jc w:val="right"/>
              <w:rPr>
                <w:sz w:val="20"/>
                <w:szCs w:val="20"/>
                <w:lang w:val="fr-BE"/>
              </w:rPr>
            </w:pPr>
            <w:r w:rsidRPr="004A389B">
              <w:rPr>
                <w:b/>
                <w:noProof/>
                <w:sz w:val="20"/>
                <w:szCs w:val="20"/>
              </w:rPr>
              <w:t>5.129.189,48</w:t>
            </w:r>
          </w:p>
        </w:tc>
        <w:tc>
          <w:tcPr/>
          <w:p w:rsidR="006B7AC0" w:rsidRPr="004A389B" w:rsidP="007C7090">
            <w:pPr>
              <w:pStyle w:val="Text1"/>
              <w:spacing w:before="0" w:after="0"/>
              <w:ind w:left="0"/>
              <w:jc w:val="right"/>
              <w:rPr>
                <w:sz w:val="20"/>
                <w:szCs w:val="20"/>
                <w:lang w:val="fr-BE"/>
              </w:rPr>
            </w:pPr>
          </w:p>
        </w:tc>
        <w:tc>
          <w:tcPr>
            <w:shd w:val="clear" w:color="auto" w:fill="auto"/>
          </w:tcPr>
          <w:p w:rsidR="006B7AC0" w:rsidRPr="004A389B" w:rsidP="007C7090">
            <w:pPr>
              <w:pStyle w:val="Text1"/>
              <w:spacing w:before="0" w:after="0"/>
              <w:ind w:left="0"/>
              <w:jc w:val="right"/>
              <w:rPr>
                <w:sz w:val="20"/>
                <w:szCs w:val="20"/>
                <w:lang w:val="fr-BE"/>
              </w:rPr>
            </w:pPr>
            <w:r w:rsidRPr="004A389B">
              <w:rPr>
                <w:b/>
                <w:noProof/>
                <w:sz w:val="20"/>
                <w:szCs w:val="20"/>
              </w:rPr>
              <w:t>29.476.390,15</w:t>
            </w:r>
          </w:p>
        </w:tc>
        <w:tc>
          <w:tcPr>
            <w:shd w:val="clear" w:color="auto" w:fill="auto"/>
          </w:tcPr>
          <w:p w:rsidR="006B7AC0" w:rsidRPr="004A389B" w:rsidP="007C7090">
            <w:pPr>
              <w:pStyle w:val="Text1"/>
              <w:spacing w:before="0" w:after="0"/>
              <w:ind w:left="0"/>
              <w:jc w:val="right"/>
              <w:rPr>
                <w:sz w:val="20"/>
                <w:szCs w:val="20"/>
                <w:lang w:val="fr-BE"/>
              </w:rPr>
            </w:pP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color w:val="FF0000"/>
                <w:sz w:val="20"/>
                <w:szCs w:val="20"/>
              </w:rPr>
              <w:t>PC1.NC1 + PC2.NC6 + PC3 / Osnovna dodelitev iz ISF–B</w:t>
            </w:r>
          </w:p>
        </w:tc>
        <w:tc>
          <w:tcPr/>
          <w:p w:rsidR="006B7AC0" w:rsidRPr="004A389B" w:rsidP="007C7090">
            <w:pPr>
              <w:pStyle w:val="Text1"/>
              <w:spacing w:before="0" w:after="0"/>
              <w:ind w:left="0"/>
              <w:jc w:val="right"/>
              <w:rPr>
                <w:sz w:val="20"/>
                <w:szCs w:val="20"/>
                <w:lang w:val="fr-BE"/>
              </w:rPr>
            </w:pPr>
          </w:p>
        </w:tc>
        <w:tc>
          <w:tcPr/>
          <w:p w:rsidR="006B7AC0" w:rsidRPr="004A389B" w:rsidP="007C7090">
            <w:pPr>
              <w:pStyle w:val="Text1"/>
              <w:spacing w:before="0" w:after="0"/>
              <w:ind w:left="0"/>
              <w:jc w:val="right"/>
              <w:rPr>
                <w:sz w:val="20"/>
                <w:szCs w:val="20"/>
                <w:lang w:val="fr-BE"/>
              </w:rPr>
            </w:pPr>
            <w:r>
              <w:rPr>
                <w:noProof/>
                <w:color w:val="FF0000"/>
                <w:sz w:val="20"/>
                <w:szCs w:val="20"/>
              </w:rPr>
              <w:t>6,64</w:t>
            </w:r>
          </w:p>
        </w:tc>
        <w:tc>
          <w:tcPr>
            <w:shd w:val="clear" w:color="auto" w:fill="auto"/>
          </w:tcPr>
          <w:p w:rsidR="006B7AC0" w:rsidRPr="004A389B" w:rsidP="007C7090">
            <w:pPr>
              <w:pStyle w:val="Text1"/>
              <w:spacing w:before="0" w:after="0"/>
              <w:ind w:left="0"/>
              <w:jc w:val="right"/>
              <w:rPr>
                <w:sz w:val="20"/>
                <w:szCs w:val="20"/>
                <w:lang w:val="fr-BE"/>
              </w:rPr>
            </w:pPr>
          </w:p>
        </w:tc>
        <w:tc>
          <w:tcPr>
            <w:shd w:val="clear" w:color="auto" w:fill="auto"/>
          </w:tcPr>
          <w:p w:rsidR="006B7AC0" w:rsidRPr="004A389B" w:rsidP="007C7090">
            <w:pPr>
              <w:pStyle w:val="Text1"/>
              <w:spacing w:before="0" w:after="0"/>
              <w:ind w:left="0"/>
              <w:jc w:val="right"/>
              <w:rPr>
                <w:sz w:val="20"/>
                <w:szCs w:val="20"/>
                <w:lang w:val="fr-BE"/>
              </w:rPr>
            </w:pPr>
            <w:r w:rsidRPr="004A389B">
              <w:rPr>
                <w:noProof/>
                <w:color w:val="FF0000"/>
                <w:sz w:val="20"/>
                <w:szCs w:val="20"/>
              </w:rPr>
              <w:t>45,63</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color w:val="FF0000"/>
                <w:sz w:val="20"/>
                <w:szCs w:val="20"/>
              </w:rPr>
              <w:t>PC2.NC1 / Osnovna dodelitev iz ISF–B</w:t>
            </w:r>
          </w:p>
        </w:tc>
        <w:tc>
          <w:tcPr/>
          <w:p w:rsidR="006B7AC0" w:rsidRPr="004A389B" w:rsidP="007C7090">
            <w:pPr>
              <w:pStyle w:val="Text1"/>
              <w:spacing w:before="0" w:after="0"/>
              <w:ind w:left="0"/>
              <w:jc w:val="right"/>
              <w:rPr>
                <w:sz w:val="20"/>
                <w:szCs w:val="20"/>
                <w:lang w:val="fr-BE"/>
              </w:rPr>
            </w:pPr>
          </w:p>
        </w:tc>
        <w:tc>
          <w:tcPr/>
          <w:p w:rsidR="006B7AC0" w:rsidRPr="004A389B" w:rsidP="007C7090">
            <w:pPr>
              <w:pStyle w:val="Text1"/>
              <w:spacing w:before="0" w:after="0"/>
              <w:ind w:left="0"/>
              <w:jc w:val="right"/>
              <w:rPr>
                <w:sz w:val="20"/>
                <w:szCs w:val="20"/>
                <w:lang w:val="fr-BE"/>
              </w:rPr>
            </w:pPr>
            <w:r>
              <w:rPr>
                <w:noProof/>
                <w:color w:val="FF0000"/>
                <w:sz w:val="20"/>
                <w:szCs w:val="20"/>
              </w:rPr>
              <w:t>0,00</w:t>
            </w:r>
          </w:p>
        </w:tc>
        <w:tc>
          <w:tcPr>
            <w:shd w:val="clear" w:color="auto" w:fill="auto"/>
          </w:tcPr>
          <w:p w:rsidR="006B7AC0" w:rsidRPr="004A389B" w:rsidP="007C7090">
            <w:pPr>
              <w:pStyle w:val="Text1"/>
              <w:spacing w:before="0" w:after="0"/>
              <w:ind w:left="0"/>
              <w:jc w:val="right"/>
              <w:rPr>
                <w:sz w:val="20"/>
                <w:szCs w:val="20"/>
                <w:lang w:val="fr-BE"/>
              </w:rPr>
            </w:pPr>
          </w:p>
        </w:tc>
        <w:tc>
          <w:tcPr>
            <w:shd w:val="clear" w:color="auto" w:fill="auto"/>
          </w:tcPr>
          <w:p w:rsidR="006B7AC0" w:rsidRPr="004A389B" w:rsidP="007C7090">
            <w:pPr>
              <w:pStyle w:val="Text1"/>
              <w:spacing w:before="0" w:after="0"/>
              <w:ind w:left="0"/>
              <w:jc w:val="right"/>
              <w:rPr>
                <w:sz w:val="20"/>
                <w:szCs w:val="20"/>
                <w:lang w:val="fr-BE"/>
              </w:rPr>
            </w:pPr>
            <w:r w:rsidRPr="004A389B">
              <w:rPr>
                <w:noProof/>
                <w:color w:val="FF0000"/>
                <w:sz w:val="20"/>
                <w:szCs w:val="20"/>
              </w:rPr>
              <w:t>2,07</w:t>
            </w:r>
          </w:p>
        </w:tc>
      </w:tr>
      <w:tr w:rsidTr="006B7AC0">
        <w:tblPrEx>
          <w:tblW w:w="5000" w:type="pct"/>
          <w:tblLook w:val="04A0"/>
        </w:tblPrEx>
        <w:tc>
          <w:tcPr>
            <w:shd w:val="clear" w:color="auto" w:fill="auto"/>
          </w:tcPr>
          <w:p w:rsidR="006B7AC0" w:rsidRPr="004A389B" w:rsidP="007C7090">
            <w:pPr>
              <w:pStyle w:val="Text1"/>
              <w:spacing w:before="0" w:after="0"/>
              <w:ind w:left="0"/>
              <w:rPr>
                <w:sz w:val="20"/>
                <w:szCs w:val="20"/>
                <w:lang w:val="fr-BE"/>
              </w:rPr>
            </w:pPr>
            <w:r w:rsidRPr="004A389B">
              <w:rPr>
                <w:noProof/>
                <w:color w:val="FF0000"/>
                <w:sz w:val="20"/>
                <w:szCs w:val="20"/>
              </w:rPr>
              <w:t>PC1.NC3 + PC2.NC2 + PC2.NC3 / Osnovna dodelitev iz ISF–B</w:t>
            </w:r>
          </w:p>
        </w:tc>
        <w:tc>
          <w:tcPr/>
          <w:p w:rsidR="006B7AC0" w:rsidRPr="004A389B" w:rsidP="007C7090">
            <w:pPr>
              <w:pStyle w:val="Text1"/>
              <w:spacing w:before="0" w:after="0"/>
              <w:ind w:left="0"/>
              <w:jc w:val="right"/>
              <w:rPr>
                <w:sz w:val="20"/>
                <w:szCs w:val="20"/>
                <w:lang w:val="fr-BE"/>
              </w:rPr>
            </w:pPr>
          </w:p>
        </w:tc>
        <w:tc>
          <w:tcPr/>
          <w:p w:rsidR="006B7AC0" w:rsidRPr="004A389B" w:rsidP="007C7090">
            <w:pPr>
              <w:pStyle w:val="Text1"/>
              <w:spacing w:before="0" w:after="0"/>
              <w:ind w:left="0"/>
              <w:jc w:val="right"/>
              <w:rPr>
                <w:sz w:val="20"/>
                <w:szCs w:val="20"/>
                <w:lang w:val="fr-BE"/>
              </w:rPr>
            </w:pPr>
            <w:r>
              <w:rPr>
                <w:noProof/>
                <w:color w:val="FF0000"/>
                <w:sz w:val="20"/>
                <w:szCs w:val="20"/>
              </w:rPr>
              <w:t>2,78</w:t>
            </w:r>
          </w:p>
        </w:tc>
        <w:tc>
          <w:tcPr>
            <w:shd w:val="clear" w:color="auto" w:fill="auto"/>
          </w:tcPr>
          <w:p w:rsidR="006B7AC0" w:rsidRPr="004A389B" w:rsidP="007C7090">
            <w:pPr>
              <w:pStyle w:val="Text1"/>
              <w:spacing w:before="0" w:after="0"/>
              <w:ind w:left="0"/>
              <w:jc w:val="right"/>
              <w:rPr>
                <w:sz w:val="20"/>
                <w:szCs w:val="20"/>
                <w:lang w:val="fr-BE"/>
              </w:rPr>
            </w:pPr>
          </w:p>
        </w:tc>
        <w:tc>
          <w:tcPr>
            <w:shd w:val="clear" w:color="auto" w:fill="auto"/>
          </w:tcPr>
          <w:p w:rsidR="006B7AC0" w:rsidRPr="004A389B" w:rsidP="007C7090">
            <w:pPr>
              <w:pStyle w:val="Text1"/>
              <w:spacing w:before="0" w:after="0"/>
              <w:ind w:left="0"/>
              <w:jc w:val="right"/>
              <w:rPr>
                <w:sz w:val="20"/>
                <w:szCs w:val="20"/>
                <w:lang w:val="fr-BE"/>
              </w:rPr>
            </w:pPr>
            <w:r w:rsidRPr="004A389B">
              <w:rPr>
                <w:noProof/>
                <w:color w:val="FF0000"/>
                <w:sz w:val="20"/>
                <w:szCs w:val="20"/>
              </w:rPr>
              <w:t>3,72</w:t>
            </w:r>
          </w:p>
        </w:tc>
      </w:tr>
    </w:tbl>
    <w:p w:rsidR="004F1EEC" w:rsidP="007C7090">
      <w:pPr>
        <w:pStyle w:val="Text1"/>
        <w:spacing w:before="0" w:after="0"/>
        <w:ind w:left="0"/>
        <w:rPr>
          <w:lang w:val="fr-BE"/>
        </w:rPr>
      </w:pPr>
    </w:p>
    <w:p w:rsidR="004F1EEC" w:rsidP="007C7090">
      <w:pPr>
        <w:pStyle w:val="Heading2"/>
        <w:numPr>
          <w:ilvl w:val="0"/>
          <w:numId w:val="0"/>
        </w:numPr>
        <w:spacing w:before="0" w:after="0"/>
        <w:rPr>
          <w:lang w:val="fr-BE"/>
        </w:rPr>
      </w:pPr>
      <w:r>
        <w:rPr>
          <w:lang w:val="fr-BE"/>
        </w:rPr>
        <w:br w:type="page"/>
      </w:r>
      <w:bookmarkStart w:id="18" w:name="_Toc256000018"/>
      <w:r>
        <w:rPr>
          <w:noProof/>
          <w:lang w:val="fr-BE"/>
        </w:rPr>
        <w:t>Preglednica 2. ISF – finančni povzetek za policijo, kot je bil prijavljen v Obračunih</w:t>
      </w:r>
      <w:bookmarkEnd w:id="18"/>
    </w:p>
    <w:p w:rsidR="004F1EEC" w:rsidP="007C709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3"/>
        <w:gridCol w:w="2660"/>
        <w:gridCol w:w="786"/>
        <w:gridCol w:w="2446"/>
        <w:gridCol w:w="686"/>
      </w:tblGrid>
      <w:tr w:rsidTr="00045D3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045D3D" w:rsidRPr="004A389B" w:rsidP="007C7090">
            <w:pPr>
              <w:pStyle w:val="Text1"/>
              <w:spacing w:before="0" w:after="0"/>
              <w:ind w:left="0"/>
              <w:jc w:val="left"/>
              <w:rPr>
                <w:b/>
                <w:sz w:val="20"/>
                <w:szCs w:val="20"/>
                <w:lang w:val="fr-BE"/>
              </w:rPr>
            </w:pPr>
            <w:r w:rsidRPr="004A389B">
              <w:rPr>
                <w:b/>
                <w:noProof/>
                <w:sz w:val="20"/>
                <w:szCs w:val="20"/>
                <w:lang w:val="fr-BE"/>
              </w:rPr>
              <w:t>Nacionalni cilj / Specifični ukrep</w:t>
            </w:r>
          </w:p>
        </w:tc>
        <w:tc>
          <w:tcPr/>
          <w:p w:rsidR="00045D3D" w:rsidRPr="004A389B" w:rsidP="007C7090">
            <w:pPr>
              <w:pStyle w:val="Text1"/>
              <w:spacing w:before="0" w:after="0"/>
              <w:ind w:left="0"/>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2022</w:t>
            </w:r>
          </w:p>
        </w:tc>
        <w:tc>
          <w:tcPr/>
          <w:p w:rsidR="00045D3D" w:rsidRPr="004A389B" w:rsidP="007C7090">
            <w:pPr>
              <w:pStyle w:val="Text1"/>
              <w:spacing w:before="0" w:after="0"/>
              <w:ind w:left="0"/>
              <w:jc w:val="center"/>
              <w:rPr>
                <w:b/>
                <w:sz w:val="20"/>
                <w:szCs w:val="20"/>
                <w:lang w:val="fr-BE"/>
              </w:rPr>
            </w:pPr>
            <w:r>
              <w:rPr>
                <w:b/>
                <w:sz w:val="20"/>
                <w:szCs w:val="20"/>
                <w:lang w:val="fr-BE"/>
              </w:rPr>
              <w:t>%</w:t>
            </w:r>
          </w:p>
        </w:tc>
        <w:tc>
          <w:tcPr>
            <w:shd w:val="clear" w:color="auto" w:fill="auto"/>
          </w:tcPr>
          <w:p w:rsidR="00045D3D" w:rsidRPr="004A389B"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shd w:val="clear" w:color="auto" w:fill="auto"/>
          </w:tcPr>
          <w:p w:rsidR="00045D3D" w:rsidRPr="004A389B" w:rsidP="007C7090">
            <w:pPr>
              <w:pStyle w:val="Text1"/>
              <w:spacing w:before="0" w:after="0"/>
              <w:ind w:left="0"/>
              <w:jc w:val="center"/>
              <w:rPr>
                <w:b/>
                <w:sz w:val="20"/>
                <w:szCs w:val="20"/>
                <w:lang w:val="fr-BE"/>
              </w:rPr>
            </w:pPr>
            <w:r w:rsidRPr="004A389B">
              <w:rPr>
                <w:b/>
                <w:sz w:val="20"/>
                <w:szCs w:val="20"/>
                <w:lang w:val="fr-BE"/>
              </w:rPr>
              <w:t>%</w:t>
            </w: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noProof/>
                <w:sz w:val="20"/>
                <w:szCs w:val="20"/>
              </w:rPr>
              <w:t>Posebni cilj5.Nacionalni cilj1 Kriminal – preprečevanje in boj</w:t>
            </w:r>
          </w:p>
        </w:tc>
        <w:tc>
          <w:tcPr/>
          <w:p w:rsidR="00045D3D" w:rsidRPr="004A389B" w:rsidP="007C7090">
            <w:pPr>
              <w:pStyle w:val="Text1"/>
              <w:spacing w:before="0" w:after="0"/>
              <w:ind w:left="0"/>
              <w:jc w:val="right"/>
              <w:rPr>
                <w:sz w:val="20"/>
                <w:szCs w:val="20"/>
                <w:lang w:val="fr-BE"/>
              </w:rPr>
            </w:pPr>
            <w:r w:rsidRPr="004A389B">
              <w:rPr>
                <w:noProof/>
                <w:sz w:val="20"/>
                <w:szCs w:val="20"/>
              </w:rPr>
              <w:t>712.511,08</w:t>
            </w:r>
          </w:p>
        </w:tc>
        <w:tc>
          <w:tcPr/>
          <w:p w:rsidR="00045D3D" w:rsidRPr="004A389B" w:rsidP="007C7090">
            <w:pPr>
              <w:pStyle w:val="Text1"/>
              <w:spacing w:before="0" w:after="0"/>
              <w:ind w:left="0"/>
              <w:jc w:val="right"/>
              <w:rPr>
                <w:sz w:val="20"/>
                <w:szCs w:val="20"/>
                <w:lang w:val="fr-BE"/>
              </w:rPr>
            </w:pPr>
            <w:r>
              <w:rPr>
                <w:noProof/>
                <w:sz w:val="20"/>
                <w:szCs w:val="20"/>
              </w:rPr>
              <w:t>61,10</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4.419.215,92</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52,85</w:t>
            </w: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noProof/>
                <w:sz w:val="20"/>
                <w:szCs w:val="20"/>
              </w:rPr>
              <w:t>Posebni cilj5.Nacionalni cilj2 Kriminal – izmenjava informacij</w:t>
            </w:r>
          </w:p>
        </w:tc>
        <w:tc>
          <w:tcPr/>
          <w:p w:rsidR="00045D3D" w:rsidRPr="004A389B" w:rsidP="007C7090">
            <w:pPr>
              <w:pStyle w:val="Text1"/>
              <w:spacing w:before="0" w:after="0"/>
              <w:ind w:left="0"/>
              <w:jc w:val="right"/>
              <w:rPr>
                <w:sz w:val="20"/>
                <w:szCs w:val="20"/>
                <w:lang w:val="fr-BE"/>
              </w:rPr>
            </w:pPr>
            <w:r w:rsidRPr="004A389B">
              <w:rPr>
                <w:noProof/>
                <w:sz w:val="20"/>
                <w:szCs w:val="20"/>
              </w:rPr>
              <w:t>329.343,30</w:t>
            </w:r>
          </w:p>
        </w:tc>
        <w:tc>
          <w:tcPr/>
          <w:p w:rsidR="00045D3D" w:rsidRPr="004A389B" w:rsidP="007C7090">
            <w:pPr>
              <w:pStyle w:val="Text1"/>
              <w:spacing w:before="0" w:after="0"/>
              <w:ind w:left="0"/>
              <w:jc w:val="right"/>
              <w:rPr>
                <w:sz w:val="20"/>
                <w:szCs w:val="20"/>
                <w:lang w:val="fr-BE"/>
              </w:rPr>
            </w:pPr>
            <w:r>
              <w:rPr>
                <w:noProof/>
                <w:sz w:val="20"/>
                <w:szCs w:val="20"/>
              </w:rPr>
              <w:t>28,24</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3.161.253,80</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37,80</w:t>
            </w: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noProof/>
                <w:sz w:val="20"/>
                <w:szCs w:val="20"/>
              </w:rPr>
              <w:t>Posebni cilj5.Nacionalni cilj3 Kriminal – usposabljanje</w:t>
            </w:r>
          </w:p>
        </w:tc>
        <w:tc>
          <w:tcPr/>
          <w:p w:rsidR="00045D3D" w:rsidRPr="004A389B" w:rsidP="007C7090">
            <w:pPr>
              <w:pStyle w:val="Text1"/>
              <w:spacing w:before="0" w:after="0"/>
              <w:ind w:left="0"/>
              <w:jc w:val="right"/>
              <w:rPr>
                <w:sz w:val="20"/>
                <w:szCs w:val="20"/>
                <w:lang w:val="fr-BE"/>
              </w:rPr>
            </w:pPr>
            <w:r w:rsidRPr="004A389B">
              <w:rPr>
                <w:noProof/>
                <w:sz w:val="20"/>
                <w:szCs w:val="20"/>
              </w:rPr>
              <w:t>124.290,91</w:t>
            </w:r>
          </w:p>
        </w:tc>
        <w:tc>
          <w:tcPr/>
          <w:p w:rsidR="00045D3D" w:rsidRPr="004A389B" w:rsidP="007C7090">
            <w:pPr>
              <w:pStyle w:val="Text1"/>
              <w:spacing w:before="0" w:after="0"/>
              <w:ind w:left="0"/>
              <w:jc w:val="right"/>
              <w:rPr>
                <w:sz w:val="20"/>
                <w:szCs w:val="20"/>
                <w:lang w:val="fr-BE"/>
              </w:rPr>
            </w:pPr>
            <w:r>
              <w:rPr>
                <w:noProof/>
                <w:sz w:val="20"/>
                <w:szCs w:val="20"/>
              </w:rPr>
              <w:t>10,66</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757.952,20</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9,06</w:t>
            </w: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noProof/>
                <w:sz w:val="20"/>
                <w:szCs w:val="20"/>
              </w:rPr>
              <w:t>Posebni cilj5.Nacionalni cilj4 Kriminal – podpora žrtvam</w:t>
            </w:r>
          </w:p>
        </w:tc>
        <w:tc>
          <w:tcPr/>
          <w:p w:rsidR="00045D3D" w:rsidRPr="004A389B" w:rsidP="007C7090">
            <w:pPr>
              <w:pStyle w:val="Text1"/>
              <w:spacing w:before="0" w:after="0"/>
              <w:ind w:left="0"/>
              <w:jc w:val="right"/>
              <w:rPr>
                <w:sz w:val="20"/>
                <w:szCs w:val="20"/>
                <w:lang w:val="fr-BE"/>
              </w:rPr>
            </w:pPr>
            <w:r w:rsidRPr="004A389B">
              <w:rPr>
                <w:noProof/>
                <w:sz w:val="20"/>
                <w:szCs w:val="20"/>
              </w:rPr>
              <w:t>0,00</w:t>
            </w:r>
          </w:p>
        </w:tc>
        <w:tc>
          <w:tcPr/>
          <w:p w:rsidR="00045D3D" w:rsidRPr="004A389B" w:rsidP="007C7090">
            <w:pPr>
              <w:pStyle w:val="Text1"/>
              <w:spacing w:before="0" w:after="0"/>
              <w:ind w:left="0"/>
              <w:jc w:val="right"/>
              <w:rPr>
                <w:sz w:val="20"/>
                <w:szCs w:val="20"/>
                <w:lang w:val="fr-BE"/>
              </w:rPr>
            </w:pPr>
            <w:r>
              <w:rPr>
                <w:noProof/>
                <w:sz w:val="20"/>
                <w:szCs w:val="20"/>
              </w:rPr>
              <w:t>0,00</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23.853,84</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0,29</w:t>
            </w: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b/>
                <w:noProof/>
                <w:sz w:val="20"/>
                <w:szCs w:val="20"/>
              </w:rPr>
              <w:t>SKUPAJ Posebni cilj5</w:t>
            </w:r>
          </w:p>
        </w:tc>
        <w:tc>
          <w:tcPr/>
          <w:p w:rsidR="00045D3D" w:rsidRPr="004A389B" w:rsidP="007C7090">
            <w:pPr>
              <w:pStyle w:val="Text1"/>
              <w:spacing w:before="0" w:after="0"/>
              <w:ind w:left="0"/>
              <w:jc w:val="right"/>
              <w:rPr>
                <w:sz w:val="20"/>
                <w:szCs w:val="20"/>
                <w:lang w:val="fr-BE"/>
              </w:rPr>
            </w:pPr>
            <w:r w:rsidRPr="004A389B">
              <w:rPr>
                <w:b/>
                <w:noProof/>
                <w:sz w:val="20"/>
                <w:szCs w:val="20"/>
              </w:rPr>
              <w:t>1.166.145,29</w:t>
            </w:r>
          </w:p>
        </w:tc>
        <w:tc>
          <w:tcPr/>
          <w:p w:rsidR="00045D3D" w:rsidRPr="004A389B" w:rsidP="007C7090">
            <w:pPr>
              <w:pStyle w:val="Text1"/>
              <w:spacing w:before="0" w:after="0"/>
              <w:ind w:left="0"/>
              <w:jc w:val="right"/>
              <w:rPr>
                <w:sz w:val="20"/>
                <w:szCs w:val="20"/>
                <w:lang w:val="fr-BE"/>
              </w:rPr>
            </w:pPr>
            <w:r w:rsidRPr="004A389B">
              <w:rPr>
                <w:b/>
                <w:noProof/>
                <w:sz w:val="20"/>
                <w:szCs w:val="20"/>
              </w:rPr>
              <w:t>84,90</w:t>
            </w:r>
          </w:p>
        </w:tc>
        <w:tc>
          <w:tcPr>
            <w:shd w:val="clear" w:color="auto" w:fill="auto"/>
          </w:tcPr>
          <w:p w:rsidR="00045D3D" w:rsidRPr="004A389B" w:rsidP="007C7090">
            <w:pPr>
              <w:pStyle w:val="Text1"/>
              <w:spacing w:before="0" w:after="0"/>
              <w:ind w:left="0"/>
              <w:jc w:val="right"/>
              <w:rPr>
                <w:sz w:val="20"/>
                <w:szCs w:val="20"/>
                <w:lang w:val="fr-BE"/>
              </w:rPr>
            </w:pPr>
            <w:r w:rsidRPr="004A389B">
              <w:rPr>
                <w:b/>
                <w:noProof/>
                <w:sz w:val="20"/>
                <w:szCs w:val="20"/>
              </w:rPr>
              <w:t>8.362.275,76</w:t>
            </w:r>
          </w:p>
        </w:tc>
        <w:tc>
          <w:tcPr>
            <w:shd w:val="clear" w:color="auto" w:fill="auto"/>
          </w:tcPr>
          <w:p w:rsidR="00045D3D" w:rsidRPr="004A389B" w:rsidP="007C7090">
            <w:pPr>
              <w:pStyle w:val="Text1"/>
              <w:spacing w:before="0" w:after="0"/>
              <w:ind w:left="0"/>
              <w:jc w:val="right"/>
              <w:rPr>
                <w:sz w:val="20"/>
                <w:szCs w:val="20"/>
                <w:lang w:val="fr-BE"/>
              </w:rPr>
            </w:pPr>
            <w:r w:rsidRPr="004A389B">
              <w:rPr>
                <w:b/>
                <w:noProof/>
                <w:sz w:val="20"/>
                <w:szCs w:val="20"/>
              </w:rPr>
              <w:t>87,45</w:t>
            </w: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noProof/>
                <w:sz w:val="20"/>
                <w:szCs w:val="20"/>
              </w:rPr>
              <w:t>Posebni cilj6.Nacionalni cilj1 Tveganja – preprečevanje in boj</w:t>
            </w:r>
          </w:p>
        </w:tc>
        <w:tc>
          <w:tcPr/>
          <w:p w:rsidR="00045D3D" w:rsidRPr="004A389B" w:rsidP="007C7090">
            <w:pPr>
              <w:pStyle w:val="Text1"/>
              <w:spacing w:before="0" w:after="0"/>
              <w:ind w:left="0"/>
              <w:jc w:val="right"/>
              <w:rPr>
                <w:sz w:val="20"/>
                <w:szCs w:val="20"/>
                <w:lang w:val="fr-BE"/>
              </w:rPr>
            </w:pPr>
            <w:r w:rsidRPr="004A389B">
              <w:rPr>
                <w:noProof/>
                <w:sz w:val="20"/>
                <w:szCs w:val="20"/>
              </w:rPr>
              <w:t>99.267,00</w:t>
            </w:r>
          </w:p>
        </w:tc>
        <w:tc>
          <w:tcPr/>
          <w:p w:rsidR="00045D3D" w:rsidRPr="004A389B" w:rsidP="007C7090">
            <w:pPr>
              <w:pStyle w:val="Text1"/>
              <w:spacing w:before="0" w:after="0"/>
              <w:ind w:left="0"/>
              <w:jc w:val="right"/>
              <w:rPr>
                <w:sz w:val="20"/>
                <w:szCs w:val="20"/>
                <w:lang w:val="fr-BE"/>
              </w:rPr>
            </w:pPr>
            <w:r>
              <w:rPr>
                <w:noProof/>
                <w:sz w:val="20"/>
                <w:szCs w:val="20"/>
              </w:rPr>
              <w:t>100,00</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117.086,62</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17,01</w:t>
            </w: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noProof/>
                <w:sz w:val="20"/>
                <w:szCs w:val="20"/>
              </w:rPr>
              <w:t>Posebni cilj6.Nacionalni cilj6 Tveganja – zgodnje opozarjanje in krize</w:t>
            </w:r>
          </w:p>
        </w:tc>
        <w:tc>
          <w:tcPr/>
          <w:p w:rsidR="00045D3D" w:rsidRPr="004A389B" w:rsidP="007C7090">
            <w:pPr>
              <w:pStyle w:val="Text1"/>
              <w:spacing w:before="0" w:after="0"/>
              <w:ind w:left="0"/>
              <w:jc w:val="right"/>
              <w:rPr>
                <w:sz w:val="20"/>
                <w:szCs w:val="20"/>
                <w:lang w:val="fr-BE"/>
              </w:rPr>
            </w:pPr>
            <w:r w:rsidRPr="004A389B">
              <w:rPr>
                <w:noProof/>
                <w:sz w:val="20"/>
                <w:szCs w:val="20"/>
              </w:rPr>
              <w:t>0,00</w:t>
            </w:r>
          </w:p>
        </w:tc>
        <w:tc>
          <w:tcPr/>
          <w:p w:rsidR="00045D3D" w:rsidRPr="004A389B" w:rsidP="007C7090">
            <w:pPr>
              <w:pStyle w:val="Text1"/>
              <w:spacing w:before="0" w:after="0"/>
              <w:ind w:left="0"/>
              <w:jc w:val="right"/>
              <w:rPr>
                <w:sz w:val="20"/>
                <w:szCs w:val="20"/>
                <w:lang w:val="fr-BE"/>
              </w:rPr>
            </w:pPr>
            <w:r>
              <w:rPr>
                <w:noProof/>
                <w:sz w:val="20"/>
                <w:szCs w:val="20"/>
              </w:rPr>
              <w:t>0,00</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157.051,42</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22,81</w:t>
            </w: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b/>
                <w:noProof/>
                <w:sz w:val="20"/>
                <w:szCs w:val="20"/>
              </w:rPr>
              <w:t>SKUPAJ Posebni cilj6</w:t>
            </w:r>
          </w:p>
        </w:tc>
        <w:tc>
          <w:tcPr/>
          <w:p w:rsidR="00045D3D" w:rsidRPr="004A389B" w:rsidP="007C7090">
            <w:pPr>
              <w:pStyle w:val="Text1"/>
              <w:spacing w:before="0" w:after="0"/>
              <w:ind w:left="0"/>
              <w:jc w:val="right"/>
              <w:rPr>
                <w:sz w:val="20"/>
                <w:szCs w:val="20"/>
                <w:lang w:val="fr-BE"/>
              </w:rPr>
            </w:pPr>
            <w:r w:rsidRPr="004A389B">
              <w:rPr>
                <w:b/>
                <w:noProof/>
                <w:sz w:val="20"/>
                <w:szCs w:val="20"/>
              </w:rPr>
              <w:t>99.267,00</w:t>
            </w:r>
          </w:p>
        </w:tc>
        <w:tc>
          <w:tcPr/>
          <w:p w:rsidR="00045D3D" w:rsidRPr="004A389B" w:rsidP="007C7090">
            <w:pPr>
              <w:pStyle w:val="Text1"/>
              <w:spacing w:before="0" w:after="0"/>
              <w:ind w:left="0"/>
              <w:jc w:val="right"/>
              <w:rPr>
                <w:sz w:val="20"/>
                <w:szCs w:val="20"/>
                <w:lang w:val="fr-BE"/>
              </w:rPr>
            </w:pPr>
            <w:r w:rsidRPr="004A389B">
              <w:rPr>
                <w:b/>
                <w:noProof/>
                <w:sz w:val="20"/>
                <w:szCs w:val="20"/>
              </w:rPr>
              <w:t>7,23</w:t>
            </w:r>
          </w:p>
        </w:tc>
        <w:tc>
          <w:tcPr>
            <w:shd w:val="clear" w:color="auto" w:fill="auto"/>
          </w:tcPr>
          <w:p w:rsidR="00045D3D" w:rsidRPr="004A389B" w:rsidP="007C7090">
            <w:pPr>
              <w:pStyle w:val="Text1"/>
              <w:spacing w:before="0" w:after="0"/>
              <w:ind w:left="0"/>
              <w:jc w:val="right"/>
              <w:rPr>
                <w:sz w:val="20"/>
                <w:szCs w:val="20"/>
                <w:lang w:val="fr-BE"/>
              </w:rPr>
            </w:pPr>
            <w:r w:rsidRPr="004A389B">
              <w:rPr>
                <w:b/>
                <w:noProof/>
                <w:sz w:val="20"/>
                <w:szCs w:val="20"/>
              </w:rPr>
              <w:t>688.374,16</w:t>
            </w:r>
          </w:p>
        </w:tc>
        <w:tc>
          <w:tcPr>
            <w:shd w:val="clear" w:color="auto" w:fill="auto"/>
          </w:tcPr>
          <w:p w:rsidR="00045D3D" w:rsidRPr="004A389B" w:rsidP="007C7090">
            <w:pPr>
              <w:pStyle w:val="Text1"/>
              <w:spacing w:before="0" w:after="0"/>
              <w:ind w:left="0"/>
              <w:jc w:val="right"/>
              <w:rPr>
                <w:sz w:val="20"/>
                <w:szCs w:val="20"/>
                <w:lang w:val="fr-BE"/>
              </w:rPr>
            </w:pPr>
            <w:r w:rsidRPr="004A389B">
              <w:rPr>
                <w:b/>
                <w:noProof/>
                <w:sz w:val="20"/>
                <w:szCs w:val="20"/>
              </w:rPr>
              <w:t>7,20</w:t>
            </w: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noProof/>
                <w:sz w:val="20"/>
                <w:szCs w:val="20"/>
              </w:rPr>
              <w:t>Tehnična pomoč – policija</w:t>
            </w:r>
          </w:p>
        </w:tc>
        <w:tc>
          <w:tcPr/>
          <w:p w:rsidR="00045D3D" w:rsidRPr="004A389B" w:rsidP="007C7090">
            <w:pPr>
              <w:pStyle w:val="Text1"/>
              <w:spacing w:before="0" w:after="0"/>
              <w:ind w:left="0"/>
              <w:jc w:val="right"/>
              <w:rPr>
                <w:sz w:val="20"/>
                <w:szCs w:val="20"/>
                <w:lang w:val="fr-BE"/>
              </w:rPr>
            </w:pPr>
            <w:r w:rsidRPr="004A389B">
              <w:rPr>
                <w:noProof/>
                <w:sz w:val="20"/>
                <w:szCs w:val="20"/>
              </w:rPr>
              <w:t>108.133,05</w:t>
            </w:r>
          </w:p>
        </w:tc>
        <w:tc>
          <w:tcPr/>
          <w:p w:rsidR="00045D3D" w:rsidRPr="004A389B" w:rsidP="007C7090">
            <w:pPr>
              <w:pStyle w:val="Text1"/>
              <w:spacing w:before="0" w:after="0"/>
              <w:ind w:left="0"/>
              <w:jc w:val="right"/>
              <w:rPr>
                <w:sz w:val="20"/>
                <w:szCs w:val="20"/>
                <w:lang w:val="fr-BE"/>
              </w:rPr>
            </w:pPr>
            <w:r>
              <w:rPr>
                <w:noProof/>
                <w:sz w:val="20"/>
                <w:szCs w:val="20"/>
              </w:rPr>
              <w:t>7,87</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511.697,15</w:t>
            </w:r>
          </w:p>
        </w:tc>
        <w:tc>
          <w:tcPr>
            <w:shd w:val="clear" w:color="auto" w:fill="auto"/>
          </w:tcPr>
          <w:p w:rsidR="00045D3D" w:rsidRPr="004A389B" w:rsidP="007C7090">
            <w:pPr>
              <w:pStyle w:val="Text1"/>
              <w:spacing w:before="0" w:after="0"/>
              <w:ind w:left="0"/>
              <w:jc w:val="right"/>
              <w:rPr>
                <w:sz w:val="20"/>
                <w:szCs w:val="20"/>
                <w:lang w:val="fr-BE"/>
              </w:rPr>
            </w:pPr>
            <w:r w:rsidRPr="004A389B">
              <w:rPr>
                <w:noProof/>
                <w:sz w:val="20"/>
                <w:szCs w:val="20"/>
              </w:rPr>
              <w:t>5,35</w:t>
            </w: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b/>
                <w:noProof/>
                <w:sz w:val="20"/>
                <w:szCs w:val="20"/>
              </w:rPr>
              <w:t>TOTAL</w:t>
            </w:r>
          </w:p>
        </w:tc>
        <w:tc>
          <w:tcPr/>
          <w:p w:rsidR="00045D3D" w:rsidRPr="004A389B" w:rsidP="007C7090">
            <w:pPr>
              <w:pStyle w:val="Text1"/>
              <w:spacing w:before="0" w:after="0"/>
              <w:ind w:left="0"/>
              <w:jc w:val="right"/>
              <w:rPr>
                <w:sz w:val="20"/>
                <w:szCs w:val="20"/>
                <w:lang w:val="fr-BE"/>
              </w:rPr>
            </w:pPr>
            <w:r w:rsidRPr="004A389B">
              <w:rPr>
                <w:b/>
                <w:noProof/>
                <w:sz w:val="20"/>
                <w:szCs w:val="20"/>
              </w:rPr>
              <w:t>1.373.545,34</w:t>
            </w:r>
          </w:p>
        </w:tc>
        <w:tc>
          <w:tcPr/>
          <w:p w:rsidR="00045D3D" w:rsidRPr="004A389B" w:rsidP="007C7090">
            <w:pPr>
              <w:pStyle w:val="Text1"/>
              <w:spacing w:before="0" w:after="0"/>
              <w:ind w:left="0"/>
              <w:jc w:val="right"/>
              <w:rPr>
                <w:sz w:val="20"/>
                <w:szCs w:val="20"/>
                <w:lang w:val="fr-BE"/>
              </w:rPr>
            </w:pPr>
          </w:p>
        </w:tc>
        <w:tc>
          <w:tcPr>
            <w:shd w:val="clear" w:color="auto" w:fill="auto"/>
          </w:tcPr>
          <w:p w:rsidR="00045D3D" w:rsidRPr="004A389B" w:rsidP="007C7090">
            <w:pPr>
              <w:pStyle w:val="Text1"/>
              <w:spacing w:before="0" w:after="0"/>
              <w:ind w:left="0"/>
              <w:jc w:val="right"/>
              <w:rPr>
                <w:sz w:val="20"/>
                <w:szCs w:val="20"/>
                <w:lang w:val="fr-BE"/>
              </w:rPr>
            </w:pPr>
            <w:r w:rsidRPr="004A389B">
              <w:rPr>
                <w:b/>
                <w:noProof/>
                <w:sz w:val="20"/>
                <w:szCs w:val="20"/>
              </w:rPr>
              <w:t>9.562.347,07</w:t>
            </w:r>
          </w:p>
        </w:tc>
        <w:tc>
          <w:tcPr>
            <w:shd w:val="clear" w:color="auto" w:fill="auto"/>
          </w:tcPr>
          <w:p w:rsidR="00045D3D" w:rsidRPr="004A389B" w:rsidP="007C7090">
            <w:pPr>
              <w:pStyle w:val="Text1"/>
              <w:spacing w:before="0" w:after="0"/>
              <w:ind w:left="0"/>
              <w:jc w:val="right"/>
              <w:rPr>
                <w:sz w:val="20"/>
                <w:szCs w:val="20"/>
                <w:lang w:val="fr-BE"/>
              </w:rPr>
            </w:pP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noProof/>
                <w:color w:val="FF0000"/>
                <w:sz w:val="20"/>
                <w:szCs w:val="20"/>
              </w:rPr>
              <w:t>PC5 skupaj / Osnovna dodelitev iz ISF–P</w:t>
            </w:r>
          </w:p>
        </w:tc>
        <w:tc>
          <w:tcPr/>
          <w:p w:rsidR="00045D3D" w:rsidRPr="004A389B" w:rsidP="007C7090">
            <w:pPr>
              <w:pStyle w:val="Text1"/>
              <w:spacing w:before="0" w:after="0"/>
              <w:ind w:left="0"/>
              <w:jc w:val="right"/>
              <w:rPr>
                <w:sz w:val="20"/>
                <w:szCs w:val="20"/>
                <w:lang w:val="fr-BE"/>
              </w:rPr>
            </w:pPr>
          </w:p>
        </w:tc>
        <w:tc>
          <w:tcPr/>
          <w:p w:rsidR="00045D3D" w:rsidRPr="004A389B" w:rsidP="007C7090">
            <w:pPr>
              <w:pStyle w:val="Text1"/>
              <w:spacing w:before="0" w:after="0"/>
              <w:ind w:left="0"/>
              <w:jc w:val="right"/>
              <w:rPr>
                <w:sz w:val="20"/>
                <w:szCs w:val="20"/>
                <w:lang w:val="fr-BE"/>
              </w:rPr>
            </w:pPr>
            <w:r w:rsidRPr="004A389B">
              <w:rPr>
                <w:noProof/>
                <w:color w:val="FF0000"/>
                <w:sz w:val="20"/>
                <w:szCs w:val="20"/>
              </w:rPr>
              <w:t>10,36</w:t>
            </w:r>
          </w:p>
        </w:tc>
        <w:tc>
          <w:tcPr>
            <w:shd w:val="clear" w:color="auto" w:fill="auto"/>
          </w:tcPr>
          <w:p w:rsidR="00045D3D" w:rsidRPr="004A389B" w:rsidP="007C7090">
            <w:pPr>
              <w:pStyle w:val="Text1"/>
              <w:spacing w:before="0" w:after="0"/>
              <w:ind w:left="0"/>
              <w:jc w:val="right"/>
              <w:rPr>
                <w:sz w:val="20"/>
                <w:szCs w:val="20"/>
                <w:lang w:val="fr-BE"/>
              </w:rPr>
            </w:pPr>
          </w:p>
        </w:tc>
        <w:tc>
          <w:tcPr>
            <w:shd w:val="clear" w:color="auto" w:fill="auto"/>
          </w:tcPr>
          <w:p w:rsidR="00045D3D" w:rsidRPr="004A389B" w:rsidP="007C7090">
            <w:pPr>
              <w:pStyle w:val="Text1"/>
              <w:spacing w:before="0" w:after="0"/>
              <w:ind w:left="0"/>
              <w:jc w:val="right"/>
              <w:rPr>
                <w:sz w:val="20"/>
                <w:szCs w:val="20"/>
                <w:lang w:val="fr-BE"/>
              </w:rPr>
            </w:pPr>
            <w:r w:rsidRPr="004A389B">
              <w:rPr>
                <w:noProof/>
                <w:color w:val="FF0000"/>
                <w:sz w:val="20"/>
                <w:szCs w:val="20"/>
              </w:rPr>
              <w:t>74,30</w:t>
            </w:r>
          </w:p>
        </w:tc>
      </w:tr>
      <w:tr w:rsidTr="0088509C">
        <w:tblPrEx>
          <w:tblW w:w="5000" w:type="pct"/>
          <w:tblLook w:val="04A0"/>
        </w:tblPrEx>
        <w:tc>
          <w:tcPr>
            <w:shd w:val="clear" w:color="auto" w:fill="auto"/>
          </w:tcPr>
          <w:p w:rsidR="00045D3D" w:rsidRPr="004A389B" w:rsidP="007C7090">
            <w:pPr>
              <w:pStyle w:val="Text1"/>
              <w:spacing w:before="0" w:after="0"/>
              <w:ind w:left="0"/>
              <w:jc w:val="left"/>
              <w:rPr>
                <w:sz w:val="20"/>
                <w:szCs w:val="20"/>
                <w:lang w:val="fr-BE"/>
              </w:rPr>
            </w:pPr>
            <w:r w:rsidRPr="004A389B">
              <w:rPr>
                <w:noProof/>
                <w:color w:val="FF0000"/>
                <w:sz w:val="20"/>
                <w:szCs w:val="20"/>
              </w:rPr>
              <w:t>PC6 skupaj / Osnovna dodelitev iz ISF–P</w:t>
            </w:r>
          </w:p>
        </w:tc>
        <w:tc>
          <w:tcPr/>
          <w:p w:rsidR="00045D3D" w:rsidRPr="004A389B" w:rsidP="007C7090">
            <w:pPr>
              <w:pStyle w:val="Text1"/>
              <w:spacing w:before="0" w:after="0"/>
              <w:ind w:left="0"/>
              <w:jc w:val="right"/>
              <w:rPr>
                <w:sz w:val="20"/>
                <w:szCs w:val="20"/>
                <w:lang w:val="fr-BE"/>
              </w:rPr>
            </w:pPr>
          </w:p>
        </w:tc>
        <w:tc>
          <w:tcPr/>
          <w:p w:rsidR="00045D3D" w:rsidRPr="004A389B" w:rsidP="007C7090">
            <w:pPr>
              <w:pStyle w:val="Text1"/>
              <w:spacing w:before="0" w:after="0"/>
              <w:ind w:left="0"/>
              <w:jc w:val="right"/>
              <w:rPr>
                <w:sz w:val="20"/>
                <w:szCs w:val="20"/>
                <w:lang w:val="fr-BE"/>
              </w:rPr>
            </w:pPr>
            <w:r w:rsidRPr="004A389B">
              <w:rPr>
                <w:noProof/>
                <w:color w:val="FF0000"/>
                <w:sz w:val="20"/>
                <w:szCs w:val="20"/>
              </w:rPr>
              <w:t>0,88</w:t>
            </w:r>
          </w:p>
        </w:tc>
        <w:tc>
          <w:tcPr>
            <w:shd w:val="clear" w:color="auto" w:fill="auto"/>
          </w:tcPr>
          <w:p w:rsidR="00045D3D" w:rsidRPr="004A389B" w:rsidP="007C7090">
            <w:pPr>
              <w:pStyle w:val="Text1"/>
              <w:spacing w:before="0" w:after="0"/>
              <w:ind w:left="0"/>
              <w:jc w:val="right"/>
              <w:rPr>
                <w:sz w:val="20"/>
                <w:szCs w:val="20"/>
                <w:lang w:val="fr-BE"/>
              </w:rPr>
            </w:pPr>
          </w:p>
        </w:tc>
        <w:tc>
          <w:tcPr>
            <w:shd w:val="clear" w:color="auto" w:fill="auto"/>
          </w:tcPr>
          <w:p w:rsidR="00045D3D" w:rsidRPr="004A389B" w:rsidP="007C7090">
            <w:pPr>
              <w:pStyle w:val="Text1"/>
              <w:spacing w:before="0" w:after="0"/>
              <w:ind w:left="0"/>
              <w:jc w:val="right"/>
              <w:rPr>
                <w:sz w:val="20"/>
                <w:szCs w:val="20"/>
                <w:lang w:val="fr-BE"/>
              </w:rPr>
            </w:pPr>
            <w:r w:rsidRPr="004A389B">
              <w:rPr>
                <w:noProof/>
                <w:color w:val="FF0000"/>
                <w:sz w:val="20"/>
                <w:szCs w:val="20"/>
              </w:rPr>
              <w:t>6,12</w:t>
            </w:r>
          </w:p>
        </w:tc>
      </w:tr>
    </w:tbl>
    <w:p w:rsidR="004F1EEC" w:rsidP="007C7090">
      <w:pPr>
        <w:pStyle w:val="Text1"/>
        <w:spacing w:before="0" w:after="0"/>
        <w:ind w:left="0"/>
        <w:rPr>
          <w:lang w:val="fr-BE"/>
        </w:rPr>
      </w:pPr>
    </w:p>
    <w:p w:rsidR="004F1EEC" w:rsidP="007C7090">
      <w:pPr>
        <w:pStyle w:val="Text1"/>
        <w:spacing w:before="0" w:after="0"/>
        <w:ind w:left="0"/>
        <w:rPr>
          <w:lang w:val="fr-BE"/>
        </w:rPr>
        <w:sectPr w:rsidSect="006B7AC0">
          <w:footerReference w:type="default" r:id="rId8"/>
          <w:pgSz w:w="11906" w:h="16838"/>
          <w:pgMar w:top="284" w:right="851" w:bottom="284" w:left="284" w:header="567" w:footer="0" w:gutter="0"/>
          <w:cols w:space="708"/>
          <w:docGrid w:linePitch="360"/>
        </w:sectPr>
      </w:pPr>
    </w:p>
    <w:p w:rsidR="004F1EEC" w:rsidP="007C7090">
      <w:pPr>
        <w:pStyle w:val="Heading2"/>
        <w:numPr>
          <w:ilvl w:val="0"/>
          <w:numId w:val="0"/>
        </w:numPr>
        <w:spacing w:before="0" w:after="0"/>
        <w:rPr>
          <w:lang w:val="fr-BE"/>
        </w:rPr>
      </w:pPr>
      <w:bookmarkStart w:id="19" w:name="_Toc256000019"/>
      <w:r>
        <w:rPr>
          <w:noProof/>
          <w:lang w:val="fr-BE"/>
        </w:rPr>
        <w:t>Preglednica 3: Izvajanje finančnega načrta nacionalnega programa, pri čemer je naveden skupni prispevek EU za vsako proračunsko leto</w:t>
      </w:r>
      <w:bookmarkEnd w:id="19"/>
    </w:p>
    <w:p w:rsidR="004F1EEC" w:rsidP="007C709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643"/>
        <w:gridCol w:w="577"/>
        <w:gridCol w:w="1271"/>
        <w:gridCol w:w="1179"/>
        <w:gridCol w:w="1179"/>
        <w:gridCol w:w="1271"/>
        <w:gridCol w:w="1271"/>
        <w:gridCol w:w="1179"/>
        <w:gridCol w:w="1179"/>
        <w:gridCol w:w="1179"/>
        <w:gridCol w:w="577"/>
        <w:gridCol w:w="1271"/>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4F1EEC" w:rsidRPr="004A389B" w:rsidP="007C7090">
            <w:pPr>
              <w:pStyle w:val="Text1"/>
              <w:spacing w:before="0" w:after="0"/>
              <w:ind w:left="0"/>
              <w:rPr>
                <w:b/>
                <w:sz w:val="12"/>
                <w:szCs w:val="12"/>
                <w:lang w:val="fr-BE"/>
              </w:rPr>
            </w:pPr>
          </w:p>
        </w:tc>
        <w:tc>
          <w:tcPr>
            <w:shd w:val="clear" w:color="auto" w:fill="auto"/>
          </w:tcPr>
          <w:p w:rsidR="004F1EEC" w:rsidRPr="004A389B" w:rsidP="007C7090">
            <w:pPr>
              <w:pStyle w:val="Text1"/>
              <w:spacing w:before="0" w:after="0"/>
              <w:ind w:left="0"/>
              <w:jc w:val="center"/>
              <w:rPr>
                <w:b/>
                <w:sz w:val="12"/>
                <w:szCs w:val="12"/>
                <w:lang w:val="fr-BE"/>
              </w:rPr>
            </w:pPr>
            <w:r w:rsidRPr="004A389B">
              <w:rPr>
                <w:b/>
                <w:sz w:val="12"/>
                <w:szCs w:val="12"/>
                <w:lang w:val="fr-BE"/>
              </w:rPr>
              <w:t>20</w:t>
            </w:r>
            <w:r w:rsidRPr="004A389B">
              <w:rPr>
                <w:b/>
                <w:sz w:val="12"/>
                <w:szCs w:val="12"/>
                <w:lang w:val="fr-BE"/>
              </w:rPr>
              <w:t>14</w:t>
            </w:r>
          </w:p>
        </w:tc>
        <w:tc>
          <w:tcPr>
            <w:shd w:val="clear" w:color="auto" w:fill="auto"/>
          </w:tcPr>
          <w:p w:rsidR="004F1EEC" w:rsidRPr="004A389B" w:rsidP="007C7090">
            <w:pPr>
              <w:pStyle w:val="Text1"/>
              <w:spacing w:before="0" w:after="0"/>
              <w:ind w:left="0"/>
              <w:jc w:val="center"/>
              <w:rPr>
                <w:b/>
                <w:sz w:val="12"/>
                <w:szCs w:val="12"/>
                <w:lang w:val="fr-BE"/>
              </w:rPr>
            </w:pPr>
            <w:r w:rsidRPr="004A389B">
              <w:rPr>
                <w:b/>
                <w:sz w:val="12"/>
                <w:szCs w:val="12"/>
                <w:lang w:val="fr-BE"/>
              </w:rPr>
              <w:t>2015</w:t>
            </w:r>
          </w:p>
        </w:tc>
        <w:tc>
          <w:tcPr>
            <w:shd w:val="clear" w:color="auto" w:fill="auto"/>
          </w:tcPr>
          <w:p w:rsidR="004F1EEC" w:rsidRPr="004A389B" w:rsidP="007C7090">
            <w:pPr>
              <w:pStyle w:val="Text1"/>
              <w:spacing w:before="0" w:after="0"/>
              <w:ind w:left="0"/>
              <w:jc w:val="center"/>
              <w:rPr>
                <w:b/>
                <w:sz w:val="12"/>
                <w:szCs w:val="12"/>
                <w:lang w:val="fr-BE"/>
              </w:rPr>
            </w:pPr>
            <w:r w:rsidRPr="004A389B">
              <w:rPr>
                <w:b/>
                <w:sz w:val="12"/>
                <w:szCs w:val="12"/>
                <w:lang w:val="fr-BE"/>
              </w:rPr>
              <w:t>2016</w:t>
            </w:r>
          </w:p>
        </w:tc>
        <w:tc>
          <w:tcPr>
            <w:shd w:val="clear" w:color="auto" w:fill="auto"/>
          </w:tcPr>
          <w:p w:rsidR="004F1EEC" w:rsidRPr="004A389B" w:rsidP="007C7090">
            <w:pPr>
              <w:pStyle w:val="Text1"/>
              <w:spacing w:before="0" w:after="0"/>
              <w:ind w:left="0"/>
              <w:jc w:val="center"/>
              <w:rPr>
                <w:b/>
                <w:sz w:val="12"/>
                <w:szCs w:val="12"/>
                <w:lang w:val="fr-BE"/>
              </w:rPr>
            </w:pPr>
            <w:r w:rsidRPr="004A389B">
              <w:rPr>
                <w:b/>
                <w:sz w:val="12"/>
                <w:szCs w:val="12"/>
                <w:lang w:val="fr-BE"/>
              </w:rPr>
              <w:t>2017</w:t>
            </w:r>
          </w:p>
        </w:tc>
        <w:tc>
          <w:tcPr>
            <w:shd w:val="clear" w:color="auto" w:fill="auto"/>
          </w:tcPr>
          <w:p w:rsidR="004F1EEC" w:rsidRPr="004A389B" w:rsidP="007C7090">
            <w:pPr>
              <w:pStyle w:val="Text1"/>
              <w:spacing w:before="0" w:after="0"/>
              <w:ind w:left="0"/>
              <w:jc w:val="center"/>
              <w:rPr>
                <w:b/>
                <w:sz w:val="12"/>
                <w:szCs w:val="12"/>
                <w:lang w:val="fr-BE"/>
              </w:rPr>
            </w:pPr>
            <w:r w:rsidRPr="004A389B">
              <w:rPr>
                <w:b/>
                <w:sz w:val="12"/>
                <w:szCs w:val="12"/>
                <w:lang w:val="fr-BE"/>
              </w:rPr>
              <w:t>2018</w:t>
            </w:r>
          </w:p>
        </w:tc>
        <w:tc>
          <w:tcPr>
            <w:shd w:val="clear" w:color="auto" w:fill="auto"/>
          </w:tcPr>
          <w:p w:rsidR="004F1EEC" w:rsidRPr="004A389B" w:rsidP="007C7090">
            <w:pPr>
              <w:pStyle w:val="Text1"/>
              <w:spacing w:before="0" w:after="0"/>
              <w:ind w:left="0"/>
              <w:jc w:val="center"/>
              <w:rPr>
                <w:b/>
                <w:sz w:val="12"/>
                <w:szCs w:val="12"/>
                <w:lang w:val="fr-BE"/>
              </w:rPr>
            </w:pPr>
            <w:r w:rsidRPr="004A389B">
              <w:rPr>
                <w:b/>
                <w:sz w:val="12"/>
                <w:szCs w:val="12"/>
                <w:lang w:val="fr-BE"/>
              </w:rPr>
              <w:t>2019</w:t>
            </w:r>
          </w:p>
        </w:tc>
        <w:tc>
          <w:tcPr>
            <w:shd w:val="clear" w:color="auto" w:fill="auto"/>
          </w:tcPr>
          <w:p w:rsidR="004F1EEC" w:rsidRPr="004A389B" w:rsidP="007C7090">
            <w:pPr>
              <w:pStyle w:val="Text1"/>
              <w:spacing w:before="0" w:after="0"/>
              <w:ind w:left="0"/>
              <w:jc w:val="center"/>
              <w:rPr>
                <w:b/>
                <w:sz w:val="12"/>
                <w:szCs w:val="12"/>
                <w:lang w:val="fr-BE"/>
              </w:rPr>
            </w:pPr>
            <w:r w:rsidRPr="004A389B">
              <w:rPr>
                <w:b/>
                <w:sz w:val="12"/>
                <w:szCs w:val="12"/>
                <w:lang w:val="fr-BE"/>
              </w:rPr>
              <w:t>2020</w:t>
            </w:r>
          </w:p>
        </w:tc>
        <w:tc>
          <w:tcPr>
            <w:shd w:val="clear" w:color="auto" w:fill="auto"/>
          </w:tcPr>
          <w:p w:rsidR="004F1EEC" w:rsidRPr="004A389B" w:rsidP="007C7090">
            <w:pPr>
              <w:pStyle w:val="Text1"/>
              <w:spacing w:before="0" w:after="0"/>
              <w:ind w:left="0"/>
              <w:jc w:val="center"/>
              <w:rPr>
                <w:b/>
                <w:sz w:val="12"/>
                <w:szCs w:val="12"/>
                <w:lang w:val="fr-BE"/>
              </w:rPr>
            </w:pPr>
            <w:r w:rsidRPr="004A389B">
              <w:rPr>
                <w:b/>
                <w:sz w:val="12"/>
                <w:szCs w:val="12"/>
                <w:lang w:val="fr-BE"/>
              </w:rPr>
              <w:t>2021</w:t>
            </w:r>
          </w:p>
        </w:tc>
        <w:tc>
          <w:tcPr>
            <w:shd w:val="clear" w:color="auto" w:fill="auto"/>
          </w:tcPr>
          <w:p w:rsidR="004F1EEC" w:rsidRPr="004A389B" w:rsidP="007C7090">
            <w:pPr>
              <w:pStyle w:val="Text1"/>
              <w:spacing w:before="0" w:after="0"/>
              <w:ind w:left="0"/>
              <w:jc w:val="center"/>
              <w:rPr>
                <w:b/>
                <w:sz w:val="12"/>
                <w:szCs w:val="12"/>
                <w:lang w:val="fr-BE"/>
              </w:rPr>
            </w:pPr>
            <w:r w:rsidRPr="004A389B">
              <w:rPr>
                <w:b/>
                <w:sz w:val="12"/>
                <w:szCs w:val="12"/>
                <w:lang w:val="fr-BE"/>
              </w:rPr>
              <w:t>2022</w:t>
            </w:r>
          </w:p>
        </w:tc>
        <w:tc>
          <w:tcPr>
            <w:shd w:val="clear" w:color="auto" w:fill="auto"/>
          </w:tcPr>
          <w:p w:rsidR="004F1EEC" w:rsidRPr="004A389B" w:rsidP="007C7090">
            <w:pPr>
              <w:pStyle w:val="Text1"/>
              <w:spacing w:before="0" w:after="0"/>
              <w:ind w:left="0"/>
              <w:jc w:val="center"/>
              <w:rPr>
                <w:b/>
                <w:sz w:val="12"/>
                <w:szCs w:val="12"/>
                <w:lang w:val="fr-BE"/>
              </w:rPr>
            </w:pPr>
            <w:r w:rsidRPr="004A389B">
              <w:rPr>
                <w:b/>
                <w:sz w:val="12"/>
                <w:szCs w:val="12"/>
                <w:lang w:val="fr-BE"/>
              </w:rPr>
              <w:t>2023</w:t>
            </w:r>
          </w:p>
        </w:tc>
        <w:tc>
          <w:tcPr>
            <w:shd w:val="clear" w:color="auto" w:fill="auto"/>
          </w:tcPr>
          <w:p w:rsidR="004F1EEC" w:rsidRPr="004A389B" w:rsidP="007C7090">
            <w:pPr>
              <w:pStyle w:val="Text1"/>
              <w:spacing w:before="0" w:after="0"/>
              <w:ind w:left="0"/>
              <w:jc w:val="center"/>
              <w:rPr>
                <w:b/>
                <w:sz w:val="12"/>
                <w:szCs w:val="12"/>
                <w:lang w:val="fr-BE"/>
              </w:rPr>
            </w:pPr>
            <w:r w:rsidRPr="004A389B">
              <w:rPr>
                <w:b/>
                <w:noProof/>
                <w:sz w:val="12"/>
                <w:szCs w:val="12"/>
                <w:lang w:val="fr-BE"/>
              </w:rPr>
              <w:t>Skupaj</w:t>
            </w:r>
          </w:p>
        </w:tc>
      </w:tr>
      <w:tr w:rsidTr="008E16E1">
        <w:tblPrEx>
          <w:tblW w:w="5000" w:type="pct"/>
          <w:tblCellMar>
            <w:left w:w="57" w:type="dxa"/>
            <w:right w:w="57" w:type="dxa"/>
          </w:tblCellMar>
          <w:tblLook w:val="04A0"/>
        </w:tblPrEx>
        <w:tc>
          <w:tcPr>
            <w:shd w:val="clear" w:color="auto" w:fill="auto"/>
          </w:tcPr>
          <w:p w:rsidR="004F1EEC" w:rsidRPr="004A389B" w:rsidP="007C7090">
            <w:pPr>
              <w:pStyle w:val="Text1"/>
              <w:spacing w:before="0" w:after="0"/>
              <w:ind w:left="0"/>
              <w:rPr>
                <w:sz w:val="12"/>
                <w:szCs w:val="12"/>
                <w:lang w:val="fr-BE"/>
              </w:rPr>
            </w:pPr>
            <w:r w:rsidRPr="004A389B">
              <w:rPr>
                <w:noProof/>
                <w:sz w:val="12"/>
                <w:szCs w:val="12"/>
                <w:lang w:val="fr-BE"/>
              </w:rPr>
              <w:t>Načrtovano na področju policije</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2.228.401,00</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1.898.339,00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2.978.176,00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1.383.485,00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1.383.485,00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1.383.485,00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11.255.371,00</w:t>
            </w:r>
          </w:p>
        </w:tc>
      </w:tr>
      <w:tr w:rsidTr="008E16E1">
        <w:tblPrEx>
          <w:tblW w:w="5000" w:type="pct"/>
          <w:tblCellMar>
            <w:left w:w="57" w:type="dxa"/>
            <w:right w:w="57" w:type="dxa"/>
          </w:tblCellMar>
          <w:tblLook w:val="04A0"/>
        </w:tblPrEx>
        <w:tc>
          <w:tcPr>
            <w:shd w:val="clear" w:color="auto" w:fill="auto"/>
          </w:tcPr>
          <w:p w:rsidR="004F1EEC" w:rsidRPr="004A389B" w:rsidP="007C7090">
            <w:pPr>
              <w:pStyle w:val="Text1"/>
              <w:spacing w:before="0" w:after="0"/>
              <w:ind w:left="0"/>
              <w:rPr>
                <w:sz w:val="12"/>
                <w:szCs w:val="12"/>
                <w:lang w:val="fr-BE"/>
              </w:rPr>
            </w:pPr>
            <w:r w:rsidRPr="004A389B">
              <w:rPr>
                <w:noProof/>
                <w:sz w:val="12"/>
                <w:szCs w:val="12"/>
                <w:lang w:val="fr-BE"/>
              </w:rPr>
              <w:t>Izvedeno na področju policije</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120.246,36</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1.449.883,67</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2.729.058,01</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1.047.809,98</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1.946.247,39</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895.556,32</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1.373.545,34</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9.562.347,07</w:t>
            </w:r>
          </w:p>
        </w:tc>
      </w:tr>
      <w:tr w:rsidTr="008E16E1">
        <w:tblPrEx>
          <w:tblW w:w="5000" w:type="pct"/>
          <w:tblCellMar>
            <w:left w:w="57" w:type="dxa"/>
            <w:right w:w="57" w:type="dxa"/>
          </w:tblCellMar>
          <w:tblLook w:val="04A0"/>
        </w:tblPrEx>
        <w:tc>
          <w:tcPr>
            <w:shd w:val="clear" w:color="auto" w:fill="auto"/>
          </w:tcPr>
          <w:p w:rsidR="004F1EEC" w:rsidRPr="004A389B" w:rsidP="007C7090">
            <w:pPr>
              <w:pStyle w:val="Text1"/>
              <w:spacing w:before="0" w:after="0"/>
              <w:ind w:left="0"/>
              <w:rPr>
                <w:sz w:val="12"/>
                <w:szCs w:val="12"/>
                <w:lang w:val="fr-BE"/>
              </w:rPr>
            </w:pPr>
            <w:r w:rsidRPr="004A389B">
              <w:rPr>
                <w:noProof/>
                <w:sz w:val="12"/>
                <w:szCs w:val="12"/>
                <w:lang w:val="fr-BE"/>
              </w:rPr>
              <w:t>Načrtovano na področju meja</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7.309.519,00</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6.835.259,00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5.063.445,00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10.153.644,66</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10.567.088,49</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7.252.183,04</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47.181.139,19</w:t>
            </w:r>
          </w:p>
        </w:tc>
      </w:tr>
      <w:tr w:rsidTr="008E16E1">
        <w:tblPrEx>
          <w:tblW w:w="5000" w:type="pct"/>
          <w:tblCellMar>
            <w:left w:w="57" w:type="dxa"/>
            <w:right w:w="57" w:type="dxa"/>
          </w:tblCellMar>
          <w:tblLook w:val="04A0"/>
        </w:tblPrEx>
        <w:tc>
          <w:tcPr>
            <w:shd w:val="clear" w:color="auto" w:fill="auto"/>
          </w:tcPr>
          <w:p w:rsidR="004F1EEC" w:rsidRPr="004A389B" w:rsidP="007C7090">
            <w:pPr>
              <w:pStyle w:val="Text1"/>
              <w:spacing w:before="0" w:after="0"/>
              <w:ind w:left="0"/>
              <w:rPr>
                <w:sz w:val="12"/>
                <w:szCs w:val="12"/>
                <w:lang w:val="fr-BE"/>
              </w:rPr>
            </w:pPr>
            <w:r w:rsidRPr="004A389B">
              <w:rPr>
                <w:noProof/>
                <w:sz w:val="12"/>
                <w:szCs w:val="12"/>
                <w:lang w:val="fr-BE"/>
              </w:rPr>
              <w:t>Izvedeno na področju meja</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349.677,29</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5.199.323,22</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3.729.340,75</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4.315.072,62</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7.673.425,19</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2.845.273,76</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5.129.189,48</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noProof/>
                <w:sz w:val="12"/>
                <w:szCs w:val="12"/>
                <w:lang w:val="fr-BE"/>
              </w:rPr>
              <w:t>29.241.302,31</w:t>
            </w:r>
          </w:p>
        </w:tc>
      </w:tr>
      <w:tr w:rsidTr="008E16E1">
        <w:tblPrEx>
          <w:tblW w:w="5000" w:type="pct"/>
          <w:tblCellMar>
            <w:left w:w="57" w:type="dxa"/>
            <w:right w:w="57" w:type="dxa"/>
          </w:tblCellMar>
          <w:tblLook w:val="04A0"/>
        </w:tblPrEx>
        <w:tc>
          <w:tcPr>
            <w:shd w:val="clear" w:color="auto" w:fill="auto"/>
          </w:tcPr>
          <w:p w:rsidR="004F1EEC" w:rsidRPr="004A389B" w:rsidP="007C7090">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9.537.920,00</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8.733.598,00</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8.041.621,00</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11.537.129,66</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11.950.573,49</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8.635.668,04</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58.436.510,19</w:t>
            </w:r>
          </w:p>
        </w:tc>
      </w:tr>
      <w:tr w:rsidTr="008E16E1">
        <w:tblPrEx>
          <w:tblW w:w="5000" w:type="pct"/>
          <w:tblCellMar>
            <w:left w:w="57" w:type="dxa"/>
            <w:right w:w="57" w:type="dxa"/>
          </w:tblCellMar>
          <w:tblLook w:val="04A0"/>
        </w:tblPrEx>
        <w:tc>
          <w:tcPr>
            <w:shd w:val="clear" w:color="auto" w:fill="auto"/>
          </w:tcPr>
          <w:p w:rsidR="004F1EEC" w:rsidRPr="004A389B" w:rsidP="007C7090">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469.923,65</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6.649.206,89</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6.458.398,76</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5.362.882,60</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9.619.672,58</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3.740.830,08</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6.502.734,82</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4F1EEC" w:rsidRPr="004A389B" w:rsidP="007C7090">
            <w:pPr>
              <w:pStyle w:val="Text1"/>
              <w:spacing w:before="0" w:after="0"/>
              <w:ind w:left="0"/>
              <w:jc w:val="right"/>
              <w:rPr>
                <w:sz w:val="12"/>
                <w:szCs w:val="12"/>
                <w:lang w:val="fr-BE"/>
              </w:rPr>
            </w:pPr>
            <w:r w:rsidRPr="004A389B">
              <w:rPr>
                <w:b/>
                <w:noProof/>
                <w:sz w:val="12"/>
                <w:szCs w:val="12"/>
                <w:lang w:val="fr-BE"/>
              </w:rPr>
              <w:t>38.803.649,38</w:t>
            </w:r>
          </w:p>
        </w:tc>
      </w:tr>
    </w:tbl>
    <w:p w:rsidR="004F1EEC" w:rsidP="007C7090">
      <w:pPr>
        <w:pStyle w:val="Text1"/>
        <w:spacing w:before="0" w:after="0"/>
        <w:ind w:left="0"/>
        <w:rPr>
          <w:lang w:val="fr-BE"/>
        </w:rPr>
      </w:pPr>
    </w:p>
    <w:p w:rsidR="004F1EEC" w:rsidP="007C7090">
      <w:pPr>
        <w:pStyle w:val="Text1"/>
        <w:spacing w:before="0" w:after="0"/>
        <w:ind w:left="0"/>
        <w:rPr>
          <w:lang w:val="fr-BE"/>
        </w:rPr>
        <w:sectPr w:rsidSect="008E16E1">
          <w:footerReference w:type="default" r:id="rId9"/>
          <w:pgSz w:w="16838" w:h="11906" w:orient="landscape"/>
          <w:pgMar w:top="1584" w:right="1022" w:bottom="1699" w:left="1022" w:header="283" w:footer="283" w:gutter="0"/>
          <w:cols w:space="708"/>
          <w:docGrid w:linePitch="360"/>
        </w:sectPr>
      </w:pPr>
    </w:p>
    <w:p w:rsidR="004F1EEC" w:rsidP="007C7090">
      <w:pPr>
        <w:pStyle w:val="Heading2"/>
        <w:numPr>
          <w:ilvl w:val="0"/>
          <w:numId w:val="0"/>
        </w:numPr>
        <w:spacing w:before="0" w:after="0"/>
        <w:rPr>
          <w:lang w:val="fr-BE"/>
        </w:rPr>
      </w:pPr>
      <w:bookmarkStart w:id="20" w:name="_Toc256000020"/>
      <w:r>
        <w:rPr>
          <w:noProof/>
          <w:lang w:val="fr-BE"/>
        </w:rPr>
        <w:t>Utemeljitev morebitnega odstopanja od najnižjih deležev, določenih v posebnih uredbah.</w:t>
      </w:r>
      <w:bookmarkEnd w:id="20"/>
    </w:p>
    <w:p w:rsidR="004F1EEC" w:rsidP="007C7090">
      <w:pPr>
        <w:pStyle w:val="Text1"/>
        <w:spacing w:before="0" w:after="0"/>
        <w:ind w:left="0"/>
        <w:rPr>
          <w:lang w:val="fr-BE"/>
        </w:rPr>
      </w:pPr>
    </w:p>
    <w:p w:rsidR="004F1EEC" w:rsidP="007C7090">
      <w:pPr>
        <w:pStyle w:val="Text1"/>
        <w:spacing w:before="0" w:after="0"/>
        <w:ind w:left="0"/>
        <w:rPr>
          <w:lang w:val="fr-BE"/>
        </w:rPr>
      </w:pPr>
      <w:r>
        <w:rPr>
          <w:noProof/>
          <w:lang w:val="fr-BE"/>
        </w:rPr>
        <w:t>(Le če stanje ni tako, kot je določeno v odobrenem nacionalnem programu, člen 14(5)(b) Uredbe (EU) št. 514/2014.)</w:t>
      </w:r>
    </w:p>
    <w:p w:rsidR="004F1EEC" w:rsidP="007C7090">
      <w:pPr>
        <w:pStyle w:val="Text1"/>
        <w:spacing w:before="0" w:after="0"/>
        <w:ind w:left="0"/>
        <w:rPr>
          <w:lang w:val="fr-BE"/>
        </w:rPr>
      </w:pPr>
    </w:p>
    <w:p w:rsidR="004F1EEC" w:rsidP="007C7090">
      <w:pPr>
        <w:pStyle w:val="Text1"/>
        <w:spacing w:before="0" w:after="0"/>
        <w:ind w:left="0"/>
        <w:rPr>
          <w:lang w:val="fr-BE"/>
        </w:rPr>
      </w:pPr>
      <w:r>
        <w:rPr>
          <w:noProof/>
          <w:lang w:val="fr-BE"/>
        </w:rPr>
        <w:t>Podrobno obrazložite odstopanja od najnižjih deležev, določenih v posebnih uredbah.</w:t>
      </w:r>
    </w:p>
    <w:p w:rsidR="004F1EEC" w:rsidP="007C7090">
      <w:pPr>
        <w:pStyle w:val="Text1"/>
        <w:spacing w:before="0" w:after="0"/>
        <w:ind w:left="0"/>
        <w:rPr>
          <w:lang w:val="fr-BE"/>
        </w:rPr>
      </w:pPr>
    </w:p>
    <w:p w:rsidR="004F1EEC" w:rsidP="007C7090">
      <w:pPr>
        <w:pStyle w:val="Heading1"/>
        <w:numPr>
          <w:ilvl w:val="0"/>
          <w:numId w:val="0"/>
        </w:numPr>
        <w:spacing w:before="0" w:after="0"/>
        <w:rPr>
          <w:lang w:val="fr-BE"/>
        </w:rPr>
      </w:pPr>
      <w:r>
        <w:rPr>
          <w:lang w:val="fr-BE"/>
        </w:rPr>
        <w:br w:type="page"/>
      </w:r>
      <w:bookmarkStart w:id="21" w:name="_Toc256000021"/>
      <w:r>
        <w:rPr>
          <w:noProof/>
          <w:lang w:val="fr-BE"/>
        </w:rPr>
        <w:t>ODDELEK 8: OBVEZNOSTI V OBLIKI DOGOVORA</w:t>
      </w:r>
      <w:bookmarkEnd w:id="21"/>
    </w:p>
    <w:p w:rsidR="004F1EEC" w:rsidP="007C709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3"/>
        <w:gridCol w:w="6122"/>
        <w:gridCol w:w="1686"/>
      </w:tblGrid>
      <w:tr w:rsidTr="008E16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F1EEC" w:rsidRPr="00B81F97" w:rsidP="007C7090">
            <w:pPr>
              <w:pStyle w:val="Text1"/>
              <w:spacing w:before="0" w:after="0"/>
              <w:ind w:left="0"/>
              <w:rPr>
                <w:b/>
                <w:lang w:val="fr-BE"/>
              </w:rPr>
            </w:pPr>
            <w:r>
              <w:rPr>
                <w:b/>
                <w:noProof/>
                <w:lang w:val="fr-BE"/>
              </w:rPr>
              <w:t>Posebni cilj</w:t>
            </w:r>
          </w:p>
        </w:tc>
        <w:tc>
          <w:tcPr>
            <w:shd w:val="clear" w:color="auto" w:fill="auto"/>
          </w:tcPr>
          <w:p w:rsidR="004F1EEC" w:rsidRPr="00B81F97" w:rsidP="007C7090">
            <w:pPr>
              <w:pStyle w:val="Text1"/>
              <w:spacing w:before="0" w:after="0"/>
              <w:ind w:left="0"/>
              <w:rPr>
                <w:b/>
                <w:lang w:val="fr-BE"/>
              </w:rPr>
            </w:pPr>
            <w:r>
              <w:rPr>
                <w:b/>
                <w:noProof/>
                <w:lang w:val="fr-BE"/>
              </w:rPr>
              <w:t>Skupni znesek v EUR, dodeljen (s pogodbo, kot nepovratna sredstva ali z drugim sporazumom) do datuma tega poročila</w:t>
            </w:r>
          </w:p>
        </w:tc>
        <w:tc>
          <w:tcPr>
            <w:shd w:val="clear" w:color="auto" w:fill="auto"/>
          </w:tcPr>
          <w:p w:rsidR="004F1EEC" w:rsidRPr="00B81F97" w:rsidP="007C7090">
            <w:pPr>
              <w:pStyle w:val="Text1"/>
              <w:spacing w:before="0" w:after="0"/>
              <w:ind w:left="0"/>
              <w:rPr>
                <w:b/>
                <w:lang w:val="fr-BE"/>
              </w:rPr>
            </w:pPr>
            <w:r>
              <w:rPr>
                <w:b/>
                <w:noProof/>
                <w:lang w:val="fr-BE"/>
              </w:rPr>
              <w:t>% skupnih povezanih dodelitev</w:t>
            </w:r>
          </w:p>
        </w:tc>
      </w:tr>
      <w:tr w:rsidTr="008E16E1">
        <w:tblPrEx>
          <w:tblW w:w="5000" w:type="pct"/>
          <w:tblLook w:val="04A0"/>
        </w:tblPrEx>
        <w:tc>
          <w:tcPr>
            <w:shd w:val="clear" w:color="auto" w:fill="auto"/>
          </w:tcPr>
          <w:p w:rsidR="004F1EEC" w:rsidRPr="00B81F97" w:rsidP="007C7090">
            <w:pPr>
              <w:pStyle w:val="Text1"/>
              <w:spacing w:before="0" w:after="0"/>
              <w:ind w:left="0"/>
              <w:rPr>
                <w:lang w:val="fr-BE"/>
              </w:rPr>
            </w:pPr>
            <w:r>
              <w:rPr>
                <w:noProof/>
                <w:lang w:val="fr-BE"/>
              </w:rPr>
              <w:t xml:space="preserve">SO1 - </w:t>
            </w:r>
            <w:r>
              <w:rPr>
                <w:noProof/>
                <w:lang w:val="fr-BE"/>
              </w:rPr>
              <w:t>Podpora skupni vizumski politiki</w:t>
            </w:r>
          </w:p>
        </w:tc>
        <w:tc>
          <w:tcPr>
            <w:shd w:val="clear" w:color="auto" w:fill="auto"/>
          </w:tcPr>
          <w:p w:rsidR="004F1EEC" w:rsidRPr="00B81F97" w:rsidP="007C7090">
            <w:pPr>
              <w:pStyle w:val="Text1"/>
              <w:spacing w:before="0" w:after="0"/>
              <w:ind w:left="0"/>
              <w:jc w:val="right"/>
              <w:rPr>
                <w:lang w:val="fr-BE"/>
              </w:rPr>
            </w:pPr>
            <w:r>
              <w:rPr>
                <w:noProof/>
                <w:lang w:val="fr-BE"/>
              </w:rPr>
              <w:t>2.968.289,88</w:t>
            </w:r>
          </w:p>
        </w:tc>
        <w:tc>
          <w:tcPr>
            <w:shd w:val="clear" w:color="auto" w:fill="auto"/>
          </w:tcPr>
          <w:p w:rsidR="004F1EEC" w:rsidRPr="00B81F97" w:rsidP="007C7090">
            <w:pPr>
              <w:pStyle w:val="Text1"/>
              <w:spacing w:before="0" w:after="0"/>
              <w:ind w:left="0"/>
              <w:jc w:val="right"/>
              <w:rPr>
                <w:lang w:val="fr-BE"/>
              </w:rPr>
            </w:pPr>
            <w:r>
              <w:rPr>
                <w:noProof/>
                <w:lang w:val="fr-BE"/>
              </w:rPr>
              <w:t>49,67%</w:t>
            </w:r>
          </w:p>
        </w:tc>
      </w:tr>
      <w:tr w:rsidTr="008E16E1">
        <w:tblPrEx>
          <w:tblW w:w="5000" w:type="pct"/>
          <w:tblLook w:val="04A0"/>
        </w:tblPrEx>
        <w:tc>
          <w:tcPr>
            <w:shd w:val="clear" w:color="auto" w:fill="auto"/>
          </w:tcPr>
          <w:p w:rsidR="004F1EEC" w:rsidRPr="00B81F97" w:rsidP="007C7090">
            <w:pPr>
              <w:pStyle w:val="Text1"/>
              <w:spacing w:before="0" w:after="0"/>
              <w:ind w:left="0"/>
              <w:rPr>
                <w:lang w:val="fr-BE"/>
              </w:rPr>
            </w:pPr>
            <w:r>
              <w:rPr>
                <w:noProof/>
                <w:lang w:val="fr-BE"/>
              </w:rPr>
              <w:t xml:space="preserve">SO2 - </w:t>
            </w:r>
            <w:r>
              <w:rPr>
                <w:noProof/>
                <w:lang w:val="fr-BE"/>
              </w:rPr>
              <w:t>Meje</w:t>
            </w:r>
          </w:p>
        </w:tc>
        <w:tc>
          <w:tcPr>
            <w:shd w:val="clear" w:color="auto" w:fill="auto"/>
          </w:tcPr>
          <w:p w:rsidR="004F1EEC" w:rsidRPr="00B81F97" w:rsidP="007C7090">
            <w:pPr>
              <w:pStyle w:val="Text1"/>
              <w:spacing w:before="0" w:after="0"/>
              <w:ind w:left="0"/>
              <w:jc w:val="right"/>
              <w:rPr>
                <w:lang w:val="fr-BE"/>
              </w:rPr>
            </w:pPr>
            <w:r>
              <w:rPr>
                <w:noProof/>
                <w:lang w:val="fr-BE"/>
              </w:rPr>
              <w:t>15.709.375,90</w:t>
            </w:r>
          </w:p>
        </w:tc>
        <w:tc>
          <w:tcPr>
            <w:shd w:val="clear" w:color="auto" w:fill="auto"/>
          </w:tcPr>
          <w:p w:rsidR="004F1EEC" w:rsidRPr="00B81F97" w:rsidP="007C7090">
            <w:pPr>
              <w:pStyle w:val="Text1"/>
              <w:spacing w:before="0" w:after="0"/>
              <w:ind w:left="0"/>
              <w:jc w:val="right"/>
              <w:rPr>
                <w:lang w:val="fr-BE"/>
              </w:rPr>
            </w:pPr>
            <w:r>
              <w:rPr>
                <w:noProof/>
                <w:lang w:val="fr-BE"/>
              </w:rPr>
              <w:t>59,89%</w:t>
            </w:r>
          </w:p>
        </w:tc>
      </w:tr>
      <w:tr w:rsidTr="008E16E1">
        <w:tblPrEx>
          <w:tblW w:w="5000" w:type="pct"/>
          <w:tblLook w:val="04A0"/>
        </w:tblPrEx>
        <w:tc>
          <w:tcPr>
            <w:shd w:val="clear" w:color="auto" w:fill="auto"/>
          </w:tcPr>
          <w:p w:rsidR="004F1EEC" w:rsidRPr="00B81F97" w:rsidP="007C7090">
            <w:pPr>
              <w:pStyle w:val="Text1"/>
              <w:spacing w:before="0" w:after="0"/>
              <w:ind w:left="0"/>
              <w:rPr>
                <w:lang w:val="fr-BE"/>
              </w:rPr>
            </w:pPr>
            <w:r>
              <w:rPr>
                <w:noProof/>
                <w:lang w:val="fr-BE"/>
              </w:rPr>
              <w:t xml:space="preserve">SO3 - </w:t>
            </w:r>
            <w:r>
              <w:rPr>
                <w:noProof/>
                <w:lang w:val="fr-BE"/>
              </w:rPr>
              <w:t>Operativna podpora</w:t>
            </w:r>
          </w:p>
        </w:tc>
        <w:tc>
          <w:tcPr>
            <w:shd w:val="clear" w:color="auto" w:fill="auto"/>
          </w:tcPr>
          <w:p w:rsidR="004F1EEC" w:rsidRPr="00B81F97" w:rsidP="007C7090">
            <w:pPr>
              <w:pStyle w:val="Text1"/>
              <w:spacing w:before="0" w:after="0"/>
              <w:ind w:left="0"/>
              <w:jc w:val="right"/>
              <w:rPr>
                <w:lang w:val="fr-BE"/>
              </w:rPr>
            </w:pPr>
            <w:r>
              <w:rPr>
                <w:noProof/>
                <w:lang w:val="fr-BE"/>
              </w:rPr>
              <w:t>15.893.455,73</w:t>
            </w:r>
          </w:p>
        </w:tc>
        <w:tc>
          <w:tcPr>
            <w:shd w:val="clear" w:color="auto" w:fill="auto"/>
          </w:tcPr>
          <w:p w:rsidR="004F1EEC" w:rsidRPr="00B81F97" w:rsidP="007C7090">
            <w:pPr>
              <w:pStyle w:val="Text1"/>
              <w:spacing w:before="0" w:after="0"/>
              <w:ind w:left="0"/>
              <w:jc w:val="right"/>
              <w:rPr>
                <w:lang w:val="fr-BE"/>
              </w:rPr>
            </w:pPr>
            <w:r>
              <w:rPr>
                <w:noProof/>
                <w:lang w:val="fr-BE"/>
              </w:rPr>
              <w:t>116,75%</w:t>
            </w:r>
          </w:p>
        </w:tc>
      </w:tr>
      <w:tr w:rsidTr="008E16E1">
        <w:tblPrEx>
          <w:tblW w:w="5000" w:type="pct"/>
          <w:tblLook w:val="04A0"/>
        </w:tblPrEx>
        <w:tc>
          <w:tcPr>
            <w:shd w:val="clear" w:color="auto" w:fill="auto"/>
          </w:tcPr>
          <w:p w:rsidR="004F1EEC" w:rsidRPr="00B81F97" w:rsidP="007C7090">
            <w:pPr>
              <w:pStyle w:val="Text1"/>
              <w:spacing w:before="0" w:after="0"/>
              <w:ind w:left="0"/>
              <w:rPr>
                <w:lang w:val="fr-BE"/>
              </w:rPr>
            </w:pPr>
            <w:r>
              <w:rPr>
                <w:noProof/>
                <w:lang w:val="fr-BE"/>
              </w:rPr>
              <w:t>Tehnična pomoč – vizumi in meje</w:t>
            </w:r>
          </w:p>
        </w:tc>
        <w:tc>
          <w:tcPr>
            <w:shd w:val="clear" w:color="auto" w:fill="auto"/>
          </w:tcPr>
          <w:p w:rsidR="004F1EEC" w:rsidRPr="00B81F97" w:rsidP="007C7090">
            <w:pPr>
              <w:pStyle w:val="Text1"/>
              <w:spacing w:before="0" w:after="0"/>
              <w:ind w:left="0"/>
              <w:jc w:val="right"/>
              <w:rPr>
                <w:lang w:val="fr-BE"/>
              </w:rPr>
            </w:pPr>
            <w:r>
              <w:rPr>
                <w:noProof/>
                <w:lang w:val="fr-BE"/>
              </w:rPr>
              <w:t>2.538.129,48</w:t>
            </w:r>
          </w:p>
        </w:tc>
        <w:tc>
          <w:tcPr>
            <w:shd w:val="clear" w:color="auto" w:fill="auto"/>
          </w:tcPr>
          <w:p w:rsidR="004F1EEC" w:rsidRPr="00B81F97" w:rsidP="007C7090">
            <w:pPr>
              <w:pStyle w:val="Text1"/>
              <w:spacing w:before="0" w:after="0"/>
              <w:ind w:left="0"/>
              <w:jc w:val="right"/>
              <w:rPr>
                <w:lang w:val="fr-BE"/>
              </w:rPr>
            </w:pPr>
            <w:r>
              <w:rPr>
                <w:noProof/>
                <w:lang w:val="fr-BE"/>
              </w:rPr>
              <w:t>186,60%</w:t>
            </w:r>
          </w:p>
        </w:tc>
      </w:tr>
      <w:tr w:rsidTr="008E16E1">
        <w:tblPrEx>
          <w:tblW w:w="5000" w:type="pct"/>
          <w:tblLook w:val="04A0"/>
        </w:tblPrEx>
        <w:tc>
          <w:tcPr>
            <w:shd w:val="clear" w:color="auto" w:fill="auto"/>
          </w:tcPr>
          <w:p w:rsidR="004F1EEC" w:rsidRPr="00B81F97" w:rsidP="007C7090">
            <w:pPr>
              <w:pStyle w:val="Text1"/>
              <w:spacing w:before="0" w:after="0"/>
              <w:ind w:left="0"/>
              <w:rPr>
                <w:lang w:val="fr-BE"/>
              </w:rPr>
            </w:pPr>
            <w:r w:rsidRPr="00E65636">
              <w:rPr>
                <w:b/>
                <w:noProof/>
                <w:lang w:val="fr-BE"/>
              </w:rPr>
              <w:t>SKUPAJ ISF MEJE</w:t>
            </w:r>
          </w:p>
        </w:tc>
        <w:tc>
          <w:tcPr>
            <w:shd w:val="clear" w:color="auto" w:fill="auto"/>
          </w:tcPr>
          <w:p w:rsidR="004F1EEC" w:rsidRPr="00B81F97" w:rsidP="007C7090">
            <w:pPr>
              <w:pStyle w:val="Text1"/>
              <w:spacing w:before="0" w:after="0"/>
              <w:ind w:left="0"/>
              <w:jc w:val="right"/>
              <w:rPr>
                <w:lang w:val="fr-BE"/>
              </w:rPr>
            </w:pPr>
            <w:r>
              <w:rPr>
                <w:noProof/>
                <w:lang w:val="fr-BE"/>
              </w:rPr>
              <w:t>37.109.250,99</w:t>
            </w:r>
          </w:p>
        </w:tc>
        <w:tc>
          <w:tcPr>
            <w:shd w:val="clear" w:color="auto" w:fill="auto"/>
          </w:tcPr>
          <w:p w:rsidR="004F1EEC" w:rsidRPr="00B81F97" w:rsidP="007C7090">
            <w:pPr>
              <w:pStyle w:val="Text1"/>
              <w:spacing w:before="0" w:after="0"/>
              <w:ind w:left="0"/>
              <w:jc w:val="right"/>
              <w:rPr>
                <w:lang w:val="fr-BE"/>
              </w:rPr>
            </w:pPr>
            <w:r>
              <w:rPr>
                <w:noProof/>
                <w:lang w:val="fr-BE"/>
              </w:rPr>
              <w:t>78,65%</w:t>
            </w:r>
          </w:p>
        </w:tc>
      </w:tr>
      <w:tr w:rsidTr="008E16E1">
        <w:tblPrEx>
          <w:tblW w:w="5000" w:type="pct"/>
          <w:tblLook w:val="04A0"/>
        </w:tblPrEx>
        <w:tc>
          <w:tcPr>
            <w:shd w:val="clear" w:color="auto" w:fill="auto"/>
          </w:tcPr>
          <w:p w:rsidR="004F1EEC" w:rsidRPr="00B81F97" w:rsidP="007C7090">
            <w:pPr>
              <w:pStyle w:val="Text1"/>
              <w:spacing w:before="0" w:after="0"/>
              <w:ind w:left="0"/>
              <w:rPr>
                <w:lang w:val="fr-BE"/>
              </w:rPr>
            </w:pPr>
            <w:r>
              <w:rPr>
                <w:noProof/>
                <w:lang w:val="fr-BE"/>
              </w:rPr>
              <w:t xml:space="preserve">SO5 - </w:t>
            </w:r>
            <w:r>
              <w:rPr>
                <w:noProof/>
                <w:lang w:val="fr-BE"/>
              </w:rPr>
              <w:t>Preprečevanje kriminala in boj proti njemu</w:t>
            </w:r>
          </w:p>
        </w:tc>
        <w:tc>
          <w:tcPr>
            <w:shd w:val="clear" w:color="auto" w:fill="auto"/>
          </w:tcPr>
          <w:p w:rsidR="004F1EEC" w:rsidRPr="00B81F97" w:rsidP="007C7090">
            <w:pPr>
              <w:pStyle w:val="Text1"/>
              <w:spacing w:before="0" w:after="0"/>
              <w:ind w:left="0"/>
              <w:jc w:val="right"/>
              <w:rPr>
                <w:lang w:val="fr-BE"/>
              </w:rPr>
            </w:pPr>
            <w:r>
              <w:rPr>
                <w:noProof/>
                <w:lang w:val="fr-BE"/>
              </w:rPr>
              <w:t>9.710.823,16</w:t>
            </w:r>
          </w:p>
        </w:tc>
        <w:tc>
          <w:tcPr>
            <w:shd w:val="clear" w:color="auto" w:fill="auto"/>
          </w:tcPr>
          <w:p w:rsidR="004F1EEC" w:rsidRPr="00B81F97" w:rsidP="007C7090">
            <w:pPr>
              <w:pStyle w:val="Text1"/>
              <w:spacing w:before="0" w:after="0"/>
              <w:ind w:left="0"/>
              <w:jc w:val="right"/>
              <w:rPr>
                <w:lang w:val="fr-BE"/>
              </w:rPr>
            </w:pPr>
            <w:r>
              <w:rPr>
                <w:noProof/>
                <w:lang w:val="fr-BE"/>
              </w:rPr>
              <w:t>101,44%</w:t>
            </w:r>
          </w:p>
        </w:tc>
      </w:tr>
      <w:tr w:rsidTr="008E16E1">
        <w:tblPrEx>
          <w:tblW w:w="5000" w:type="pct"/>
          <w:tblLook w:val="04A0"/>
        </w:tblPrEx>
        <w:tc>
          <w:tcPr>
            <w:shd w:val="clear" w:color="auto" w:fill="auto"/>
          </w:tcPr>
          <w:p w:rsidR="004F1EEC" w:rsidRPr="00B81F97" w:rsidP="007C7090">
            <w:pPr>
              <w:pStyle w:val="Text1"/>
              <w:spacing w:before="0" w:after="0"/>
              <w:ind w:left="0"/>
              <w:rPr>
                <w:lang w:val="fr-BE"/>
              </w:rPr>
            </w:pPr>
            <w:r>
              <w:rPr>
                <w:noProof/>
                <w:lang w:val="fr-BE"/>
              </w:rPr>
              <w:t xml:space="preserve">SO6 - </w:t>
            </w:r>
            <w:r>
              <w:rPr>
                <w:noProof/>
                <w:lang w:val="fr-BE"/>
              </w:rPr>
              <w:t>Tveganja in krize</w:t>
            </w:r>
          </w:p>
        </w:tc>
        <w:tc>
          <w:tcPr>
            <w:shd w:val="clear" w:color="auto" w:fill="auto"/>
          </w:tcPr>
          <w:p w:rsidR="004F1EEC" w:rsidRPr="00B81F97" w:rsidP="007C7090">
            <w:pPr>
              <w:pStyle w:val="Text1"/>
              <w:spacing w:before="0" w:after="0"/>
              <w:ind w:left="0"/>
              <w:jc w:val="right"/>
              <w:rPr>
                <w:lang w:val="fr-BE"/>
              </w:rPr>
            </w:pPr>
            <w:r>
              <w:rPr>
                <w:noProof/>
                <w:lang w:val="fr-BE"/>
              </w:rPr>
              <w:t>1.032.250,29</w:t>
            </w:r>
          </w:p>
        </w:tc>
        <w:tc>
          <w:tcPr>
            <w:shd w:val="clear" w:color="auto" w:fill="auto"/>
          </w:tcPr>
          <w:p w:rsidR="004F1EEC" w:rsidRPr="00B81F97" w:rsidP="007C7090">
            <w:pPr>
              <w:pStyle w:val="Text1"/>
              <w:spacing w:before="0" w:after="0"/>
              <w:ind w:left="0"/>
              <w:jc w:val="right"/>
              <w:rPr>
                <w:lang w:val="fr-BE"/>
              </w:rPr>
            </w:pPr>
            <w:r>
              <w:rPr>
                <w:noProof/>
                <w:lang w:val="fr-BE"/>
              </w:rPr>
              <w:t>88,91%</w:t>
            </w:r>
          </w:p>
        </w:tc>
      </w:tr>
      <w:tr w:rsidTr="008E16E1">
        <w:tblPrEx>
          <w:tblW w:w="5000" w:type="pct"/>
          <w:tblLook w:val="04A0"/>
        </w:tblPrEx>
        <w:tc>
          <w:tcPr>
            <w:shd w:val="clear" w:color="auto" w:fill="auto"/>
          </w:tcPr>
          <w:p w:rsidR="004F1EEC" w:rsidRPr="00B81F97" w:rsidP="007C7090">
            <w:pPr>
              <w:pStyle w:val="Text1"/>
              <w:spacing w:before="0" w:after="0"/>
              <w:ind w:left="0"/>
              <w:rPr>
                <w:lang w:val="fr-BE"/>
              </w:rPr>
            </w:pPr>
            <w:r>
              <w:rPr>
                <w:noProof/>
                <w:lang w:val="fr-BE"/>
              </w:rPr>
              <w:t>Tehnična pomoč – policija</w:t>
            </w:r>
          </w:p>
        </w:tc>
        <w:tc>
          <w:tcPr>
            <w:shd w:val="clear" w:color="auto" w:fill="auto"/>
          </w:tcPr>
          <w:p w:rsidR="004F1EEC" w:rsidRPr="00B81F97" w:rsidP="007C7090">
            <w:pPr>
              <w:pStyle w:val="Text1"/>
              <w:spacing w:before="0" w:after="0"/>
              <w:ind w:left="0"/>
              <w:jc w:val="right"/>
              <w:rPr>
                <w:lang w:val="fr-BE"/>
              </w:rPr>
            </w:pPr>
            <w:r>
              <w:rPr>
                <w:noProof/>
                <w:lang w:val="fr-BE"/>
              </w:rPr>
              <w:t>512.297,55</w:t>
            </w:r>
          </w:p>
        </w:tc>
        <w:tc>
          <w:tcPr>
            <w:shd w:val="clear" w:color="auto" w:fill="auto"/>
          </w:tcPr>
          <w:p w:rsidR="004F1EEC" w:rsidRPr="00B81F97" w:rsidP="007C7090">
            <w:pPr>
              <w:pStyle w:val="Text1"/>
              <w:spacing w:before="0" w:after="0"/>
              <w:ind w:left="0"/>
              <w:jc w:val="right"/>
              <w:rPr>
                <w:lang w:val="fr-BE"/>
              </w:rPr>
            </w:pPr>
            <w:r>
              <w:rPr>
                <w:noProof/>
                <w:lang w:val="fr-BE"/>
              </w:rPr>
              <w:t>98,27%</w:t>
            </w:r>
          </w:p>
        </w:tc>
      </w:tr>
      <w:tr w:rsidTr="008E16E1">
        <w:tblPrEx>
          <w:tblW w:w="5000" w:type="pct"/>
          <w:tblLook w:val="04A0"/>
        </w:tblPrEx>
        <w:tc>
          <w:tcPr>
            <w:shd w:val="clear" w:color="auto" w:fill="auto"/>
          </w:tcPr>
          <w:p w:rsidR="004F1EEC" w:rsidRPr="00B81F97" w:rsidP="007C7090">
            <w:pPr>
              <w:pStyle w:val="Text1"/>
              <w:spacing w:before="0" w:after="0"/>
              <w:ind w:left="0"/>
              <w:rPr>
                <w:lang w:val="fr-BE"/>
              </w:rPr>
            </w:pPr>
            <w:r w:rsidRPr="00E90C2F">
              <w:rPr>
                <w:b/>
                <w:noProof/>
                <w:lang w:val="fr-BE"/>
              </w:rPr>
              <w:t>SKUPAJ ISF POLICIJA</w:t>
            </w:r>
          </w:p>
        </w:tc>
        <w:tc>
          <w:tcPr>
            <w:shd w:val="clear" w:color="auto" w:fill="auto"/>
          </w:tcPr>
          <w:p w:rsidR="004F1EEC" w:rsidRPr="00B81F97" w:rsidP="007C7090">
            <w:pPr>
              <w:pStyle w:val="Text1"/>
              <w:spacing w:before="0" w:after="0"/>
              <w:ind w:left="0"/>
              <w:jc w:val="right"/>
              <w:rPr>
                <w:lang w:val="fr-BE"/>
              </w:rPr>
            </w:pPr>
            <w:r>
              <w:rPr>
                <w:noProof/>
                <w:lang w:val="fr-BE"/>
              </w:rPr>
              <w:t>11.255.371,00</w:t>
            </w:r>
          </w:p>
        </w:tc>
        <w:tc>
          <w:tcPr>
            <w:shd w:val="clear" w:color="auto" w:fill="auto"/>
          </w:tcPr>
          <w:p w:rsidR="004F1EEC" w:rsidRPr="00B81F97" w:rsidP="007C7090">
            <w:pPr>
              <w:pStyle w:val="Text1"/>
              <w:spacing w:before="0" w:after="0"/>
              <w:ind w:left="0"/>
              <w:jc w:val="right"/>
              <w:rPr>
                <w:lang w:val="fr-BE"/>
              </w:rPr>
            </w:pPr>
            <w:r>
              <w:rPr>
                <w:noProof/>
                <w:lang w:val="fr-BE"/>
              </w:rPr>
              <w:t>100,00%</w:t>
            </w:r>
          </w:p>
        </w:tc>
      </w:tr>
    </w:tbl>
    <w:p w:rsidR="004F1EEC" w:rsidRPr="00D738C2" w:rsidP="007C7090">
      <w:pPr>
        <w:spacing w:before="0" w:after="0"/>
        <w:rPr>
          <w:lang w:val="fr-BE"/>
        </w:rPr>
      </w:pPr>
    </w:p>
    <w:p w:rsidR="004F1EEC" w:rsidP="007C7090">
      <w:pPr>
        <w:spacing w:before="0" w:after="0"/>
      </w:pPr>
    </w:p>
    <w:p w:rsidR="005A7552" w:rsidP="005A7552">
      <w:pPr>
        <w:spacing w:before="0" w:after="0"/>
      </w:pPr>
    </w:p>
    <w:p w:rsidR="005A7552" w:rsidP="005A7552">
      <w:pPr>
        <w:pStyle w:val="Heading1"/>
        <w:numPr>
          <w:ilvl w:val="0"/>
          <w:numId w:val="0"/>
        </w:numPr>
        <w:spacing w:before="0" w:after="0"/>
        <w:rPr>
          <w:lang w:val="fr-BE"/>
        </w:rPr>
      </w:pPr>
      <w:bookmarkStart w:id="22" w:name="_Toc256000022"/>
      <w:r w:rsidR="00B32D1F">
        <w:rPr>
          <w:noProof/>
          <w:lang w:val="fr-BE"/>
        </w:rPr>
        <w:t>ODDELEK 9: POROČANJE O ODHODKIH V ZVEZI S COVID-19</w:t>
      </w:r>
      <w:bookmarkEnd w:id="22"/>
    </w:p>
    <w:p w:rsidR="0055046C" w:rsidP="005A7552">
      <w:pPr>
        <w:pStyle w:val="Text1"/>
        <w:spacing w:before="0" w:after="0"/>
        <w:ind w:left="0"/>
        <w:rPr>
          <w:lang w:val="fr-BE"/>
        </w:rPr>
      </w:pPr>
    </w:p>
    <w:p w:rsidR="005A7552" w:rsidP="005A7552">
      <w:pPr>
        <w:pStyle w:val="Text1"/>
        <w:spacing w:before="0" w:after="0"/>
        <w:ind w:left="0"/>
        <w:rPr>
          <w:lang w:val="fr-BE"/>
        </w:rPr>
      </w:pPr>
      <w:r w:rsidR="00B32D1F">
        <w:rPr>
          <w:noProof/>
          <w:lang w:val="fr-BE"/>
        </w:rPr>
        <w:t>I. Pojasnilo</w:t>
      </w:r>
    </w:p>
    <w:p w:rsidR="005A7552" w:rsidP="005A7552">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2"/>
      </w:tblGrid>
      <w:tr w:rsidTr="00591C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5A7552" w:rsidRPr="00003291" w:rsidP="00591C93">
            <w:pPr>
              <w:pStyle w:val="Text1"/>
              <w:spacing w:before="0" w:after="0"/>
              <w:ind w:left="0"/>
              <w:rPr>
                <w:lang w:val="fr-BE"/>
              </w:rPr>
            </w:pPr>
          </w:p>
        </w:tc>
      </w:tr>
    </w:tbl>
    <w:p w:rsidR="005A7552" w:rsidP="005A7552">
      <w:pPr>
        <w:pStyle w:val="Text1"/>
        <w:spacing w:before="0" w:after="0"/>
        <w:ind w:left="0"/>
        <w:rPr>
          <w:lang w:val="fr-BE"/>
        </w:rPr>
      </w:pPr>
    </w:p>
    <w:p w:rsidR="005A7552" w:rsidP="00D47585">
      <w:pPr>
        <w:pStyle w:val="Text1"/>
        <w:keepNext/>
        <w:spacing w:before="0" w:after="0"/>
        <w:ind w:left="0"/>
        <w:rPr>
          <w:lang w:val="fr-BE"/>
        </w:rPr>
      </w:pPr>
      <w:r w:rsidR="00B32D1F">
        <w:rPr>
          <w:noProof/>
          <w:lang w:val="fr-BE"/>
        </w:rPr>
        <w:t>II. Odhodki v zvezi s COVID-19 (prispevek EU)</w:t>
      </w:r>
    </w:p>
    <w:p w:rsidR="0055046C" w:rsidP="00D47585">
      <w:pPr>
        <w:pStyle w:val="Text1"/>
        <w:keepNext/>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757"/>
        <w:gridCol w:w="1757"/>
        <w:gridCol w:w="1757"/>
        <w:gridCol w:w="1757"/>
        <w:gridCol w:w="1757"/>
      </w:tblGrid>
      <w:tr w:rsidTr="00A424C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97"/>
        </w:trPr>
        <w:tc>
          <w:tcPr>
            <w:shd w:val="clear" w:color="auto" w:fill="auto"/>
          </w:tcPr>
          <w:p w:rsidR="005A7552" w:rsidRPr="00B81F97" w:rsidP="00272D5C">
            <w:pPr>
              <w:pStyle w:val="Text1"/>
              <w:spacing w:before="0" w:after="0"/>
              <w:ind w:left="0"/>
              <w:jc w:val="left"/>
              <w:rPr>
                <w:b/>
                <w:lang w:val="fr-BE"/>
              </w:rPr>
            </w:pPr>
            <w:r w:rsidR="00B32D1F">
              <w:rPr>
                <w:b/>
                <w:noProof/>
                <w:lang w:val="fr-BE"/>
              </w:rPr>
              <w:t>Obveznosti: Prispevek EU za ukrepe za boj proti COVID-19(*)</w:t>
            </w:r>
          </w:p>
        </w:tc>
        <w:tc>
          <w:tcPr>
            <w:shd w:val="clear" w:color="auto" w:fill="auto"/>
          </w:tcPr>
          <w:p w:rsidR="005A7552" w:rsidRPr="00B81F97" w:rsidP="00272D5C">
            <w:pPr>
              <w:pStyle w:val="Text1"/>
              <w:spacing w:before="0" w:after="0"/>
              <w:ind w:left="0"/>
              <w:jc w:val="left"/>
              <w:rPr>
                <w:b/>
                <w:lang w:val="fr-BE"/>
              </w:rPr>
            </w:pPr>
            <w:r w:rsidR="00B32D1F">
              <w:rPr>
                <w:b/>
                <w:noProof/>
                <w:lang w:val="fr-BE"/>
              </w:rPr>
              <w:t>Plačila: Prispevek EU za ukrepe za boj proti COVID-19, prikazan v računovodskih izkazih za leto 2020</w:t>
            </w:r>
          </w:p>
        </w:tc>
        <w:tc>
          <w:tcPr/>
          <w:p w:rsidR="005A7552" w:rsidP="00272D5C">
            <w:pPr>
              <w:pStyle w:val="Text1"/>
              <w:spacing w:before="0" w:after="0"/>
              <w:ind w:left="0"/>
              <w:jc w:val="left"/>
              <w:rPr>
                <w:b/>
                <w:lang w:val="fr-BE"/>
              </w:rPr>
            </w:pPr>
            <w:r w:rsidR="00B32D1F">
              <w:rPr>
                <w:b/>
                <w:noProof/>
                <w:lang w:val="fr-BE"/>
              </w:rPr>
              <w:t>Plačila: Prispevek EU za ukrepe za boj proti COVID-19, prikazan v računovodskih izkazih za leto 2021</w:t>
            </w:r>
          </w:p>
        </w:tc>
        <w:tc>
          <w:tcPr/>
          <w:p w:rsidR="005A7552" w:rsidP="00272D5C">
            <w:pPr>
              <w:pStyle w:val="Text1"/>
              <w:spacing w:before="0" w:after="0"/>
              <w:ind w:left="0"/>
              <w:jc w:val="left"/>
              <w:rPr>
                <w:b/>
                <w:lang w:val="fr-BE"/>
              </w:rPr>
            </w:pPr>
            <w:r w:rsidR="00B32D1F">
              <w:rPr>
                <w:b/>
                <w:noProof/>
                <w:lang w:val="fr-BE"/>
              </w:rPr>
              <w:t>Plačila: Prispevek EU za ukrepe za boj proti COVID-19, prikazan v računovodskih izkazih za leto 2022</w:t>
            </w:r>
          </w:p>
        </w:tc>
        <w:tc>
          <w:tcPr/>
          <w:p w:rsidR="005A7552" w:rsidP="00272D5C">
            <w:pPr>
              <w:pStyle w:val="Text1"/>
              <w:spacing w:before="0" w:after="0"/>
              <w:ind w:left="0"/>
              <w:jc w:val="left"/>
              <w:rPr>
                <w:b/>
                <w:lang w:val="fr-BE"/>
              </w:rPr>
            </w:pPr>
            <w:r w:rsidR="00B32D1F">
              <w:rPr>
                <w:b/>
                <w:noProof/>
                <w:lang w:val="fr-BE"/>
              </w:rPr>
              <w:t>Plačila: Prispevek EU za ukrepe za boj proti COVID-19, prikazan v računovodskih izkazih za leto 2023</w:t>
            </w:r>
          </w:p>
        </w:tc>
        <w:tc>
          <w:tcPr>
            <w:shd w:val="clear" w:color="auto" w:fill="auto"/>
          </w:tcPr>
          <w:p w:rsidR="005A7552" w:rsidRPr="00B81F97" w:rsidP="00272D5C">
            <w:pPr>
              <w:pStyle w:val="Text1"/>
              <w:spacing w:before="0" w:after="0"/>
              <w:ind w:left="0"/>
              <w:jc w:val="left"/>
              <w:rPr>
                <w:b/>
                <w:lang w:val="fr-BE"/>
              </w:rPr>
            </w:pPr>
            <w:r w:rsidR="00B32D1F">
              <w:rPr>
                <w:b/>
                <w:noProof/>
                <w:lang w:val="fr-BE"/>
              </w:rPr>
              <w:t>Plačila: Skupni prispevek EU za ukrepe za boj proti COVID-19, prikazan v računovodskih izkazih</w:t>
            </w:r>
          </w:p>
        </w:tc>
      </w:tr>
      <w:tr w:rsidTr="00A424CE">
        <w:tblPrEx>
          <w:tblW w:w="5000" w:type="pct"/>
          <w:tblLook w:val="04A0"/>
        </w:tblPrEx>
        <w:trPr>
          <w:cantSplit/>
          <w:trHeight w:val="1259"/>
        </w:trPr>
        <w:tc>
          <w:tcPr>
            <w:shd w:val="clear" w:color="auto" w:fill="auto"/>
          </w:tcPr>
          <w:p w:rsidR="005A7552" w:rsidRPr="00B81F97" w:rsidP="00591C93">
            <w:pPr>
              <w:pStyle w:val="Text1"/>
              <w:spacing w:before="0" w:after="0"/>
              <w:ind w:left="0"/>
              <w:jc w:val="right"/>
              <w:rPr>
                <w:lang w:val="fr-BE"/>
              </w:rPr>
            </w:pPr>
          </w:p>
        </w:tc>
        <w:tc>
          <w:tcPr>
            <w:shd w:val="clear" w:color="auto" w:fill="auto"/>
          </w:tcPr>
          <w:p w:rsidR="005A7552" w:rsidRPr="00B81F97" w:rsidP="00591C93">
            <w:pPr>
              <w:pStyle w:val="Text1"/>
              <w:spacing w:before="0" w:after="0"/>
              <w:ind w:left="0"/>
              <w:jc w:val="right"/>
              <w:rPr>
                <w:lang w:val="fr-BE"/>
              </w:rPr>
            </w:pPr>
          </w:p>
        </w:tc>
        <w:tc>
          <w:tcPr/>
          <w:p w:rsidR="005A7552" w:rsidP="00591C93">
            <w:pPr>
              <w:pStyle w:val="Text1"/>
              <w:spacing w:before="0" w:after="0"/>
              <w:ind w:left="0"/>
              <w:jc w:val="right"/>
              <w:rPr>
                <w:lang w:val="fr-BE"/>
              </w:rPr>
            </w:pPr>
          </w:p>
        </w:tc>
        <w:tc>
          <w:tcPr/>
          <w:p w:rsidR="005A7552" w:rsidP="00591C93">
            <w:pPr>
              <w:pStyle w:val="Text1"/>
              <w:spacing w:before="0" w:after="0"/>
              <w:ind w:left="0"/>
              <w:jc w:val="right"/>
              <w:rPr>
                <w:lang w:val="fr-BE"/>
              </w:rPr>
            </w:pPr>
          </w:p>
        </w:tc>
        <w:tc>
          <w:tcPr/>
          <w:p w:rsidR="005A7552" w:rsidP="00591C93">
            <w:pPr>
              <w:pStyle w:val="Text1"/>
              <w:spacing w:before="0" w:after="0"/>
              <w:ind w:left="0"/>
              <w:jc w:val="right"/>
              <w:rPr>
                <w:lang w:val="fr-BE"/>
              </w:rPr>
            </w:pPr>
          </w:p>
        </w:tc>
        <w:tc>
          <w:tcPr>
            <w:shd w:val="clear" w:color="auto" w:fill="auto"/>
          </w:tcPr>
          <w:p w:rsidR="005A7552" w:rsidRPr="00B81F97" w:rsidP="00591C93">
            <w:pPr>
              <w:pStyle w:val="Text1"/>
              <w:spacing w:before="0" w:after="0"/>
              <w:ind w:left="0"/>
              <w:jc w:val="right"/>
              <w:rPr>
                <w:lang w:val="fr-BE"/>
              </w:rPr>
            </w:pPr>
          </w:p>
        </w:tc>
      </w:tr>
    </w:tbl>
    <w:p w:rsidR="005A7552" w:rsidRPr="00115C60" w:rsidP="007E41B9">
      <w:pPr>
        <w:jc w:val="left"/>
        <w:sectPr w:rsidSect="00BD46AA">
          <w:headerReference w:type="default" r:id="rId10"/>
          <w:footerReference w:type="default" r:id="rId11"/>
          <w:headerReference w:type="first" r:id="rId12"/>
          <w:footerReference w:type="first" r:id="rId13"/>
          <w:pgSz w:w="11906" w:h="16838"/>
          <w:pgMar w:top="567" w:right="510" w:bottom="284" w:left="1134" w:header="0" w:footer="0" w:gutter="0"/>
          <w:cols w:space="708"/>
          <w:docGrid w:linePitch="360"/>
        </w:sectPr>
      </w:pPr>
      <w:r w:rsidR="00584D3F">
        <w:rPr>
          <w:noProof/>
          <w:sz w:val="20"/>
          <w:szCs w:val="20"/>
        </w:rPr>
        <w:t>(*) V računovodskih izkazih so samo zneski, povezani s projekti.</w:t>
      </w:r>
    </w:p>
    <w:p w:rsidR="00D5077A" w:rsidP="00BE2F0F">
      <w:pPr>
        <w:pStyle w:val="Heading10"/>
        <w:numPr>
          <w:ilvl w:val="0"/>
          <w:numId w:val="0"/>
        </w:numPr>
        <w:ind w:right="-283"/>
      </w:pPr>
      <w:bookmarkStart w:id="23" w:name="_Toc256000023"/>
      <w:r>
        <w:rPr>
          <w:noProof/>
        </w:rPr>
        <w:t>Dokumenti</w:t>
      </w:r>
      <w:bookmarkEnd w:id="2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2002"/>
        <w:gridCol w:w="2126"/>
        <w:gridCol w:w="1567"/>
        <w:gridCol w:w="3126"/>
        <w:gridCol w:w="1187"/>
        <w:gridCol w:w="1990"/>
        <w:gridCol w:w="1287"/>
      </w:tblGrid>
      <w:tr w:rsidTr="00A67C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D5077A" w:rsidRPr="00C40F08" w:rsidP="002E06F3">
            <w:pPr>
              <w:pStyle w:val="NormalCentered"/>
              <w:spacing w:before="0" w:after="0"/>
              <w:rPr>
                <w:b/>
                <w:sz w:val="16"/>
                <w:szCs w:val="16"/>
              </w:rPr>
            </w:pPr>
            <w:r>
              <w:rPr>
                <w:b/>
                <w:noProof/>
                <w:sz w:val="16"/>
                <w:szCs w:val="16"/>
              </w:rPr>
              <w:t>Naslov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Vrsta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Datum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Lokalni sklic</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Referenčna številka Komisije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Datoteke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Datum pošiljanja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Pošiljatelj</w:t>
            </w:r>
          </w:p>
        </w:tc>
      </w:tr>
    </w:tbl>
    <w:p w:rsidR="00094173" w:rsidRPr="00D5077A" w:rsidP="00BE2F0F">
      <w:pPr>
        <w:pStyle w:val="Normal0"/>
        <w:spacing w:before="0" w:after="0"/>
        <w:sectPr w:rsidSect="0087734D">
          <w:headerReference w:type="default" r:id="rId14"/>
          <w:footerReference w:type="default" r:id="rId15"/>
          <w:type w:val="nextPage"/>
          <w:pgSz w:w="16838" w:h="11906" w:orient="landscape"/>
          <w:pgMar w:top="0" w:right="567" w:bottom="0" w:left="851" w:header="0" w:footer="284" w:gutter="0"/>
          <w:cols w:space="708"/>
          <w:docGrid w:linePitch="360"/>
        </w:sectPr>
      </w:pPr>
    </w:p>
    <w:p w:rsidR="00434D73" w:rsidP="00562C60">
      <w:pPr>
        <w:pStyle w:val="Heading10"/>
        <w:numPr>
          <w:ilvl w:val="0"/>
          <w:numId w:val="0"/>
        </w:numPr>
        <w:spacing w:before="0" w:after="0"/>
        <w:ind w:right="111"/>
      </w:pPr>
      <w:bookmarkStart w:id="24" w:name="_Toc256000024"/>
      <w:r w:rsidR="00F05543">
        <w:rPr>
          <w:noProof/>
        </w:rPr>
        <w:t>Zadnji rezultati validacije</w:t>
      </w:r>
      <w:bookmarkEnd w:id="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2921"/>
        <w:gridCol w:w="2210"/>
        <w:gridCol w:w="10269"/>
      </w:tblGrid>
      <w:tr w:rsidTr="00BA1B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Resnost</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Oznaka</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Sporočilo</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Informacije</w:t>
            </w:r>
          </w:p>
        </w:tc>
        <w:tc>
          <w:tcPr>
            <w:shd w:val="clear" w:color="auto" w:fill="auto"/>
          </w:tcPr>
          <w:p w:rsidR="00434D73" w:rsidRPr="00DD2742" w:rsidP="006477CC">
            <w:pPr>
              <w:pStyle w:val="NormalLeft"/>
              <w:spacing w:before="0" w:after="0"/>
              <w:rPr>
                <w:sz w:val="16"/>
                <w:szCs w:val="16"/>
              </w:rPr>
            </w:pP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P="00DD2742">
      <w:pPr>
        <w:pStyle w:val="Normal0"/>
      </w:pPr>
    </w:p>
    <w:sectPr w:rsidSect="009B4CA5">
      <w:headerReference w:type="default" r:id="rId16"/>
      <w:footerReference w:type="default" r:id="rId17"/>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auto"/>
    <w:pitch w:val="variable"/>
    <w:sig w:usb0="00000000" w:usb1="C0007841" w:usb2="00000009" w:usb3="00000000" w:csb0="000001FF" w:csb1="00000000"/>
  </w:font>
  <w:font w:name="Tahoma">
    <w:panose1 w:val="00000000000000000000"/>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0000000000000000000"/>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EC" w:rsidRPr="005432E7" w:rsidP="007C7090">
    <w:pPr>
      <w:pStyle w:val="Footer"/>
      <w:tabs>
        <w:tab w:val="clear" w:pos="4535"/>
        <w:tab w:val="center" w:pos="5387"/>
        <w:tab w:val="clear" w:pos="9071"/>
        <w:tab w:val="clear" w:pos="9921"/>
        <w:tab w:val="right" w:pos="10490"/>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19</w:t>
    </w:r>
    <w:r>
      <w:fldChar w:fldCharType="end"/>
    </w:r>
    <w:r>
      <w:tab/>
    </w:r>
    <w:r>
      <w:rPr>
        <w:rFonts w:ascii="Arial" w:hAnsi="Arial" w:cs="Arial"/>
        <w:b/>
        <w:noProof/>
        <w:sz w:val="48"/>
      </w:rPr>
      <w:t>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EC" w:rsidRPr="00DD0B70"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w:instrText>
    </w:r>
    <w:r>
      <w:instrText xml:space="preserve">PAGE  \* MERGEFORMAT </w:instrText>
    </w:r>
    <w:r>
      <w:fldChar w:fldCharType="separate"/>
    </w:r>
    <w:r w:rsidR="00BD46AA">
      <w:rPr>
        <w:noProof/>
      </w:rPr>
      <w:t>22</w:t>
    </w:r>
    <w:r>
      <w:fldChar w:fldCharType="end"/>
    </w:r>
    <w:r>
      <w:tab/>
    </w:r>
    <w:r w:rsidRPr="008E3442">
      <w:tab/>
    </w:r>
    <w:r w:rsidRPr="005F6C78">
      <w:rPr>
        <w:rFonts w:ascii="Arial" w:hAnsi="Arial" w:cs="Arial"/>
        <w:b/>
        <w:noProof/>
        <w:sz w:val="48"/>
        <w:szCs w:val="48"/>
        <w:lang w:val="fr-BE"/>
      </w:rPr>
      <w:t>SL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EC" w:rsidRPr="005432E7" w:rsidP="006A18BF">
    <w:pPr>
      <w:pStyle w:val="Footer"/>
      <w:tabs>
        <w:tab w:val="clear" w:pos="4535"/>
        <w:tab w:val="center" w:pos="5387"/>
        <w:tab w:val="clear" w:pos="9071"/>
        <w:tab w:val="clear" w:pos="9921"/>
        <w:tab w:val="right" w:pos="10771"/>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33</w:t>
    </w:r>
    <w:r>
      <w:fldChar w:fldCharType="end"/>
    </w:r>
    <w:r>
      <w:tab/>
    </w:r>
    <w:r>
      <w:rPr>
        <w:rFonts w:ascii="Arial" w:hAnsi="Arial" w:cs="Arial"/>
        <w:b/>
        <w:noProof/>
        <w:sz w:val="48"/>
      </w:rPr>
      <w:t>SL</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EC" w:rsidRPr="00DD0B70"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w:instrText>
    </w:r>
    <w:r>
      <w:instrText xml:space="preserve">ERGEFORMAT </w:instrText>
    </w:r>
    <w:r>
      <w:fldChar w:fldCharType="separate"/>
    </w:r>
    <w:r w:rsidR="00BD46AA">
      <w:rPr>
        <w:noProof/>
      </w:rPr>
      <w:t>34</w:t>
    </w:r>
    <w:r>
      <w:fldChar w:fldCharType="end"/>
    </w:r>
    <w:r>
      <w:tab/>
    </w:r>
    <w:r w:rsidRPr="008E3442">
      <w:tab/>
    </w:r>
    <w:r w:rsidRPr="005F6C78">
      <w:rPr>
        <w:rFonts w:ascii="Arial" w:hAnsi="Arial" w:cs="Arial"/>
        <w:b/>
        <w:noProof/>
        <w:sz w:val="48"/>
        <w:szCs w:val="48"/>
        <w:lang w:val="fr-BE"/>
      </w:rPr>
      <w:t>SL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C57C82" w:rsidP="0047688D">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36</w:t>
    </w:r>
    <w:r>
      <w:fldChar w:fldCharType="end"/>
    </w:r>
    <w:r>
      <w:tab/>
    </w:r>
    <w:r w:rsidRPr="007C3041">
      <w:tab/>
    </w:r>
    <w:r>
      <w:rPr>
        <w:rFonts w:ascii="Arial" w:hAnsi="Arial" w:cs="Arial"/>
        <w:b/>
        <w:noProof/>
        <w:sz w:val="48"/>
      </w:rPr>
      <w:t>SL</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A91FB2" w:rsidP="0087734D">
    <w:pPr>
      <w:pStyle w:val="FooterLandscape"/>
      <w:tabs>
        <w:tab w:val="clear" w:pos="7285"/>
        <w:tab w:val="center" w:pos="7655"/>
        <w:tab w:val="clear" w:pos="10913"/>
        <w:tab w:val="clear" w:pos="15137"/>
        <w:tab w:val="right" w:pos="15763"/>
      </w:tabs>
      <w:spacing w:before="0" w:after="120"/>
      <w:ind w:left="0" w:right="0"/>
      <w:rPr>
        <w:rFonts w:ascii="Arial" w:hAnsi="Arial" w:cs="Arial"/>
        <w:b/>
        <w:sz w:val="48"/>
      </w:rPr>
    </w:pPr>
    <w:r w:rsidRPr="005F6C78" w:rsidR="00A91FB2">
      <w:rPr>
        <w:rFonts w:ascii="Arial" w:hAnsi="Arial" w:cs="Arial"/>
        <w:b/>
        <w:noProof/>
        <w:sz w:val="48"/>
        <w:szCs w:val="48"/>
        <w:lang w:val="fr-BE"/>
      </w:rPr>
      <w:t>SL</w:t>
    </w:r>
    <w:r w:rsidRPr="008E3442" w:rsidR="00A91FB2">
      <w:rPr>
        <w:rFonts w:ascii="Arial" w:hAnsi="Arial" w:cs="Arial"/>
        <w:b/>
        <w:sz w:val="48"/>
      </w:rPr>
      <w:tab/>
    </w:r>
    <w:r w:rsidR="00A91FB2">
      <w:fldChar w:fldCharType="begin"/>
    </w:r>
    <w:r w:rsidR="00A91FB2">
      <w:instrText xml:space="preserve"> PAGE  \* MERGEFORMAT </w:instrText>
    </w:r>
    <w:r w:rsidR="00A91FB2">
      <w:fldChar w:fldCharType="separate"/>
    </w:r>
    <w:r w:rsidR="0087734D">
      <w:rPr>
        <w:noProof/>
      </w:rPr>
      <w:t>37</w:t>
    </w:r>
    <w:r w:rsidR="00A91FB2">
      <w:fldChar w:fldCharType="end"/>
    </w:r>
    <w:r w:rsidRPr="008E3442" w:rsidR="00A91FB2">
      <w:tab/>
    </w:r>
    <w:r w:rsidRPr="005F6C78" w:rsidR="00A91FB2">
      <w:rPr>
        <w:rFonts w:ascii="Arial" w:hAnsi="Arial" w:cs="Arial"/>
        <w:b/>
        <w:noProof/>
        <w:sz w:val="48"/>
        <w:szCs w:val="48"/>
        <w:lang w:val="fr-BE"/>
      </w:rPr>
      <w:t>SL</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6C3A4F">
    <w:pPr>
      <w:pStyle w:val="FooterLandscape"/>
      <w:tabs>
        <w:tab w:val="clear" w:pos="7285"/>
        <w:tab w:val="center" w:pos="7655"/>
        <w:tab w:val="clear" w:pos="10913"/>
        <w:tab w:val="clear" w:pos="15137"/>
        <w:tab w:val="right" w:pos="15763"/>
      </w:tabs>
      <w:spacing w:before="0" w:after="120"/>
      <w:ind w:left="0" w:right="-173"/>
      <w:rPr>
        <w:rFonts w:ascii="Arial" w:hAnsi="Arial" w:cs="Arial"/>
        <w:b/>
        <w:sz w:val="48"/>
      </w:rPr>
    </w:pPr>
    <w:r w:rsidRPr="005F6C78" w:rsidR="002C592F">
      <w:rPr>
        <w:rFonts w:ascii="Arial" w:hAnsi="Arial" w:cs="Arial"/>
        <w:b/>
        <w:noProof/>
        <w:sz w:val="48"/>
        <w:szCs w:val="48"/>
        <w:lang w:val="fr-BE"/>
      </w:rPr>
      <w:t>SL</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6C3A4F">
      <w:rPr>
        <w:noProof/>
      </w:rPr>
      <w:t>38</w:t>
    </w:r>
    <w:r w:rsidR="002C592F">
      <w:fldChar w:fldCharType="end"/>
    </w:r>
    <w:r w:rsidRPr="008E3442" w:rsidR="002C592F">
      <w:tab/>
    </w:r>
    <w:r w:rsidRPr="005F6C78" w:rsidR="002C592F">
      <w:rPr>
        <w:rFonts w:ascii="Arial" w:hAnsi="Arial" w:cs="Arial"/>
        <w:b/>
        <w:noProof/>
        <w:sz w:val="48"/>
        <w:szCs w:val="48"/>
        <w:lang w:val="fr-BE"/>
      </w:rPr>
      <w:t>SL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83" w:rsidP="00416883">
    <w:pPr>
      <w:pStyle w:val="Header"/>
      <w:spacing w:before="0"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046E2A" w:rsidP="0047688D">
    <w:pPr>
      <w:pStyle w:val="Header"/>
      <w:rPr>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15" w:rsidP="00BB7115">
    <w:pPr>
      <w:pStyle w:val="Header0"/>
      <w:spacing w:before="0" w:after="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1E682E">
    <w:pPr>
      <w:pStyle w:val="Header1"/>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413672"/>
    <w:multiLevelType w:val="hybridMultilevel"/>
    <w:tmpl w:val="82EC22FC"/>
    <w:lvl w:ilvl="0">
      <w:start w:val="1"/>
      <w:numFmt w:val="decimal"/>
      <w:pStyle w:val="StyleHeading1Left0cm"/>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954660"/>
    <w:multiLevelType w:val="hybridMultilevel"/>
    <w:tmpl w:val="0EA2DA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9">
    <w:nsid w:val="1CA6495F"/>
    <w:multiLevelType w:val="hybridMultilevel"/>
    <w:tmpl w:val="F19CAA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nsid w:val="64A12FA4"/>
    <w:multiLevelType w:val="multilevel"/>
    <w:tmpl w:val="E1948A0A"/>
    <w:name w:val="Heading"/>
    <w:lvl w:ilvl="0">
      <w:start w:val="2"/>
      <w:numFmt w:val="decimal"/>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BE95D80"/>
    <w:multiLevelType w:val="hybridMultilevel"/>
    <w:tmpl w:val="7BE95D8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BE95D81"/>
    <w:multiLevelType w:val="hybridMultilevel"/>
    <w:tmpl w:val="7BE95D8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7BE95D82"/>
    <w:multiLevelType w:val="hybridMultilevel"/>
    <w:tmpl w:val="7BE95D8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7BE95D83"/>
    <w:multiLevelType w:val="hybridMultilevel"/>
    <w:tmpl w:val="7BE95D8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BE95D84"/>
    <w:multiLevelType w:val="hybridMultilevel"/>
    <w:tmpl w:val="7BE95D8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BE95D85"/>
    <w:multiLevelType w:val="hybridMultilevel"/>
    <w:tmpl w:val="7BE95D8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1009985120"/>
      <w:lvl w:ilvl="0">
        <w:start w:val="6"/>
        <w:numFmt w:val="decimal"/>
        <w:lvlText w:val="%1."/>
        <w:lvlJc w:val="left"/>
        <w:pPr>
          <w:tabs>
            <w:tab w:val="num" w:pos="992"/>
          </w:tabs>
          <w:ind w:left="992" w:hanging="850"/>
        </w:pPr>
        <w:rPr>
          <w:rFonts w:hint="default"/>
        </w:rPr>
      </w:lvl>
    </w:lvlOverride>
    <w:lvlOverride w:ilvl="1">
      <w:startOverride w:val="-1009982560"/>
      <w:lvl w:ilvl="1">
        <w:start w:val="1"/>
        <w:numFmt w:val="decimal"/>
        <w:lvlText w:val="%1.%2."/>
        <w:lvlJc w:val="left"/>
        <w:pPr>
          <w:tabs>
            <w:tab w:val="num" w:pos="850"/>
          </w:tabs>
          <w:ind w:left="850" w:hanging="850"/>
        </w:pPr>
        <w:rPr>
          <w:rFonts w:hint="default"/>
        </w:rPr>
      </w:lvl>
    </w:lvlOverride>
    <w:lvlOverride w:ilvl="2">
      <w:startOverride w:val="-1009982080"/>
      <w:lvl w:ilvl="2">
        <w:start w:val="1"/>
        <w:numFmt w:val="decimal"/>
        <w:lvlText w:val="%1.%2.%3."/>
        <w:lvlJc w:val="left"/>
        <w:pPr>
          <w:tabs>
            <w:tab w:val="num" w:pos="850"/>
          </w:tabs>
          <w:ind w:left="850" w:hanging="850"/>
        </w:pPr>
        <w:rPr>
          <w:rFonts w:hint="default"/>
          <w:b/>
        </w:rPr>
      </w:lvl>
    </w:lvlOverride>
    <w:lvlOverride w:ilvl="3">
      <w:startOverride w:val="-1009981600"/>
      <w:lvl w:ilvl="3">
        <w:start w:val="1"/>
        <w:numFmt w:val="decimal"/>
        <w:lvlText w:val="%1.%2.%3.%4."/>
        <w:lvlJc w:val="left"/>
        <w:pPr>
          <w:tabs>
            <w:tab w:val="num" w:pos="850"/>
          </w:tabs>
          <w:ind w:left="850" w:hanging="850"/>
        </w:pPr>
        <w:rPr>
          <w:rFonts w:hint="default"/>
        </w:rPr>
      </w:lvl>
    </w:lvlOverride>
    <w:lvlOverride w:ilvl="4">
      <w:startOverride w:val="-1009983120"/>
      <w:lvl w:ilvl="4">
        <w:start w:val="1"/>
        <w:numFmt w:val="lowerLetter"/>
        <w:lvlText w:val="(%5)"/>
        <w:lvlJc w:val="left"/>
        <w:pPr>
          <w:tabs>
            <w:tab w:val="num" w:pos="1800"/>
          </w:tabs>
          <w:ind w:left="1800" w:hanging="360"/>
        </w:pPr>
        <w:rPr>
          <w:rFonts w:hint="default"/>
        </w:rPr>
      </w:lvl>
    </w:lvlOverride>
    <w:lvlOverride w:ilvl="5">
      <w:startOverride w:val="-1009980640"/>
      <w:lvl w:ilvl="5">
        <w:start w:val="1"/>
        <w:numFmt w:val="lowerRoman"/>
        <w:lvlText w:val="(%6)"/>
        <w:lvlJc w:val="left"/>
        <w:pPr>
          <w:tabs>
            <w:tab w:val="num" w:pos="2160"/>
          </w:tabs>
          <w:ind w:left="2160" w:hanging="360"/>
        </w:pPr>
        <w:rPr>
          <w:rFonts w:hint="default"/>
        </w:rPr>
      </w:lvl>
    </w:lvlOverride>
    <w:lvlOverride w:ilvl="6">
      <w:startOverride w:val="-1009981840"/>
      <w:lvl w:ilvl="6">
        <w:start w:val="1"/>
        <w:numFmt w:val="decimal"/>
        <w:lvlText w:val="%7."/>
        <w:lvlJc w:val="left"/>
        <w:pPr>
          <w:tabs>
            <w:tab w:val="num" w:pos="2520"/>
          </w:tabs>
          <w:ind w:left="2520" w:hanging="360"/>
        </w:pPr>
        <w:rPr>
          <w:rFonts w:hint="default"/>
        </w:rPr>
      </w:lvl>
    </w:lvlOverride>
    <w:lvlOverride w:ilvl="7">
      <w:startOverride w:val="-1009985040"/>
      <w:lvl w:ilvl="7">
        <w:start w:val="1"/>
        <w:numFmt w:val="lowerLetter"/>
        <w:lvlText w:val="%8."/>
        <w:lvlJc w:val="left"/>
        <w:pPr>
          <w:tabs>
            <w:tab w:val="num" w:pos="2880"/>
          </w:tabs>
          <w:ind w:left="2880" w:hanging="360"/>
        </w:pPr>
        <w:rPr>
          <w:rFonts w:hint="default"/>
        </w:rPr>
      </w:lvl>
    </w:lvlOverride>
    <w:lvlOverride w:ilvl="8">
      <w:startOverride w:val="-1009983360"/>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0136E"/>
    <w:rsid w:val="00003291"/>
    <w:rsid w:val="00003ACF"/>
    <w:rsid w:val="00030CC3"/>
    <w:rsid w:val="0003738F"/>
    <w:rsid w:val="00040967"/>
    <w:rsid w:val="00045D3D"/>
    <w:rsid w:val="00046E2A"/>
    <w:rsid w:val="00051C75"/>
    <w:rsid w:val="00051DD6"/>
    <w:rsid w:val="00053478"/>
    <w:rsid w:val="00064A75"/>
    <w:rsid w:val="00065B92"/>
    <w:rsid w:val="00094173"/>
    <w:rsid w:val="000A3B64"/>
    <w:rsid w:val="000D2496"/>
    <w:rsid w:val="000E2AA1"/>
    <w:rsid w:val="00111889"/>
    <w:rsid w:val="00115C60"/>
    <w:rsid w:val="0015397F"/>
    <w:rsid w:val="00154F4D"/>
    <w:rsid w:val="0019155C"/>
    <w:rsid w:val="0019232D"/>
    <w:rsid w:val="001A4A08"/>
    <w:rsid w:val="001A4AC5"/>
    <w:rsid w:val="001C6826"/>
    <w:rsid w:val="001D77F2"/>
    <w:rsid w:val="001E682E"/>
    <w:rsid w:val="00224619"/>
    <w:rsid w:val="00235FB7"/>
    <w:rsid w:val="00236B79"/>
    <w:rsid w:val="002438A5"/>
    <w:rsid w:val="00272D5C"/>
    <w:rsid w:val="00281823"/>
    <w:rsid w:val="00297757"/>
    <w:rsid w:val="002B6F87"/>
    <w:rsid w:val="002C0C21"/>
    <w:rsid w:val="002C592F"/>
    <w:rsid w:val="002C6D47"/>
    <w:rsid w:val="002E06F3"/>
    <w:rsid w:val="00331A05"/>
    <w:rsid w:val="003579A1"/>
    <w:rsid w:val="00376B28"/>
    <w:rsid w:val="00384433"/>
    <w:rsid w:val="0038606E"/>
    <w:rsid w:val="003D1618"/>
    <w:rsid w:val="003E7115"/>
    <w:rsid w:val="003E726F"/>
    <w:rsid w:val="003F312A"/>
    <w:rsid w:val="003F352C"/>
    <w:rsid w:val="00416883"/>
    <w:rsid w:val="00434D73"/>
    <w:rsid w:val="00470F82"/>
    <w:rsid w:val="0047688D"/>
    <w:rsid w:val="00484F41"/>
    <w:rsid w:val="00497523"/>
    <w:rsid w:val="004A389B"/>
    <w:rsid w:val="004B3428"/>
    <w:rsid w:val="004B66B6"/>
    <w:rsid w:val="004E1FDD"/>
    <w:rsid w:val="004E3E1A"/>
    <w:rsid w:val="004F1EEC"/>
    <w:rsid w:val="00501DA0"/>
    <w:rsid w:val="00506B9C"/>
    <w:rsid w:val="005113EF"/>
    <w:rsid w:val="005411DA"/>
    <w:rsid w:val="005432E7"/>
    <w:rsid w:val="00547336"/>
    <w:rsid w:val="0055046C"/>
    <w:rsid w:val="005547CD"/>
    <w:rsid w:val="00557448"/>
    <w:rsid w:val="00562C60"/>
    <w:rsid w:val="005643CD"/>
    <w:rsid w:val="00584D3F"/>
    <w:rsid w:val="0058596E"/>
    <w:rsid w:val="00586387"/>
    <w:rsid w:val="00591C93"/>
    <w:rsid w:val="005A1CA2"/>
    <w:rsid w:val="005A5145"/>
    <w:rsid w:val="005A5785"/>
    <w:rsid w:val="005A6EF8"/>
    <w:rsid w:val="005A7552"/>
    <w:rsid w:val="005C48A0"/>
    <w:rsid w:val="005E3257"/>
    <w:rsid w:val="005F6C78"/>
    <w:rsid w:val="00600727"/>
    <w:rsid w:val="00636EE1"/>
    <w:rsid w:val="006477CC"/>
    <w:rsid w:val="00652CA2"/>
    <w:rsid w:val="00656874"/>
    <w:rsid w:val="00673320"/>
    <w:rsid w:val="006A0BCE"/>
    <w:rsid w:val="006A18BF"/>
    <w:rsid w:val="006B5B3F"/>
    <w:rsid w:val="006B7AC0"/>
    <w:rsid w:val="006C1127"/>
    <w:rsid w:val="006C3A4F"/>
    <w:rsid w:val="006E04F8"/>
    <w:rsid w:val="007056FA"/>
    <w:rsid w:val="00707975"/>
    <w:rsid w:val="00716640"/>
    <w:rsid w:val="00723C84"/>
    <w:rsid w:val="00751387"/>
    <w:rsid w:val="00785519"/>
    <w:rsid w:val="007B0B32"/>
    <w:rsid w:val="007B5EF1"/>
    <w:rsid w:val="007C3041"/>
    <w:rsid w:val="007C7090"/>
    <w:rsid w:val="007E41B9"/>
    <w:rsid w:val="007E5180"/>
    <w:rsid w:val="008051C4"/>
    <w:rsid w:val="00846353"/>
    <w:rsid w:val="0085753F"/>
    <w:rsid w:val="00860EA9"/>
    <w:rsid w:val="008624D7"/>
    <w:rsid w:val="0087734D"/>
    <w:rsid w:val="00882024"/>
    <w:rsid w:val="0088509C"/>
    <w:rsid w:val="008A5916"/>
    <w:rsid w:val="008C3550"/>
    <w:rsid w:val="008C5CFA"/>
    <w:rsid w:val="008D382F"/>
    <w:rsid w:val="008E16E1"/>
    <w:rsid w:val="008E3442"/>
    <w:rsid w:val="008F0A0F"/>
    <w:rsid w:val="008F6B41"/>
    <w:rsid w:val="0090303F"/>
    <w:rsid w:val="00936532"/>
    <w:rsid w:val="00963FAE"/>
    <w:rsid w:val="00977763"/>
    <w:rsid w:val="00977F41"/>
    <w:rsid w:val="00990A5A"/>
    <w:rsid w:val="00991CF3"/>
    <w:rsid w:val="009937DA"/>
    <w:rsid w:val="009A2413"/>
    <w:rsid w:val="009A51C8"/>
    <w:rsid w:val="009C5874"/>
    <w:rsid w:val="009C5CD5"/>
    <w:rsid w:val="009E24C0"/>
    <w:rsid w:val="009E5061"/>
    <w:rsid w:val="009F3013"/>
    <w:rsid w:val="009F56AD"/>
    <w:rsid w:val="00A03573"/>
    <w:rsid w:val="00A06C1C"/>
    <w:rsid w:val="00A11A16"/>
    <w:rsid w:val="00A1528F"/>
    <w:rsid w:val="00A25F85"/>
    <w:rsid w:val="00A424CE"/>
    <w:rsid w:val="00A45A26"/>
    <w:rsid w:val="00A82BBD"/>
    <w:rsid w:val="00A859BA"/>
    <w:rsid w:val="00A91FB2"/>
    <w:rsid w:val="00AA25C0"/>
    <w:rsid w:val="00AB2305"/>
    <w:rsid w:val="00AD1925"/>
    <w:rsid w:val="00AE443E"/>
    <w:rsid w:val="00B23F9B"/>
    <w:rsid w:val="00B24927"/>
    <w:rsid w:val="00B2576A"/>
    <w:rsid w:val="00B268D3"/>
    <w:rsid w:val="00B32D1F"/>
    <w:rsid w:val="00B50750"/>
    <w:rsid w:val="00B52CDD"/>
    <w:rsid w:val="00B81F97"/>
    <w:rsid w:val="00B97021"/>
    <w:rsid w:val="00BB0C96"/>
    <w:rsid w:val="00BB7115"/>
    <w:rsid w:val="00BC54BA"/>
    <w:rsid w:val="00BC7D65"/>
    <w:rsid w:val="00BD46AA"/>
    <w:rsid w:val="00BE06D6"/>
    <w:rsid w:val="00BE2F0F"/>
    <w:rsid w:val="00BE5814"/>
    <w:rsid w:val="00BF021B"/>
    <w:rsid w:val="00BF036C"/>
    <w:rsid w:val="00BF0C8E"/>
    <w:rsid w:val="00BF682D"/>
    <w:rsid w:val="00C15429"/>
    <w:rsid w:val="00C2219E"/>
    <w:rsid w:val="00C35D17"/>
    <w:rsid w:val="00C403AC"/>
    <w:rsid w:val="00C40F08"/>
    <w:rsid w:val="00C57C82"/>
    <w:rsid w:val="00C61193"/>
    <w:rsid w:val="00C63717"/>
    <w:rsid w:val="00C7475F"/>
    <w:rsid w:val="00C83EDB"/>
    <w:rsid w:val="00CB3B6C"/>
    <w:rsid w:val="00CC2601"/>
    <w:rsid w:val="00CD24A9"/>
    <w:rsid w:val="00CE3217"/>
    <w:rsid w:val="00CE4BC7"/>
    <w:rsid w:val="00CF0C37"/>
    <w:rsid w:val="00D066A4"/>
    <w:rsid w:val="00D22822"/>
    <w:rsid w:val="00D47585"/>
    <w:rsid w:val="00D5077A"/>
    <w:rsid w:val="00D5173B"/>
    <w:rsid w:val="00D738C2"/>
    <w:rsid w:val="00D87DAA"/>
    <w:rsid w:val="00D91045"/>
    <w:rsid w:val="00DA61FD"/>
    <w:rsid w:val="00DB25B8"/>
    <w:rsid w:val="00DD0A72"/>
    <w:rsid w:val="00DD0B70"/>
    <w:rsid w:val="00DD2742"/>
    <w:rsid w:val="00DD7278"/>
    <w:rsid w:val="00DF0D6A"/>
    <w:rsid w:val="00E03250"/>
    <w:rsid w:val="00E11353"/>
    <w:rsid w:val="00E30D80"/>
    <w:rsid w:val="00E352CA"/>
    <w:rsid w:val="00E505CB"/>
    <w:rsid w:val="00E50D6A"/>
    <w:rsid w:val="00E61062"/>
    <w:rsid w:val="00E65636"/>
    <w:rsid w:val="00E90C2F"/>
    <w:rsid w:val="00E94987"/>
    <w:rsid w:val="00EC7CD7"/>
    <w:rsid w:val="00ED27A3"/>
    <w:rsid w:val="00ED482A"/>
    <w:rsid w:val="00EE26D8"/>
    <w:rsid w:val="00EF5E4D"/>
    <w:rsid w:val="00F022AC"/>
    <w:rsid w:val="00F05543"/>
    <w:rsid w:val="00F07BE5"/>
    <w:rsid w:val="00F20807"/>
    <w:rsid w:val="00F433EE"/>
    <w:rsid w:val="00F43F8E"/>
    <w:rsid w:val="00F66B1A"/>
    <w:rsid w:val="00F66DE9"/>
    <w:rsid w:val="00F924F6"/>
    <w:rsid w:val="00F9367D"/>
    <w:rsid w:val="00F94992"/>
    <w:rsid w:val="00FC513F"/>
    <w:rsid w:val="00FC6A8D"/>
    <w:rsid w:val="00FF3621"/>
  </w:rsids>
  <w:docVars>
    <w:docVar w:name="LW_DocType" w:val="NORMAL"/>
    <w:docVar w:name="LW_LANGUE" w:val="S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link w:val="Heading1Char"/>
    <w:qFormat/>
    <w:rsid w:val="005643CD"/>
    <w:pPr>
      <w:keepNext/>
      <w:numPr>
        <w:ilvl w:val="0"/>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ilvl w:val="0"/>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10"/>
      </w:numPr>
    </w:pPr>
  </w:style>
  <w:style w:type="paragraph" w:customStyle="1" w:styleId="Tiret1">
    <w:name w:val="Tiret 1"/>
    <w:basedOn w:val="Point1"/>
    <w:rsid w:val="005643CD"/>
    <w:pPr>
      <w:numPr>
        <w:ilvl w:val="0"/>
        <w:numId w:val="11"/>
      </w:numPr>
    </w:pPr>
  </w:style>
  <w:style w:type="paragraph" w:customStyle="1" w:styleId="Tiret2">
    <w:name w:val="Tiret 2"/>
    <w:basedOn w:val="Point2"/>
    <w:rsid w:val="005643CD"/>
    <w:pPr>
      <w:numPr>
        <w:ilvl w:val="0"/>
        <w:numId w:val="12"/>
      </w:numPr>
    </w:pPr>
  </w:style>
  <w:style w:type="paragraph" w:customStyle="1" w:styleId="Tiret3">
    <w:name w:val="Tiret 3"/>
    <w:basedOn w:val="Point3"/>
    <w:rsid w:val="005643CD"/>
    <w:pPr>
      <w:numPr>
        <w:ilvl w:val="0"/>
        <w:numId w:val="13"/>
      </w:numPr>
    </w:pPr>
  </w:style>
  <w:style w:type="paragraph" w:customStyle="1" w:styleId="Tiret4">
    <w:name w:val="Tiret 4"/>
    <w:basedOn w:val="Point4"/>
    <w:rsid w:val="005643CD"/>
    <w:pPr>
      <w:numPr>
        <w:ilvl w:val="0"/>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5643CD"/>
    <w:pPr>
      <w:spacing w:before="0" w:after="0"/>
      <w:ind w:left="240"/>
      <w:jc w:val="left"/>
    </w:pPr>
    <w:rPr>
      <w:rFonts w:ascii="Calibri" w:hAnsi="Calibri"/>
      <w:smallCaps/>
      <w:sz w:val="20"/>
      <w:szCs w:val="20"/>
    </w:rPr>
  </w:style>
  <w:style w:type="paragraph" w:styleId="TOC3">
    <w:name w:val="toc 3"/>
    <w:basedOn w:val="Normal"/>
    <w:next w:val="Normal"/>
    <w:rsid w:val="005643CD"/>
    <w:pPr>
      <w:spacing w:before="0" w:after="0"/>
      <w:ind w:left="480"/>
      <w:jc w:val="left"/>
    </w:pPr>
    <w:rPr>
      <w:rFonts w:ascii="Calibri" w:hAnsi="Calibri"/>
      <w:i/>
      <w:iCs/>
      <w:sz w:val="20"/>
      <w:szCs w:val="20"/>
    </w:rPr>
  </w:style>
  <w:style w:type="paragraph" w:styleId="TOC4">
    <w:name w:val="toc 4"/>
    <w:basedOn w:val="Normal"/>
    <w:next w:val="Normal"/>
    <w:semiHidden/>
    <w:rsid w:val="005643CD"/>
    <w:pPr>
      <w:spacing w:before="0" w:after="0"/>
      <w:ind w:left="720"/>
      <w:jc w:val="left"/>
    </w:pPr>
    <w:rPr>
      <w:rFonts w:ascii="Calibri" w:hAnsi="Calibri"/>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vAnchor="margin"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ilvl w:val="0"/>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ilvl w:val="0"/>
        <w:numId w:val="18"/>
      </w:numPr>
      <w:spacing w:before="0" w:after="240"/>
      <w:jc w:val="left"/>
    </w:pPr>
    <w:rPr>
      <w:szCs w:val="20"/>
    </w:rPr>
  </w:style>
  <w:style w:type="paragraph" w:styleId="ListBullet3">
    <w:name w:val="List Bullet 3"/>
    <w:basedOn w:val="Text3"/>
    <w:rsid w:val="008C5CFA"/>
    <w:pPr>
      <w:numPr>
        <w:ilvl w:val="0"/>
        <w:numId w:val="19"/>
      </w:numPr>
      <w:spacing w:before="0" w:after="240"/>
      <w:jc w:val="left"/>
    </w:pPr>
    <w:rPr>
      <w:szCs w:val="20"/>
    </w:rPr>
  </w:style>
  <w:style w:type="paragraph" w:styleId="ListBullet4">
    <w:name w:val="List Bullet 4"/>
    <w:basedOn w:val="Text4"/>
    <w:rsid w:val="008C5CFA"/>
    <w:pPr>
      <w:numPr>
        <w:ilvl w:val="0"/>
        <w:numId w:val="20"/>
      </w:numPr>
      <w:spacing w:before="0" w:after="240"/>
      <w:jc w:val="left"/>
    </w:pPr>
    <w:rPr>
      <w:szCs w:val="20"/>
    </w:rPr>
  </w:style>
  <w:style w:type="paragraph" w:styleId="ListBullet5">
    <w:name w:val="List Bullet 5"/>
    <w:basedOn w:val="Normal"/>
    <w:autoRedefine/>
    <w:rsid w:val="008C5CFA"/>
    <w:pPr>
      <w:numPr>
        <w:ilvl w:val="0"/>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ilvl w:val="0"/>
        <w:numId w:val="26"/>
      </w:numPr>
      <w:spacing w:before="0" w:after="240"/>
      <w:jc w:val="left"/>
    </w:pPr>
    <w:rPr>
      <w:szCs w:val="20"/>
    </w:rPr>
  </w:style>
  <w:style w:type="paragraph" w:styleId="ListNumber2">
    <w:name w:val="List Number 2"/>
    <w:basedOn w:val="Text2"/>
    <w:rsid w:val="008C5CFA"/>
    <w:pPr>
      <w:numPr>
        <w:ilvl w:val="0"/>
        <w:numId w:val="28"/>
      </w:numPr>
      <w:spacing w:before="0" w:after="240"/>
      <w:jc w:val="left"/>
    </w:pPr>
    <w:rPr>
      <w:szCs w:val="20"/>
    </w:rPr>
  </w:style>
  <w:style w:type="paragraph" w:styleId="ListNumber3">
    <w:name w:val="List Number 3"/>
    <w:basedOn w:val="Text3"/>
    <w:rsid w:val="008C5CFA"/>
    <w:pPr>
      <w:numPr>
        <w:ilvl w:val="0"/>
        <w:numId w:val="29"/>
      </w:numPr>
      <w:spacing w:before="0" w:after="240"/>
      <w:jc w:val="left"/>
    </w:pPr>
    <w:rPr>
      <w:szCs w:val="20"/>
    </w:rPr>
  </w:style>
  <w:style w:type="paragraph" w:styleId="ListNumber4">
    <w:name w:val="List Number 4"/>
    <w:basedOn w:val="Text4"/>
    <w:rsid w:val="008C5CFA"/>
    <w:pPr>
      <w:numPr>
        <w:ilvl w:val="0"/>
        <w:numId w:val="30"/>
      </w:numPr>
      <w:spacing w:before="0" w:after="240"/>
      <w:jc w:val="left"/>
    </w:pPr>
    <w:rPr>
      <w:szCs w:val="20"/>
    </w:rPr>
  </w:style>
  <w:style w:type="paragraph" w:styleId="ListNumber5">
    <w:name w:val="List Number 5"/>
    <w:basedOn w:val="Normal"/>
    <w:rsid w:val="008C5CFA"/>
    <w:pPr>
      <w:numPr>
        <w:ilvl w:val="0"/>
        <w:numId w:val="17"/>
      </w:numPr>
      <w:spacing w:before="0" w:after="240"/>
      <w:jc w:val="left"/>
    </w:pPr>
    <w:rPr>
      <w:szCs w:val="20"/>
    </w:rPr>
  </w:style>
  <w:style w:type="paragraph" w:styleId="Macro">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eastAsia="en-US" w:bidi="ar-SA"/>
    </w:rPr>
  </w:style>
  <w:style w:type="character" w:customStyle="1" w:styleId="MacroTextChar">
    <w:name w:val="Macro Text Char"/>
    <w:link w:val="Macro"/>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ilvl w:val="0"/>
        <w:numId w:val="21"/>
      </w:numPr>
      <w:spacing w:before="0" w:after="240"/>
      <w:jc w:val="left"/>
    </w:pPr>
    <w:rPr>
      <w:szCs w:val="20"/>
    </w:rPr>
  </w:style>
  <w:style w:type="paragraph" w:customStyle="1" w:styleId="ListDash1">
    <w:name w:val="List Dash 1"/>
    <w:basedOn w:val="Text1"/>
    <w:rsid w:val="008C5CFA"/>
    <w:pPr>
      <w:numPr>
        <w:ilvl w:val="0"/>
        <w:numId w:val="22"/>
      </w:numPr>
      <w:spacing w:before="0" w:after="240"/>
      <w:jc w:val="left"/>
    </w:pPr>
    <w:rPr>
      <w:szCs w:val="20"/>
    </w:rPr>
  </w:style>
  <w:style w:type="paragraph" w:customStyle="1" w:styleId="ListDash2">
    <w:name w:val="List Dash 2"/>
    <w:basedOn w:val="Text2"/>
    <w:rsid w:val="008C5CFA"/>
    <w:pPr>
      <w:numPr>
        <w:ilvl w:val="0"/>
        <w:numId w:val="23"/>
      </w:numPr>
      <w:spacing w:before="0" w:after="240"/>
      <w:jc w:val="left"/>
    </w:pPr>
    <w:rPr>
      <w:szCs w:val="20"/>
    </w:rPr>
  </w:style>
  <w:style w:type="paragraph" w:customStyle="1" w:styleId="ListDash3">
    <w:name w:val="List Dash 3"/>
    <w:basedOn w:val="Text3"/>
    <w:rsid w:val="008C5CFA"/>
    <w:pPr>
      <w:numPr>
        <w:ilvl w:val="0"/>
        <w:numId w:val="24"/>
      </w:numPr>
      <w:spacing w:before="0" w:after="240"/>
      <w:jc w:val="left"/>
    </w:pPr>
    <w:rPr>
      <w:szCs w:val="20"/>
    </w:rPr>
  </w:style>
  <w:style w:type="paragraph" w:customStyle="1" w:styleId="ListDash4">
    <w:name w:val="List Dash 4"/>
    <w:basedOn w:val="Text4"/>
    <w:rsid w:val="008C5CFA"/>
    <w:pPr>
      <w:numPr>
        <w:ilvl w:val="0"/>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ilvl w:val="0"/>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eastAsia="en-US" w:bidi="ar-SA"/>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ilvl w:val="0"/>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ilvl w:val="0"/>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Normal"/>
    <w:link w:val="Style3Char"/>
    <w:qFormat/>
    <w:rsid w:val="004F1EEC"/>
    <w:pPr>
      <w:spacing w:before="60" w:after="60"/>
      <w:jc w:val="left"/>
    </w:pPr>
    <w:rPr>
      <w:lang w:val="fr-BE"/>
    </w:rPr>
  </w:style>
  <w:style w:type="character" w:customStyle="1" w:styleId="Style3Char">
    <w:name w:val="Style3 Char"/>
    <w:link w:val="Style3"/>
    <w:rsid w:val="004F1EEC"/>
    <w:rPr>
      <w:sz w:val="24"/>
      <w:szCs w:val="24"/>
      <w:lang w:val="fr-BE"/>
    </w:rPr>
  </w:style>
  <w:style w:type="paragraph" w:customStyle="1" w:styleId="Header0">
    <w:name w:val="Header_0"/>
    <w:basedOn w:val="Normal"/>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ormal"/>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eastAsia="en-US"/>
    </w:rPr>
  </w:style>
  <w:style w:type="paragraph" w:customStyle="1" w:styleId="Header1">
    <w:name w:val="Header_1"/>
    <w:basedOn w:val="Normal"/>
    <w:rsid w:val="005643CD"/>
    <w:pPr>
      <w:tabs>
        <w:tab w:val="center" w:pos="4535"/>
        <w:tab w:val="right" w:pos="9071"/>
      </w:tabs>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5.xml" /><Relationship Id="rId12" Type="http://schemas.openxmlformats.org/officeDocument/2006/relationships/header" Target="header3.xml" /><Relationship Id="rId13" Type="http://schemas.openxmlformats.org/officeDocument/2006/relationships/footer" Target="footer6.xml" /><Relationship Id="rId14" Type="http://schemas.openxmlformats.org/officeDocument/2006/relationships/header" Target="header4.xml" /><Relationship Id="rId15" Type="http://schemas.openxmlformats.org/officeDocument/2006/relationships/footer" Target="footer7.xml" /><Relationship Id="rId16" Type="http://schemas.openxmlformats.org/officeDocument/2006/relationships/header" Target="header5.xml" /><Relationship Id="rId17" Type="http://schemas.openxmlformats.org/officeDocument/2006/relationships/footer" Target="footer8.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CB36-58B3-455D-9366-2B8B55E2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38</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141</cp:revision>
  <dcterms:created xsi:type="dcterms:W3CDTF">2024-01-19T09:45:27Z</dcterms:created>
  <dcterms:modified xsi:type="dcterms:W3CDTF">2024-01-19T09:45:27Z</dcterms:modified>
</cp:coreProperties>
</file>