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proofErr w:type="spellStart"/>
            <w:r>
              <w:rPr>
                <w:b/>
              </w:rPr>
              <w:t>Zap.št</w:t>
            </w:r>
            <w:proofErr w:type="spellEnd"/>
            <w:r>
              <w:rPr>
                <w:b/>
              </w:rPr>
              <w: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w:t>
            </w:r>
            <w:proofErr w:type="spellStart"/>
            <w:r w:rsidRPr="00E9057D">
              <w:rPr>
                <w:color w:val="000000"/>
                <w:szCs w:val="20"/>
              </w:rPr>
              <w:t>ZDZdr</w:t>
            </w:r>
            <w:proofErr w:type="spellEnd"/>
            <w:r w:rsidRPr="00E9057D">
              <w:rPr>
                <w:color w:val="000000"/>
                <w:szCs w:val="20"/>
              </w:rPr>
              <w:t xml:space="preserve">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7E19FB">
              <w:t xml:space="preserve"> v oddani ponudbi, od tega števila se računa delež mest objavljen</w:t>
            </w:r>
            <w:r w:rsidR="0009754C">
              <w:t>o</w:t>
            </w:r>
            <w:r w:rsidR="007E19FB">
              <w:t xml:space="preserve"> v merilih kot priloga javnega razpisa.</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li je pogoj »</w:t>
            </w:r>
            <w:proofErr w:type="spellStart"/>
            <w:r w:rsidRPr="00B45AA7">
              <w:t>izkazanost</w:t>
            </w:r>
            <w:proofErr w:type="spellEnd"/>
            <w:r w:rsidRPr="00B45AA7">
              <w:t xml:space="preserve"> stavbne pravice« (točka 12.6 zadevnega razpisa) izpolnjen tudi v primeru, ko v zemljiški knjigi stavbna pravica še ni vknjižena, je pa že vložen zemljiškoknjižni predlog za vknjižbo stavbne pravice v zemljiško knjigo na podlagi ustrezne pogodbe in </w:t>
            </w:r>
            <w:r w:rsidRPr="00B45AA7">
              <w:lastRenderedPageBreak/>
              <w:t>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w:t>
            </w:r>
            <w:r w:rsidRPr="00FD253E">
              <w:lastRenderedPageBreak/>
              <w:t>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DF16F5">
            <w:pPr>
              <w:spacing w:line="260" w:lineRule="exact"/>
              <w:ind w:left="142"/>
              <w:jc w:val="both"/>
            </w:pPr>
            <w:r>
              <w:t>N</w:t>
            </w:r>
            <w:r w:rsidR="008324C8">
              <w:t>E</w:t>
            </w:r>
            <w:r>
              <w:t xml:space="preserve">, v </w:t>
            </w:r>
            <w:r w:rsidR="00C93622">
              <w:t>kolikor je sprememba OPN oziroma</w:t>
            </w:r>
            <w:r>
              <w:t xml:space="preserve"> OPPN tik pred uveljavitvijo</w:t>
            </w:r>
            <w:r w:rsidR="00DF16F5">
              <w:t>.</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Ali je kljub temu, da razpolagamo že z </w:t>
            </w:r>
            <w:r>
              <w:lastRenderedPageBreak/>
              <w:t>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w:t>
            </w:r>
            <w:r w:rsidR="006E22EC">
              <w:t xml:space="preserve"> </w:t>
            </w:r>
            <w:r>
              <w:t>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FC570D" w:rsidRPr="00061AC2" w:rsidRDefault="00AB7344" w:rsidP="008324C8">
            <w:pPr>
              <w:spacing w:line="260" w:lineRule="exact"/>
              <w:ind w:left="142"/>
              <w:jc w:val="both"/>
            </w:pPr>
            <w:r w:rsidRPr="00061AC2">
              <w:t>NE</w:t>
            </w:r>
            <w:r w:rsidR="0009754C">
              <w:t>, ker sta objekta na isti lokaciji.</w:t>
            </w:r>
          </w:p>
          <w:p w:rsidR="00FC570D" w:rsidRDefault="00FC570D"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1E658F" w:rsidRDefault="00B41A6A" w:rsidP="008324C8">
            <w:pPr>
              <w:spacing w:line="260" w:lineRule="exact"/>
              <w:ind w:left="142"/>
              <w:jc w:val="both"/>
            </w:pPr>
            <w:r>
              <w:lastRenderedPageBreak/>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r w:rsidR="00614725">
              <w:t xml:space="preserve"> </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536CFB" w:rsidRDefault="00536CFB" w:rsidP="003726E7">
            <w:pPr>
              <w:pStyle w:val="Telobesedila-zamik"/>
            </w:pPr>
          </w:p>
          <w:p w:rsidR="00536CFB" w:rsidRDefault="00536CFB" w:rsidP="00536CFB">
            <w:pPr>
              <w:pStyle w:val="Telobesedila-zamik"/>
            </w:pPr>
          </w:p>
          <w:p w:rsidR="0009754C" w:rsidRDefault="0009754C" w:rsidP="00536CFB">
            <w:pPr>
              <w:pStyle w:val="Telobesedila-zamik"/>
            </w:pPr>
          </w:p>
          <w:p w:rsidR="00536CFB" w:rsidRDefault="00B974B8" w:rsidP="00536CFB">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1E658F" w:rsidRPr="003726E7" w:rsidRDefault="00676895" w:rsidP="00536CFB">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lastRenderedPageBreak/>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 xml:space="preserve">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w:t>
            </w:r>
            <w:r w:rsidRPr="00ED7AC8">
              <w:lastRenderedPageBreak/>
              <w:t>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lastRenderedPageBreak/>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Vlogo za zgoraj omenjen razpis bo oddalo podjetje A, katero je lastnik zemljišča in ima negativno bilanco, vendar je podjetje brez kredita in kakršnih koli drugih obveznosti. Podjetje B je 90% lastnik podjetja A. 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Občine, s katero se ta zavezuje, da bo v prejšnjem odstavku določeno stavbno pravico zagotovila </w:t>
            </w:r>
            <w:r>
              <w:lastRenderedPageBreak/>
              <w:t>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BD08CC"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p>
          <w:p w:rsidR="003500E0" w:rsidRDefault="003500E0" w:rsidP="003500E0">
            <w:pPr>
              <w:pStyle w:val="TableParagraph"/>
              <w:spacing w:line="227" w:lineRule="exact"/>
              <w:ind w:left="107" w:right="131"/>
              <w:jc w:val="both"/>
            </w:pPr>
            <w:r>
              <w:t>Petletno obdobje: od datuma pričetka izvajanja dejavnosti na posameznem novem objektu, npr. od leta 2023 dalje?</w:t>
            </w:r>
          </w:p>
          <w:p w:rsidR="00BD08CC" w:rsidRDefault="00BD08CC" w:rsidP="003500E0">
            <w:pPr>
              <w:pStyle w:val="TableParagraph"/>
              <w:spacing w:line="227" w:lineRule="exact"/>
              <w:ind w:left="107" w:right="131"/>
              <w:jc w:val="both"/>
            </w:pP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 xml:space="preserve">Obrazec IP 8 in obrazec IP 9: se </w:t>
            </w:r>
            <w:r>
              <w:lastRenderedPageBreak/>
              <w:t>navajajo samo morebitna nova posojila in hipoteke za nove objekte ali je 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4C5BDB" w:rsidRDefault="004C5BDB" w:rsidP="0058276C">
            <w:pPr>
              <w:pStyle w:val="Telobesedila-zamik"/>
            </w:pPr>
          </w:p>
          <w:p w:rsidR="0071734C" w:rsidRDefault="00DE5A24" w:rsidP="0058276C">
            <w:pPr>
              <w:pStyle w:val="Telobesedila-zamik"/>
            </w:pPr>
            <w:r w:rsidRPr="0058276C">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BD08CC" w:rsidRDefault="00BD08CC" w:rsidP="00BB647E">
            <w:pPr>
              <w:pStyle w:val="Telobesedila-zamik"/>
            </w:pPr>
          </w:p>
          <w:p w:rsidR="004C5BDB" w:rsidRDefault="004C5BDB" w:rsidP="00BB647E">
            <w:pPr>
              <w:pStyle w:val="Telobesedila-zamik"/>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D08CC" w:rsidRDefault="00BD08CC" w:rsidP="00BB647E">
            <w:pPr>
              <w:pStyle w:val="Telobesedila-zamik"/>
              <w:rPr>
                <w:rFonts w:eastAsiaTheme="minorHAnsi"/>
                <w:szCs w:val="20"/>
              </w:rPr>
            </w:pPr>
          </w:p>
          <w:p w:rsidR="00BD08CC" w:rsidRDefault="00BD08CC" w:rsidP="00BB647E">
            <w:pPr>
              <w:pStyle w:val="Telobesedila-zamik"/>
              <w:rPr>
                <w:rFonts w:eastAsiaTheme="minorHAnsi"/>
                <w:szCs w:val="20"/>
              </w:rPr>
            </w:pPr>
          </w:p>
          <w:p w:rsidR="004C5BDB" w:rsidRDefault="004C5BDB" w:rsidP="00BB647E">
            <w:pPr>
              <w:pStyle w:val="Telobesedila-zamik"/>
              <w:rPr>
                <w:rFonts w:eastAsiaTheme="minorHAnsi"/>
                <w:szCs w:val="20"/>
              </w:rPr>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BB647E" w:rsidP="008324C8">
            <w:pPr>
              <w:spacing w:line="260" w:lineRule="exact"/>
              <w:ind w:left="142"/>
              <w:jc w:val="both"/>
            </w:pPr>
            <w:r>
              <w:t xml:space="preserve"> </w:t>
            </w:r>
          </w:p>
          <w:p w:rsidR="00BD08CC" w:rsidRDefault="00BD08CC" w:rsidP="008324C8">
            <w:pPr>
              <w:spacing w:line="260" w:lineRule="exact"/>
              <w:ind w:left="142"/>
              <w:jc w:val="both"/>
            </w:pPr>
          </w:p>
          <w:p w:rsidR="00874481" w:rsidRDefault="009E43CF" w:rsidP="008324C8">
            <w:pPr>
              <w:spacing w:line="260" w:lineRule="exact"/>
              <w:ind w:left="142"/>
              <w:jc w:val="both"/>
            </w:pPr>
            <w:r w:rsidRPr="00F14946">
              <w:lastRenderedPageBreak/>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BD08CC" w:rsidRDefault="00BD08CC" w:rsidP="001D2CC6">
            <w:pPr>
              <w:spacing w:line="260" w:lineRule="exact"/>
              <w:ind w:left="142"/>
              <w:jc w:val="both"/>
            </w:pPr>
          </w:p>
          <w:p w:rsidR="004C5BDB" w:rsidRDefault="004C5BDB" w:rsidP="001D2CC6">
            <w:pPr>
              <w:spacing w:line="260" w:lineRule="exact"/>
              <w:ind w:left="142"/>
              <w:jc w:val="both"/>
            </w:pPr>
          </w:p>
          <w:p w:rsidR="004C5BDB" w:rsidRDefault="004C5BDB" w:rsidP="001D2CC6">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lastRenderedPageBreak/>
              <w:t>28. 8. 2020</w:t>
            </w:r>
          </w:p>
        </w:tc>
      </w:tr>
      <w:tr w:rsidR="00E10CEE" w:rsidTr="006C0EDC">
        <w:trPr>
          <w:trHeight w:val="29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w:t>
            </w:r>
            <w:r w:rsidR="00E9007D">
              <w:t xml:space="preserve"> </w:t>
            </w:r>
            <w:r>
              <w:t xml:space="preserve">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pod odložnim pogojem, ki se izpolni, ko ministrstvo ponudniku izda odločbo o podelitvi koncesije za opravljanje storitve, in pod razveznim pogojem, če ministrstvo ponudbo ponudnika zavrne </w:t>
            </w:r>
            <w:r>
              <w:lastRenderedPageBreak/>
              <w:t>oz. zavrže?</w:t>
            </w:r>
          </w:p>
        </w:tc>
        <w:tc>
          <w:tcPr>
            <w:tcW w:w="8570" w:type="dxa"/>
          </w:tcPr>
          <w:p w:rsidR="00E10CEE" w:rsidRDefault="00A27F61" w:rsidP="008324C8">
            <w:pPr>
              <w:spacing w:line="260" w:lineRule="exact"/>
              <w:ind w:left="142"/>
              <w:jc w:val="both"/>
            </w:pPr>
            <w:r w:rsidRPr="00865144">
              <w:lastRenderedPageBreak/>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C5486B" w:rsidRPr="006A38A4" w:rsidRDefault="00C5486B" w:rsidP="006C0EDC">
            <w:pPr>
              <w:spacing w:line="260" w:lineRule="exact"/>
              <w:ind w:left="142"/>
              <w:jc w:val="both"/>
              <w:rPr>
                <w:color w:val="FF0000"/>
              </w:rPr>
            </w:pPr>
            <w:r w:rsidRPr="00C5486B">
              <w:t xml:space="preserve">Pomembno je kako prikažete povečanje mest za posamezne ciljne skupine v programu. Ni </w:t>
            </w:r>
            <w:r w:rsidR="006C0EDC">
              <w:t>pomembno</w:t>
            </w:r>
            <w:r w:rsidRPr="00C5486B">
              <w:t xml:space="preserve">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217A4E" w:rsidRDefault="0038540C" w:rsidP="00C82C19">
            <w:pPr>
              <w:pStyle w:val="TableParagraph"/>
              <w:spacing w:line="227" w:lineRule="exact"/>
              <w:ind w:left="107" w:right="131"/>
              <w:jc w:val="both"/>
            </w:pPr>
            <w:r w:rsidRPr="00217A4E">
              <w:t>Smo socialno varstveni zavod, ki upravlja z dvema domovoma za starejše. Na razpis za podelitev koncesij se bomo prijavili še za en dom, gradili bomo novo enoto. Na enem izmed domov pa bi radi povečali število mest na varovanem oddelku, gradili bomo prizidek.</w:t>
            </w:r>
            <w:r w:rsidR="00C82C19">
              <w:t xml:space="preserve"> </w:t>
            </w:r>
            <w:r w:rsidRPr="00217A4E">
              <w:t>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t xml:space="preserve">DA, </w:t>
            </w:r>
            <w:r w:rsidR="00281D7C">
              <w:t>prijaviti s</w:t>
            </w:r>
            <w:r w:rsidRPr="00217A4E">
              <w:t>e</w:t>
            </w:r>
            <w:r w:rsidR="00281D7C">
              <w:t xml:space="preserve"> </w:t>
            </w:r>
            <w:r w:rsidRPr="00217A4E">
              <w:t>je potrebno za vsako enoto posebej.</w:t>
            </w:r>
          </w:p>
        </w:tc>
        <w:tc>
          <w:tcPr>
            <w:tcW w:w="1261" w:type="dxa"/>
          </w:tcPr>
          <w:p w:rsidR="00086DDC" w:rsidRDefault="00B23154" w:rsidP="00B23154">
            <w:pPr>
              <w:pStyle w:val="TableParagraph"/>
              <w:spacing w:line="227" w:lineRule="exact"/>
              <w:jc w:val="center"/>
            </w:pPr>
            <w:r>
              <w:t>1. 9. 2020</w:t>
            </w:r>
          </w:p>
        </w:tc>
      </w:tr>
      <w:tr w:rsidR="006C0EDC" w:rsidTr="0017493A">
        <w:trPr>
          <w:trHeight w:val="1380"/>
        </w:trPr>
        <w:tc>
          <w:tcPr>
            <w:tcW w:w="629" w:type="dxa"/>
          </w:tcPr>
          <w:p w:rsidR="006C0EDC" w:rsidRDefault="006C0EDC" w:rsidP="001C60DC">
            <w:pPr>
              <w:pStyle w:val="TableParagraph"/>
              <w:numPr>
                <w:ilvl w:val="0"/>
                <w:numId w:val="20"/>
              </w:numPr>
              <w:spacing w:line="227" w:lineRule="exact"/>
              <w:jc w:val="both"/>
            </w:pPr>
          </w:p>
        </w:tc>
        <w:tc>
          <w:tcPr>
            <w:tcW w:w="3789" w:type="dxa"/>
          </w:tcPr>
          <w:p w:rsidR="006C0EDC" w:rsidRPr="00217A4E" w:rsidRDefault="006C0EDC" w:rsidP="00C82C19">
            <w:pPr>
              <w:pStyle w:val="TableParagraph"/>
              <w:spacing w:line="227" w:lineRule="exact"/>
              <w:ind w:left="107" w:right="131"/>
              <w:jc w:val="both"/>
            </w:pPr>
            <w:r w:rsidRPr="003013E7">
              <w:t xml:space="preserve">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w:t>
            </w:r>
            <w:r w:rsidRPr="003013E7">
              <w:lastRenderedPageBreak/>
              <w:t>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6C0EDC" w:rsidRPr="00217A4E" w:rsidRDefault="006C0EDC" w:rsidP="008324C8">
            <w:pPr>
              <w:spacing w:line="260" w:lineRule="exact"/>
              <w:ind w:left="142"/>
              <w:jc w:val="both"/>
            </w:pPr>
            <w:r>
              <w:lastRenderedPageBreak/>
              <w:t>NE zadostuje.</w:t>
            </w:r>
          </w:p>
        </w:tc>
        <w:tc>
          <w:tcPr>
            <w:tcW w:w="1261" w:type="dxa"/>
          </w:tcPr>
          <w:p w:rsidR="006C0EDC" w:rsidRDefault="006C0EDC" w:rsidP="00B23154">
            <w:pPr>
              <w:pStyle w:val="TableParagraph"/>
              <w:spacing w:line="227" w:lineRule="exact"/>
              <w:jc w:val="center"/>
            </w:pPr>
          </w:p>
        </w:tc>
      </w:tr>
      <w:tr w:rsidR="00922C37" w:rsidTr="00922C37">
        <w:trPr>
          <w:trHeight w:val="1991"/>
        </w:trPr>
        <w:tc>
          <w:tcPr>
            <w:tcW w:w="629" w:type="dxa"/>
          </w:tcPr>
          <w:p w:rsidR="00922C37" w:rsidRDefault="00922C37" w:rsidP="001C60DC">
            <w:pPr>
              <w:pStyle w:val="TableParagraph"/>
              <w:numPr>
                <w:ilvl w:val="0"/>
                <w:numId w:val="20"/>
              </w:numPr>
              <w:spacing w:line="227" w:lineRule="exact"/>
              <w:jc w:val="both"/>
            </w:pPr>
          </w:p>
        </w:tc>
        <w:tc>
          <w:tcPr>
            <w:tcW w:w="3789" w:type="dxa"/>
          </w:tcPr>
          <w:p w:rsidR="006322E5" w:rsidRPr="003013E7" w:rsidRDefault="006322E5" w:rsidP="006322E5">
            <w:pPr>
              <w:pStyle w:val="TableParagraph"/>
              <w:spacing w:line="227" w:lineRule="exact"/>
              <w:ind w:left="107" w:right="131"/>
              <w:jc w:val="both"/>
            </w:pPr>
            <w:r w:rsidRPr="006322E5">
              <w:t xml:space="preserve">Na podlagi razpisne dokumentacije je v točki 12.13 (obrazec IB1) zahtevana bančna garancija za resnost ponudbe v višini 1% od ocenjene vrednosti investicije, vendar ne več kot 65.000,00 EUR. Obrazec IB1 predstavlja v bistvu garancijo za resnost ponudbe (torej gre za predpisano obliko garancije), ki jo mora podpisati banka. Prav tako je v točki 12.17 (obrazec IB2) zahtevana izjava banke, da bo izdala bančno garancijo za dobro izvedbo posla v višini 1% od ocenjene vrednosti investicije, vendar ne več kot 65.000,00 EUR, z veljavnostjo pol leta po začetku izvajanja storitve z vzorcem garancije  za dobro izvedbo posla na priloženem obrazcu '' Garancija za dobro izvedbo posla'', ki je sestavni del  točke 12.17 (obrazec IB2), v primeru, da pride do sklenitve pogodbe o koncesiji. Na javnem natečaju je potrebno predložiti izjavo banke, ki je sestavni del dokumentacije, da bo ponudniku izdala garancijo za dobro izvedbo posla na priloženem obrazcu v primeru sklenitve pogodbe. Banka, ki bi naj izdala bančne garancije, izdaja bančne garancije na svojih obrazcih. Vprašanje je, ali je obvezna uporaba obrazcev IB1 in IB2 z vključenim priloženim obrazcem za izdajo garancije </w:t>
            </w:r>
            <w:r w:rsidRPr="006322E5">
              <w:lastRenderedPageBreak/>
              <w:t>ali ne oziroma ali obstaja možnost, da se predloži bančne garancije na obrazcih banke.</w:t>
            </w:r>
          </w:p>
        </w:tc>
        <w:tc>
          <w:tcPr>
            <w:tcW w:w="8570" w:type="dxa"/>
          </w:tcPr>
          <w:p w:rsidR="00922C37" w:rsidRDefault="006322E5" w:rsidP="008324C8">
            <w:pPr>
              <w:spacing w:line="260" w:lineRule="exact"/>
              <w:ind w:left="142"/>
              <w:jc w:val="both"/>
            </w:pPr>
            <w:r w:rsidRPr="006322E5">
              <w:lastRenderedPageBreak/>
              <w:t>Dopuščamo bančno garancijo na obrazcu banke ob smiselnem upoštevanju ustreznega obrazca iz razpisne dokumentacije (IB1, IB2).</w:t>
            </w:r>
          </w:p>
        </w:tc>
        <w:tc>
          <w:tcPr>
            <w:tcW w:w="1261" w:type="dxa"/>
          </w:tcPr>
          <w:p w:rsidR="00922C37" w:rsidRDefault="007972A8" w:rsidP="00E7405B">
            <w:pPr>
              <w:pStyle w:val="TableParagraph"/>
              <w:spacing w:line="227" w:lineRule="exact"/>
              <w:jc w:val="center"/>
            </w:pPr>
            <w:r>
              <w:t>2. 9. 2020</w:t>
            </w:r>
          </w:p>
        </w:tc>
      </w:tr>
      <w:tr w:rsidR="0050377D" w:rsidTr="00370EEF">
        <w:trPr>
          <w:trHeight w:val="6102"/>
        </w:trPr>
        <w:tc>
          <w:tcPr>
            <w:tcW w:w="629" w:type="dxa"/>
          </w:tcPr>
          <w:p w:rsidR="0050377D" w:rsidRDefault="0050377D" w:rsidP="001C60DC">
            <w:pPr>
              <w:pStyle w:val="TableParagraph"/>
              <w:numPr>
                <w:ilvl w:val="0"/>
                <w:numId w:val="20"/>
              </w:numPr>
              <w:spacing w:line="227" w:lineRule="exact"/>
              <w:jc w:val="both"/>
            </w:pPr>
          </w:p>
        </w:tc>
        <w:tc>
          <w:tcPr>
            <w:tcW w:w="3789" w:type="dxa"/>
          </w:tcPr>
          <w:p w:rsidR="0050377D" w:rsidRPr="004E7138" w:rsidRDefault="007972A8" w:rsidP="00922C37">
            <w:pPr>
              <w:pStyle w:val="TableParagraph"/>
              <w:spacing w:line="227" w:lineRule="exact"/>
              <w:ind w:left="107" w:right="131"/>
              <w:jc w:val="both"/>
              <w:rPr>
                <w:color w:val="FF0000"/>
              </w:rPr>
            </w:pPr>
            <w:r w:rsidRPr="00305C95">
              <w:rPr>
                <w:szCs w:val="20"/>
              </w:rPr>
              <w:t>V skladu z obrazcem PF 2 (točka 12.10.) je zahtevana navedba in dokazila o virih za dokončanje investicije. Glede na različne vire (posojilo banke, sofinanciranje občine, lastna sredstva) nas zanima, kakšna dokazila so mišljena v skladu z zahtevo PF 2. Dejstvo je, da občine do izteka roka za oddajo ponudbe še ne bodo obravnavale proračunov, tako da ne moremo predložiti dokazila o tem, čeprav so predvideni sofinancerji investicije. Tudi banke ne morejo izdati dokumenta za konkretno investicijo, ker kreditni pogoji glede na različne vire sredstev banke, ne morejo biti znani. Banke nimajo podatkov o svojem viru pridobitve sredstev in torej ne o pogojih financiranja posojila. Enako velja za ponudnika, saj sredstva za investicijo niso nujno v likvidni obliki na računih družbe, ampak bodo pridobljena tekom izvajanja investicije. Prosimo za obrazložitev, kaj so ustrezna dokazila o virih dokončanja investicije. V obrazcu IP 8, ki je vsebinsko povezan s to zahtevo, se dokazila ne zahtevajo</w:t>
            </w:r>
            <w:r>
              <w:rPr>
                <w:szCs w:val="20"/>
              </w:rPr>
              <w:t>.</w:t>
            </w:r>
          </w:p>
        </w:tc>
        <w:tc>
          <w:tcPr>
            <w:tcW w:w="8570" w:type="dxa"/>
          </w:tcPr>
          <w:p w:rsidR="0050377D" w:rsidRDefault="009D33B3" w:rsidP="008324C8">
            <w:pPr>
              <w:spacing w:line="260" w:lineRule="exact"/>
              <w:ind w:left="142"/>
              <w:jc w:val="both"/>
            </w:pPr>
            <w:r>
              <w:t>V p</w:t>
            </w:r>
            <w:r w:rsidRPr="009D33B3">
              <w:t>rimeru, da so viri že znani oz. zagotovljeni, predložite ustrezno dokazilo, v primerih, ki jih navajate, ko viri še niso zagotovljeni, predložite informacijo oz. dokazila, s katerimi razpolagate ob oddaji vloge na razpis.</w:t>
            </w:r>
          </w:p>
        </w:tc>
        <w:tc>
          <w:tcPr>
            <w:tcW w:w="1261" w:type="dxa"/>
          </w:tcPr>
          <w:p w:rsidR="0050377D" w:rsidRDefault="007972A8" w:rsidP="00E7405B">
            <w:pPr>
              <w:pStyle w:val="TableParagraph"/>
              <w:spacing w:line="227" w:lineRule="exact"/>
              <w:jc w:val="center"/>
            </w:pPr>
            <w:r>
              <w:t>2. 9. 2020</w:t>
            </w:r>
          </w:p>
        </w:tc>
      </w:tr>
      <w:tr w:rsidR="0050377D" w:rsidTr="00922C37">
        <w:trPr>
          <w:trHeight w:val="1991"/>
        </w:trPr>
        <w:tc>
          <w:tcPr>
            <w:tcW w:w="629" w:type="dxa"/>
          </w:tcPr>
          <w:p w:rsidR="0050377D" w:rsidRDefault="0050377D" w:rsidP="001C60DC">
            <w:pPr>
              <w:pStyle w:val="TableParagraph"/>
              <w:numPr>
                <w:ilvl w:val="0"/>
                <w:numId w:val="20"/>
              </w:numPr>
              <w:spacing w:line="227" w:lineRule="exact"/>
              <w:jc w:val="both"/>
            </w:pPr>
          </w:p>
        </w:tc>
        <w:tc>
          <w:tcPr>
            <w:tcW w:w="3789" w:type="dxa"/>
          </w:tcPr>
          <w:p w:rsidR="003F306C" w:rsidRPr="003F306C" w:rsidRDefault="003F306C" w:rsidP="003F306C">
            <w:pPr>
              <w:pStyle w:val="TableParagraph"/>
              <w:spacing w:line="227" w:lineRule="exact"/>
              <w:ind w:left="107" w:right="131"/>
              <w:jc w:val="both"/>
            </w:pPr>
            <w:r w:rsidRPr="003F306C">
              <w:t>Ali je določen minimalni delež lastnih sredstev, ki jih mora ponudnik zagotavljati? Npr.: minimalno 20% lastnih sredstev, ostalo tuji viri sredstev.</w:t>
            </w:r>
          </w:p>
          <w:p w:rsidR="003F306C" w:rsidRPr="003F306C" w:rsidRDefault="003F306C" w:rsidP="003F306C">
            <w:pPr>
              <w:pStyle w:val="TableParagraph"/>
              <w:spacing w:line="227" w:lineRule="exact"/>
              <w:ind w:left="107" w:right="131"/>
              <w:jc w:val="both"/>
            </w:pPr>
          </w:p>
          <w:p w:rsidR="0050377D" w:rsidRPr="004E7138" w:rsidRDefault="003F306C" w:rsidP="003F306C">
            <w:pPr>
              <w:pStyle w:val="TableParagraph"/>
              <w:spacing w:line="227" w:lineRule="exact"/>
              <w:ind w:left="107" w:right="131"/>
              <w:jc w:val="both"/>
              <w:rPr>
                <w:color w:val="FF0000"/>
              </w:rPr>
            </w:pPr>
            <w:r w:rsidRPr="003F306C">
              <w:t>Zaključek gradnje je predviden 31.12.2022. Ali lahko »projekcijo finančnega poslovanja za petletno obdobje« naredimo z datumom 1.1.2023?</w:t>
            </w:r>
          </w:p>
        </w:tc>
        <w:tc>
          <w:tcPr>
            <w:tcW w:w="8570" w:type="dxa"/>
          </w:tcPr>
          <w:p w:rsidR="0050377D" w:rsidRDefault="003F306C" w:rsidP="008324C8">
            <w:pPr>
              <w:spacing w:line="260" w:lineRule="exact"/>
              <w:ind w:left="142"/>
              <w:jc w:val="both"/>
            </w:pPr>
            <w:r w:rsidRPr="003F306C">
              <w:t>Minim</w:t>
            </w:r>
            <w:r>
              <w:t>alni</w:t>
            </w:r>
            <w:r w:rsidRPr="003F306C">
              <w:t xml:space="preserve"> delež lastnih sredstev v javnem razpisu ni določen</w:t>
            </w:r>
            <w:r>
              <w:t>.</w:t>
            </w:r>
          </w:p>
          <w:p w:rsidR="003F306C" w:rsidRDefault="003F306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3F306C" w:rsidRDefault="00A33A3E" w:rsidP="008324C8">
            <w:pPr>
              <w:spacing w:line="260" w:lineRule="exact"/>
              <w:ind w:left="142"/>
              <w:jc w:val="both"/>
            </w:pPr>
            <w:r w:rsidRPr="00A33A3E">
              <w:t>Javni razpis v točki 7. določa, da se koncesija mora začeti izvajati do 31.</w:t>
            </w:r>
            <w:r w:rsidR="00676242">
              <w:t xml:space="preserve"> </w:t>
            </w:r>
            <w:r w:rsidRPr="00A33A3E">
              <w:t>12.</w:t>
            </w:r>
            <w:r w:rsidR="00676242">
              <w:t xml:space="preserve"> </w:t>
            </w:r>
            <w:r w:rsidRPr="00A33A3E">
              <w:t>2022.</w:t>
            </w:r>
          </w:p>
        </w:tc>
        <w:tc>
          <w:tcPr>
            <w:tcW w:w="1261" w:type="dxa"/>
          </w:tcPr>
          <w:p w:rsidR="0050377D" w:rsidRDefault="00241C07" w:rsidP="00E7405B">
            <w:pPr>
              <w:pStyle w:val="TableParagraph"/>
              <w:spacing w:line="227" w:lineRule="exact"/>
              <w:jc w:val="center"/>
            </w:pPr>
            <w:r>
              <w:t>2. 9. 2020</w:t>
            </w:r>
          </w:p>
        </w:tc>
      </w:tr>
      <w:tr w:rsidR="0070230E" w:rsidTr="0070230E">
        <w:trPr>
          <w:trHeight w:val="70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3F306C" w:rsidRDefault="0070230E" w:rsidP="003F306C">
            <w:pPr>
              <w:pStyle w:val="TableParagraph"/>
              <w:spacing w:line="227" w:lineRule="exact"/>
              <w:ind w:left="107" w:right="131"/>
              <w:jc w:val="both"/>
            </w:pPr>
            <w:r w:rsidRPr="0070230E">
              <w:t>Ali je lahko bančna garancija s strani tuje banke in v tem primeru v angleškem jeziku?</w:t>
            </w:r>
          </w:p>
        </w:tc>
        <w:tc>
          <w:tcPr>
            <w:tcW w:w="8570" w:type="dxa"/>
          </w:tcPr>
          <w:p w:rsidR="0070230E" w:rsidRPr="003F306C" w:rsidRDefault="0070230E" w:rsidP="008324C8">
            <w:pPr>
              <w:spacing w:line="260" w:lineRule="exact"/>
              <w:ind w:left="142"/>
              <w:jc w:val="both"/>
            </w:pPr>
            <w:r>
              <w:t>DA, toda potrebno je zagotoviti sodno overovljen prevod v slovenskem jeziku.</w:t>
            </w:r>
          </w:p>
        </w:tc>
        <w:tc>
          <w:tcPr>
            <w:tcW w:w="1261" w:type="dxa"/>
          </w:tcPr>
          <w:p w:rsidR="0070230E" w:rsidRDefault="002608FB" w:rsidP="00E7405B">
            <w:pPr>
              <w:pStyle w:val="TableParagraph"/>
              <w:spacing w:line="227" w:lineRule="exact"/>
              <w:jc w:val="center"/>
            </w:pPr>
            <w:r>
              <w:t>4. 9. 2020</w:t>
            </w:r>
          </w:p>
        </w:tc>
      </w:tr>
      <w:tr w:rsidR="0070230E" w:rsidTr="00A43273">
        <w:trPr>
          <w:trHeight w:val="57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Default="0070230E" w:rsidP="003F306C">
            <w:pPr>
              <w:pStyle w:val="TableParagraph"/>
              <w:spacing w:line="227" w:lineRule="exact"/>
              <w:ind w:left="107" w:right="131"/>
              <w:jc w:val="both"/>
            </w:pPr>
            <w:r w:rsidRPr="0070230E">
              <w:t>V povezavi z Javnim razpisom, na katerega bomo prijavili nov prizidek k obstoječemu objektu, nas zanima ali k ponudbi predložimo celotno organizacijsko shemo obstoječega objekta in novega prizidka ali priložimo le organizacijsko shemo novega objekta (prizidek)?</w:t>
            </w:r>
          </w:p>
          <w:p w:rsidR="0070230E" w:rsidRDefault="0070230E" w:rsidP="003F306C">
            <w:pPr>
              <w:pStyle w:val="TableParagraph"/>
              <w:spacing w:line="227" w:lineRule="exact"/>
              <w:ind w:left="107" w:right="131"/>
              <w:jc w:val="both"/>
            </w:pPr>
          </w:p>
          <w:p w:rsidR="0070230E" w:rsidRPr="0070230E" w:rsidRDefault="0070230E" w:rsidP="003F306C">
            <w:pPr>
              <w:pStyle w:val="TableParagraph"/>
              <w:spacing w:line="227" w:lineRule="exact"/>
              <w:ind w:left="107" w:right="131"/>
              <w:jc w:val="both"/>
            </w:pPr>
            <w:r w:rsidRPr="0070230E">
              <w:t xml:space="preserve">Imamo tudi vprašanje, katero se navezuje na izpolnitev obrazca OK (točka 12.4.). Določene profile zaposlenih bomo koristili iz obstoječega objekta oziroma obstoječe kadrovske strukture zaposlenih (n.pr. uprava, finančno računovodska služba, kuhinja). Zaposleni socialne oskrbe, del osnovne oskrbe in zdravstva bodo nove zaposlitve. V tem delu nas zanima kako opredeljujete organizacijsko enoto v obrazcu OK.  Ali naj zaposlene razdelimo v organizacijske enote: osnovna oskrba, socialna oskrba, zdravstvo ali pa jih naj razdelimo glede </w:t>
            </w:r>
            <w:r w:rsidRPr="0070230E">
              <w:lastRenderedPageBreak/>
              <w:t>na avtonomne delovne time novega objekta (demenca, paliativa…)?</w:t>
            </w:r>
          </w:p>
        </w:tc>
        <w:tc>
          <w:tcPr>
            <w:tcW w:w="8570" w:type="dxa"/>
          </w:tcPr>
          <w:p w:rsidR="0070230E" w:rsidRDefault="0070230E" w:rsidP="008324C8">
            <w:pPr>
              <w:spacing w:line="260" w:lineRule="exact"/>
              <w:ind w:left="142"/>
              <w:jc w:val="both"/>
            </w:pPr>
            <w:r w:rsidRPr="0070230E">
              <w:lastRenderedPageBreak/>
              <w:t xml:space="preserve">Predložite celotno organizacijsko shemo za vse zaposlene za izvajanje koncesijske dejavnosti, v skladu s pravilnikom o standardih in normativih </w:t>
            </w:r>
            <w:proofErr w:type="spellStart"/>
            <w:r w:rsidRPr="0070230E">
              <w:t>javnovarstvenih</w:t>
            </w:r>
            <w:proofErr w:type="spellEnd"/>
            <w:r w:rsidRPr="0070230E">
              <w:t xml:space="preserve"> storitev.</w:t>
            </w: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r w:rsidRPr="0070230E">
              <w:t>OK obrazec se izpolni za vse zaposlene. OK se pripravi po storitvi, ki je predmet koncesije, torej socialna oskrba in zdravstvena nega.</w:t>
            </w:r>
          </w:p>
        </w:tc>
        <w:tc>
          <w:tcPr>
            <w:tcW w:w="1261" w:type="dxa"/>
          </w:tcPr>
          <w:p w:rsidR="0070230E" w:rsidRDefault="002608FB" w:rsidP="00E7405B">
            <w:pPr>
              <w:pStyle w:val="TableParagraph"/>
              <w:spacing w:line="227" w:lineRule="exact"/>
              <w:jc w:val="center"/>
            </w:pPr>
            <w:r>
              <w:t>4. 9. 2020</w:t>
            </w:r>
          </w:p>
        </w:tc>
      </w:tr>
      <w:tr w:rsidR="005F3275" w:rsidTr="00A43273">
        <w:trPr>
          <w:trHeight w:val="574"/>
        </w:trPr>
        <w:tc>
          <w:tcPr>
            <w:tcW w:w="629" w:type="dxa"/>
          </w:tcPr>
          <w:p w:rsidR="005F3275" w:rsidRDefault="005F3275" w:rsidP="001C60DC">
            <w:pPr>
              <w:pStyle w:val="TableParagraph"/>
              <w:numPr>
                <w:ilvl w:val="0"/>
                <w:numId w:val="20"/>
              </w:numPr>
              <w:spacing w:line="227" w:lineRule="exact"/>
              <w:jc w:val="both"/>
            </w:pPr>
          </w:p>
        </w:tc>
        <w:tc>
          <w:tcPr>
            <w:tcW w:w="3789" w:type="dxa"/>
          </w:tcPr>
          <w:p w:rsidR="005F3275" w:rsidRDefault="005F3275" w:rsidP="005F3275">
            <w:pPr>
              <w:pStyle w:val="TableParagraph"/>
              <w:spacing w:line="227" w:lineRule="exact"/>
              <w:ind w:left="107" w:right="131"/>
              <w:jc w:val="both"/>
            </w:pPr>
            <w:r>
              <w:t>Prosimo za odgovor, glede na spodaj obrazloženi situaciji:</w:t>
            </w:r>
          </w:p>
          <w:p w:rsidR="005F3275" w:rsidRDefault="005F3275" w:rsidP="005F3275">
            <w:pPr>
              <w:pStyle w:val="TableParagraph"/>
              <w:spacing w:line="227" w:lineRule="exact"/>
              <w:ind w:left="107" w:right="131"/>
              <w:jc w:val="both"/>
            </w:pPr>
            <w:r>
              <w:t>Investitor, s katerim je ponudnik (ki bo oddal ponudbo na javni razpis za podelitev koncesije) dogovorjen za gradnjo DSO, ki je predmet koncesije, je v fazi nakupa zemljišča, na katerem bo gradil DSO. Zemljišče, na katerem OPPN predvideva izključno gradnjo DSO in je v celoti potrjen s strani Občine, se kupuje v postopku zavezujočega zbiranja ponudb na podlagi Zakona o finančnem poslovanju, postopkih zaradi insolventnosti in prisilnem prenehanju. V času poteka roka za oddajo ponudbe na javni razpis postopek nakupa še ne bo zaključen, investitor pa je edini, ki je do poteka roka za oddajo ponudbe na javni razpis MDDSZ, oddal zavezujočo ponudbo za nakup zemljišča.</w:t>
            </w:r>
          </w:p>
          <w:p w:rsidR="005F3275" w:rsidRDefault="005F3275" w:rsidP="005F3275">
            <w:pPr>
              <w:pStyle w:val="TableParagraph"/>
              <w:spacing w:line="227" w:lineRule="exact"/>
              <w:ind w:left="107" w:right="131"/>
              <w:jc w:val="both"/>
            </w:pPr>
            <w:r>
              <w:t>Zanima nas ali se kot ustrezno dokazilo po točki 12.6. lahko šteje tudi:</w:t>
            </w:r>
          </w:p>
          <w:p w:rsidR="005F3275" w:rsidRDefault="005F3275" w:rsidP="005F3275">
            <w:pPr>
              <w:pStyle w:val="TableParagraph"/>
              <w:spacing w:line="227" w:lineRule="exact"/>
              <w:ind w:left="107" w:right="131"/>
              <w:jc w:val="both"/>
            </w:pPr>
            <w:r>
              <w:t>-izjava stečajnega upravitelja, s katero ta potrjuje, da je investitor do 1.10.2020 edini oddal zavezujočo ponudbo za nakup nepremičnine, na kateri bo gradil objekt, v katerem se bo izvajala koncesija,</w:t>
            </w:r>
          </w:p>
          <w:p w:rsidR="005F3275" w:rsidRDefault="005F3275" w:rsidP="005F3275">
            <w:pPr>
              <w:pStyle w:val="TableParagraph"/>
              <w:spacing w:line="227" w:lineRule="exact"/>
              <w:ind w:left="107" w:right="131"/>
              <w:jc w:val="both"/>
            </w:pPr>
            <w:r>
              <w:t xml:space="preserve">-predpogodba, sklenjena med investitorjem in ponudnikom, s katero se zavezujeta, da bosta sklenila pogodbo o ustanovitvi stavbne pravice na še ne zgrajeni stavbi oziroma najemno pogodbo za še ne zgrajen objekt, pod odložnim pogojem, da bo ponudnik </w:t>
            </w:r>
            <w:r>
              <w:lastRenderedPageBreak/>
              <w:t xml:space="preserve">izbran na javnem razpisu. </w:t>
            </w:r>
          </w:p>
          <w:p w:rsidR="005F3275" w:rsidRPr="0070230E" w:rsidRDefault="005F3275" w:rsidP="005F3275">
            <w:pPr>
              <w:pStyle w:val="TableParagraph"/>
              <w:spacing w:line="227" w:lineRule="exact"/>
              <w:ind w:left="107" w:right="131"/>
              <w:jc w:val="both"/>
            </w:pPr>
            <w:r>
              <w:t>V zvezi z dokazovanjem finančne in poslovne sposobnosti, nas dodatno zanima še naslednje. Glede na to, da bo sredstva za nakup zemljišča in gradnjo objekta v celoti zagotovil investitor, s katerim se bo sklenila posebna pogodba, nas zanima, če je potrebno ponudbi priložiti tudi bonitetno oceno investitorja in izpolnjene obrazce IP, IP8 in IP10 tudi zanj (za investitorja).</w:t>
            </w:r>
          </w:p>
        </w:tc>
        <w:tc>
          <w:tcPr>
            <w:tcW w:w="8570" w:type="dxa"/>
          </w:tcPr>
          <w:p w:rsidR="005F3275" w:rsidRDefault="005F3275" w:rsidP="008324C8">
            <w:pPr>
              <w:spacing w:line="260" w:lineRule="exact"/>
              <w:ind w:left="142"/>
              <w:jc w:val="both"/>
            </w:pPr>
            <w:r>
              <w:lastRenderedPageBreak/>
              <w:t>Navedeni dokazili ne zadostujeta za izpolnjevanje pogojev.</w:t>
            </w: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Pr="0070230E" w:rsidRDefault="005F3275" w:rsidP="008324C8">
            <w:pPr>
              <w:spacing w:line="260" w:lineRule="exact"/>
              <w:ind w:left="142"/>
              <w:jc w:val="both"/>
            </w:pPr>
            <w:r w:rsidRPr="005F3275">
              <w:t>Javni razpis zahteva dokumentacijo, ki jo priloži ponudnik, ki bo izvajal storitev.</w:t>
            </w:r>
          </w:p>
        </w:tc>
        <w:tc>
          <w:tcPr>
            <w:tcW w:w="1261" w:type="dxa"/>
          </w:tcPr>
          <w:p w:rsidR="005F3275" w:rsidRDefault="00D85E25" w:rsidP="00E7405B">
            <w:pPr>
              <w:pStyle w:val="TableParagraph"/>
              <w:spacing w:line="227" w:lineRule="exact"/>
              <w:jc w:val="center"/>
            </w:pPr>
            <w:r>
              <w:lastRenderedPageBreak/>
              <w:t>4. 9. 2020</w:t>
            </w:r>
          </w:p>
        </w:tc>
      </w:tr>
      <w:tr w:rsidR="0070230E" w:rsidTr="0070230E">
        <w:trPr>
          <w:trHeight w:val="846"/>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3F306C">
            <w:pPr>
              <w:pStyle w:val="TableParagraph"/>
              <w:spacing w:line="227" w:lineRule="exact"/>
              <w:ind w:left="107" w:right="131"/>
              <w:jc w:val="both"/>
            </w:pPr>
            <w:r w:rsidRPr="00A43273">
              <w:t>Vzorec koncesijske pogodbe ne predvideva povečanja kapacitet za 5 oz. 10% kot je bilo to v preteklosti. Ali bo to možno storiti z razpisano koncesijo ob soglasju Ministrstva in za koliko?</w:t>
            </w:r>
          </w:p>
        </w:tc>
        <w:tc>
          <w:tcPr>
            <w:tcW w:w="8570" w:type="dxa"/>
          </w:tcPr>
          <w:p w:rsidR="0070230E" w:rsidRDefault="00A43273" w:rsidP="008324C8">
            <w:pPr>
              <w:spacing w:line="260" w:lineRule="exact"/>
              <w:ind w:left="142"/>
              <w:jc w:val="both"/>
            </w:pPr>
            <w:r>
              <w:t>NE, povečanje kapacitet ne bo možno.</w:t>
            </w:r>
          </w:p>
        </w:tc>
        <w:tc>
          <w:tcPr>
            <w:tcW w:w="1261" w:type="dxa"/>
          </w:tcPr>
          <w:p w:rsidR="0070230E" w:rsidRDefault="002608FB" w:rsidP="00E7405B">
            <w:pPr>
              <w:pStyle w:val="TableParagraph"/>
              <w:spacing w:line="227" w:lineRule="exact"/>
              <w:jc w:val="center"/>
            </w:pPr>
            <w:r>
              <w:t>4. 9. 2020</w:t>
            </w:r>
          </w:p>
        </w:tc>
      </w:tr>
      <w:tr w:rsidR="0070230E" w:rsidTr="00A43273">
        <w:trPr>
          <w:trHeight w:val="682"/>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A43273">
            <w:pPr>
              <w:pStyle w:val="TableParagraph"/>
              <w:spacing w:line="227" w:lineRule="exact"/>
              <w:ind w:left="107" w:right="131"/>
              <w:jc w:val="both"/>
            </w:pPr>
            <w:r w:rsidRPr="00A43273">
              <w:t>Ali je potrebno pri izračunu cene oskrbe pri izračunu stroškov financiranja priložiti poročilo revizorja?</w:t>
            </w:r>
          </w:p>
        </w:tc>
        <w:tc>
          <w:tcPr>
            <w:tcW w:w="8570" w:type="dxa"/>
          </w:tcPr>
          <w:p w:rsidR="0070230E" w:rsidRDefault="00A43273" w:rsidP="008324C8">
            <w:pPr>
              <w:spacing w:line="260" w:lineRule="exact"/>
              <w:ind w:left="142"/>
              <w:jc w:val="both"/>
            </w:pPr>
            <w:r>
              <w:t>NE.</w:t>
            </w:r>
          </w:p>
        </w:tc>
        <w:tc>
          <w:tcPr>
            <w:tcW w:w="1261" w:type="dxa"/>
          </w:tcPr>
          <w:p w:rsidR="0070230E" w:rsidRDefault="002608FB" w:rsidP="00E7405B">
            <w:pPr>
              <w:pStyle w:val="TableParagraph"/>
              <w:spacing w:line="227" w:lineRule="exact"/>
              <w:jc w:val="center"/>
            </w:pPr>
            <w:r>
              <w:t>4. 9. 2020</w:t>
            </w:r>
          </w:p>
        </w:tc>
      </w:tr>
      <w:tr w:rsidR="0070230E" w:rsidTr="00A43273">
        <w:trPr>
          <w:trHeight w:val="715"/>
        </w:trPr>
        <w:tc>
          <w:tcPr>
            <w:tcW w:w="629" w:type="dxa"/>
          </w:tcPr>
          <w:p w:rsidR="0070230E" w:rsidRDefault="0070230E" w:rsidP="001C60DC">
            <w:pPr>
              <w:pStyle w:val="TableParagraph"/>
              <w:numPr>
                <w:ilvl w:val="0"/>
                <w:numId w:val="20"/>
              </w:numPr>
              <w:spacing w:line="227" w:lineRule="exact"/>
              <w:jc w:val="both"/>
            </w:pPr>
          </w:p>
        </w:tc>
        <w:tc>
          <w:tcPr>
            <w:tcW w:w="3789" w:type="dxa"/>
          </w:tcPr>
          <w:p w:rsidR="00A43273" w:rsidRDefault="00A43273" w:rsidP="00A43273">
            <w:pPr>
              <w:pStyle w:val="TableParagraph"/>
              <w:spacing w:line="227" w:lineRule="exact"/>
              <w:ind w:left="107" w:right="131"/>
              <w:jc w:val="both"/>
            </w:pPr>
            <w:r>
              <w:t>Načrtovan prizidek k obstoječemu domu za starejše (predvidena povezava obeh objektov) v skladu z idejno zasnovo posega na pet parcelnih številk. Objekt bo zgrajen na dveh parcelah, kjer je pridobitev lastništva v teku, na parceli, katere lastnik smo že (na njej je zgrajen obstoječi dom za starejše), a hkrati posega na dve parceli, kjer lastništva nimamo. Predvideva se pridobitev lastništva teh dveh parcel, ki sta v lasti občine, v roku, ki bo omogočal izvajanje dejavnosti ob pogoju pridobitve koncesije najkasneje do 31.12.2022. Občina je naš večinski lastnik.  Ali je zadoščeno zahtevam razpisne dokumentacije za točko 12.6, če predložimo:</w:t>
            </w:r>
          </w:p>
          <w:p w:rsidR="00A43273" w:rsidRDefault="00A43273" w:rsidP="00A43273">
            <w:pPr>
              <w:pStyle w:val="TableParagraph"/>
              <w:spacing w:line="227" w:lineRule="exact"/>
              <w:ind w:left="107" w:right="131"/>
              <w:jc w:val="both"/>
            </w:pPr>
            <w:r>
              <w:lastRenderedPageBreak/>
              <w:t xml:space="preserve">Dokument oziroma izjavo (sklep župana), da bomo pridobili lastništvo teh dveh parcel v času, ki zagotavlja izvajanje dejavnosti najkasneje do 31.12.2022? </w:t>
            </w:r>
          </w:p>
          <w:p w:rsidR="0070230E" w:rsidRPr="0070230E" w:rsidRDefault="00A43273" w:rsidP="00A43273">
            <w:pPr>
              <w:pStyle w:val="TableParagraph"/>
              <w:spacing w:line="227" w:lineRule="exact"/>
              <w:ind w:left="107" w:right="131"/>
              <w:jc w:val="both"/>
            </w:pPr>
            <w:r>
              <w:t>Če ne zadošča dokazilo pod točko a) ali zadošča zahtevam točke 12.6, če predložimo pogodbo med občino in nami o pridobitvi lastništva zemljišč v času, ki zagotavlja izvajanje dejavnosti najkasneje do 31.12.2022, v primeru, da bomo pridobili koncesijo?</w:t>
            </w:r>
          </w:p>
        </w:tc>
        <w:tc>
          <w:tcPr>
            <w:tcW w:w="8570" w:type="dxa"/>
          </w:tcPr>
          <w:p w:rsidR="0070230E" w:rsidRDefault="00A43273" w:rsidP="008324C8">
            <w:pPr>
              <w:spacing w:line="260" w:lineRule="exact"/>
              <w:ind w:left="142"/>
              <w:jc w:val="both"/>
            </w:pPr>
            <w:r>
              <w:lastRenderedPageBreak/>
              <w:t>DA, zadošča dokazilo v obliki pogodbe med občino in ponudnikom.</w:t>
            </w:r>
          </w:p>
        </w:tc>
        <w:tc>
          <w:tcPr>
            <w:tcW w:w="1261" w:type="dxa"/>
          </w:tcPr>
          <w:p w:rsidR="0070230E" w:rsidRDefault="002608FB" w:rsidP="00E7405B">
            <w:pPr>
              <w:pStyle w:val="TableParagraph"/>
              <w:spacing w:line="227" w:lineRule="exact"/>
              <w:jc w:val="center"/>
            </w:pPr>
            <w:r>
              <w:t>4. 9. 2020</w:t>
            </w:r>
          </w:p>
        </w:tc>
      </w:tr>
      <w:tr w:rsidR="008F7F63" w:rsidTr="00D81502">
        <w:trPr>
          <w:trHeight w:val="1094"/>
        </w:trPr>
        <w:tc>
          <w:tcPr>
            <w:tcW w:w="629" w:type="dxa"/>
          </w:tcPr>
          <w:p w:rsidR="008F7F63" w:rsidRDefault="008F7F63" w:rsidP="001C60DC">
            <w:pPr>
              <w:pStyle w:val="TableParagraph"/>
              <w:numPr>
                <w:ilvl w:val="0"/>
                <w:numId w:val="20"/>
              </w:numPr>
              <w:spacing w:line="227" w:lineRule="exact"/>
              <w:jc w:val="both"/>
            </w:pPr>
          </w:p>
        </w:tc>
        <w:tc>
          <w:tcPr>
            <w:tcW w:w="3789" w:type="dxa"/>
          </w:tcPr>
          <w:p w:rsidR="008F7F63" w:rsidRDefault="008F7F63" w:rsidP="00A43273">
            <w:pPr>
              <w:pStyle w:val="TableParagraph"/>
              <w:spacing w:line="227" w:lineRule="exact"/>
              <w:ind w:left="107" w:right="131"/>
              <w:jc w:val="both"/>
            </w:pPr>
            <w:r w:rsidRPr="00D857CE">
              <w:t>Zanima me, če pri obrazcu PF2 moramo upoštevati tudi Prejemki iz poslovanja in Izdatki iz poslovanja za leto 2020 in 2021, ker bo Dom pridobil prejemke iz poslovanja šele v letu 2022.</w:t>
            </w:r>
          </w:p>
        </w:tc>
        <w:tc>
          <w:tcPr>
            <w:tcW w:w="8570" w:type="dxa"/>
          </w:tcPr>
          <w:p w:rsidR="008F7F63" w:rsidRDefault="00D857CE" w:rsidP="00D81502">
            <w:pPr>
              <w:spacing w:line="260" w:lineRule="exact"/>
              <w:ind w:left="142"/>
              <w:jc w:val="both"/>
            </w:pPr>
            <w:r>
              <w:t>Namen obrazca PF2 je prikaz projekcije finančnega poslovanja za obdobje gradnje oz. priprave objekta</w:t>
            </w:r>
            <w:r>
              <w:t xml:space="preserve"> do začetka izvajanja storitve.</w:t>
            </w:r>
            <w:r w:rsidR="00D81502">
              <w:t xml:space="preserve"> </w:t>
            </w:r>
            <w:r>
              <w:t>V skladu z namenom obrazca upoštevajte tiste denarne tokove, ki bodo predvidoma nastajali v tem obdo</w:t>
            </w:r>
            <w:bookmarkStart w:id="0" w:name="_GoBack"/>
            <w:bookmarkEnd w:id="0"/>
            <w:r>
              <w:t>bju.</w:t>
            </w:r>
          </w:p>
        </w:tc>
        <w:tc>
          <w:tcPr>
            <w:tcW w:w="1261" w:type="dxa"/>
          </w:tcPr>
          <w:p w:rsidR="008F7F63" w:rsidRDefault="000E5DDF" w:rsidP="00E7405B">
            <w:pPr>
              <w:pStyle w:val="TableParagraph"/>
              <w:spacing w:line="227" w:lineRule="exact"/>
              <w:jc w:val="center"/>
            </w:pPr>
            <w:r>
              <w:t>4. 9. 2020</w:t>
            </w:r>
          </w:p>
        </w:tc>
      </w:tr>
    </w:tbl>
    <w:p w:rsidR="00F70B6E" w:rsidRDefault="00F70B6E" w:rsidP="00D426FA">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88" w:rsidRDefault="004E4388">
      <w:r>
        <w:separator/>
      </w:r>
    </w:p>
  </w:endnote>
  <w:endnote w:type="continuationSeparator" w:id="0">
    <w:p w:rsidR="004E4388" w:rsidRDefault="004E4388">
      <w:r>
        <w:continuationSeparator/>
      </w:r>
    </w:p>
  </w:endnote>
  <w:endnote w:type="continuationNotice" w:id="1">
    <w:p w:rsidR="004E4388" w:rsidRDefault="004E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3653"/>
      <w:docPartObj>
        <w:docPartGallery w:val="Page Numbers (Bottom of Page)"/>
        <w:docPartUnique/>
      </w:docPartObj>
    </w:sdtPr>
    <w:sdtEndPr/>
    <w:sdtContent>
      <w:p w:rsidR="006A38A4" w:rsidRDefault="006A38A4">
        <w:pPr>
          <w:pStyle w:val="Noga"/>
          <w:jc w:val="center"/>
        </w:pPr>
        <w:r>
          <w:fldChar w:fldCharType="begin"/>
        </w:r>
        <w:r>
          <w:instrText>PAGE   \* MERGEFORMAT</w:instrText>
        </w:r>
        <w:r>
          <w:fldChar w:fldCharType="separate"/>
        </w:r>
        <w:r w:rsidR="00D81502">
          <w:rPr>
            <w:noProof/>
          </w:rPr>
          <w:t>19</w:t>
        </w:r>
        <w:r>
          <w:fldChar w:fldCharType="end"/>
        </w:r>
      </w:p>
    </w:sdtContent>
  </w:sdt>
  <w:p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88" w:rsidRDefault="004E4388">
      <w:r>
        <w:separator/>
      </w:r>
    </w:p>
  </w:footnote>
  <w:footnote w:type="continuationSeparator" w:id="0">
    <w:p w:rsidR="004E4388" w:rsidRDefault="004E4388">
      <w:r>
        <w:continuationSeparator/>
      </w:r>
    </w:p>
  </w:footnote>
  <w:footnote w:type="continuationNotice" w:id="1">
    <w:p w:rsidR="004E4388" w:rsidRDefault="004E43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F0A56"/>
    <w:rsid w:val="000F0EFE"/>
    <w:rsid w:val="000F24FF"/>
    <w:rsid w:val="000F59B1"/>
    <w:rsid w:val="000F61AE"/>
    <w:rsid w:val="00100723"/>
    <w:rsid w:val="00100CF9"/>
    <w:rsid w:val="0010323A"/>
    <w:rsid w:val="00106F88"/>
    <w:rsid w:val="0011149A"/>
    <w:rsid w:val="00111E74"/>
    <w:rsid w:val="00113619"/>
    <w:rsid w:val="001141DE"/>
    <w:rsid w:val="00121480"/>
    <w:rsid w:val="00131B7F"/>
    <w:rsid w:val="00133EA0"/>
    <w:rsid w:val="00135B53"/>
    <w:rsid w:val="00137796"/>
    <w:rsid w:val="00141D87"/>
    <w:rsid w:val="00153469"/>
    <w:rsid w:val="00154C7C"/>
    <w:rsid w:val="00161F04"/>
    <w:rsid w:val="0016514C"/>
    <w:rsid w:val="00167077"/>
    <w:rsid w:val="00171367"/>
    <w:rsid w:val="00174303"/>
    <w:rsid w:val="0017493A"/>
    <w:rsid w:val="00174FC3"/>
    <w:rsid w:val="00176C7A"/>
    <w:rsid w:val="001830FB"/>
    <w:rsid w:val="00183CE0"/>
    <w:rsid w:val="00185226"/>
    <w:rsid w:val="001853A3"/>
    <w:rsid w:val="00197E17"/>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415A"/>
    <w:rsid w:val="0040462B"/>
    <w:rsid w:val="00405E57"/>
    <w:rsid w:val="00414018"/>
    <w:rsid w:val="0041416B"/>
    <w:rsid w:val="00417301"/>
    <w:rsid w:val="00422429"/>
    <w:rsid w:val="00422A8A"/>
    <w:rsid w:val="004275EE"/>
    <w:rsid w:val="004307E9"/>
    <w:rsid w:val="004342CD"/>
    <w:rsid w:val="00443D7A"/>
    <w:rsid w:val="00445155"/>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612A"/>
    <w:rsid w:val="004D6BFD"/>
    <w:rsid w:val="004D7D5C"/>
    <w:rsid w:val="004E181A"/>
    <w:rsid w:val="004E4388"/>
    <w:rsid w:val="004E4CBB"/>
    <w:rsid w:val="004E7138"/>
    <w:rsid w:val="004F05BD"/>
    <w:rsid w:val="004F2A88"/>
    <w:rsid w:val="004F37D3"/>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46A"/>
    <w:rsid w:val="00607CD3"/>
    <w:rsid w:val="00611ADC"/>
    <w:rsid w:val="0061368B"/>
    <w:rsid w:val="00614725"/>
    <w:rsid w:val="00614F7B"/>
    <w:rsid w:val="006204EB"/>
    <w:rsid w:val="00626A0B"/>
    <w:rsid w:val="006322E5"/>
    <w:rsid w:val="00634304"/>
    <w:rsid w:val="00636288"/>
    <w:rsid w:val="00642C41"/>
    <w:rsid w:val="00644814"/>
    <w:rsid w:val="00651BFB"/>
    <w:rsid w:val="0065265D"/>
    <w:rsid w:val="00663B82"/>
    <w:rsid w:val="00664D13"/>
    <w:rsid w:val="00666C7B"/>
    <w:rsid w:val="00666FB6"/>
    <w:rsid w:val="00670B57"/>
    <w:rsid w:val="00670EA5"/>
    <w:rsid w:val="006711E5"/>
    <w:rsid w:val="006735A9"/>
    <w:rsid w:val="00676242"/>
    <w:rsid w:val="00676895"/>
    <w:rsid w:val="00677EFE"/>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E22EC"/>
    <w:rsid w:val="006F2085"/>
    <w:rsid w:val="006F6595"/>
    <w:rsid w:val="006F6790"/>
    <w:rsid w:val="0070230E"/>
    <w:rsid w:val="00710691"/>
    <w:rsid w:val="00710E8A"/>
    <w:rsid w:val="00714E65"/>
    <w:rsid w:val="0071734C"/>
    <w:rsid w:val="0072060C"/>
    <w:rsid w:val="00723C49"/>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408D"/>
    <w:rsid w:val="008D430C"/>
    <w:rsid w:val="008D5CFC"/>
    <w:rsid w:val="008D7B67"/>
    <w:rsid w:val="008E53D6"/>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6E15"/>
    <w:rsid w:val="009415B0"/>
    <w:rsid w:val="00945708"/>
    <w:rsid w:val="00957EE5"/>
    <w:rsid w:val="0096031C"/>
    <w:rsid w:val="00960F6F"/>
    <w:rsid w:val="00965C76"/>
    <w:rsid w:val="0097016F"/>
    <w:rsid w:val="009727BC"/>
    <w:rsid w:val="00976A8D"/>
    <w:rsid w:val="00980147"/>
    <w:rsid w:val="00986823"/>
    <w:rsid w:val="0098682A"/>
    <w:rsid w:val="009918C9"/>
    <w:rsid w:val="0099314A"/>
    <w:rsid w:val="00995376"/>
    <w:rsid w:val="009A025C"/>
    <w:rsid w:val="009A20EF"/>
    <w:rsid w:val="009A210F"/>
    <w:rsid w:val="009A5431"/>
    <w:rsid w:val="009B0271"/>
    <w:rsid w:val="009C2EC4"/>
    <w:rsid w:val="009C48BF"/>
    <w:rsid w:val="009C7667"/>
    <w:rsid w:val="009D33B3"/>
    <w:rsid w:val="009D3B63"/>
    <w:rsid w:val="009D414D"/>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40D69"/>
    <w:rsid w:val="00A41D7C"/>
    <w:rsid w:val="00A43273"/>
    <w:rsid w:val="00A461B7"/>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5C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514FA"/>
    <w:rsid w:val="00D5377D"/>
    <w:rsid w:val="00D66C99"/>
    <w:rsid w:val="00D7697B"/>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37DD"/>
    <w:rsid w:val="00EF4038"/>
    <w:rsid w:val="00F04B37"/>
    <w:rsid w:val="00F05330"/>
    <w:rsid w:val="00F05762"/>
    <w:rsid w:val="00F06250"/>
    <w:rsid w:val="00F114FC"/>
    <w:rsid w:val="00F13DDD"/>
    <w:rsid w:val="00F14946"/>
    <w:rsid w:val="00F1648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9DD6B"/>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E9AB7F-821B-40F0-8639-F2DBD9A4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19</Pages>
  <Words>4236</Words>
  <Characters>24146</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Uporabnik sistema Windows</cp:lastModifiedBy>
  <cp:revision>257</cp:revision>
  <cp:lastPrinted>2020-08-03T06:16:00Z</cp:lastPrinted>
  <dcterms:created xsi:type="dcterms:W3CDTF">2020-08-03T09:15:00Z</dcterms:created>
  <dcterms:modified xsi:type="dcterms:W3CDTF">2020-09-04T07:21:00Z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