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D76E" w14:textId="77777777" w:rsidR="009B3590" w:rsidRDefault="009B3590"/>
    <w:p w14:paraId="23A960BA" w14:textId="77777777" w:rsidR="009B3590" w:rsidRDefault="009B3590"/>
    <w:p w14:paraId="200C34DE" w14:textId="77777777" w:rsidR="009B3590" w:rsidRDefault="009B3590"/>
    <w:p w14:paraId="1AA01D6A" w14:textId="77777777" w:rsidR="009B3590" w:rsidRDefault="009B3590"/>
    <w:tbl>
      <w:tblPr>
        <w:tblpPr w:leftFromText="180" w:rightFromText="180" w:vertAnchor="text" w:horzAnchor="margin" w:tblpY="-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90"/>
      </w:tblGrid>
      <w:tr w:rsidR="00A453A7" w:rsidRPr="008D7DD4" w14:paraId="02625D93" w14:textId="77777777" w:rsidTr="009B3590">
        <w:trPr>
          <w:trHeight w:val="7655"/>
        </w:trPr>
        <w:tc>
          <w:tcPr>
            <w:tcW w:w="10490" w:type="dxa"/>
            <w:tcBorders>
              <w:top w:val="nil"/>
              <w:left w:val="nil"/>
              <w:bottom w:val="nil"/>
              <w:right w:val="nil"/>
            </w:tcBorders>
          </w:tcPr>
          <w:p w14:paraId="460ADB94" w14:textId="6F763566" w:rsidR="009B3590" w:rsidRPr="006630BB" w:rsidRDefault="009B3590" w:rsidP="009B3590">
            <w:pPr>
              <w:pStyle w:val="Naslov10"/>
              <w:spacing w:after="0" w:line="260" w:lineRule="atLeast"/>
              <w:jc w:val="center"/>
              <w:rPr>
                <w:sz w:val="60"/>
                <w:szCs w:val="60"/>
                <w:lang w:bidi="sl-SI"/>
              </w:rPr>
            </w:pPr>
            <w:bookmarkStart w:id="0" w:name="_Hlk185854173"/>
            <w:r>
              <w:rPr>
                <w:sz w:val="60"/>
                <w:szCs w:val="60"/>
                <w:lang w:bidi="sl-SI"/>
              </w:rPr>
              <w:t xml:space="preserve">PREDLOG </w:t>
            </w:r>
            <w:r w:rsidRPr="006630BB">
              <w:rPr>
                <w:sz w:val="60"/>
                <w:szCs w:val="60"/>
                <w:lang w:bidi="sl-SI"/>
              </w:rPr>
              <w:t>IZHODIŠČ</w:t>
            </w:r>
            <w:r>
              <w:rPr>
                <w:sz w:val="60"/>
                <w:szCs w:val="60"/>
                <w:lang w:bidi="sl-SI"/>
              </w:rPr>
              <w:t xml:space="preserve"> </w:t>
            </w:r>
            <w:r w:rsidRPr="006630BB">
              <w:rPr>
                <w:sz w:val="60"/>
                <w:szCs w:val="60"/>
                <w:lang w:bidi="sl-SI"/>
              </w:rPr>
              <w:t>ZA</w:t>
            </w:r>
          </w:p>
          <w:p w14:paraId="299691BC" w14:textId="2F562F50" w:rsidR="009B3590" w:rsidRPr="006630BB" w:rsidRDefault="009B3590" w:rsidP="009B3590">
            <w:pPr>
              <w:pStyle w:val="Naslov10"/>
              <w:spacing w:after="0" w:line="260" w:lineRule="atLeast"/>
              <w:jc w:val="center"/>
              <w:rPr>
                <w:sz w:val="60"/>
                <w:szCs w:val="60"/>
                <w:lang w:bidi="sl-SI"/>
              </w:rPr>
            </w:pPr>
            <w:r w:rsidRPr="006630BB">
              <w:rPr>
                <w:sz w:val="60"/>
                <w:szCs w:val="60"/>
                <w:lang w:bidi="sl-SI"/>
              </w:rPr>
              <w:t>OBDAVČITEV</w:t>
            </w:r>
          </w:p>
          <w:p w14:paraId="1061B264" w14:textId="77777777" w:rsidR="009B3590" w:rsidRPr="006630BB" w:rsidRDefault="009B3590" w:rsidP="009B3590">
            <w:pPr>
              <w:pStyle w:val="Naslov10"/>
              <w:spacing w:after="0" w:line="260" w:lineRule="atLeast"/>
              <w:jc w:val="center"/>
              <w:rPr>
                <w:sz w:val="60"/>
                <w:szCs w:val="60"/>
                <w:lang w:bidi="sl-SI"/>
              </w:rPr>
            </w:pPr>
            <w:r w:rsidRPr="006630BB">
              <w:rPr>
                <w:sz w:val="60"/>
                <w:szCs w:val="60"/>
                <w:lang w:bidi="sl-SI"/>
              </w:rPr>
              <w:t>PREMOŽENJA</w:t>
            </w:r>
          </w:p>
          <w:p w14:paraId="0F0558AF" w14:textId="1861E841" w:rsidR="009B3590" w:rsidRDefault="009B3590" w:rsidP="009B3590">
            <w:pPr>
              <w:pStyle w:val="Naslov10"/>
              <w:spacing w:after="0" w:line="260" w:lineRule="atLeast"/>
              <w:jc w:val="center"/>
              <w:rPr>
                <w:sz w:val="60"/>
                <w:szCs w:val="60"/>
                <w:lang w:bidi="sl-SI"/>
              </w:rPr>
            </w:pPr>
            <w:r w:rsidRPr="006630BB">
              <w:rPr>
                <w:sz w:val="60"/>
                <w:szCs w:val="60"/>
                <w:lang w:bidi="sl-SI"/>
              </w:rPr>
              <w:t xml:space="preserve">IN </w:t>
            </w:r>
            <w:r>
              <w:rPr>
                <w:sz w:val="60"/>
                <w:szCs w:val="60"/>
                <w:lang w:bidi="sl-SI"/>
              </w:rPr>
              <w:t>UKREPE ZA PRESTRUKTURIRANJE</w:t>
            </w:r>
          </w:p>
          <w:p w14:paraId="5B27E772" w14:textId="77777777" w:rsidR="009B3590" w:rsidRDefault="009B3590" w:rsidP="009B3590">
            <w:pPr>
              <w:pStyle w:val="Naslov10"/>
              <w:spacing w:after="0" w:line="260" w:lineRule="atLeast"/>
              <w:jc w:val="center"/>
              <w:rPr>
                <w:sz w:val="60"/>
                <w:szCs w:val="60"/>
                <w:lang w:bidi="sl-SI"/>
              </w:rPr>
            </w:pPr>
            <w:r>
              <w:rPr>
                <w:sz w:val="60"/>
                <w:szCs w:val="60"/>
                <w:lang w:bidi="sl-SI"/>
              </w:rPr>
              <w:t>IN RAZBREMENITEV</w:t>
            </w:r>
          </w:p>
          <w:p w14:paraId="24E6F142" w14:textId="77777777" w:rsidR="009B3590" w:rsidRDefault="009B3590" w:rsidP="009B3590">
            <w:pPr>
              <w:pStyle w:val="Naslov10"/>
              <w:spacing w:after="0" w:line="260" w:lineRule="atLeast"/>
              <w:jc w:val="center"/>
              <w:rPr>
                <w:sz w:val="60"/>
                <w:szCs w:val="60"/>
                <w:lang w:bidi="sl-SI"/>
              </w:rPr>
            </w:pPr>
            <w:r>
              <w:rPr>
                <w:sz w:val="60"/>
                <w:szCs w:val="60"/>
                <w:lang w:bidi="sl-SI"/>
              </w:rPr>
              <w:t>DELA</w:t>
            </w:r>
          </w:p>
          <w:p w14:paraId="2412DAD8" w14:textId="764A91E1" w:rsidR="00A453A7" w:rsidRPr="008D7DD4" w:rsidRDefault="00A453A7" w:rsidP="004B6068">
            <w:pPr>
              <w:spacing w:after="0" w:line="240" w:lineRule="auto"/>
              <w:rPr>
                <w:rFonts w:ascii="Times New Roman" w:eastAsia="Times New Roman" w:hAnsi="Times New Roman"/>
                <w:noProof/>
                <w:sz w:val="24"/>
                <w:szCs w:val="24"/>
                <w:lang w:eastAsia="sl-SI"/>
              </w:rPr>
            </w:pPr>
          </w:p>
        </w:tc>
      </w:tr>
      <w:tr w:rsidR="00A453A7" w:rsidRPr="008D7DD4" w14:paraId="7EC5067D" w14:textId="77777777" w:rsidTr="009B3590">
        <w:trPr>
          <w:trHeight w:val="2136"/>
        </w:trPr>
        <w:tc>
          <w:tcPr>
            <w:tcW w:w="10490" w:type="dxa"/>
            <w:tcBorders>
              <w:top w:val="nil"/>
              <w:left w:val="nil"/>
              <w:bottom w:val="nil"/>
              <w:right w:val="nil"/>
            </w:tcBorders>
          </w:tcPr>
          <w:p w14:paraId="12AC805C" w14:textId="77777777" w:rsidR="00A453A7" w:rsidRPr="008D7DD4" w:rsidRDefault="00A453A7" w:rsidP="004B6068">
            <w:pPr>
              <w:spacing w:after="0" w:line="240" w:lineRule="auto"/>
              <w:rPr>
                <w:rFonts w:ascii="Times New Roman" w:eastAsia="Times New Roman" w:hAnsi="Times New Roman"/>
                <w:noProof/>
                <w:sz w:val="24"/>
                <w:szCs w:val="24"/>
                <w:lang w:eastAsia="sl-SI"/>
              </w:rPr>
            </w:pPr>
          </w:p>
        </w:tc>
      </w:tr>
      <w:tr w:rsidR="00A453A7" w:rsidRPr="008D7DD4" w14:paraId="3D430EC1" w14:textId="77777777" w:rsidTr="009B3590">
        <w:trPr>
          <w:trHeight w:val="2438"/>
        </w:trPr>
        <w:tc>
          <w:tcPr>
            <w:tcW w:w="10490" w:type="dxa"/>
            <w:tcBorders>
              <w:top w:val="nil"/>
              <w:left w:val="nil"/>
              <w:bottom w:val="nil"/>
              <w:right w:val="nil"/>
            </w:tcBorders>
          </w:tcPr>
          <w:p w14:paraId="29ABC220" w14:textId="2274C283" w:rsidR="00A453A7" w:rsidRPr="008D7DD4" w:rsidRDefault="00A453A7" w:rsidP="004B6068">
            <w:pPr>
              <w:spacing w:after="0" w:line="240" w:lineRule="auto"/>
              <w:rPr>
                <w:rFonts w:ascii="Times New Roman" w:eastAsia="Times New Roman" w:hAnsi="Times New Roman"/>
                <w:noProof/>
                <w:sz w:val="10"/>
                <w:szCs w:val="10"/>
                <w:lang w:eastAsia="sl-SI"/>
              </w:rPr>
            </w:pPr>
          </w:p>
        </w:tc>
      </w:tr>
    </w:tbl>
    <w:p w14:paraId="5099E6BE" w14:textId="7456EDB5" w:rsidR="003F60EB" w:rsidRDefault="003F60EB" w:rsidP="008D7DD4">
      <w:pPr>
        <w:spacing w:line="240" w:lineRule="auto"/>
        <w:rPr>
          <w:rFonts w:ascii="Times New Roman" w:eastAsia="Times New Roman" w:hAnsi="Times New Roman"/>
          <w:noProof/>
          <w:sz w:val="24"/>
          <w:szCs w:val="24"/>
          <w:lang w:eastAsia="sl-SI" w:bidi="sl-SI"/>
        </w:rPr>
        <w:sectPr w:rsidR="003F60EB" w:rsidSect="000774C5">
          <w:headerReference w:type="default" r:id="rId13"/>
          <w:footerReference w:type="first" r:id="rId14"/>
          <w:type w:val="evenPage"/>
          <w:pgSz w:w="11906" w:h="16838" w:code="9"/>
          <w:pgMar w:top="1563" w:right="1021" w:bottom="851" w:left="1021" w:header="0" w:footer="289" w:gutter="0"/>
          <w:pgNumType w:start="1"/>
          <w:cols w:space="720"/>
          <w:docGrid w:linePitch="382"/>
        </w:sectPr>
      </w:pPr>
    </w:p>
    <w:p w14:paraId="3B35DEB1" w14:textId="77777777" w:rsidR="000774C5" w:rsidRDefault="000774C5" w:rsidP="000774C5">
      <w:pPr>
        <w:pStyle w:val="Glava"/>
        <w:rPr>
          <w:noProof/>
        </w:rPr>
      </w:pPr>
    </w:p>
    <w:p w14:paraId="1CACF3B6" w14:textId="77777777" w:rsidR="008D7DD4" w:rsidRPr="008D7DD4" w:rsidRDefault="008D7DD4" w:rsidP="008D7DD4">
      <w:pPr>
        <w:keepNext/>
        <w:spacing w:before="240" w:after="60" w:line="240" w:lineRule="auto"/>
        <w:jc w:val="center"/>
        <w:outlineLvl w:val="0"/>
        <w:rPr>
          <w:rFonts w:ascii="Garamond" w:eastAsia="MS PGothic" w:hAnsi="Garamond"/>
          <w:color w:val="323E4F"/>
          <w:kern w:val="28"/>
          <w:sz w:val="52"/>
          <w:szCs w:val="32"/>
          <w:lang w:eastAsia="sl-SI"/>
        </w:rPr>
      </w:pPr>
      <w:r w:rsidRPr="008D7DD4">
        <w:rPr>
          <w:rFonts w:ascii="Garamond" w:eastAsia="MS PGothic" w:hAnsi="Garamond"/>
          <w:color w:val="323E4F"/>
          <w:kern w:val="28"/>
          <w:sz w:val="52"/>
          <w:szCs w:val="32"/>
          <w:lang w:eastAsia="sl-SI"/>
        </w:rPr>
        <w:t>IZHODIŠČA ZA OBDAVČITEV PREMOŽENJA</w:t>
      </w:r>
    </w:p>
    <w:p w14:paraId="320E4491" w14:textId="77777777" w:rsidR="008D7DD4" w:rsidRPr="008D7DD4" w:rsidRDefault="008D7DD4" w:rsidP="008D7DD4">
      <w:pPr>
        <w:spacing w:after="0" w:line="240" w:lineRule="auto"/>
        <w:rPr>
          <w:rFonts w:ascii="Times New Roman" w:eastAsia="Times New Roman" w:hAnsi="Times New Roman"/>
          <w:sz w:val="24"/>
          <w:szCs w:val="24"/>
          <w:lang w:eastAsia="sl-SI"/>
        </w:rPr>
      </w:pPr>
    </w:p>
    <w:p w14:paraId="68693209"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Ministrstvo za finance je celovito preučilo vprašanje obdavčenja celotnega premoženja posameznikov. Upoštevani so bile predvsem razpoložljivost podatkov o posameznih vrstah premoženja, razpoložljivost podatkov o tržni vrednosti posameznih vrst premoženja, možnosti pridobivanja podatkov o premoženju, ki se nahaja v tujini, izkušnje drugih evropskih držav s primerljivimi vrstami davkov, tveganja odlivanja kapitala iz države, tveganja prenašanja davčnega rezidentstva v druge države, administrativne posledice in strošk</w:t>
      </w:r>
      <w:r w:rsidR="00913B5B">
        <w:rPr>
          <w:rFonts w:ascii="Garamond" w:eastAsia="MS PMincho" w:hAnsi="Garamond" w:cs="Arial"/>
          <w:b/>
          <w:color w:val="44546A"/>
          <w:sz w:val="28"/>
          <w:szCs w:val="20"/>
        </w:rPr>
        <w:t>i</w:t>
      </w:r>
      <w:r w:rsidRPr="008D7DD4">
        <w:rPr>
          <w:rFonts w:ascii="Garamond" w:eastAsia="MS PMincho" w:hAnsi="Garamond" w:cs="Arial"/>
          <w:b/>
          <w:color w:val="44546A"/>
          <w:sz w:val="28"/>
          <w:szCs w:val="20"/>
        </w:rPr>
        <w:t xml:space="preserve"> administriranja ter pričakovanja javnosti predvsem glede ciljev, ki bi jih taka obdavčitev morala zasledovati. </w:t>
      </w:r>
    </w:p>
    <w:p w14:paraId="26B1686D" w14:textId="77777777" w:rsidR="008D7DD4" w:rsidRPr="008D7DD4" w:rsidRDefault="008D7DD4" w:rsidP="008D7DD4">
      <w:pPr>
        <w:spacing w:after="0"/>
        <w:jc w:val="both"/>
        <w:rPr>
          <w:rFonts w:ascii="Times New Roman" w:eastAsia="Times New Roman" w:hAnsi="Times New Roman"/>
          <w:sz w:val="24"/>
          <w:szCs w:val="24"/>
          <w:lang w:eastAsia="sl-SI"/>
        </w:rPr>
      </w:pPr>
    </w:p>
    <w:p w14:paraId="7EFFD950" w14:textId="77777777" w:rsidR="008D7DD4" w:rsidRPr="008D7DD4" w:rsidRDefault="008D7DD4" w:rsidP="008D7DD4">
      <w:pPr>
        <w:spacing w:after="0"/>
        <w:jc w:val="both"/>
        <w:rPr>
          <w:rFonts w:ascii="Times New Roman" w:eastAsia="Times New Roman" w:hAnsi="Times New Roman"/>
          <w:sz w:val="24"/>
          <w:szCs w:val="24"/>
          <w:lang w:eastAsia="sl-SI"/>
        </w:rPr>
      </w:pPr>
      <w:r w:rsidRPr="008D7DD4">
        <w:rPr>
          <w:rFonts w:ascii="Garamond" w:eastAsia="MS PMincho" w:hAnsi="Garamond" w:cs="Arial"/>
          <w:b/>
          <w:color w:val="44546A"/>
          <w:sz w:val="28"/>
          <w:szCs w:val="20"/>
        </w:rPr>
        <w:t xml:space="preserve">Ob upoštevanju </w:t>
      </w:r>
      <w:r w:rsidRPr="00E71946">
        <w:rPr>
          <w:rFonts w:ascii="Garamond" w:eastAsia="MS PMincho" w:hAnsi="Garamond" w:cs="Arial"/>
          <w:b/>
          <w:color w:val="44546A"/>
          <w:sz w:val="28"/>
          <w:szCs w:val="20"/>
        </w:rPr>
        <w:t>navedenega</w:t>
      </w:r>
      <w:r w:rsidRPr="00E71946">
        <w:rPr>
          <w:rFonts w:ascii="Times New Roman" w:eastAsia="Times New Roman" w:hAnsi="Times New Roman"/>
          <w:sz w:val="24"/>
          <w:szCs w:val="24"/>
          <w:lang w:eastAsia="sl-SI"/>
        </w:rPr>
        <w:t xml:space="preserve"> </w:t>
      </w:r>
      <w:r w:rsidRPr="00E71946">
        <w:rPr>
          <w:rFonts w:ascii="Garamond" w:eastAsia="Times New Roman" w:hAnsi="Garamond"/>
          <w:b/>
          <w:bCs/>
          <w:color w:val="4472C4"/>
          <w:sz w:val="28"/>
          <w:szCs w:val="28"/>
          <w:lang w:eastAsia="sl-SI"/>
        </w:rPr>
        <w:t>Ministrstvo za finance predlaga uvedbo davka na stanovanjske nepremičnine, katerega prevladujoči cilj je podpora stanovanjski politiki in urejanju stanja na stanovanjskem trgu v državi.</w:t>
      </w:r>
      <w:r w:rsidRPr="008D7DD4">
        <w:rPr>
          <w:rFonts w:ascii="Times New Roman" w:eastAsia="Times New Roman" w:hAnsi="Times New Roman"/>
          <w:sz w:val="24"/>
          <w:szCs w:val="24"/>
          <w:lang w:eastAsia="sl-SI"/>
        </w:rPr>
        <w:t xml:space="preserve"> </w:t>
      </w:r>
    </w:p>
    <w:p w14:paraId="3840C959" w14:textId="77777777" w:rsidR="008D7DD4" w:rsidRPr="008D7DD4" w:rsidRDefault="008D7DD4" w:rsidP="008D7DD4">
      <w:pPr>
        <w:spacing w:after="0"/>
        <w:jc w:val="both"/>
        <w:rPr>
          <w:rFonts w:ascii="Times New Roman" w:eastAsia="Times New Roman" w:hAnsi="Times New Roman"/>
          <w:sz w:val="24"/>
          <w:szCs w:val="24"/>
          <w:lang w:eastAsia="sl-SI"/>
        </w:rPr>
      </w:pPr>
    </w:p>
    <w:p w14:paraId="28793BC4" w14:textId="77777777" w:rsidR="008D7DD4" w:rsidRPr="008D7DD4" w:rsidRDefault="008D7DD4" w:rsidP="008D7DD4">
      <w:pPr>
        <w:spacing w:after="0"/>
        <w:jc w:val="both"/>
        <w:rPr>
          <w:rFonts w:ascii="Garamond" w:eastAsia="MS PMincho" w:hAnsi="Garamond" w:cs="Arial"/>
          <w:b/>
          <w:color w:val="4472C4"/>
          <w:sz w:val="28"/>
          <w:szCs w:val="20"/>
        </w:rPr>
      </w:pPr>
      <w:r w:rsidRPr="008D7DD4">
        <w:rPr>
          <w:rFonts w:ascii="Garamond" w:eastAsia="MS PMincho" w:hAnsi="Garamond" w:cs="Arial"/>
          <w:b/>
          <w:color w:val="4472C4"/>
          <w:sz w:val="28"/>
          <w:szCs w:val="20"/>
        </w:rPr>
        <w:t>Zasnova davka sledi naslednjim štirim konkretnim ciljem:</w:t>
      </w:r>
    </w:p>
    <w:p w14:paraId="4DF69F46" w14:textId="77777777" w:rsidR="008D7DD4" w:rsidRPr="008D7DD4" w:rsidRDefault="008D7DD4" w:rsidP="008D7DD4">
      <w:pPr>
        <w:spacing w:after="0"/>
        <w:jc w:val="both"/>
        <w:rPr>
          <w:rFonts w:ascii="Garamond" w:eastAsia="MS PMincho" w:hAnsi="Garamond" w:cs="Arial"/>
          <w:b/>
          <w:color w:val="4472C4"/>
          <w:sz w:val="28"/>
          <w:szCs w:val="20"/>
        </w:rPr>
      </w:pPr>
    </w:p>
    <w:p w14:paraId="09492ECD" w14:textId="77777777" w:rsidR="008D7DD4" w:rsidRPr="008D7DD4" w:rsidRDefault="008D7DD4" w:rsidP="00CA45CC">
      <w:pPr>
        <w:numPr>
          <w:ilvl w:val="0"/>
          <w:numId w:val="12"/>
        </w:numPr>
        <w:spacing w:after="0" w:line="240" w:lineRule="auto"/>
        <w:ind w:left="851" w:hanging="425"/>
        <w:contextualSpacing/>
        <w:jc w:val="both"/>
        <w:rPr>
          <w:rFonts w:ascii="Garamond" w:eastAsia="MS PMincho" w:hAnsi="Garamond" w:cs="Arial"/>
          <w:b/>
          <w:color w:val="4472C4"/>
          <w:sz w:val="28"/>
          <w:szCs w:val="20"/>
        </w:rPr>
      </w:pPr>
      <w:r w:rsidRPr="008D7DD4">
        <w:rPr>
          <w:rFonts w:ascii="Garamond" w:eastAsia="MS PMincho" w:hAnsi="Garamond" w:cs="Arial"/>
          <w:b/>
          <w:color w:val="4472C4"/>
          <w:sz w:val="28"/>
          <w:szCs w:val="20"/>
        </w:rPr>
        <w:t>Stanovanjska nepremičnina, ki lastniku predstavlja dom, je povsem izvzeta iz obdavčitve.</w:t>
      </w:r>
    </w:p>
    <w:p w14:paraId="5795374D" w14:textId="77777777" w:rsidR="008D7DD4" w:rsidRPr="008D7DD4" w:rsidRDefault="008D7DD4" w:rsidP="008D7DD4">
      <w:pPr>
        <w:spacing w:after="0"/>
        <w:ind w:left="851"/>
        <w:contextualSpacing/>
        <w:jc w:val="both"/>
        <w:rPr>
          <w:rFonts w:ascii="Garamond" w:eastAsia="MS PMincho" w:hAnsi="Garamond" w:cs="Arial"/>
          <w:b/>
          <w:color w:val="4472C4"/>
          <w:sz w:val="28"/>
          <w:szCs w:val="20"/>
        </w:rPr>
      </w:pPr>
    </w:p>
    <w:p w14:paraId="12777418"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Nakup ali gradnja lastne stanovanjske nepremičnine, kjer si posameznik ali družina ustvari svoj dom, je ena najpomembnejših življenjskih odločitev, ki pogosto zahteva vložek življenjskih prihrankov, veliko truda ali celo lastnega dela. Prav zato je osnovno izhodišče, da stanovanja, ki jih lastniki uporabljajo za lastno bivanje, ne bodo predmet obdavčitve.</w:t>
      </w:r>
    </w:p>
    <w:p w14:paraId="0BAD7E82" w14:textId="77777777" w:rsidR="008D7DD4" w:rsidRPr="008D7DD4" w:rsidRDefault="008D7DD4" w:rsidP="008D7DD4">
      <w:pPr>
        <w:spacing w:after="0"/>
        <w:jc w:val="both"/>
        <w:rPr>
          <w:rFonts w:ascii="Garamond" w:eastAsia="MS PMincho" w:hAnsi="Garamond" w:cs="Arial"/>
          <w:b/>
          <w:color w:val="44546A"/>
          <w:sz w:val="28"/>
          <w:szCs w:val="20"/>
        </w:rPr>
      </w:pPr>
    </w:p>
    <w:p w14:paraId="19DB0723" w14:textId="77777777" w:rsidR="008D7DD4" w:rsidRPr="008D7DD4" w:rsidRDefault="008D7DD4" w:rsidP="00CA45CC">
      <w:pPr>
        <w:numPr>
          <w:ilvl w:val="0"/>
          <w:numId w:val="11"/>
        </w:numPr>
        <w:spacing w:after="0" w:line="240" w:lineRule="auto"/>
        <w:contextualSpacing/>
        <w:jc w:val="both"/>
        <w:rPr>
          <w:rFonts w:ascii="Garamond" w:eastAsia="MS PMincho" w:hAnsi="Garamond" w:cs="Arial"/>
          <w:b/>
          <w:color w:val="4472C4"/>
          <w:sz w:val="28"/>
          <w:szCs w:val="20"/>
        </w:rPr>
      </w:pPr>
      <w:r w:rsidRPr="008D7DD4">
        <w:rPr>
          <w:rFonts w:ascii="Garamond" w:eastAsia="MS PMincho" w:hAnsi="Garamond" w:cs="Arial"/>
          <w:b/>
          <w:color w:val="4472C4"/>
          <w:sz w:val="28"/>
          <w:szCs w:val="20"/>
        </w:rPr>
        <w:t>Davčna obremenitev druge in naslednjih stanovanjskih nepremičnin naj spodbudi lastnike tega premoženja k premisleku o smotrnem lastništvu in uporabi.</w:t>
      </w:r>
    </w:p>
    <w:p w14:paraId="02AD8F41" w14:textId="77777777" w:rsidR="008D7DD4" w:rsidRPr="008D7DD4" w:rsidRDefault="008D7DD4" w:rsidP="008D7DD4">
      <w:pPr>
        <w:spacing w:after="0"/>
        <w:ind w:left="720"/>
        <w:contextualSpacing/>
        <w:jc w:val="both"/>
        <w:rPr>
          <w:rFonts w:ascii="Garamond" w:eastAsia="MS PMincho" w:hAnsi="Garamond" w:cs="Arial"/>
          <w:b/>
          <w:color w:val="4472C4"/>
          <w:sz w:val="28"/>
          <w:szCs w:val="20"/>
        </w:rPr>
      </w:pPr>
    </w:p>
    <w:p w14:paraId="575D534E" w14:textId="77777777" w:rsidR="008D7DD4" w:rsidRPr="008D7DD4" w:rsidRDefault="008D7DD4" w:rsidP="005B6E25">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Nepremično premoženje v Sloveniji je v primerjavi z drugimi evropskimi državami relativno nizko obdavčeno, kar ima pomembne ekonomske in socialne posledice: </w:t>
      </w:r>
    </w:p>
    <w:p w14:paraId="3251B500" w14:textId="77777777" w:rsidR="008D7DD4" w:rsidRPr="008D7DD4" w:rsidRDefault="008D7DD4" w:rsidP="00CA45CC">
      <w:pPr>
        <w:numPr>
          <w:ilvl w:val="0"/>
          <w:numId w:val="13"/>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Zaradi nizke davčne obremenitve so nepremičnine, zlasti stanovanjske, priljubljena oblika naložbe, kar prispeva k špekulativnim nakupom in </w:t>
      </w:r>
      <w:r w:rsidR="00066929">
        <w:rPr>
          <w:rFonts w:ascii="Garamond" w:eastAsia="MS PMincho" w:hAnsi="Garamond" w:cs="Arial"/>
          <w:b/>
          <w:color w:val="44546A"/>
          <w:sz w:val="28"/>
          <w:szCs w:val="20"/>
        </w:rPr>
        <w:t>zviš</w:t>
      </w:r>
      <w:r w:rsidRPr="008D7DD4">
        <w:rPr>
          <w:rFonts w:ascii="Garamond" w:eastAsia="MS PMincho" w:hAnsi="Garamond" w:cs="Arial"/>
          <w:b/>
          <w:color w:val="44546A"/>
          <w:sz w:val="28"/>
          <w:szCs w:val="20"/>
        </w:rPr>
        <w:t>uje cene.</w:t>
      </w:r>
    </w:p>
    <w:p w14:paraId="03998D6E" w14:textId="77777777" w:rsidR="008D7DD4" w:rsidRPr="008D7DD4" w:rsidRDefault="008D7DD4" w:rsidP="00CA45CC">
      <w:pPr>
        <w:numPr>
          <w:ilvl w:val="0"/>
          <w:numId w:val="13"/>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Lastniki pogosto ohranjajo prazne ali slabo vzdrževane stanovanjske nepremičnine, saj ni davčnega pritiska za njihovo lastno uporabo ali oddajo.</w:t>
      </w:r>
    </w:p>
    <w:p w14:paraId="34D372ED" w14:textId="77777777" w:rsidR="008D7DD4" w:rsidRPr="008D7DD4" w:rsidRDefault="008D7DD4" w:rsidP="00CA45CC">
      <w:pPr>
        <w:numPr>
          <w:ilvl w:val="0"/>
          <w:numId w:val="13"/>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Lastniki nezazidanih stavbnih zemljišč nimajo spodbud za njihovo pozidavo, posledično pa številna stavbna zemljišča ostajajo neizkoriščena, medtem ko na trgu vlada pomanjkanje stanovanj. Zaradi neizkoriščenih stavbnih zemljišč občine ne morejo namenjati novih zemljišč za stanovanjsko gradnjo, kar vse</w:t>
      </w:r>
      <w:r w:rsidRPr="008D7DD4">
        <w:rPr>
          <w:rFonts w:ascii="Garamond" w:eastAsia="MS PMincho" w:hAnsi="Garamond" w:cs="Arial"/>
          <w:b/>
          <w:sz w:val="28"/>
          <w:szCs w:val="20"/>
        </w:rPr>
        <w:t xml:space="preserve"> </w:t>
      </w:r>
      <w:r w:rsidRPr="008D7DD4">
        <w:rPr>
          <w:rFonts w:ascii="Garamond" w:eastAsia="MS PMincho" w:hAnsi="Garamond" w:cs="Arial"/>
          <w:b/>
          <w:color w:val="44546A"/>
          <w:sz w:val="28"/>
          <w:szCs w:val="20"/>
        </w:rPr>
        <w:t>posledično vpliva na nizko ponudbo in visoke cene stanovanjskih nepremičnin.</w:t>
      </w:r>
    </w:p>
    <w:p w14:paraId="2EECD041" w14:textId="77777777" w:rsidR="008D7DD4" w:rsidRPr="008D7DD4" w:rsidRDefault="008D7DD4" w:rsidP="00CA45CC">
      <w:pPr>
        <w:numPr>
          <w:ilvl w:val="0"/>
          <w:numId w:val="13"/>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Nizka obdavčitev nepremičnin vpliva na to, da mora država za pokrivanje javnih izdatkov višje obdavčiti druge vire, predvsem delo in potrošnjo, kar ustvarja neravnovesje.</w:t>
      </w:r>
    </w:p>
    <w:p w14:paraId="4DFE2581" w14:textId="77777777" w:rsidR="008D7DD4" w:rsidRPr="008D7DD4" w:rsidRDefault="008D7DD4" w:rsidP="008D7DD4">
      <w:pPr>
        <w:spacing w:after="0"/>
        <w:ind w:left="1440"/>
        <w:contextualSpacing/>
        <w:jc w:val="both"/>
        <w:rPr>
          <w:rFonts w:ascii="Garamond" w:eastAsia="MS PMincho" w:hAnsi="Garamond" w:cs="Arial"/>
          <w:b/>
          <w:color w:val="44546A"/>
          <w:sz w:val="28"/>
          <w:szCs w:val="20"/>
        </w:rPr>
      </w:pPr>
    </w:p>
    <w:p w14:paraId="29F1A22D"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Vse navedeno zmanjšuje dostopnost stanovanj za prebivalce Slovenije, kar najbolj občutijo tisti, ki si prvič rešujejo stanovanjski problem. </w:t>
      </w:r>
    </w:p>
    <w:p w14:paraId="35E769CC" w14:textId="77777777" w:rsidR="008D7DD4" w:rsidRPr="008D7DD4" w:rsidRDefault="008D7DD4" w:rsidP="008D7DD4">
      <w:pPr>
        <w:spacing w:after="0"/>
        <w:jc w:val="both"/>
        <w:rPr>
          <w:rFonts w:ascii="Garamond" w:eastAsia="MS PMincho" w:hAnsi="Garamond" w:cs="Arial"/>
          <w:b/>
          <w:color w:val="44546A"/>
          <w:sz w:val="28"/>
          <w:szCs w:val="20"/>
        </w:rPr>
      </w:pPr>
    </w:p>
    <w:p w14:paraId="09D27B99" w14:textId="77777777" w:rsidR="008D7DD4" w:rsidRPr="008D7DD4" w:rsidRDefault="008D7DD4" w:rsidP="00CA45CC">
      <w:pPr>
        <w:numPr>
          <w:ilvl w:val="0"/>
          <w:numId w:val="11"/>
        </w:numPr>
        <w:spacing w:after="0" w:line="240" w:lineRule="auto"/>
        <w:contextualSpacing/>
        <w:jc w:val="both"/>
        <w:rPr>
          <w:rFonts w:ascii="Garamond" w:eastAsia="MS PMincho" w:hAnsi="Garamond" w:cs="Arial"/>
          <w:b/>
          <w:color w:val="4472C4"/>
          <w:sz w:val="28"/>
          <w:szCs w:val="20"/>
        </w:rPr>
      </w:pPr>
      <w:r w:rsidRPr="008D7DD4">
        <w:rPr>
          <w:rFonts w:ascii="Garamond" w:eastAsia="MS PMincho" w:hAnsi="Garamond" w:cs="Arial"/>
          <w:b/>
          <w:color w:val="4472C4"/>
          <w:sz w:val="28"/>
          <w:szCs w:val="20"/>
        </w:rPr>
        <w:t>Spodbudi naj se dolgoročno oddajanje nepremičnin v najem.</w:t>
      </w:r>
    </w:p>
    <w:p w14:paraId="6ADC50CE" w14:textId="77777777" w:rsidR="008D7DD4" w:rsidRPr="008D7DD4" w:rsidRDefault="008D7DD4" w:rsidP="008D7DD4">
      <w:pPr>
        <w:spacing w:after="0"/>
        <w:ind w:left="720"/>
        <w:contextualSpacing/>
        <w:jc w:val="both"/>
        <w:rPr>
          <w:rFonts w:ascii="Garamond" w:eastAsia="MS PMincho" w:hAnsi="Garamond" w:cs="Arial"/>
          <w:b/>
          <w:color w:val="4472C4"/>
          <w:sz w:val="28"/>
          <w:szCs w:val="20"/>
        </w:rPr>
      </w:pPr>
    </w:p>
    <w:p w14:paraId="2114DFD4"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Problem pomanjkanja stanovanjskih nepremičnin je ekonomsko in časovno najbolj učinkovito reševati z aktivacijo obstoječega nepremičninskega fonda. Aktivacija stanovanjskih nepremičnin, ki so trenutno prazne in neuporabljene, izboljša prostorsko učinkovitost in zmanjša pritisk na gradnjo novih nepremičnin. Povečana ponudba najemnih stanovanj pripomore tudi k stabilizaciji višine najemnin. Želi se torej spodbujati oddajanje na podlagi (dolgoročnih) najemnih pogodb. Spodbud ni deležno kratkoročno oddajanje stanovanjskih nepremičnin v turistične namene.</w:t>
      </w:r>
    </w:p>
    <w:p w14:paraId="38DB9E8F" w14:textId="77777777" w:rsidR="008D7DD4" w:rsidRPr="008D7DD4" w:rsidRDefault="008D7DD4" w:rsidP="008D7DD4">
      <w:pPr>
        <w:spacing w:after="0"/>
        <w:jc w:val="both"/>
        <w:rPr>
          <w:rFonts w:ascii="Garamond" w:eastAsia="MS PMincho" w:hAnsi="Garamond" w:cs="Arial"/>
          <w:b/>
          <w:color w:val="44546A"/>
          <w:sz w:val="28"/>
          <w:szCs w:val="20"/>
        </w:rPr>
      </w:pPr>
    </w:p>
    <w:p w14:paraId="5C5EA5EB" w14:textId="77777777" w:rsidR="008D7DD4" w:rsidRPr="008D7DD4" w:rsidRDefault="008D7DD4" w:rsidP="00CA45CC">
      <w:pPr>
        <w:numPr>
          <w:ilvl w:val="0"/>
          <w:numId w:val="11"/>
        </w:numPr>
        <w:spacing w:after="0" w:line="240" w:lineRule="auto"/>
        <w:contextualSpacing/>
        <w:jc w:val="both"/>
        <w:rPr>
          <w:rFonts w:ascii="Garamond" w:eastAsia="MS PMincho" w:hAnsi="Garamond" w:cs="Arial"/>
          <w:b/>
          <w:color w:val="4472C4"/>
          <w:sz w:val="28"/>
          <w:szCs w:val="20"/>
        </w:rPr>
      </w:pPr>
      <w:r w:rsidRPr="008D7DD4">
        <w:rPr>
          <w:rFonts w:ascii="Garamond" w:eastAsia="MS PMincho" w:hAnsi="Garamond" w:cs="Arial"/>
          <w:b/>
          <w:color w:val="4472C4"/>
          <w:sz w:val="28"/>
          <w:szCs w:val="20"/>
        </w:rPr>
        <w:t xml:space="preserve">Spodbudi naj se prijavljanje prejetih dohodkov iz najemnin v dejanski višini davčnemu organu. </w:t>
      </w:r>
    </w:p>
    <w:p w14:paraId="36101DA3" w14:textId="77777777" w:rsidR="008D7DD4" w:rsidRPr="008D7DD4" w:rsidRDefault="008D7DD4" w:rsidP="008D7DD4">
      <w:pPr>
        <w:spacing w:after="0"/>
        <w:ind w:left="720"/>
        <w:contextualSpacing/>
        <w:jc w:val="both"/>
        <w:rPr>
          <w:rFonts w:ascii="Garamond" w:eastAsia="MS PMincho" w:hAnsi="Garamond" w:cs="Arial"/>
          <w:b/>
          <w:color w:val="4472C4"/>
          <w:sz w:val="28"/>
          <w:szCs w:val="20"/>
        </w:rPr>
      </w:pPr>
    </w:p>
    <w:p w14:paraId="234DB3F5" w14:textId="77777777" w:rsid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Po ocenah je v Sloveniji siva ekonomija na področju najemnin dokaj razširjena. Velik delež najemodajalcev bodisi sploh ne prijavi svojih prihodkov iz oddajanja nepremičnin, bodisi jih prijavi v prenizki višini, kar povzroča več negativnih posledic za državni proračun, najemni trg in socialno pravičnost. Kljub aktivnemu pristopu Finančne uprave RS (FURS) je zaradi narave najemnih razmerij in ustavno zagotovljenih pravic do nedotakljivosti doma in varstva zasebnosti davčni nadzor na tem področju izredno otežen. Zaradi navedenega je bistveno, da zasnova davka vsebuje tudi davčne spodbude za prijavljanje dohodka iz oddajanja premoženja v najem in tudi prijavljanje pravilnih višin teh dohodkov. </w:t>
      </w:r>
    </w:p>
    <w:p w14:paraId="76FD8B40" w14:textId="77777777" w:rsidR="00800073" w:rsidRDefault="00800073" w:rsidP="008D7DD4">
      <w:pPr>
        <w:spacing w:after="0"/>
        <w:jc w:val="both"/>
        <w:rPr>
          <w:rFonts w:ascii="Garamond" w:eastAsia="MS PMincho" w:hAnsi="Garamond" w:cs="Arial"/>
          <w:b/>
          <w:color w:val="44546A"/>
          <w:sz w:val="28"/>
          <w:szCs w:val="20"/>
        </w:rPr>
      </w:pPr>
    </w:p>
    <w:p w14:paraId="77D420DD" w14:textId="77777777" w:rsidR="00800073" w:rsidRDefault="00800073" w:rsidP="008D7DD4">
      <w:pPr>
        <w:spacing w:after="0"/>
        <w:jc w:val="both"/>
        <w:rPr>
          <w:rFonts w:ascii="Garamond" w:eastAsia="MS PMincho" w:hAnsi="Garamond" w:cs="Arial"/>
          <w:b/>
          <w:color w:val="44546A"/>
          <w:sz w:val="28"/>
          <w:szCs w:val="20"/>
        </w:rPr>
      </w:pPr>
    </w:p>
    <w:p w14:paraId="1FFDBFFD" w14:textId="77777777" w:rsidR="00800073" w:rsidRDefault="00800073" w:rsidP="008D7DD4">
      <w:pPr>
        <w:spacing w:after="0"/>
        <w:jc w:val="both"/>
        <w:rPr>
          <w:rFonts w:ascii="Garamond" w:eastAsia="MS PMincho" w:hAnsi="Garamond" w:cs="Arial"/>
          <w:b/>
          <w:color w:val="44546A"/>
          <w:sz w:val="28"/>
          <w:szCs w:val="20"/>
        </w:rPr>
      </w:pPr>
    </w:p>
    <w:p w14:paraId="64BB1092" w14:textId="77777777" w:rsidR="00800073" w:rsidRDefault="00800073" w:rsidP="008D7DD4">
      <w:pPr>
        <w:spacing w:after="0"/>
        <w:jc w:val="both"/>
        <w:rPr>
          <w:rFonts w:ascii="Garamond" w:eastAsia="MS PMincho" w:hAnsi="Garamond" w:cs="Arial"/>
          <w:b/>
          <w:color w:val="44546A"/>
          <w:sz w:val="28"/>
          <w:szCs w:val="20"/>
        </w:rPr>
      </w:pPr>
    </w:p>
    <w:p w14:paraId="3F3453C6" w14:textId="77777777" w:rsidR="009B3590" w:rsidRDefault="009B3590" w:rsidP="008D7DD4">
      <w:pPr>
        <w:spacing w:after="0"/>
        <w:jc w:val="both"/>
        <w:rPr>
          <w:rFonts w:ascii="Garamond" w:eastAsia="MS PMincho" w:hAnsi="Garamond" w:cs="Arial"/>
          <w:b/>
          <w:color w:val="44546A"/>
          <w:sz w:val="28"/>
          <w:szCs w:val="20"/>
        </w:rPr>
      </w:pPr>
    </w:p>
    <w:p w14:paraId="77778BB3" w14:textId="77777777" w:rsidR="00800073" w:rsidRPr="008D7DD4" w:rsidRDefault="00800073" w:rsidP="008D7DD4">
      <w:pPr>
        <w:spacing w:after="0"/>
        <w:jc w:val="both"/>
        <w:rPr>
          <w:rFonts w:ascii="Garamond" w:eastAsia="MS PMincho" w:hAnsi="Garamond" w:cs="Arial"/>
          <w:b/>
          <w:color w:val="44546A"/>
          <w:sz w:val="28"/>
          <w:szCs w:val="20"/>
        </w:rPr>
      </w:pPr>
    </w:p>
    <w:p w14:paraId="403749FD"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Graf 1: Delež lastnikov glede na število stanovanj in hiš v lasti</w:t>
      </w:r>
    </w:p>
    <w:p w14:paraId="241E4169" w14:textId="77777777" w:rsidR="008D7DD4" w:rsidRPr="008D7DD4" w:rsidRDefault="008D7DD4" w:rsidP="008D7DD4">
      <w:pPr>
        <w:spacing w:after="0"/>
        <w:jc w:val="both"/>
        <w:rPr>
          <w:rFonts w:ascii="Garamond" w:eastAsia="MS PMincho" w:hAnsi="Garamond" w:cs="Arial"/>
          <w:b/>
          <w:color w:val="44546A"/>
          <w:sz w:val="28"/>
          <w:szCs w:val="20"/>
        </w:rPr>
      </w:pPr>
    </w:p>
    <w:p w14:paraId="37C00C19" w14:textId="625E36FB" w:rsidR="008D7DD4" w:rsidRPr="008D7DD4" w:rsidRDefault="00CA45CC" w:rsidP="008D7DD4">
      <w:pPr>
        <w:spacing w:after="0"/>
        <w:jc w:val="both"/>
        <w:rPr>
          <w:rFonts w:ascii="Garamond" w:eastAsia="MS PMincho" w:hAnsi="Garamond" w:cs="Arial"/>
          <w:b/>
          <w:color w:val="44546A"/>
          <w:sz w:val="28"/>
          <w:szCs w:val="20"/>
        </w:rPr>
      </w:pPr>
      <w:r w:rsidRPr="008D7DD4">
        <w:rPr>
          <w:rFonts w:ascii="Times New Roman" w:eastAsia="Times New Roman" w:hAnsi="Times New Roman"/>
          <w:noProof/>
          <w:sz w:val="24"/>
          <w:szCs w:val="24"/>
          <w:lang w:eastAsia="sl-SI"/>
        </w:rPr>
        <w:drawing>
          <wp:inline distT="0" distB="0" distL="0" distR="0" wp14:anchorId="76D03CDE" wp14:editId="0017F0C1">
            <wp:extent cx="6132830" cy="3542030"/>
            <wp:effectExtent l="0" t="0" r="0" b="0"/>
            <wp:docPr id="4" name="Chart 1" descr="Graf prikazuje delež lastnikov kot fizičnih in pravnih oseb glede na število stanovanj in hiš v lasti"/>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9CE256" w14:textId="77777777" w:rsidR="008D7DD4" w:rsidRPr="008D7DD4" w:rsidRDefault="008D7DD4" w:rsidP="008D7DD4">
      <w:pPr>
        <w:spacing w:after="0"/>
        <w:jc w:val="both"/>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Vir: GURS, stanje na dan 26. 4. 2024</w:t>
      </w:r>
      <w:r w:rsidR="00223F81">
        <w:rPr>
          <w:rFonts w:ascii="Garamond" w:eastAsia="MS PMincho" w:hAnsi="Garamond" w:cs="Arial"/>
          <w:b/>
          <w:i/>
          <w:iCs/>
          <w:color w:val="44546A"/>
          <w:sz w:val="18"/>
          <w:szCs w:val="18"/>
        </w:rPr>
        <w:t>,</w:t>
      </w:r>
      <w:r w:rsidRPr="008D7DD4">
        <w:rPr>
          <w:rFonts w:ascii="Garamond" w:eastAsia="MS PMincho" w:hAnsi="Garamond" w:cs="Arial"/>
          <w:b/>
          <w:i/>
          <w:iCs/>
          <w:color w:val="44546A"/>
          <w:sz w:val="18"/>
          <w:szCs w:val="18"/>
        </w:rPr>
        <w:t xml:space="preserve"> in Lastni preračuni MF</w:t>
      </w:r>
    </w:p>
    <w:p w14:paraId="66A3F37A" w14:textId="77777777" w:rsidR="008D7DD4" w:rsidRPr="008D7DD4" w:rsidRDefault="008D7DD4" w:rsidP="008D7DD4">
      <w:pPr>
        <w:spacing w:after="0"/>
        <w:jc w:val="both"/>
        <w:rPr>
          <w:rFonts w:ascii="Garamond" w:eastAsia="MS PMincho" w:hAnsi="Garamond" w:cs="Arial"/>
          <w:b/>
          <w:i/>
          <w:iCs/>
          <w:color w:val="44546A"/>
          <w:sz w:val="28"/>
          <w:szCs w:val="28"/>
        </w:rPr>
      </w:pPr>
    </w:p>
    <w:p w14:paraId="3AC08149" w14:textId="77777777" w:rsidR="008D7DD4" w:rsidRPr="008D7DD4" w:rsidRDefault="008D7DD4" w:rsidP="008D7DD4">
      <w:pPr>
        <w:spacing w:after="0"/>
        <w:jc w:val="both"/>
        <w:rPr>
          <w:rFonts w:ascii="Garamond" w:eastAsia="MS PMincho" w:hAnsi="Garamond" w:cs="Arial"/>
          <w:b/>
          <w:i/>
          <w:iCs/>
          <w:color w:val="44546A"/>
          <w:sz w:val="28"/>
          <w:szCs w:val="28"/>
        </w:rPr>
      </w:pPr>
    </w:p>
    <w:p w14:paraId="062CB1ED" w14:textId="77777777" w:rsidR="008D7DD4" w:rsidRPr="008D7DD4" w:rsidRDefault="008D7DD4" w:rsidP="008D7DD4">
      <w:pPr>
        <w:keepNext/>
        <w:spacing w:before="240" w:after="60" w:line="240" w:lineRule="auto"/>
        <w:jc w:val="center"/>
        <w:outlineLvl w:val="0"/>
        <w:rPr>
          <w:rFonts w:ascii="Garamond" w:eastAsia="MS PGothic" w:hAnsi="Garamond"/>
          <w:kern w:val="28"/>
          <w:sz w:val="52"/>
          <w:szCs w:val="32"/>
          <w:lang w:eastAsia="sl-SI"/>
        </w:rPr>
      </w:pPr>
      <w:r w:rsidRPr="008D7DD4">
        <w:rPr>
          <w:rFonts w:ascii="Garamond" w:eastAsia="MS PGothic" w:hAnsi="Garamond"/>
          <w:color w:val="323E4F"/>
          <w:kern w:val="28"/>
          <w:sz w:val="52"/>
          <w:szCs w:val="32"/>
          <w:lang w:eastAsia="sl-SI"/>
        </w:rPr>
        <w:t>DAVEK NA STANOVANJSKE NEPREMIČNINE</w:t>
      </w:r>
    </w:p>
    <w:p w14:paraId="7BB293DB" w14:textId="77777777" w:rsidR="008D7DD4" w:rsidRPr="008D7DD4" w:rsidRDefault="008D7DD4" w:rsidP="008D7DD4">
      <w:pPr>
        <w:spacing w:after="0" w:line="240" w:lineRule="auto"/>
        <w:jc w:val="both"/>
        <w:rPr>
          <w:rFonts w:ascii="Times New Roman" w:eastAsia="Times New Roman" w:hAnsi="Times New Roman"/>
          <w:sz w:val="24"/>
          <w:szCs w:val="24"/>
          <w:lang w:eastAsia="sl-SI"/>
        </w:rPr>
      </w:pPr>
    </w:p>
    <w:p w14:paraId="0CDF32B2"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Predmet obdavčitve</w:t>
      </w:r>
    </w:p>
    <w:p w14:paraId="69A88D22"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Davek na stanovanjske nepremičnine je oblikovan tako, da je njegov primarni cilj podpora stanovanjski politiki in urejanju stanja na trgu stanovanjskih nepremičnin. Kot predmet obdavčitve so zato izbrane le stanovanjske nepremičnine. </w:t>
      </w:r>
    </w:p>
    <w:p w14:paraId="023B5395" w14:textId="77777777" w:rsidR="008D7DD4" w:rsidRPr="008D7DD4" w:rsidRDefault="008D7DD4" w:rsidP="008D7DD4">
      <w:pPr>
        <w:spacing w:after="0"/>
        <w:jc w:val="both"/>
        <w:rPr>
          <w:rFonts w:ascii="Garamond" w:eastAsia="MS PMincho" w:hAnsi="Garamond" w:cs="Arial"/>
          <w:b/>
          <w:color w:val="44546A"/>
          <w:sz w:val="28"/>
          <w:szCs w:val="20"/>
        </w:rPr>
      </w:pPr>
    </w:p>
    <w:p w14:paraId="390222C4" w14:textId="77777777" w:rsidR="008D7DD4" w:rsidRPr="008D7DD4" w:rsidRDefault="008D7DD4" w:rsidP="008D7DD4">
      <w:pPr>
        <w:spacing w:after="0"/>
        <w:jc w:val="both"/>
        <w:rPr>
          <w:rFonts w:ascii="Garamond" w:eastAsia="MS PMincho" w:hAnsi="Garamond" w:cs="Arial"/>
          <w:b/>
          <w:color w:val="FF0000"/>
          <w:sz w:val="28"/>
          <w:szCs w:val="20"/>
        </w:rPr>
      </w:pPr>
      <w:bookmarkStart w:id="1" w:name="_Hlk185580454"/>
      <w:r w:rsidRPr="008D7DD4">
        <w:rPr>
          <w:rFonts w:ascii="Garamond" w:eastAsia="MS PMincho" w:hAnsi="Garamond" w:cs="Arial"/>
          <w:b/>
          <w:color w:val="44546A"/>
          <w:sz w:val="28"/>
          <w:szCs w:val="20"/>
        </w:rPr>
        <w:t xml:space="preserve">Stanovanjske nepremičnine so stanovanja in stanovanjske hiše, ki imajo v katastru nepremičnin evidentirano stanovanjsko rabo, ne glede na to, ali jih lastnik uporablja za stalno prebivanje, za občasno bivanje, kot počitniški objekt, za oddajanje v najem ali pa so prazna. </w:t>
      </w:r>
    </w:p>
    <w:p w14:paraId="21FC966B" w14:textId="77777777" w:rsidR="008D7DD4" w:rsidRPr="008D7DD4" w:rsidRDefault="008D7DD4" w:rsidP="008D7DD4">
      <w:pPr>
        <w:spacing w:after="0"/>
        <w:jc w:val="both"/>
        <w:rPr>
          <w:rFonts w:ascii="Garamond" w:eastAsia="MS PMincho" w:hAnsi="Garamond" w:cs="Arial"/>
          <w:b/>
          <w:color w:val="44546A"/>
          <w:sz w:val="28"/>
          <w:szCs w:val="20"/>
        </w:rPr>
      </w:pPr>
    </w:p>
    <w:p w14:paraId="72234FD9"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Stanovanjske nepremičnine so tudi zemljišča, ki so bila s prostorskimi akti namenjena za gradnjo (med drugim tudi) stanovanjskih nepremičnin, vendar še niso bila uporabljena za dejansko gradnjo. </w:t>
      </w:r>
      <w:bookmarkEnd w:id="1"/>
    </w:p>
    <w:p w14:paraId="4FBB34E3" w14:textId="77777777" w:rsidR="008D7DD4" w:rsidRPr="008D7DD4" w:rsidRDefault="008D7DD4" w:rsidP="008D7DD4">
      <w:pPr>
        <w:spacing w:after="0"/>
        <w:jc w:val="both"/>
        <w:rPr>
          <w:rFonts w:ascii="Garamond" w:eastAsia="MS PMincho" w:hAnsi="Garamond" w:cs="Arial"/>
          <w:b/>
          <w:color w:val="44546A"/>
          <w:sz w:val="28"/>
          <w:szCs w:val="20"/>
        </w:rPr>
      </w:pPr>
    </w:p>
    <w:p w14:paraId="5BE8C872"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Stanovanjske nepremičnine, ki jih država, občine, ali javni stanovanjski skladi uporabljajo za posebne oblike namestitev, npr. neprofitna najemna stanovanja in stanovanja, namenjena institucionalnemu varstvu starejših oseb, upokojencem ali posebnim skupinam odraslega prebivalstva (namenska najemna stanovanja), so iz obdavčitve izvzete.</w:t>
      </w:r>
    </w:p>
    <w:p w14:paraId="0C5EB168" w14:textId="77777777" w:rsidR="008D7DD4" w:rsidRPr="008D7DD4" w:rsidRDefault="008D7DD4" w:rsidP="008D7DD4">
      <w:pPr>
        <w:spacing w:after="0"/>
        <w:jc w:val="both"/>
        <w:rPr>
          <w:rFonts w:ascii="Garamond" w:eastAsia="MS PMincho" w:hAnsi="Garamond" w:cs="Arial"/>
          <w:b/>
          <w:color w:val="44546A"/>
          <w:sz w:val="28"/>
          <w:szCs w:val="20"/>
        </w:rPr>
      </w:pPr>
    </w:p>
    <w:p w14:paraId="27C89D27"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Namen obremenitve stanovanjskih nepremičnin je v spodbujanju lastnikov k razmisleku o maksimalni aktivaciji teh nepremičnin za njihov osnovni, stanovanjski namen.</w:t>
      </w:r>
    </w:p>
    <w:p w14:paraId="5641A7C0" w14:textId="77777777" w:rsidR="008D7DD4" w:rsidRPr="008D7DD4" w:rsidRDefault="008D7DD4" w:rsidP="008D7DD4">
      <w:pPr>
        <w:spacing w:after="0"/>
        <w:jc w:val="both"/>
        <w:rPr>
          <w:rFonts w:ascii="Garamond" w:eastAsia="MS PMincho" w:hAnsi="Garamond" w:cs="Arial"/>
          <w:b/>
          <w:color w:val="44546A"/>
          <w:sz w:val="28"/>
          <w:szCs w:val="20"/>
        </w:rPr>
      </w:pPr>
    </w:p>
    <w:p w14:paraId="2FCD4EA3"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Cilju urejanja stanja na stanovanjskem trgu v Republiki Sloveniji sledi tudi omejitev predmeta obdavčitve le na nepremičnine, ki se nahajajo v Republiki Sloveniji.  </w:t>
      </w:r>
    </w:p>
    <w:p w14:paraId="724E8D8A"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Davčna osnova</w:t>
      </w:r>
    </w:p>
    <w:p w14:paraId="4A98EE87"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Posplošena tržna vrednost nepremičnin, ki jo izkazuje Geodetska uprava Republike Slovenije (GURS) v evidenci vrednotenja, in podatki o nepremičninah, na katerih temelji, sta bil</w:t>
      </w:r>
      <w:r w:rsidR="00FA3BD8">
        <w:rPr>
          <w:rFonts w:ascii="Garamond" w:eastAsia="MS PMincho" w:hAnsi="Garamond" w:cs="Arial"/>
          <w:b/>
          <w:color w:val="44546A"/>
          <w:sz w:val="28"/>
          <w:szCs w:val="20"/>
        </w:rPr>
        <w:t>a</w:t>
      </w:r>
      <w:r w:rsidRPr="008D7DD4">
        <w:rPr>
          <w:rFonts w:ascii="Garamond" w:eastAsia="MS PMincho" w:hAnsi="Garamond" w:cs="Arial"/>
          <w:b/>
          <w:color w:val="44546A"/>
          <w:sz w:val="28"/>
          <w:szCs w:val="20"/>
        </w:rPr>
        <w:t xml:space="preserve"> ocenjen</w:t>
      </w:r>
      <w:r w:rsidR="00FA3BD8">
        <w:rPr>
          <w:rFonts w:ascii="Garamond" w:eastAsia="MS PMincho" w:hAnsi="Garamond" w:cs="Arial"/>
          <w:b/>
          <w:color w:val="44546A"/>
          <w:sz w:val="28"/>
          <w:szCs w:val="20"/>
        </w:rPr>
        <w:t>a</w:t>
      </w:r>
      <w:r w:rsidRPr="008D7DD4">
        <w:rPr>
          <w:rFonts w:ascii="Garamond" w:eastAsia="MS PMincho" w:hAnsi="Garamond" w:cs="Arial"/>
          <w:b/>
          <w:color w:val="44546A"/>
          <w:sz w:val="28"/>
          <w:szCs w:val="20"/>
        </w:rPr>
        <w:t xml:space="preserve"> kot primerna podlaga za obdavčenje. </w:t>
      </w:r>
    </w:p>
    <w:p w14:paraId="68039392"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Zavezanci</w:t>
      </w:r>
    </w:p>
    <w:p w14:paraId="6C4142C5"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Davek na stanovanjske nepremičnine je predviden kot oblika premoženjskega davka, zato so kot zavezanci določeni lastniki teh stanovanjskih nepremičnin. </w:t>
      </w:r>
    </w:p>
    <w:p w14:paraId="1EAB6DA3" w14:textId="77777777" w:rsidR="008D7DD4" w:rsidRPr="008D7DD4" w:rsidRDefault="008D7DD4" w:rsidP="008D7DD4">
      <w:pPr>
        <w:spacing w:after="0"/>
        <w:jc w:val="both"/>
        <w:rPr>
          <w:rFonts w:ascii="Garamond" w:eastAsia="MS PMincho" w:hAnsi="Garamond" w:cs="Arial"/>
          <w:b/>
          <w:color w:val="44546A"/>
          <w:sz w:val="28"/>
          <w:szCs w:val="20"/>
        </w:rPr>
      </w:pPr>
    </w:p>
    <w:p w14:paraId="3199D99C" w14:textId="77777777" w:rsid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To so tako fizične kot pravne osebe. Zavezanci so tudi nerezidenti, ki imajo v lasti nepremičnine v RS. </w:t>
      </w:r>
    </w:p>
    <w:p w14:paraId="763E15E0"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Splošna davčna stopnja</w:t>
      </w:r>
    </w:p>
    <w:p w14:paraId="46DA3B45" w14:textId="77777777" w:rsidR="008D7DD4" w:rsidRPr="008D7DD4" w:rsidRDefault="00AE5C77" w:rsidP="008D7DD4">
      <w:pPr>
        <w:spacing w:after="0"/>
        <w:jc w:val="both"/>
        <w:rPr>
          <w:rFonts w:ascii="Garamond" w:eastAsia="MS PMincho" w:hAnsi="Garamond" w:cs="Arial"/>
          <w:b/>
          <w:color w:val="44546A"/>
          <w:sz w:val="28"/>
          <w:szCs w:val="20"/>
        </w:rPr>
      </w:pPr>
      <w:r>
        <w:rPr>
          <w:rFonts w:ascii="Garamond" w:eastAsia="MS PMincho" w:hAnsi="Garamond" w:cs="Arial"/>
          <w:b/>
          <w:color w:val="44546A"/>
          <w:sz w:val="28"/>
          <w:szCs w:val="20"/>
        </w:rPr>
        <w:t>K</w:t>
      </w:r>
      <w:r w:rsidR="008D7DD4" w:rsidRPr="008D7DD4">
        <w:rPr>
          <w:rFonts w:ascii="Garamond" w:eastAsia="MS PMincho" w:hAnsi="Garamond" w:cs="Arial"/>
          <w:b/>
          <w:color w:val="44546A"/>
          <w:sz w:val="28"/>
          <w:szCs w:val="20"/>
        </w:rPr>
        <w:t xml:space="preserve">ot primerna </w:t>
      </w:r>
      <w:r>
        <w:rPr>
          <w:rFonts w:ascii="Garamond" w:eastAsia="MS PMincho" w:hAnsi="Garamond" w:cs="Arial"/>
          <w:b/>
          <w:color w:val="44546A"/>
          <w:sz w:val="28"/>
          <w:szCs w:val="20"/>
        </w:rPr>
        <w:t xml:space="preserve">je bila ocenjena </w:t>
      </w:r>
      <w:r w:rsidR="008D7DD4" w:rsidRPr="008D7DD4">
        <w:rPr>
          <w:rFonts w:ascii="Garamond" w:eastAsia="MS PMincho" w:hAnsi="Garamond" w:cs="Arial"/>
          <w:b/>
          <w:color w:val="44546A"/>
          <w:sz w:val="28"/>
          <w:szCs w:val="20"/>
        </w:rPr>
        <w:t>splošna davčna stopnja v višini 1,45 % posplošene vrednosti nepremičnine.</w:t>
      </w:r>
      <w:r>
        <w:rPr>
          <w:rFonts w:ascii="Garamond" w:eastAsia="MS PMincho" w:hAnsi="Garamond" w:cs="Arial"/>
          <w:b/>
          <w:color w:val="44546A"/>
          <w:sz w:val="28"/>
          <w:szCs w:val="20"/>
        </w:rPr>
        <w:t xml:space="preserve"> </w:t>
      </w:r>
      <w:r w:rsidRPr="00AE5C77">
        <w:rPr>
          <w:rFonts w:ascii="Garamond" w:eastAsia="MS PMincho" w:hAnsi="Garamond" w:cs="Arial"/>
          <w:b/>
          <w:color w:val="44546A"/>
          <w:sz w:val="28"/>
          <w:szCs w:val="20"/>
        </w:rPr>
        <w:t xml:space="preserve">S to stopnjo lahko zagotavljamo zasledovanje vseh </w:t>
      </w:r>
      <w:r>
        <w:rPr>
          <w:rFonts w:ascii="Garamond" w:eastAsia="MS PMincho" w:hAnsi="Garamond" w:cs="Arial"/>
          <w:b/>
          <w:color w:val="44546A"/>
          <w:sz w:val="28"/>
          <w:szCs w:val="20"/>
        </w:rPr>
        <w:t>predlaganih</w:t>
      </w:r>
      <w:r w:rsidRPr="00AE5C77">
        <w:rPr>
          <w:rFonts w:ascii="Garamond" w:eastAsia="MS PMincho" w:hAnsi="Garamond" w:cs="Arial"/>
          <w:b/>
          <w:color w:val="44546A"/>
          <w:sz w:val="28"/>
          <w:szCs w:val="20"/>
        </w:rPr>
        <w:t xml:space="preserve"> ciljev</w:t>
      </w:r>
      <w:r w:rsidR="00661DE3">
        <w:rPr>
          <w:rFonts w:ascii="Garamond" w:eastAsia="MS PMincho" w:hAnsi="Garamond" w:cs="Arial"/>
          <w:b/>
          <w:color w:val="44546A"/>
          <w:sz w:val="28"/>
          <w:szCs w:val="20"/>
        </w:rPr>
        <w:t>, tako zagotavljanja zadostnih sredstev za razbremenitev dela, kot</w:t>
      </w:r>
      <w:r w:rsidRPr="00AE5C77">
        <w:rPr>
          <w:rFonts w:ascii="Garamond" w:eastAsia="MS PMincho" w:hAnsi="Garamond" w:cs="Arial"/>
          <w:b/>
          <w:color w:val="44546A"/>
          <w:sz w:val="28"/>
          <w:szCs w:val="20"/>
        </w:rPr>
        <w:t xml:space="preserve"> spodbujanj</w:t>
      </w:r>
      <w:r>
        <w:rPr>
          <w:rFonts w:ascii="Garamond" w:eastAsia="MS PMincho" w:hAnsi="Garamond" w:cs="Arial"/>
          <w:b/>
          <w:color w:val="44546A"/>
          <w:sz w:val="28"/>
          <w:szCs w:val="20"/>
        </w:rPr>
        <w:t>a</w:t>
      </w:r>
      <w:r w:rsidRPr="00AE5C77">
        <w:rPr>
          <w:rFonts w:ascii="Garamond" w:eastAsia="MS PMincho" w:hAnsi="Garamond" w:cs="Arial"/>
          <w:b/>
          <w:color w:val="44546A"/>
          <w:sz w:val="28"/>
          <w:szCs w:val="20"/>
        </w:rPr>
        <w:t xml:space="preserve"> k učinkoviti rabi stanovan</w:t>
      </w:r>
      <w:r>
        <w:rPr>
          <w:rFonts w:ascii="Garamond" w:eastAsia="MS PMincho" w:hAnsi="Garamond" w:cs="Arial"/>
          <w:b/>
          <w:color w:val="44546A"/>
          <w:sz w:val="28"/>
          <w:szCs w:val="20"/>
        </w:rPr>
        <w:t>jskih nepremičnin</w:t>
      </w:r>
      <w:r w:rsidRPr="00AE5C77">
        <w:rPr>
          <w:rFonts w:ascii="Garamond" w:eastAsia="MS PMincho" w:hAnsi="Garamond" w:cs="Arial"/>
          <w:b/>
          <w:color w:val="44546A"/>
          <w:sz w:val="28"/>
          <w:szCs w:val="20"/>
        </w:rPr>
        <w:t xml:space="preserve">, </w:t>
      </w:r>
      <w:r w:rsidR="00661DE3">
        <w:rPr>
          <w:rFonts w:ascii="Garamond" w:eastAsia="MS PMincho" w:hAnsi="Garamond" w:cs="Arial"/>
          <w:b/>
          <w:color w:val="44546A"/>
          <w:sz w:val="28"/>
          <w:szCs w:val="20"/>
        </w:rPr>
        <w:t xml:space="preserve">pri čemer za stanovanjske nepremičnine, ki so že učinkovito uporabljene (se </w:t>
      </w:r>
      <w:r w:rsidRPr="00AE5C77">
        <w:rPr>
          <w:rFonts w:ascii="Garamond" w:eastAsia="MS PMincho" w:hAnsi="Garamond" w:cs="Arial"/>
          <w:b/>
          <w:color w:val="44546A"/>
          <w:sz w:val="28"/>
          <w:szCs w:val="20"/>
        </w:rPr>
        <w:t>oddaj</w:t>
      </w:r>
      <w:r w:rsidR="00661DE3">
        <w:rPr>
          <w:rFonts w:ascii="Garamond" w:eastAsia="MS PMincho" w:hAnsi="Garamond" w:cs="Arial"/>
          <w:b/>
          <w:color w:val="44546A"/>
          <w:sz w:val="28"/>
          <w:szCs w:val="20"/>
        </w:rPr>
        <w:t>ajo</w:t>
      </w:r>
      <w:r w:rsidRPr="00AE5C77">
        <w:rPr>
          <w:rFonts w:ascii="Garamond" w:eastAsia="MS PMincho" w:hAnsi="Garamond" w:cs="Arial"/>
          <w:b/>
          <w:color w:val="44546A"/>
          <w:sz w:val="28"/>
          <w:szCs w:val="20"/>
        </w:rPr>
        <w:t xml:space="preserve"> v najem</w:t>
      </w:r>
      <w:r w:rsidR="00661DE3">
        <w:rPr>
          <w:rFonts w:ascii="Garamond" w:eastAsia="MS PMincho" w:hAnsi="Garamond" w:cs="Arial"/>
          <w:b/>
          <w:color w:val="44546A"/>
          <w:sz w:val="28"/>
          <w:szCs w:val="20"/>
        </w:rPr>
        <w:t>)</w:t>
      </w:r>
      <w:r w:rsidRPr="00AE5C77">
        <w:rPr>
          <w:rFonts w:ascii="Garamond" w:eastAsia="MS PMincho" w:hAnsi="Garamond" w:cs="Arial"/>
          <w:b/>
          <w:color w:val="44546A"/>
          <w:sz w:val="28"/>
          <w:szCs w:val="20"/>
        </w:rPr>
        <w:t xml:space="preserve"> v povprečju ne pride do previsokih obremenitev.</w:t>
      </w:r>
    </w:p>
    <w:p w14:paraId="3D209A83" w14:textId="77777777" w:rsidR="008D7DD4" w:rsidRPr="008D7DD4" w:rsidRDefault="008D7DD4" w:rsidP="008D7DD4">
      <w:pPr>
        <w:spacing w:after="0"/>
        <w:jc w:val="both"/>
        <w:rPr>
          <w:rFonts w:ascii="Garamond" w:eastAsia="MS PMincho" w:hAnsi="Garamond" w:cs="Arial"/>
          <w:b/>
          <w:color w:val="44546A"/>
          <w:sz w:val="28"/>
          <w:szCs w:val="20"/>
        </w:rPr>
      </w:pPr>
    </w:p>
    <w:p w14:paraId="26D46244"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Pri določanju končne obremenitve je smiselno upoštevati tudi, da davčna obremenitev premoženja ne sme presegati (potencialnih) dohodkov, ki jih to premoženje ustvarja, saj sicer obremenitev lahko pomeni poseganje v substanco predmeta obdavčitve.</w:t>
      </w:r>
    </w:p>
    <w:p w14:paraId="3CCA99E7"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Davčna oprostitev za prvo stanovanjsko nepremičnino</w:t>
      </w:r>
    </w:p>
    <w:p w14:paraId="437F0C88"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Nepremičnina, ki lastniku predstavlja dom oziroma njegovo glavno domovanje, mora biti deležna posebne privilegirane davčne obravnave, zato se za rezidenčne nepremičnine predlaga izvzem iz obdavčitve. Te ugodnosti so deležne nepremičnine, v katerih njihov lastnik dejansko prebiva. Navedeno pomeni, da mora lastnik imeti tam prijavljeno stalno prebivališče ter da mora tam tudi dejansko pretežno prebivati. </w:t>
      </w:r>
    </w:p>
    <w:p w14:paraId="7C10A088"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Davčna ugodnost za oddajanje v najem</w:t>
      </w:r>
    </w:p>
    <w:p w14:paraId="24EB8D86"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Druge vrste davčne ugodnosti pa je deležna nepremičnina, ki jo lastnik oddaja v najem na podlagi najemne pogodbe. </w:t>
      </w:r>
    </w:p>
    <w:p w14:paraId="7BA11AED" w14:textId="77777777" w:rsidR="008D7DD4" w:rsidRPr="008D7DD4" w:rsidRDefault="008D7DD4" w:rsidP="008D7DD4">
      <w:pPr>
        <w:spacing w:after="0"/>
        <w:jc w:val="both"/>
        <w:rPr>
          <w:rFonts w:ascii="Garamond" w:eastAsia="MS PMincho" w:hAnsi="Garamond" w:cs="Arial"/>
          <w:b/>
          <w:color w:val="44546A"/>
          <w:sz w:val="28"/>
          <w:szCs w:val="20"/>
        </w:rPr>
      </w:pPr>
    </w:p>
    <w:p w14:paraId="6E9300B6"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Za pridobitev davčne ugodnosti mora biti sklenjena stanovanjska najemna pogodba, kar pomeni, da ugodnosti ni deležno kratkotrajno turistično oddajanje, ki se ne izvaja na podlagi najemnih pogodb. Dodatno mora biti izpolnjen pogoj, da je najemnina dejansko prijavljena davčnemu organu za odmero dohodnine od dohodka iz oddajanja premoženja v najem.</w:t>
      </w:r>
    </w:p>
    <w:p w14:paraId="188F47D2" w14:textId="77777777" w:rsidR="008D7DD4" w:rsidRPr="008D7DD4" w:rsidRDefault="008D7DD4" w:rsidP="008D7DD4">
      <w:pPr>
        <w:spacing w:after="0"/>
        <w:jc w:val="both"/>
        <w:rPr>
          <w:rFonts w:ascii="Garamond" w:eastAsia="MS PMincho" w:hAnsi="Garamond" w:cs="Arial"/>
          <w:b/>
          <w:color w:val="44546A"/>
          <w:sz w:val="28"/>
          <w:szCs w:val="20"/>
        </w:rPr>
      </w:pPr>
    </w:p>
    <w:p w14:paraId="4BC306F3"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Davek od nepremičnine, ki se oddaja v stanovanjski najem, se odmeri po splošni stopnji, se pa ta davek zniža za vrednost 25 % prijavljenih dohodkov za odmero dohodnine iz oddajanja v najem. Ta višina davčnega kredita bistveno spodbuja prijavljanje dohodka iz oddajanja premoženja v najem in prijavljanje pravilnih višin dohodkov, saj je za pravilno prijavljene dohodke davčna ugodnost pri davku od stanovanjskih nepremičnin celo nekaj višja od zneska odmerjenega davka od najemnin.  </w:t>
      </w:r>
    </w:p>
    <w:p w14:paraId="13EE72F2" w14:textId="77777777" w:rsidR="008D7DD4" w:rsidRPr="008D7DD4" w:rsidRDefault="008D7DD4" w:rsidP="008D7DD4">
      <w:pPr>
        <w:spacing w:after="0"/>
        <w:jc w:val="both"/>
        <w:rPr>
          <w:rFonts w:ascii="Garamond" w:eastAsia="MS PMincho" w:hAnsi="Garamond" w:cs="Arial"/>
          <w:b/>
          <w:color w:val="44546A"/>
          <w:sz w:val="28"/>
          <w:szCs w:val="20"/>
        </w:rPr>
      </w:pPr>
    </w:p>
    <w:p w14:paraId="3DBC5926"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Pravne osebe, ki oddajajo stanovanjske nepremičnine v najem, in fizične osebe, ki opravljajo dejavnost (</w:t>
      </w:r>
      <w:proofErr w:type="spellStart"/>
      <w:r w:rsidRPr="008D7DD4">
        <w:rPr>
          <w:rFonts w:ascii="Garamond" w:eastAsia="MS PMincho" w:hAnsi="Garamond" w:cs="Arial"/>
          <w:b/>
          <w:color w:val="44546A"/>
          <w:sz w:val="28"/>
          <w:szCs w:val="20"/>
        </w:rPr>
        <w:t>s.p</w:t>
      </w:r>
      <w:proofErr w:type="spellEnd"/>
      <w:r w:rsidRPr="008D7DD4">
        <w:rPr>
          <w:rFonts w:ascii="Garamond" w:eastAsia="MS PMincho" w:hAnsi="Garamond" w:cs="Arial"/>
          <w:b/>
          <w:color w:val="44546A"/>
          <w:sz w:val="28"/>
          <w:szCs w:val="20"/>
        </w:rPr>
        <w:t xml:space="preserve">.), če se nepremičnina oddaja v najem v okviru njihove dejavnosti, posebnih davčnih ugodnosti pri davku na stanovanjske nepremičnine niso deležne. Davek na stanovanjske nepremičnine je, po splošnih davčnih pravilih, </w:t>
      </w:r>
      <w:r w:rsidRPr="008D7DD4">
        <w:rPr>
          <w:rFonts w:ascii="Garamond" w:eastAsia="MS PMincho" w:hAnsi="Garamond" w:cs="Arial"/>
          <w:b/>
          <w:color w:val="44546A"/>
          <w:sz w:val="28"/>
          <w:szCs w:val="20"/>
        </w:rPr>
        <w:lastRenderedPageBreak/>
        <w:t xml:space="preserve">davčno priznan odhodek pri izračunu davka od dohodkov pravnih oseb in dohodnine od dohodka iz dejavnosti.    </w:t>
      </w:r>
    </w:p>
    <w:p w14:paraId="7DB4D939"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Pripadnost davka</w:t>
      </w:r>
    </w:p>
    <w:p w14:paraId="1DFE586B" w14:textId="77777777" w:rsidR="008D7DD4" w:rsidRPr="008D7DD4" w:rsidRDefault="008D7DD4" w:rsidP="008D7DD4">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Prihodki od davka na stanovanjske nepremičnine pripadajo proračunu Republike Slovenije.</w:t>
      </w:r>
    </w:p>
    <w:p w14:paraId="4192CC53"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Drugi davki</w:t>
      </w:r>
    </w:p>
    <w:p w14:paraId="37B5629F"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Davek na stanovanjske nepremičnine ne posega v nadomestilo za uporabo stavbnih zemljišč (NUSZ), ki je trenutna oblika nepremičninskega davka in kot tak pripada občinam za izvajanje njihovih pristojnosti na področju urejanja prostora in stanovanjske politike. </w:t>
      </w:r>
    </w:p>
    <w:p w14:paraId="449538C4" w14:textId="77777777" w:rsidR="008D7DD4" w:rsidRPr="008D7DD4" w:rsidRDefault="008D7DD4" w:rsidP="008D7DD4">
      <w:pPr>
        <w:spacing w:after="0"/>
        <w:jc w:val="both"/>
        <w:rPr>
          <w:rFonts w:ascii="Garamond" w:eastAsia="MS PMincho" w:hAnsi="Garamond" w:cs="Arial"/>
          <w:b/>
          <w:color w:val="44546A"/>
          <w:sz w:val="28"/>
          <w:szCs w:val="20"/>
        </w:rPr>
      </w:pPr>
    </w:p>
    <w:p w14:paraId="2BAF8A3A"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Davek na stanovanjske nepremičnine bo torej davek, ki bo obremenjeval (določene) nepremičnine poleg NUSZ. </w:t>
      </w:r>
    </w:p>
    <w:p w14:paraId="08569071" w14:textId="77777777" w:rsidR="008D7DD4" w:rsidRPr="008D7DD4" w:rsidRDefault="008D7DD4" w:rsidP="008D7DD4">
      <w:pPr>
        <w:spacing w:after="0"/>
        <w:jc w:val="both"/>
        <w:rPr>
          <w:rFonts w:ascii="Garamond" w:eastAsia="MS PMincho" w:hAnsi="Garamond" w:cs="Arial"/>
          <w:b/>
          <w:color w:val="44546A"/>
          <w:sz w:val="28"/>
          <w:szCs w:val="20"/>
        </w:rPr>
      </w:pPr>
    </w:p>
    <w:p w14:paraId="7BEFE975" w14:textId="77777777" w:rsid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Od določenih nepremičnin se plačuje tudi davek od premoženja. V izogib hkratnemu plačevanju davka od premoženja in davka na stanovanjske nepremičnine kot dveh sorodnih vrst davkov se predlaga ukinitev davka od premoženja.</w:t>
      </w:r>
    </w:p>
    <w:p w14:paraId="3DDC265D"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Odmera</w:t>
      </w:r>
    </w:p>
    <w:p w14:paraId="41B8972D" w14:textId="77777777" w:rsidR="008D7DD4" w:rsidRPr="008D7DD4" w:rsidRDefault="008D7DD4" w:rsidP="008D7DD4">
      <w:pPr>
        <w:spacing w:after="0"/>
        <w:jc w:val="both"/>
        <w:rPr>
          <w:rFonts w:ascii="Garamond" w:eastAsia="Garamond" w:hAnsi="Garamond"/>
          <w:sz w:val="24"/>
          <w:szCs w:val="24"/>
          <w:lang w:eastAsia="sl-SI"/>
        </w:rPr>
      </w:pPr>
      <w:bookmarkStart w:id="2" w:name="_Hlk185670886"/>
      <w:r w:rsidRPr="008D7DD4">
        <w:rPr>
          <w:rFonts w:ascii="Garamond" w:eastAsia="Garamond" w:hAnsi="Garamond" w:cs="Calibri"/>
          <w:b/>
          <w:bCs/>
          <w:color w:val="44546A"/>
          <w:sz w:val="28"/>
          <w:szCs w:val="28"/>
          <w:lang w:eastAsia="sl-SI"/>
        </w:rPr>
        <w:t xml:space="preserve">Premoženjske vrste davka se običajno odmerjajo za tekoče davčno leto. Če se želi upoštevati ugodnost za prijavljene dohodke za odmero dohodnine od dohodka iz oddajanja v najem za isto odmerno leto kot odmero davka na stanovanjske nepremičnine, je možno izvesti odmero šele v naslednjem letu – torej za preteklo leto, saj se dohodki od najemnin prijavljajo davčnemu organu po poteku leta, v katerem so bili pridobljeni oziroma doseženi. </w:t>
      </w:r>
    </w:p>
    <w:p w14:paraId="618C6792"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 </w:t>
      </w:r>
      <w:bookmarkEnd w:id="2"/>
    </w:p>
    <w:p w14:paraId="626E3E27" w14:textId="77777777" w:rsid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FURS bo izvedel odmero na podlagi uradnih podatkov enkrat letno z odmerno odločbo. Za višje zneske so možna obročna plačila. </w:t>
      </w:r>
    </w:p>
    <w:p w14:paraId="3A535082" w14:textId="77777777" w:rsidR="00800073" w:rsidRDefault="00800073" w:rsidP="008D7DD4">
      <w:pPr>
        <w:spacing w:after="0"/>
        <w:jc w:val="both"/>
        <w:rPr>
          <w:rFonts w:ascii="Garamond" w:eastAsia="MS PMincho" w:hAnsi="Garamond" w:cs="Arial"/>
          <w:b/>
          <w:color w:val="44546A"/>
          <w:sz w:val="28"/>
          <w:szCs w:val="20"/>
        </w:rPr>
      </w:pPr>
    </w:p>
    <w:p w14:paraId="09FC5197" w14:textId="77777777" w:rsidR="009B3590" w:rsidRPr="008D7DD4" w:rsidRDefault="009B3590" w:rsidP="008D7DD4">
      <w:pPr>
        <w:spacing w:after="0"/>
        <w:jc w:val="both"/>
        <w:rPr>
          <w:rFonts w:ascii="Garamond" w:eastAsia="MS PMincho" w:hAnsi="Garamond" w:cs="Arial"/>
          <w:b/>
          <w:color w:val="44546A"/>
          <w:sz w:val="28"/>
          <w:szCs w:val="20"/>
        </w:rPr>
      </w:pPr>
    </w:p>
    <w:p w14:paraId="29446C1C"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lastRenderedPageBreak/>
        <w:t>Spremembe na nepremičnini</w:t>
      </w:r>
    </w:p>
    <w:p w14:paraId="40F442B1"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Tekom odmernega leta se lahko s predmetom obdavčitve dogaja vrsta sprememb, predvsem spremembe v lastništvu nepremičnine in spremembe na sami nepremičnini, ki vplivajo na njeno vrednost.</w:t>
      </w:r>
    </w:p>
    <w:p w14:paraId="75AF55F1" w14:textId="77777777" w:rsidR="008D7DD4" w:rsidRPr="008D7DD4" w:rsidRDefault="008D7DD4" w:rsidP="008D7DD4">
      <w:pPr>
        <w:spacing w:after="0"/>
        <w:jc w:val="both"/>
        <w:rPr>
          <w:rFonts w:ascii="Garamond" w:eastAsia="MS PMincho" w:hAnsi="Garamond" w:cs="Arial"/>
          <w:b/>
          <w:color w:val="44546A"/>
          <w:sz w:val="28"/>
          <w:szCs w:val="20"/>
        </w:rPr>
      </w:pPr>
    </w:p>
    <w:p w14:paraId="6280EFFE"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Predlaga se, da se odmera izvede po stanju lastništva in vrednosti nepremičnine na določen presečni dan. Spremembe pred ali po tem datumu se ne upoštevajo pri odmeri davka. Pri morebitni spremembi lastništva se lahko bivši in novi lastnik med seboj dogovorita o delitvi odmerjenega davka, vendar to na samo odmero davka ne vpliva, gre za dogovor, ki zavezuje le stranke pogodbe, ne pa davčnega organa.</w:t>
      </w:r>
    </w:p>
    <w:p w14:paraId="0783BD6A"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»Dejansko prebivanje«</w:t>
      </w:r>
    </w:p>
    <w:p w14:paraId="640652B0"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Za preverjanje upravičenosti do obdavčitve po nižji stopnji za rezidenčne nepremičnine ima FURS pravico pridobiti podatke o dejanski porabi vode in elektrike. Na ta način bo mogoče preveriti, ali ima na določeni nepremičnini lastnik le formalno prijavljeno stalno prebivališče, dejansko pa glede na podatke vode in elektrike tam ne prebiva. </w:t>
      </w:r>
    </w:p>
    <w:p w14:paraId="619F1934" w14:textId="77777777" w:rsidR="008D7DD4" w:rsidRPr="008D7DD4" w:rsidRDefault="008D7DD4" w:rsidP="008D7DD4">
      <w:pPr>
        <w:spacing w:after="0"/>
        <w:jc w:val="both"/>
        <w:rPr>
          <w:rFonts w:ascii="Garamond" w:eastAsia="MS PMincho" w:hAnsi="Garamond" w:cs="Arial"/>
          <w:b/>
          <w:color w:val="44546A"/>
          <w:sz w:val="28"/>
          <w:szCs w:val="20"/>
        </w:rPr>
      </w:pPr>
    </w:p>
    <w:p w14:paraId="2F96D5FB" w14:textId="77777777" w:rsidR="008D7DD4" w:rsidRPr="008D7DD4" w:rsidRDefault="008D7DD4" w:rsidP="008D7DD4">
      <w:pPr>
        <w:spacing w:after="0"/>
        <w:jc w:val="both"/>
        <w:rPr>
          <w:rFonts w:ascii="Garamond" w:eastAsia="MS PMincho" w:hAnsi="Garamond" w:cs="Arial"/>
          <w:b/>
          <w:color w:val="44546A"/>
          <w:sz w:val="28"/>
          <w:szCs w:val="20"/>
        </w:rPr>
      </w:pPr>
    </w:p>
    <w:p w14:paraId="489BBBD9" w14:textId="77777777" w:rsidR="008D7DD4" w:rsidRDefault="008D7DD4" w:rsidP="008D7DD4">
      <w:pPr>
        <w:spacing w:after="0"/>
        <w:jc w:val="both"/>
        <w:rPr>
          <w:rFonts w:ascii="Garamond" w:eastAsia="MS PMincho" w:hAnsi="Garamond" w:cs="Arial"/>
          <w:b/>
          <w:color w:val="44546A"/>
          <w:sz w:val="28"/>
          <w:szCs w:val="20"/>
        </w:rPr>
      </w:pPr>
    </w:p>
    <w:p w14:paraId="1982607B" w14:textId="77777777" w:rsidR="00A35B4A" w:rsidRDefault="00A35B4A" w:rsidP="008D7DD4">
      <w:pPr>
        <w:spacing w:after="0"/>
        <w:jc w:val="both"/>
        <w:rPr>
          <w:rFonts w:ascii="Garamond" w:eastAsia="MS PMincho" w:hAnsi="Garamond" w:cs="Arial"/>
          <w:b/>
          <w:color w:val="44546A"/>
          <w:sz w:val="28"/>
          <w:szCs w:val="20"/>
        </w:rPr>
      </w:pPr>
    </w:p>
    <w:p w14:paraId="39BC10B2" w14:textId="77777777" w:rsidR="00A35B4A" w:rsidRDefault="00A35B4A" w:rsidP="008D7DD4">
      <w:pPr>
        <w:spacing w:after="0"/>
        <w:jc w:val="both"/>
        <w:rPr>
          <w:rFonts w:ascii="Garamond" w:eastAsia="MS PMincho" w:hAnsi="Garamond" w:cs="Arial"/>
          <w:b/>
          <w:color w:val="44546A"/>
          <w:sz w:val="28"/>
          <w:szCs w:val="20"/>
        </w:rPr>
      </w:pPr>
    </w:p>
    <w:p w14:paraId="7ED95779" w14:textId="77777777" w:rsidR="00A35B4A" w:rsidRDefault="00A35B4A" w:rsidP="008D7DD4">
      <w:pPr>
        <w:spacing w:after="0"/>
        <w:jc w:val="both"/>
        <w:rPr>
          <w:rFonts w:ascii="Garamond" w:eastAsia="MS PMincho" w:hAnsi="Garamond" w:cs="Arial"/>
          <w:b/>
          <w:color w:val="44546A"/>
          <w:sz w:val="28"/>
          <w:szCs w:val="20"/>
        </w:rPr>
      </w:pPr>
    </w:p>
    <w:p w14:paraId="72FDC2DA" w14:textId="77777777" w:rsidR="00A35B4A" w:rsidRDefault="00A35B4A" w:rsidP="008D7DD4">
      <w:pPr>
        <w:spacing w:after="0"/>
        <w:jc w:val="both"/>
        <w:rPr>
          <w:rFonts w:ascii="Garamond" w:eastAsia="MS PMincho" w:hAnsi="Garamond" w:cs="Arial"/>
          <w:b/>
          <w:color w:val="44546A"/>
          <w:sz w:val="28"/>
          <w:szCs w:val="20"/>
        </w:rPr>
      </w:pPr>
    </w:p>
    <w:p w14:paraId="0C2915D1" w14:textId="77777777" w:rsidR="00A35B4A" w:rsidRDefault="00A35B4A" w:rsidP="008D7DD4">
      <w:pPr>
        <w:spacing w:after="0"/>
        <w:jc w:val="both"/>
        <w:rPr>
          <w:rFonts w:ascii="Garamond" w:eastAsia="MS PMincho" w:hAnsi="Garamond" w:cs="Arial"/>
          <w:b/>
          <w:color w:val="44546A"/>
          <w:sz w:val="28"/>
          <w:szCs w:val="20"/>
        </w:rPr>
      </w:pPr>
    </w:p>
    <w:p w14:paraId="1F36A6B4" w14:textId="77777777" w:rsidR="00A35B4A" w:rsidRDefault="00A35B4A" w:rsidP="008D7DD4">
      <w:pPr>
        <w:spacing w:after="0"/>
        <w:jc w:val="both"/>
        <w:rPr>
          <w:rFonts w:ascii="Garamond" w:eastAsia="MS PMincho" w:hAnsi="Garamond" w:cs="Arial"/>
          <w:b/>
          <w:color w:val="44546A"/>
          <w:sz w:val="28"/>
          <w:szCs w:val="20"/>
        </w:rPr>
      </w:pPr>
    </w:p>
    <w:p w14:paraId="0EA60E93" w14:textId="77777777" w:rsidR="00A35B4A" w:rsidRDefault="00A35B4A" w:rsidP="008D7DD4">
      <w:pPr>
        <w:spacing w:after="0"/>
        <w:jc w:val="both"/>
        <w:rPr>
          <w:rFonts w:ascii="Garamond" w:eastAsia="MS PMincho" w:hAnsi="Garamond" w:cs="Arial"/>
          <w:b/>
          <w:color w:val="44546A"/>
          <w:sz w:val="28"/>
          <w:szCs w:val="20"/>
        </w:rPr>
      </w:pPr>
    </w:p>
    <w:p w14:paraId="1389E650" w14:textId="77777777" w:rsidR="00A35B4A" w:rsidRDefault="00A35B4A" w:rsidP="008D7DD4">
      <w:pPr>
        <w:spacing w:after="0"/>
        <w:jc w:val="both"/>
        <w:rPr>
          <w:rFonts w:ascii="Garamond" w:eastAsia="MS PMincho" w:hAnsi="Garamond" w:cs="Arial"/>
          <w:b/>
          <w:color w:val="44546A"/>
          <w:sz w:val="28"/>
          <w:szCs w:val="20"/>
        </w:rPr>
      </w:pPr>
    </w:p>
    <w:p w14:paraId="2C55346D" w14:textId="77777777" w:rsidR="00A35B4A" w:rsidRDefault="00A35B4A" w:rsidP="008D7DD4">
      <w:pPr>
        <w:spacing w:after="0"/>
        <w:jc w:val="both"/>
        <w:rPr>
          <w:rFonts w:ascii="Garamond" w:eastAsia="MS PMincho" w:hAnsi="Garamond" w:cs="Arial"/>
          <w:b/>
          <w:color w:val="44546A"/>
          <w:sz w:val="28"/>
          <w:szCs w:val="20"/>
        </w:rPr>
      </w:pPr>
    </w:p>
    <w:p w14:paraId="5BC8F743" w14:textId="77777777" w:rsidR="00A35B4A" w:rsidRDefault="00A35B4A" w:rsidP="008D7DD4">
      <w:pPr>
        <w:spacing w:after="0"/>
        <w:jc w:val="both"/>
        <w:rPr>
          <w:rFonts w:ascii="Garamond" w:eastAsia="MS PMincho" w:hAnsi="Garamond" w:cs="Arial"/>
          <w:b/>
          <w:color w:val="44546A"/>
          <w:sz w:val="28"/>
          <w:szCs w:val="20"/>
        </w:rPr>
      </w:pPr>
    </w:p>
    <w:p w14:paraId="47C2B1FC" w14:textId="77777777" w:rsidR="00800073" w:rsidRDefault="00800073" w:rsidP="008D7DD4">
      <w:pPr>
        <w:spacing w:after="0"/>
        <w:jc w:val="both"/>
        <w:rPr>
          <w:rFonts w:ascii="Garamond" w:eastAsia="MS PMincho" w:hAnsi="Garamond" w:cs="Arial"/>
          <w:b/>
          <w:color w:val="44546A"/>
          <w:sz w:val="28"/>
          <w:szCs w:val="20"/>
        </w:rPr>
      </w:pPr>
    </w:p>
    <w:p w14:paraId="2584508D" w14:textId="77777777" w:rsidR="00800073" w:rsidRDefault="00800073" w:rsidP="008D7DD4">
      <w:pPr>
        <w:spacing w:after="0"/>
        <w:jc w:val="both"/>
        <w:rPr>
          <w:rFonts w:ascii="Garamond" w:eastAsia="MS PMincho" w:hAnsi="Garamond" w:cs="Arial"/>
          <w:b/>
          <w:color w:val="44546A"/>
          <w:sz w:val="28"/>
          <w:szCs w:val="20"/>
        </w:rPr>
      </w:pPr>
    </w:p>
    <w:p w14:paraId="78326DAD" w14:textId="77777777" w:rsidR="009B3590" w:rsidRDefault="009B3590" w:rsidP="008D7DD4">
      <w:pPr>
        <w:spacing w:after="0"/>
        <w:jc w:val="both"/>
        <w:rPr>
          <w:rFonts w:ascii="Garamond" w:eastAsia="MS PMincho" w:hAnsi="Garamond" w:cs="Arial"/>
          <w:b/>
          <w:color w:val="44546A"/>
          <w:sz w:val="28"/>
          <w:szCs w:val="20"/>
        </w:rPr>
      </w:pPr>
    </w:p>
    <w:p w14:paraId="28D0FC2B" w14:textId="77777777" w:rsidR="009B3590" w:rsidRDefault="009B3590" w:rsidP="008D7DD4">
      <w:pPr>
        <w:spacing w:after="0"/>
        <w:jc w:val="both"/>
        <w:rPr>
          <w:rFonts w:ascii="Garamond" w:eastAsia="MS PMincho" w:hAnsi="Garamond" w:cs="Arial"/>
          <w:b/>
          <w:color w:val="44546A"/>
          <w:sz w:val="28"/>
          <w:szCs w:val="20"/>
        </w:rPr>
      </w:pPr>
    </w:p>
    <w:p w14:paraId="2695D05D" w14:textId="77777777" w:rsidR="009B3590" w:rsidRDefault="009B3590" w:rsidP="008D7DD4">
      <w:pPr>
        <w:spacing w:after="0"/>
        <w:jc w:val="both"/>
        <w:rPr>
          <w:rFonts w:ascii="Garamond" w:eastAsia="MS PMincho" w:hAnsi="Garamond" w:cs="Arial"/>
          <w:b/>
          <w:color w:val="44546A"/>
          <w:sz w:val="28"/>
          <w:szCs w:val="20"/>
        </w:rPr>
      </w:pPr>
    </w:p>
    <w:p w14:paraId="7FCA1020" w14:textId="77777777" w:rsidR="009B3590" w:rsidRPr="008D7DD4" w:rsidRDefault="009B3590" w:rsidP="008D7DD4">
      <w:pPr>
        <w:spacing w:after="0"/>
        <w:jc w:val="both"/>
        <w:rPr>
          <w:rFonts w:ascii="Garamond" w:eastAsia="MS PMincho" w:hAnsi="Garamond" w:cs="Arial"/>
          <w:b/>
          <w:color w:val="44546A"/>
          <w:sz w:val="28"/>
          <w:szCs w:val="20"/>
        </w:rPr>
      </w:pPr>
    </w:p>
    <w:p w14:paraId="6012EA64"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lastRenderedPageBreak/>
        <w:t>Kratek povzetek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6171"/>
      </w:tblGrid>
      <w:tr w:rsidR="008D7DD4" w:rsidRPr="008D7DD4" w14:paraId="66A4D976" w14:textId="77777777" w:rsidTr="003D463E">
        <w:trPr>
          <w:trHeight w:val="1213"/>
        </w:trPr>
        <w:tc>
          <w:tcPr>
            <w:tcW w:w="3460" w:type="dxa"/>
            <w:shd w:val="clear" w:color="auto" w:fill="auto"/>
          </w:tcPr>
          <w:p w14:paraId="50B6EEDF"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Predmet obdavčitve</w:t>
            </w:r>
          </w:p>
        </w:tc>
        <w:tc>
          <w:tcPr>
            <w:tcW w:w="6171" w:type="dxa"/>
            <w:shd w:val="clear" w:color="auto" w:fill="auto"/>
          </w:tcPr>
          <w:p w14:paraId="14F6B41C"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stanovanjske nepremičnine:</w:t>
            </w:r>
          </w:p>
          <w:p w14:paraId="57685A81" w14:textId="77777777" w:rsidR="008D7DD4" w:rsidRPr="008D7DD4" w:rsidRDefault="008D7DD4" w:rsidP="003D463E">
            <w:pPr>
              <w:spacing w:after="0" w:line="240" w:lineRule="auto"/>
              <w:ind w:firstLine="36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stanovanjske hiše in stanovanja ter </w:t>
            </w:r>
          </w:p>
          <w:p w14:paraId="5964F9E1" w14:textId="77777777" w:rsidR="008D7DD4" w:rsidRPr="008D7DD4" w:rsidRDefault="008D7DD4" w:rsidP="003D463E">
            <w:pPr>
              <w:spacing w:after="0" w:line="240" w:lineRule="auto"/>
              <w:ind w:left="36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stavbna zemljišča</w:t>
            </w:r>
          </w:p>
          <w:p w14:paraId="11D2FF9D"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na ozemlju Republike Slovenije</w:t>
            </w:r>
          </w:p>
        </w:tc>
      </w:tr>
      <w:tr w:rsidR="008D7DD4" w:rsidRPr="008D7DD4" w14:paraId="2953FC36" w14:textId="77777777" w:rsidTr="003D463E">
        <w:trPr>
          <w:trHeight w:val="914"/>
        </w:trPr>
        <w:tc>
          <w:tcPr>
            <w:tcW w:w="3460" w:type="dxa"/>
            <w:shd w:val="clear" w:color="auto" w:fill="auto"/>
          </w:tcPr>
          <w:p w14:paraId="5D37833E"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Davčna osnova</w:t>
            </w:r>
          </w:p>
        </w:tc>
        <w:tc>
          <w:tcPr>
            <w:tcW w:w="6171" w:type="dxa"/>
            <w:shd w:val="clear" w:color="auto" w:fill="auto"/>
          </w:tcPr>
          <w:p w14:paraId="35B2D9A2"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vrednost stanovanjske nepremičnine, ki je ugotovljena kot posplošena vrednost po podatkih GURS</w:t>
            </w:r>
          </w:p>
        </w:tc>
      </w:tr>
      <w:tr w:rsidR="008D7DD4" w:rsidRPr="008D7DD4" w14:paraId="0D034C4F" w14:textId="77777777" w:rsidTr="003D463E">
        <w:trPr>
          <w:trHeight w:val="1213"/>
        </w:trPr>
        <w:tc>
          <w:tcPr>
            <w:tcW w:w="3460" w:type="dxa"/>
            <w:shd w:val="clear" w:color="auto" w:fill="auto"/>
          </w:tcPr>
          <w:p w14:paraId="15FF6DB9"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Zavezanci</w:t>
            </w:r>
          </w:p>
        </w:tc>
        <w:tc>
          <w:tcPr>
            <w:tcW w:w="6171" w:type="dxa"/>
            <w:shd w:val="clear" w:color="auto" w:fill="auto"/>
          </w:tcPr>
          <w:p w14:paraId="03211E57"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lastniki stanovanjske nepremičnine – tako fizične kot pravne osebe</w:t>
            </w:r>
          </w:p>
          <w:p w14:paraId="289591B3"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solastniki so zavezani v skladu z lastniškim deležem </w:t>
            </w:r>
          </w:p>
        </w:tc>
      </w:tr>
      <w:tr w:rsidR="008D7DD4" w:rsidRPr="008D7DD4" w14:paraId="18E9B4AC" w14:textId="77777777" w:rsidTr="003D463E">
        <w:trPr>
          <w:trHeight w:val="298"/>
        </w:trPr>
        <w:tc>
          <w:tcPr>
            <w:tcW w:w="3460" w:type="dxa"/>
            <w:shd w:val="clear" w:color="auto" w:fill="auto"/>
          </w:tcPr>
          <w:p w14:paraId="529339BB"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Splošna davčna stopnja</w:t>
            </w:r>
          </w:p>
        </w:tc>
        <w:tc>
          <w:tcPr>
            <w:tcW w:w="6171" w:type="dxa"/>
            <w:shd w:val="clear" w:color="auto" w:fill="auto"/>
          </w:tcPr>
          <w:p w14:paraId="751A9C43"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1,45 % od posplošene vrednosti nepremičnine</w:t>
            </w:r>
          </w:p>
        </w:tc>
      </w:tr>
      <w:tr w:rsidR="008D7DD4" w:rsidRPr="008D7DD4" w14:paraId="7F57DB5B" w14:textId="77777777" w:rsidTr="003D463E">
        <w:trPr>
          <w:trHeight w:val="2474"/>
        </w:trPr>
        <w:tc>
          <w:tcPr>
            <w:tcW w:w="3460" w:type="dxa"/>
            <w:shd w:val="clear" w:color="auto" w:fill="auto"/>
          </w:tcPr>
          <w:p w14:paraId="58C4E78D"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Davčne ugodnosti</w:t>
            </w:r>
          </w:p>
        </w:tc>
        <w:tc>
          <w:tcPr>
            <w:tcW w:w="6171" w:type="dxa"/>
            <w:shd w:val="clear" w:color="auto" w:fill="auto"/>
          </w:tcPr>
          <w:p w14:paraId="14F3E77D" w14:textId="77777777" w:rsidR="008D7DD4" w:rsidRPr="008D7DD4" w:rsidRDefault="008D7DD4" w:rsidP="00CA45CC">
            <w:pPr>
              <w:numPr>
                <w:ilvl w:val="0"/>
                <w:numId w:val="10"/>
              </w:numPr>
              <w:spacing w:after="0" w:line="240" w:lineRule="auto"/>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rezidenčna nepremičnina (to je nepremičnina, ki predstavlja glavni dom zavezanca, torej v njej lastnik dejansko živi) je oproščena. To velja le za lastnike, ki so fizične osebe</w:t>
            </w:r>
          </w:p>
          <w:p w14:paraId="6C046306" w14:textId="77777777" w:rsidR="008D7DD4" w:rsidRPr="008D7DD4" w:rsidRDefault="008D7DD4" w:rsidP="00CA45CC">
            <w:pPr>
              <w:numPr>
                <w:ilvl w:val="0"/>
                <w:numId w:val="10"/>
              </w:numPr>
              <w:spacing w:after="0" w:line="240" w:lineRule="auto"/>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nepremičnina, ki se oddaja v najem – davek od stanovanjskih nepremičnin se zniža za 25 % zneska napovedanih najemnin</w:t>
            </w:r>
          </w:p>
        </w:tc>
      </w:tr>
      <w:tr w:rsidR="008D7DD4" w:rsidRPr="008D7DD4" w14:paraId="2E9588E9" w14:textId="77777777" w:rsidTr="003D463E">
        <w:trPr>
          <w:trHeight w:val="822"/>
        </w:trPr>
        <w:tc>
          <w:tcPr>
            <w:tcW w:w="3460" w:type="dxa"/>
            <w:shd w:val="clear" w:color="auto" w:fill="auto"/>
          </w:tcPr>
          <w:p w14:paraId="68872DC3"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Pripadnost davka</w:t>
            </w:r>
          </w:p>
        </w:tc>
        <w:tc>
          <w:tcPr>
            <w:tcW w:w="6171" w:type="dxa"/>
            <w:shd w:val="clear" w:color="auto" w:fill="auto"/>
          </w:tcPr>
          <w:p w14:paraId="24F38DD9"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Prihodki od davka na stanovanjske nepremičnine pripadajo proračunu Republike Slovenije.</w:t>
            </w:r>
          </w:p>
        </w:tc>
      </w:tr>
      <w:tr w:rsidR="008D7DD4" w:rsidRPr="008D7DD4" w14:paraId="2A359A6E" w14:textId="77777777" w:rsidTr="003D463E">
        <w:trPr>
          <w:trHeight w:val="2117"/>
        </w:trPr>
        <w:tc>
          <w:tcPr>
            <w:tcW w:w="3460" w:type="dxa"/>
            <w:shd w:val="clear" w:color="auto" w:fill="auto"/>
          </w:tcPr>
          <w:p w14:paraId="39B22CA2"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Drugi davki</w:t>
            </w:r>
          </w:p>
        </w:tc>
        <w:tc>
          <w:tcPr>
            <w:tcW w:w="6171" w:type="dxa"/>
            <w:shd w:val="clear" w:color="auto" w:fill="auto"/>
          </w:tcPr>
          <w:p w14:paraId="03672277"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Ta davek ne vpliva na NUSZ in se NUSZ še vedno odmerja poleg tega davka.</w:t>
            </w:r>
          </w:p>
          <w:p w14:paraId="26A1DA04"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V izogib hkratnemu plačevanju davka od premoženja in davka na stanovanjske nepremičnine (k</w:t>
            </w:r>
            <w:r w:rsidR="001B42D9">
              <w:rPr>
                <w:rFonts w:ascii="Garamond" w:eastAsia="MS PMincho" w:hAnsi="Garamond" w:cs="Arial"/>
                <w:b/>
                <w:color w:val="44546A"/>
                <w:sz w:val="28"/>
                <w:szCs w:val="20"/>
              </w:rPr>
              <w:t>ot dveh</w:t>
            </w:r>
            <w:r w:rsidRPr="008D7DD4">
              <w:rPr>
                <w:rFonts w:ascii="Garamond" w:eastAsia="MS PMincho" w:hAnsi="Garamond" w:cs="Arial"/>
                <w:b/>
                <w:color w:val="44546A"/>
                <w:sz w:val="28"/>
                <w:szCs w:val="20"/>
              </w:rPr>
              <w:t xml:space="preserve"> sorodni</w:t>
            </w:r>
            <w:r w:rsidR="001B42D9">
              <w:rPr>
                <w:rFonts w:ascii="Garamond" w:eastAsia="MS PMincho" w:hAnsi="Garamond" w:cs="Arial"/>
                <w:b/>
                <w:color w:val="44546A"/>
                <w:sz w:val="28"/>
                <w:szCs w:val="20"/>
              </w:rPr>
              <w:t>h</w:t>
            </w:r>
            <w:r w:rsidRPr="008D7DD4">
              <w:rPr>
                <w:rFonts w:ascii="Garamond" w:eastAsia="MS PMincho" w:hAnsi="Garamond" w:cs="Arial"/>
                <w:b/>
                <w:color w:val="44546A"/>
                <w:sz w:val="28"/>
                <w:szCs w:val="20"/>
              </w:rPr>
              <w:t xml:space="preserve"> vrst davkov), se predlaga ukinitev davka od premoženja.</w:t>
            </w:r>
          </w:p>
        </w:tc>
      </w:tr>
      <w:tr w:rsidR="008D7DD4" w:rsidRPr="008D7DD4" w14:paraId="4167716D" w14:textId="77777777" w:rsidTr="00800073">
        <w:trPr>
          <w:trHeight w:val="1437"/>
        </w:trPr>
        <w:tc>
          <w:tcPr>
            <w:tcW w:w="3460" w:type="dxa"/>
            <w:shd w:val="clear" w:color="auto" w:fill="auto"/>
          </w:tcPr>
          <w:p w14:paraId="657232AB"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Odmera</w:t>
            </w:r>
          </w:p>
        </w:tc>
        <w:tc>
          <w:tcPr>
            <w:tcW w:w="6171" w:type="dxa"/>
            <w:shd w:val="clear" w:color="auto" w:fill="auto"/>
          </w:tcPr>
          <w:p w14:paraId="690EB99D"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FURS enkrat letno izda odmerno odločbo </w:t>
            </w:r>
          </w:p>
          <w:p w14:paraId="74F3A0A9" w14:textId="77777777" w:rsidR="008D7DD4" w:rsidRPr="008D7DD4" w:rsidRDefault="008D7DD4" w:rsidP="00CA45CC">
            <w:pPr>
              <w:numPr>
                <w:ilvl w:val="0"/>
                <w:numId w:val="10"/>
              </w:numPr>
              <w:spacing w:after="0" w:line="240" w:lineRule="auto"/>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odmera mora biti časovno po odmeri dohodnine od najemnin (ki se odmerja za preteklo leto)</w:t>
            </w:r>
          </w:p>
        </w:tc>
      </w:tr>
      <w:tr w:rsidR="008D7DD4" w:rsidRPr="008D7DD4" w14:paraId="5F84C37D" w14:textId="77777777" w:rsidTr="003D463E">
        <w:trPr>
          <w:trHeight w:val="1081"/>
        </w:trPr>
        <w:tc>
          <w:tcPr>
            <w:tcW w:w="3460" w:type="dxa"/>
            <w:shd w:val="clear" w:color="auto" w:fill="auto"/>
          </w:tcPr>
          <w:p w14:paraId="38772A28" w14:textId="77777777" w:rsidR="008D7DD4" w:rsidRPr="008D7DD4" w:rsidRDefault="008D7DD4" w:rsidP="001B42D9">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Spremembe na nepremičnini</w:t>
            </w:r>
          </w:p>
        </w:tc>
        <w:tc>
          <w:tcPr>
            <w:tcW w:w="6171" w:type="dxa"/>
            <w:shd w:val="clear" w:color="auto" w:fill="auto"/>
          </w:tcPr>
          <w:p w14:paraId="4E9905EA"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Odmera se izvaja upoštevaje lastništvo in stanje nepremičnine na določen presečni dan – kasnejše spremembe se ne upoštevajo.</w:t>
            </w:r>
          </w:p>
        </w:tc>
      </w:tr>
      <w:tr w:rsidR="008D7DD4" w:rsidRPr="008D7DD4" w14:paraId="36C96386" w14:textId="77777777" w:rsidTr="00800073">
        <w:trPr>
          <w:trHeight w:val="1302"/>
        </w:trPr>
        <w:tc>
          <w:tcPr>
            <w:tcW w:w="3460" w:type="dxa"/>
            <w:shd w:val="clear" w:color="auto" w:fill="auto"/>
          </w:tcPr>
          <w:p w14:paraId="034C7851"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»Dejansko prebivanje«</w:t>
            </w:r>
          </w:p>
        </w:tc>
        <w:tc>
          <w:tcPr>
            <w:tcW w:w="6171" w:type="dxa"/>
            <w:shd w:val="clear" w:color="auto" w:fill="auto"/>
          </w:tcPr>
          <w:p w14:paraId="27B0701A" w14:textId="77777777" w:rsidR="008D7DD4" w:rsidRPr="008D7DD4" w:rsidRDefault="008D7DD4" w:rsidP="003D463E">
            <w:pPr>
              <w:spacing w:after="0"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Za preverjanje upravičenosti do obdavčitve po nižji stopnji za rezidenčne nepremičnine ima FURS pravico pridobiti podatke o dejanski porabi vode in elektrike. </w:t>
            </w:r>
          </w:p>
        </w:tc>
      </w:tr>
    </w:tbl>
    <w:p w14:paraId="66FBE07F"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lastRenderedPageBreak/>
        <w:t>Groba ocena prihodkov</w:t>
      </w:r>
    </w:p>
    <w:p w14:paraId="67E059A7"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Na podlagi razpoložljivih podatkov</w:t>
      </w:r>
      <w:r w:rsidRPr="008D7DD4">
        <w:rPr>
          <w:rFonts w:ascii="Garamond" w:eastAsia="MS PMincho" w:hAnsi="Garamond" w:cs="Arial"/>
          <w:color w:val="44546A"/>
          <w:sz w:val="28"/>
          <w:szCs w:val="20"/>
          <w:vertAlign w:val="superscript"/>
        </w:rPr>
        <w:footnoteReference w:id="1"/>
      </w:r>
      <w:r w:rsidRPr="008D7DD4">
        <w:rPr>
          <w:rFonts w:ascii="Garamond" w:eastAsia="MS PMincho" w:hAnsi="Garamond" w:cs="Arial"/>
          <w:b/>
          <w:color w:val="44546A"/>
          <w:sz w:val="28"/>
          <w:szCs w:val="20"/>
        </w:rPr>
        <w:t xml:space="preserve"> GURS o posplošenih vrednostih stanovanjskih nepremičnin (kar vključuje tudi stavbna zemljišča) se ocenjuje, da bi se v primeru uvedbe splošne davčne stopnje v višini 1,45 % brez upoštevanja davčnih ugodnosti, lahko pridobilo skupaj več kot 2.300 mio evrov davčnih prihodkov. </w:t>
      </w:r>
    </w:p>
    <w:p w14:paraId="24DC3CA1" w14:textId="77777777" w:rsidR="008D7DD4" w:rsidRPr="008D7DD4" w:rsidRDefault="008D7DD4" w:rsidP="008D7DD4">
      <w:pPr>
        <w:spacing w:after="0"/>
        <w:jc w:val="both"/>
        <w:rPr>
          <w:rFonts w:ascii="Garamond" w:eastAsia="MS PMincho" w:hAnsi="Garamond" w:cs="Arial"/>
          <w:b/>
          <w:color w:val="44546A"/>
          <w:sz w:val="28"/>
          <w:szCs w:val="20"/>
        </w:rPr>
      </w:pPr>
    </w:p>
    <w:p w14:paraId="300EA19D" w14:textId="77777777" w:rsidR="008D7DD4" w:rsidRPr="008D7DD4" w:rsidRDefault="008D7DD4" w:rsidP="001B42D9">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 upoštevanjem davčnih ugodnosti se skupni potencialni znesek tega davka posledično zmanjšuje, in sicer:</w:t>
      </w:r>
    </w:p>
    <w:p w14:paraId="3C5AD58F" w14:textId="77777777" w:rsidR="008D7DD4" w:rsidRPr="008D7DD4" w:rsidRDefault="008D7DD4" w:rsidP="00CA45CC">
      <w:pPr>
        <w:numPr>
          <w:ilvl w:val="0"/>
          <w:numId w:val="8"/>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 izvzemom rezidenčnih nepremičnin v lasti fizičnih oseb pri splošni davčni stopnji v višini 1,45 % se zgoraj ocenjeni prihodki znižajo za okoli 1.</w:t>
      </w:r>
      <w:r w:rsidR="00800073">
        <w:rPr>
          <w:rFonts w:ascii="Garamond" w:eastAsia="MS PMincho" w:hAnsi="Garamond" w:cs="Arial"/>
          <w:b/>
          <w:color w:val="44546A"/>
          <w:sz w:val="28"/>
          <w:szCs w:val="20"/>
        </w:rPr>
        <w:t>4</w:t>
      </w:r>
      <w:r w:rsidRPr="008D7DD4">
        <w:rPr>
          <w:rFonts w:ascii="Garamond" w:eastAsia="MS PMincho" w:hAnsi="Garamond" w:cs="Arial"/>
          <w:b/>
          <w:color w:val="44546A"/>
          <w:sz w:val="28"/>
          <w:szCs w:val="20"/>
        </w:rPr>
        <w:t>00 mio evrov prihodkov,</w:t>
      </w:r>
    </w:p>
    <w:p w14:paraId="03BF9A68" w14:textId="77777777" w:rsidR="008D7DD4" w:rsidRPr="008D7DD4" w:rsidRDefault="008D7DD4" w:rsidP="00CA45CC">
      <w:pPr>
        <w:numPr>
          <w:ilvl w:val="0"/>
          <w:numId w:val="8"/>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za oceno znižanja zaradi izvzema iz obdavčitve za neprofitna in namenska najemna stanovanja nimamo potrebnih podatkov, za približek ocene pa izhajamo iz ocene vseh stanovanjskih nepremičnin, ki so v lasti države in občin, kar nakazuje na znižanje ocenjenih prihodkov dodatno za okoli 230 mio evrov prihodkov (ob 1,45 % davčni stopnji) ter</w:t>
      </w:r>
    </w:p>
    <w:p w14:paraId="689337E2" w14:textId="77777777" w:rsidR="008D7DD4" w:rsidRPr="008D7DD4" w:rsidRDefault="008D7DD4" w:rsidP="00CA45CC">
      <w:pPr>
        <w:numPr>
          <w:ilvl w:val="0"/>
          <w:numId w:val="8"/>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 znižanjem davka od stanovanjskih nepremičnin za 25 % prijavljenih dohodkov</w:t>
      </w:r>
      <w:r w:rsidRPr="008D7DD4">
        <w:rPr>
          <w:rFonts w:ascii="Garamond" w:eastAsia="MS PMincho" w:hAnsi="Garamond" w:cs="Arial"/>
          <w:b/>
          <w:color w:val="44546A"/>
          <w:sz w:val="28"/>
          <w:szCs w:val="20"/>
          <w:vertAlign w:val="superscript"/>
        </w:rPr>
        <w:footnoteReference w:id="2"/>
      </w:r>
      <w:r w:rsidRPr="008D7DD4">
        <w:rPr>
          <w:rFonts w:ascii="Garamond" w:eastAsia="MS PMincho" w:hAnsi="Garamond" w:cs="Arial"/>
          <w:b/>
          <w:color w:val="44546A"/>
          <w:sz w:val="28"/>
          <w:szCs w:val="20"/>
        </w:rPr>
        <w:t xml:space="preserve"> iz naslova oddajanja premoženja v najem bi se prihodki še dodatno znižali za </w:t>
      </w:r>
      <w:r w:rsidR="001B42D9">
        <w:rPr>
          <w:rFonts w:ascii="Garamond" w:eastAsia="MS PMincho" w:hAnsi="Garamond" w:cs="Arial"/>
          <w:b/>
          <w:color w:val="44546A"/>
          <w:sz w:val="28"/>
          <w:szCs w:val="20"/>
        </w:rPr>
        <w:t xml:space="preserve">okoli </w:t>
      </w:r>
      <w:r w:rsidRPr="008D7DD4">
        <w:rPr>
          <w:rFonts w:ascii="Garamond" w:eastAsia="MS PMincho" w:hAnsi="Garamond" w:cs="Arial"/>
          <w:b/>
          <w:color w:val="44546A"/>
          <w:sz w:val="28"/>
          <w:szCs w:val="20"/>
        </w:rPr>
        <w:t>9</w:t>
      </w:r>
      <w:r w:rsidR="001B42D9">
        <w:rPr>
          <w:rFonts w:ascii="Garamond" w:eastAsia="MS PMincho" w:hAnsi="Garamond" w:cs="Arial"/>
          <w:b/>
          <w:color w:val="44546A"/>
          <w:sz w:val="28"/>
          <w:szCs w:val="20"/>
        </w:rPr>
        <w:t>0</w:t>
      </w:r>
      <w:r w:rsidRPr="008D7DD4">
        <w:rPr>
          <w:rFonts w:ascii="Garamond" w:eastAsia="MS PMincho" w:hAnsi="Garamond" w:cs="Arial"/>
          <w:b/>
          <w:color w:val="44546A"/>
          <w:sz w:val="28"/>
          <w:szCs w:val="20"/>
        </w:rPr>
        <w:t xml:space="preserve"> mio evrov.</w:t>
      </w:r>
    </w:p>
    <w:p w14:paraId="72D3CA77" w14:textId="77777777" w:rsidR="008D7DD4" w:rsidRPr="008D7DD4" w:rsidRDefault="008D7DD4" w:rsidP="008D7DD4">
      <w:pPr>
        <w:spacing w:after="0"/>
        <w:jc w:val="both"/>
        <w:rPr>
          <w:rFonts w:ascii="Garamond" w:eastAsia="MS PMincho" w:hAnsi="Garamond" w:cs="Arial"/>
          <w:b/>
          <w:color w:val="44546A"/>
          <w:sz w:val="28"/>
          <w:szCs w:val="20"/>
        </w:rPr>
      </w:pPr>
    </w:p>
    <w:p w14:paraId="420B309D"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Skupna ocena davka na stanovanjske nepremičnine, ob trenutno znanih podatkih in ob predvidenih ugodnostih, bi tako lahko znašala največ okoli 6</w:t>
      </w:r>
      <w:r w:rsidR="00800073">
        <w:rPr>
          <w:rFonts w:ascii="Garamond" w:eastAsia="MS PMincho" w:hAnsi="Garamond" w:cs="Arial"/>
          <w:b/>
          <w:color w:val="44546A"/>
          <w:sz w:val="28"/>
          <w:szCs w:val="20"/>
        </w:rPr>
        <w:t>0</w:t>
      </w:r>
      <w:r w:rsidRPr="008D7DD4">
        <w:rPr>
          <w:rFonts w:ascii="Garamond" w:eastAsia="MS PMincho" w:hAnsi="Garamond" w:cs="Arial"/>
          <w:b/>
          <w:color w:val="44546A"/>
          <w:sz w:val="28"/>
          <w:szCs w:val="20"/>
        </w:rPr>
        <w:t xml:space="preserve">0 mio evrov v primeru splošne davčne stopnje v višini 1,45 %. </w:t>
      </w:r>
    </w:p>
    <w:p w14:paraId="4254DAC4" w14:textId="77777777" w:rsidR="008D7DD4" w:rsidRPr="008D7DD4" w:rsidRDefault="008D7DD4" w:rsidP="008D7DD4">
      <w:pPr>
        <w:spacing w:after="0"/>
        <w:jc w:val="both"/>
        <w:rPr>
          <w:rFonts w:ascii="Garamond" w:eastAsia="MS PMincho" w:hAnsi="Garamond" w:cs="Arial"/>
          <w:b/>
          <w:color w:val="44546A"/>
          <w:sz w:val="28"/>
          <w:szCs w:val="20"/>
        </w:rPr>
      </w:pPr>
    </w:p>
    <w:p w14:paraId="4C5961FA"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Z uveljavitvijo navedenega davka je pričakovati spremembe na področju prijavljanja stalnega prebivališča in prenašanja lastništva nepremičnin, kar bi posledično vplivalo na nižje realizirane prihodke iz naslova tega davka, kot je ocenjeno. Prav tako bo na znižanje predvidenih prihodkov iz tega naslova vplivalo zvišanje deleža prijavljanja dohodkov iz naslova oddajanja premoženja v najem, pa tudi prijavljanja dejansko realiziranih višin. Ob upoštevanju dejstva, da je med lastniki nepremičnin tudi nekaj pravnih oseb in fizičnih oseb, ki opravljajo dejavnost, ocenjujemo, da bo pri tem zaradi možnosti uveljavljanja navedenega davka v okviru davčno priznanih odhodkov prišlo tudi do zmanjšanja prihodkov državnega proračuna (po grobi oceni za nekje okoli 25 mio evrov).</w:t>
      </w:r>
    </w:p>
    <w:p w14:paraId="1C108652" w14:textId="77777777" w:rsidR="008D7DD4" w:rsidRPr="008D7DD4" w:rsidRDefault="008D7DD4" w:rsidP="008D7DD4">
      <w:pPr>
        <w:spacing w:after="0"/>
        <w:jc w:val="both"/>
        <w:rPr>
          <w:rFonts w:ascii="Garamond" w:eastAsia="MS PMincho" w:hAnsi="Garamond" w:cs="Arial"/>
          <w:b/>
          <w:color w:val="44546A"/>
          <w:sz w:val="28"/>
          <w:szCs w:val="20"/>
        </w:rPr>
      </w:pPr>
    </w:p>
    <w:p w14:paraId="40FDAABE"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Tabela 1: Potencialna skupna ocena davka na stanovanjske nepremičnine ob upoštevanju predlagane višine splošne davčne stopnje</w:t>
      </w:r>
    </w:p>
    <w:p w14:paraId="5E8C0247" w14:textId="77777777" w:rsidR="008D7DD4" w:rsidRPr="008D7DD4" w:rsidRDefault="008D7DD4" w:rsidP="008D7DD4">
      <w:pPr>
        <w:spacing w:after="0"/>
        <w:jc w:val="both"/>
        <w:rPr>
          <w:rFonts w:ascii="Garamond" w:eastAsia="MS PMincho" w:hAnsi="Garamond" w:cs="Arial"/>
          <w:b/>
          <w:color w:val="44546A"/>
          <w:sz w:val="28"/>
          <w:szCs w:val="20"/>
        </w:rPr>
      </w:pPr>
    </w:p>
    <w:p w14:paraId="3C405408" w14:textId="77777777" w:rsidR="008D7DD4" w:rsidRPr="008D7DD4" w:rsidRDefault="008D7DD4" w:rsidP="008D7DD4">
      <w:pPr>
        <w:spacing w:after="0" w:line="240" w:lineRule="auto"/>
        <w:ind w:left="3600" w:firstLine="720"/>
        <w:jc w:val="center"/>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Zneski v mio evrih</w:t>
      </w:r>
    </w:p>
    <w:tbl>
      <w:tblPr>
        <w:tblW w:w="7807" w:type="dxa"/>
        <w:tblCellMar>
          <w:left w:w="70" w:type="dxa"/>
          <w:right w:w="70" w:type="dxa"/>
        </w:tblCellMar>
        <w:tblLook w:val="04A0" w:firstRow="1" w:lastRow="0" w:firstColumn="1" w:lastColumn="0" w:noHBand="0" w:noVBand="1"/>
      </w:tblPr>
      <w:tblGrid>
        <w:gridCol w:w="5815"/>
        <w:gridCol w:w="1992"/>
      </w:tblGrid>
      <w:tr w:rsidR="008D7DD4" w:rsidRPr="008D7DD4" w14:paraId="03659E9E" w14:textId="77777777" w:rsidTr="003D463E">
        <w:trPr>
          <w:trHeight w:val="259"/>
        </w:trPr>
        <w:tc>
          <w:tcPr>
            <w:tcW w:w="5815" w:type="dxa"/>
            <w:tcBorders>
              <w:top w:val="nil"/>
              <w:left w:val="nil"/>
              <w:bottom w:val="nil"/>
              <w:right w:val="single" w:sz="4" w:space="0" w:color="auto"/>
            </w:tcBorders>
            <w:shd w:val="clear" w:color="auto" w:fill="auto"/>
            <w:noWrap/>
            <w:vAlign w:val="bottom"/>
            <w:hideMark/>
          </w:tcPr>
          <w:p w14:paraId="0AE48283" w14:textId="77777777" w:rsidR="008D7DD4" w:rsidRPr="008D7DD4" w:rsidRDefault="008D7DD4" w:rsidP="008D7DD4">
            <w:pPr>
              <w:spacing w:after="0" w:line="240" w:lineRule="auto"/>
              <w:rPr>
                <w:rFonts w:ascii="Garamond" w:eastAsia="Times New Roman" w:hAnsi="Garamond"/>
                <w:b/>
                <w:bCs/>
                <w:sz w:val="28"/>
                <w:szCs w:val="28"/>
                <w:lang w:eastAsia="sl-SI"/>
              </w:rPr>
            </w:pP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99A1"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Stopnja 1,45 %</w:t>
            </w:r>
          </w:p>
        </w:tc>
      </w:tr>
      <w:tr w:rsidR="008D7DD4" w:rsidRPr="008D7DD4" w14:paraId="6074FBA5" w14:textId="77777777" w:rsidTr="003D463E">
        <w:trPr>
          <w:trHeight w:val="259"/>
        </w:trPr>
        <w:tc>
          <w:tcPr>
            <w:tcW w:w="5815"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C82C0E1"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enotna stopnja za vse</w:t>
            </w:r>
          </w:p>
        </w:tc>
        <w:tc>
          <w:tcPr>
            <w:tcW w:w="1992" w:type="dxa"/>
            <w:tcBorders>
              <w:top w:val="nil"/>
              <w:left w:val="nil"/>
              <w:bottom w:val="single" w:sz="4" w:space="0" w:color="auto"/>
              <w:right w:val="single" w:sz="4" w:space="0" w:color="auto"/>
            </w:tcBorders>
            <w:shd w:val="clear" w:color="000000" w:fill="FCE4D6"/>
            <w:noWrap/>
            <w:vAlign w:val="bottom"/>
            <w:hideMark/>
          </w:tcPr>
          <w:p w14:paraId="6F2E5B64" w14:textId="77777777" w:rsidR="008D7DD4" w:rsidRPr="008D7DD4" w:rsidRDefault="008D7DD4" w:rsidP="008D7DD4">
            <w:pPr>
              <w:spacing w:after="0" w:line="240" w:lineRule="auto"/>
              <w:jc w:val="right"/>
              <w:rPr>
                <w:rFonts w:ascii="Garamond" w:eastAsia="MS PMincho" w:hAnsi="Garamond"/>
                <w:b/>
                <w:bCs/>
                <w:color w:val="44546A"/>
                <w:sz w:val="28"/>
                <w:szCs w:val="28"/>
              </w:rPr>
            </w:pPr>
            <w:r w:rsidRPr="008D7DD4">
              <w:rPr>
                <w:rFonts w:ascii="Garamond" w:eastAsia="MS PMincho" w:hAnsi="Garamond"/>
                <w:b/>
                <w:bCs/>
                <w:color w:val="44546A"/>
                <w:sz w:val="28"/>
                <w:szCs w:val="28"/>
              </w:rPr>
              <w:t>2.340</w:t>
            </w:r>
          </w:p>
        </w:tc>
      </w:tr>
      <w:tr w:rsidR="008D7DD4" w:rsidRPr="008D7DD4" w14:paraId="3DA4B42A" w14:textId="77777777" w:rsidTr="003D463E">
        <w:trPr>
          <w:trHeight w:val="259"/>
        </w:trPr>
        <w:tc>
          <w:tcPr>
            <w:tcW w:w="5815" w:type="dxa"/>
            <w:tcBorders>
              <w:top w:val="nil"/>
              <w:left w:val="single" w:sz="4" w:space="0" w:color="auto"/>
              <w:bottom w:val="single" w:sz="4" w:space="0" w:color="auto"/>
              <w:right w:val="single" w:sz="4" w:space="0" w:color="auto"/>
            </w:tcBorders>
            <w:shd w:val="clear" w:color="auto" w:fill="auto"/>
            <w:vAlign w:val="bottom"/>
            <w:hideMark/>
          </w:tcPr>
          <w:p w14:paraId="02E6CD93"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ob upoštevanju davčn</w:t>
            </w:r>
            <w:r w:rsidRPr="008D7DD4">
              <w:rPr>
                <w:rFonts w:ascii="Garamond" w:eastAsia="Times New Roman" w:hAnsi="Garamond"/>
                <w:b/>
                <w:bCs/>
                <w:sz w:val="28"/>
                <w:szCs w:val="28"/>
                <w:lang w:eastAsia="sl-SI"/>
              </w:rPr>
              <w:t>i</w:t>
            </w:r>
            <w:r w:rsidRPr="008D7DD4">
              <w:rPr>
                <w:rFonts w:ascii="Garamond" w:eastAsia="MS PMincho" w:hAnsi="Garamond"/>
                <w:b/>
                <w:bCs/>
                <w:color w:val="44546A"/>
                <w:sz w:val="28"/>
                <w:szCs w:val="28"/>
              </w:rPr>
              <w:t>h ugodnosti:</w:t>
            </w:r>
          </w:p>
        </w:tc>
        <w:tc>
          <w:tcPr>
            <w:tcW w:w="1992" w:type="dxa"/>
            <w:tcBorders>
              <w:top w:val="nil"/>
              <w:left w:val="nil"/>
              <w:bottom w:val="single" w:sz="4" w:space="0" w:color="auto"/>
              <w:right w:val="single" w:sz="4" w:space="0" w:color="auto"/>
            </w:tcBorders>
            <w:shd w:val="clear" w:color="auto" w:fill="auto"/>
            <w:noWrap/>
            <w:vAlign w:val="bottom"/>
            <w:hideMark/>
          </w:tcPr>
          <w:p w14:paraId="6B6931B4"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 </w:t>
            </w:r>
          </w:p>
        </w:tc>
      </w:tr>
      <w:tr w:rsidR="008D7DD4" w:rsidRPr="008D7DD4" w14:paraId="27EFC746" w14:textId="77777777" w:rsidTr="003D463E">
        <w:trPr>
          <w:trHeight w:val="259"/>
        </w:trPr>
        <w:tc>
          <w:tcPr>
            <w:tcW w:w="5815" w:type="dxa"/>
            <w:tcBorders>
              <w:top w:val="nil"/>
              <w:left w:val="single" w:sz="4" w:space="0" w:color="auto"/>
              <w:bottom w:val="single" w:sz="4" w:space="0" w:color="auto"/>
              <w:right w:val="single" w:sz="4" w:space="0" w:color="auto"/>
            </w:tcBorders>
            <w:shd w:val="clear" w:color="auto" w:fill="auto"/>
            <w:vAlign w:val="bottom"/>
            <w:hideMark/>
          </w:tcPr>
          <w:p w14:paraId="72A07DB4"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 oprostitev za rezidenčne nepremičnine</w:t>
            </w:r>
          </w:p>
        </w:tc>
        <w:tc>
          <w:tcPr>
            <w:tcW w:w="1992" w:type="dxa"/>
            <w:tcBorders>
              <w:top w:val="nil"/>
              <w:left w:val="nil"/>
              <w:bottom w:val="single" w:sz="4" w:space="0" w:color="auto"/>
              <w:right w:val="single" w:sz="4" w:space="0" w:color="auto"/>
            </w:tcBorders>
            <w:shd w:val="clear" w:color="auto" w:fill="auto"/>
            <w:noWrap/>
            <w:vAlign w:val="bottom"/>
            <w:hideMark/>
          </w:tcPr>
          <w:p w14:paraId="1203696A" w14:textId="77777777" w:rsidR="008D7DD4" w:rsidRPr="008D7DD4" w:rsidRDefault="008D7DD4" w:rsidP="008D7DD4">
            <w:pPr>
              <w:spacing w:after="0" w:line="240" w:lineRule="auto"/>
              <w:jc w:val="right"/>
              <w:rPr>
                <w:rFonts w:ascii="Garamond" w:eastAsia="MS PMincho" w:hAnsi="Garamond"/>
                <w:b/>
                <w:bCs/>
                <w:color w:val="44546A"/>
                <w:sz w:val="28"/>
                <w:szCs w:val="28"/>
              </w:rPr>
            </w:pPr>
            <w:r w:rsidRPr="008D7DD4">
              <w:rPr>
                <w:rFonts w:ascii="Garamond" w:eastAsia="MS PMincho" w:hAnsi="Garamond"/>
                <w:b/>
                <w:bCs/>
                <w:color w:val="44546A"/>
                <w:sz w:val="28"/>
                <w:szCs w:val="28"/>
              </w:rPr>
              <w:t>1.</w:t>
            </w:r>
            <w:r w:rsidR="00800073">
              <w:rPr>
                <w:rFonts w:ascii="Garamond" w:eastAsia="MS PMincho" w:hAnsi="Garamond"/>
                <w:b/>
                <w:bCs/>
                <w:color w:val="44546A"/>
                <w:sz w:val="28"/>
                <w:szCs w:val="28"/>
              </w:rPr>
              <w:t>415</w:t>
            </w:r>
          </w:p>
        </w:tc>
      </w:tr>
      <w:tr w:rsidR="008D7DD4" w:rsidRPr="008D7DD4" w14:paraId="728823C6" w14:textId="77777777" w:rsidTr="003D463E">
        <w:trPr>
          <w:trHeight w:val="519"/>
        </w:trPr>
        <w:tc>
          <w:tcPr>
            <w:tcW w:w="5815" w:type="dxa"/>
            <w:tcBorders>
              <w:top w:val="nil"/>
              <w:left w:val="single" w:sz="4" w:space="0" w:color="auto"/>
              <w:bottom w:val="single" w:sz="4" w:space="0" w:color="auto"/>
              <w:right w:val="single" w:sz="4" w:space="0" w:color="auto"/>
            </w:tcBorders>
            <w:shd w:val="clear" w:color="auto" w:fill="auto"/>
            <w:vAlign w:val="bottom"/>
            <w:hideMark/>
          </w:tcPr>
          <w:p w14:paraId="34BC9203"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 ocena izvzema iz obdavčitve vse stanovanjske nepremičnine v lasti države in občin</w:t>
            </w:r>
          </w:p>
        </w:tc>
        <w:tc>
          <w:tcPr>
            <w:tcW w:w="1992" w:type="dxa"/>
            <w:tcBorders>
              <w:top w:val="nil"/>
              <w:left w:val="nil"/>
              <w:bottom w:val="single" w:sz="4" w:space="0" w:color="auto"/>
              <w:right w:val="single" w:sz="4" w:space="0" w:color="auto"/>
            </w:tcBorders>
            <w:shd w:val="clear" w:color="auto" w:fill="auto"/>
            <w:noWrap/>
            <w:vAlign w:val="bottom"/>
            <w:hideMark/>
          </w:tcPr>
          <w:p w14:paraId="413A3ECD" w14:textId="77777777" w:rsidR="008D7DD4" w:rsidRPr="008D7DD4" w:rsidRDefault="008D7DD4" w:rsidP="008D7DD4">
            <w:pPr>
              <w:spacing w:after="0" w:line="240" w:lineRule="auto"/>
              <w:jc w:val="right"/>
              <w:rPr>
                <w:rFonts w:ascii="Garamond" w:eastAsia="MS PMincho" w:hAnsi="Garamond"/>
                <w:b/>
                <w:bCs/>
                <w:color w:val="44546A"/>
                <w:sz w:val="28"/>
                <w:szCs w:val="28"/>
              </w:rPr>
            </w:pPr>
            <w:r w:rsidRPr="008D7DD4">
              <w:rPr>
                <w:rFonts w:ascii="Garamond" w:eastAsia="MS PMincho" w:hAnsi="Garamond"/>
                <w:b/>
                <w:bCs/>
                <w:color w:val="44546A"/>
                <w:sz w:val="28"/>
                <w:szCs w:val="28"/>
              </w:rPr>
              <w:t>235</w:t>
            </w:r>
          </w:p>
        </w:tc>
      </w:tr>
      <w:tr w:rsidR="008D7DD4" w:rsidRPr="008D7DD4" w14:paraId="28630422" w14:textId="77777777" w:rsidTr="003D463E">
        <w:trPr>
          <w:trHeight w:val="545"/>
        </w:trPr>
        <w:tc>
          <w:tcPr>
            <w:tcW w:w="5815" w:type="dxa"/>
            <w:tcBorders>
              <w:top w:val="nil"/>
              <w:left w:val="single" w:sz="4" w:space="0" w:color="auto"/>
              <w:bottom w:val="single" w:sz="4" w:space="0" w:color="auto"/>
              <w:right w:val="single" w:sz="4" w:space="0" w:color="auto"/>
            </w:tcBorders>
            <w:shd w:val="clear" w:color="auto" w:fill="auto"/>
            <w:vAlign w:val="bottom"/>
            <w:hideMark/>
          </w:tcPr>
          <w:p w14:paraId="6BD152F2"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 znižanje za 25 % dohodka iz oddajanja premoženja v najem</w:t>
            </w:r>
          </w:p>
        </w:tc>
        <w:tc>
          <w:tcPr>
            <w:tcW w:w="1992" w:type="dxa"/>
            <w:tcBorders>
              <w:top w:val="nil"/>
              <w:left w:val="nil"/>
              <w:bottom w:val="single" w:sz="4" w:space="0" w:color="auto"/>
              <w:right w:val="single" w:sz="4" w:space="0" w:color="auto"/>
            </w:tcBorders>
            <w:shd w:val="clear" w:color="auto" w:fill="auto"/>
            <w:noWrap/>
            <w:vAlign w:val="bottom"/>
            <w:hideMark/>
          </w:tcPr>
          <w:p w14:paraId="5867FD08" w14:textId="77777777" w:rsidR="008D7DD4" w:rsidRPr="008D7DD4" w:rsidRDefault="008D7DD4" w:rsidP="008D7DD4">
            <w:pPr>
              <w:spacing w:after="0" w:line="240" w:lineRule="auto"/>
              <w:jc w:val="right"/>
              <w:rPr>
                <w:rFonts w:ascii="Garamond" w:eastAsia="MS PMincho" w:hAnsi="Garamond"/>
                <w:b/>
                <w:bCs/>
                <w:color w:val="44546A"/>
                <w:sz w:val="28"/>
                <w:szCs w:val="28"/>
              </w:rPr>
            </w:pPr>
            <w:r w:rsidRPr="008D7DD4">
              <w:rPr>
                <w:rFonts w:ascii="Garamond" w:eastAsia="MS PMincho" w:hAnsi="Garamond"/>
                <w:b/>
                <w:bCs/>
                <w:color w:val="44546A"/>
                <w:sz w:val="28"/>
                <w:szCs w:val="28"/>
              </w:rPr>
              <w:t>91</w:t>
            </w:r>
          </w:p>
        </w:tc>
      </w:tr>
      <w:tr w:rsidR="008D7DD4" w:rsidRPr="008D7DD4" w14:paraId="69C26756" w14:textId="77777777" w:rsidTr="003D463E">
        <w:trPr>
          <w:trHeight w:val="337"/>
        </w:trPr>
        <w:tc>
          <w:tcPr>
            <w:tcW w:w="5815" w:type="dxa"/>
            <w:tcBorders>
              <w:top w:val="nil"/>
              <w:left w:val="single" w:sz="4" w:space="0" w:color="auto"/>
              <w:bottom w:val="single" w:sz="4" w:space="0" w:color="auto"/>
              <w:right w:val="single" w:sz="4" w:space="0" w:color="auto"/>
            </w:tcBorders>
            <w:shd w:val="clear" w:color="000000" w:fill="FFFF00"/>
            <w:vAlign w:val="bottom"/>
            <w:hideMark/>
          </w:tcPr>
          <w:p w14:paraId="79A2593A" w14:textId="77777777" w:rsidR="008D7DD4" w:rsidRPr="008D7DD4" w:rsidRDefault="008D7DD4" w:rsidP="008D7DD4">
            <w:pPr>
              <w:spacing w:after="0" w:line="240" w:lineRule="auto"/>
              <w:rPr>
                <w:rFonts w:ascii="Garamond" w:eastAsia="MS PMincho" w:hAnsi="Garamond"/>
                <w:b/>
                <w:bCs/>
                <w:color w:val="44546A"/>
                <w:sz w:val="28"/>
                <w:szCs w:val="28"/>
              </w:rPr>
            </w:pPr>
            <w:r w:rsidRPr="008D7DD4">
              <w:rPr>
                <w:rFonts w:ascii="Garamond" w:eastAsia="MS PMincho" w:hAnsi="Garamond"/>
                <w:b/>
                <w:bCs/>
                <w:color w:val="44546A"/>
                <w:sz w:val="28"/>
                <w:szCs w:val="28"/>
              </w:rPr>
              <w:t>SKUPAJ POTENCIALNA OCENA DAVKA</w:t>
            </w:r>
          </w:p>
        </w:tc>
        <w:tc>
          <w:tcPr>
            <w:tcW w:w="1992" w:type="dxa"/>
            <w:tcBorders>
              <w:top w:val="nil"/>
              <w:left w:val="nil"/>
              <w:bottom w:val="single" w:sz="4" w:space="0" w:color="auto"/>
              <w:right w:val="single" w:sz="4" w:space="0" w:color="auto"/>
            </w:tcBorders>
            <w:shd w:val="clear" w:color="000000" w:fill="FFFF00"/>
            <w:noWrap/>
            <w:vAlign w:val="bottom"/>
            <w:hideMark/>
          </w:tcPr>
          <w:p w14:paraId="6445EDD8" w14:textId="77777777" w:rsidR="008D7DD4" w:rsidRPr="008D7DD4" w:rsidRDefault="008D7DD4" w:rsidP="008D7DD4">
            <w:pPr>
              <w:spacing w:after="0" w:line="240" w:lineRule="auto"/>
              <w:jc w:val="right"/>
              <w:rPr>
                <w:rFonts w:ascii="Garamond" w:eastAsia="MS PMincho" w:hAnsi="Garamond"/>
                <w:b/>
                <w:bCs/>
                <w:color w:val="44546A"/>
                <w:sz w:val="28"/>
                <w:szCs w:val="28"/>
              </w:rPr>
            </w:pPr>
            <w:r w:rsidRPr="008D7DD4">
              <w:rPr>
                <w:rFonts w:ascii="Garamond" w:eastAsia="MS PMincho" w:hAnsi="Garamond"/>
                <w:b/>
                <w:bCs/>
                <w:color w:val="44546A"/>
                <w:sz w:val="28"/>
                <w:szCs w:val="28"/>
              </w:rPr>
              <w:t>6</w:t>
            </w:r>
            <w:r w:rsidR="00800073">
              <w:rPr>
                <w:rFonts w:ascii="Garamond" w:eastAsia="MS PMincho" w:hAnsi="Garamond"/>
                <w:b/>
                <w:bCs/>
                <w:color w:val="44546A"/>
                <w:sz w:val="28"/>
                <w:szCs w:val="28"/>
              </w:rPr>
              <w:t>00</w:t>
            </w:r>
          </w:p>
        </w:tc>
      </w:tr>
    </w:tbl>
    <w:p w14:paraId="62032F59" w14:textId="77777777" w:rsidR="008D7DD4" w:rsidRPr="008D7DD4" w:rsidRDefault="008D7DD4" w:rsidP="008D7DD4">
      <w:pPr>
        <w:spacing w:after="0" w:line="240" w:lineRule="auto"/>
        <w:jc w:val="both"/>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Vir: Lastni preračuni MF</w:t>
      </w:r>
    </w:p>
    <w:p w14:paraId="2F3C52C2" w14:textId="77777777" w:rsidR="008D7DD4" w:rsidRPr="008D7DD4" w:rsidRDefault="008D7DD4" w:rsidP="008D7DD4">
      <w:pPr>
        <w:spacing w:line="240" w:lineRule="auto"/>
        <w:jc w:val="both"/>
        <w:rPr>
          <w:rFonts w:ascii="Times New Roman" w:eastAsia="Times New Roman" w:hAnsi="Times New Roman"/>
          <w:noProof/>
          <w:sz w:val="24"/>
          <w:szCs w:val="24"/>
          <w:lang w:eastAsia="sl-SI"/>
        </w:rPr>
        <w:sectPr w:rsidR="008D7DD4" w:rsidRPr="008D7DD4" w:rsidSect="005B6E25">
          <w:footerReference w:type="default" r:id="rId16"/>
          <w:pgSz w:w="11906" w:h="16838" w:code="9"/>
          <w:pgMar w:top="720" w:right="1021" w:bottom="1135" w:left="1021" w:header="0" w:footer="289" w:gutter="0"/>
          <w:pgNumType w:start="2"/>
          <w:cols w:space="720"/>
          <w:docGrid w:linePitch="382"/>
        </w:sectPr>
      </w:pPr>
    </w:p>
    <w:p w14:paraId="383FA5C2" w14:textId="77777777" w:rsidR="008D7DD4" w:rsidRPr="008D7DD4" w:rsidRDefault="008D7DD4" w:rsidP="008D7DD4">
      <w:pPr>
        <w:spacing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 xml:space="preserve">Tabela 2: Potencialna ocena davka na stanovanjske nepremičnine </w:t>
      </w:r>
      <w:r w:rsidRPr="00E71946">
        <w:rPr>
          <w:rFonts w:ascii="Garamond" w:eastAsia="MS PMincho" w:hAnsi="Garamond" w:cs="Arial"/>
          <w:b/>
          <w:color w:val="44546A"/>
          <w:sz w:val="28"/>
          <w:szCs w:val="20"/>
          <w:u w:val="single"/>
        </w:rPr>
        <w:t>brez upoštevanja davčnih ugodnosti</w:t>
      </w:r>
      <w:r w:rsidRPr="008D7DD4">
        <w:rPr>
          <w:rFonts w:ascii="Garamond" w:eastAsia="MS PMincho" w:hAnsi="Garamond" w:cs="Arial"/>
          <w:b/>
          <w:color w:val="44546A"/>
          <w:sz w:val="28"/>
          <w:szCs w:val="20"/>
        </w:rPr>
        <w:t xml:space="preserve"> glede na tip lastništva </w:t>
      </w:r>
    </w:p>
    <w:p w14:paraId="7CC6CFAD" w14:textId="77777777" w:rsidR="008D7DD4" w:rsidRPr="008D7DD4" w:rsidRDefault="008D7DD4" w:rsidP="008D7DD4">
      <w:pPr>
        <w:spacing w:after="0" w:line="240" w:lineRule="auto"/>
        <w:ind w:left="7920" w:firstLine="720"/>
        <w:jc w:val="center"/>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Zneski v evrih</w:t>
      </w:r>
    </w:p>
    <w:tbl>
      <w:tblPr>
        <w:tblW w:w="12616" w:type="dxa"/>
        <w:tblCellMar>
          <w:left w:w="70" w:type="dxa"/>
          <w:right w:w="70" w:type="dxa"/>
        </w:tblCellMar>
        <w:tblLook w:val="04A0" w:firstRow="1" w:lastRow="0" w:firstColumn="1" w:lastColumn="0" w:noHBand="0" w:noVBand="1"/>
      </w:tblPr>
      <w:tblGrid>
        <w:gridCol w:w="4678"/>
        <w:gridCol w:w="2410"/>
        <w:gridCol w:w="1448"/>
        <w:gridCol w:w="1966"/>
        <w:gridCol w:w="2114"/>
      </w:tblGrid>
      <w:tr w:rsidR="008D7DD4" w:rsidRPr="008D7DD4" w14:paraId="66F79E9A" w14:textId="77777777" w:rsidTr="003D463E">
        <w:trPr>
          <w:trHeight w:val="623"/>
        </w:trPr>
        <w:tc>
          <w:tcPr>
            <w:tcW w:w="4678" w:type="dxa"/>
            <w:tcBorders>
              <w:top w:val="nil"/>
              <w:left w:val="nil"/>
              <w:bottom w:val="nil"/>
              <w:right w:val="nil"/>
            </w:tcBorders>
            <w:shd w:val="clear" w:color="auto" w:fill="auto"/>
            <w:noWrap/>
            <w:vAlign w:val="bottom"/>
            <w:hideMark/>
          </w:tcPr>
          <w:p w14:paraId="721A15A2" w14:textId="77777777" w:rsidR="008D7DD4" w:rsidRPr="008D7DD4" w:rsidRDefault="008D7DD4" w:rsidP="008D7DD4">
            <w:pPr>
              <w:spacing w:after="0" w:line="240" w:lineRule="auto"/>
              <w:rPr>
                <w:rFonts w:ascii="Times New Roman" w:eastAsia="Times New Roman" w:hAnsi="Times New Roman"/>
                <w:sz w:val="24"/>
                <w:szCs w:val="24"/>
                <w:lang w:eastAsia="sl-SI"/>
              </w:rPr>
            </w:pPr>
          </w:p>
        </w:tc>
        <w:tc>
          <w:tcPr>
            <w:tcW w:w="241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DBCD65E"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Vrednost</w:t>
            </w:r>
          </w:p>
        </w:tc>
        <w:tc>
          <w:tcPr>
            <w:tcW w:w="1448" w:type="dxa"/>
            <w:tcBorders>
              <w:top w:val="single" w:sz="4" w:space="0" w:color="auto"/>
              <w:left w:val="nil"/>
              <w:bottom w:val="single" w:sz="4" w:space="0" w:color="auto"/>
              <w:right w:val="single" w:sz="4" w:space="0" w:color="auto"/>
            </w:tcBorders>
            <w:shd w:val="clear" w:color="000000" w:fill="FFF2CC"/>
            <w:vAlign w:val="center"/>
            <w:hideMark/>
          </w:tcPr>
          <w:p w14:paraId="0078D15C"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Stopnja</w:t>
            </w:r>
          </w:p>
        </w:tc>
        <w:tc>
          <w:tcPr>
            <w:tcW w:w="1966" w:type="dxa"/>
            <w:tcBorders>
              <w:top w:val="single" w:sz="4" w:space="0" w:color="auto"/>
              <w:left w:val="nil"/>
              <w:bottom w:val="single" w:sz="4" w:space="0" w:color="auto"/>
              <w:right w:val="single" w:sz="4" w:space="0" w:color="auto"/>
            </w:tcBorders>
            <w:shd w:val="clear" w:color="000000" w:fill="FFF2CC"/>
            <w:vAlign w:val="center"/>
            <w:hideMark/>
          </w:tcPr>
          <w:p w14:paraId="3604579E"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Znesek davka - OCENA</w:t>
            </w:r>
          </w:p>
        </w:tc>
        <w:tc>
          <w:tcPr>
            <w:tcW w:w="2114" w:type="dxa"/>
            <w:tcBorders>
              <w:top w:val="single" w:sz="4" w:space="0" w:color="auto"/>
              <w:left w:val="nil"/>
              <w:bottom w:val="single" w:sz="4" w:space="0" w:color="auto"/>
              <w:right w:val="single" w:sz="4" w:space="0" w:color="auto"/>
            </w:tcBorders>
            <w:shd w:val="clear" w:color="000000" w:fill="E2EFDA"/>
            <w:vAlign w:val="center"/>
            <w:hideMark/>
          </w:tcPr>
          <w:p w14:paraId="5FA20DC8"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Znesek davka na osebo / </w:t>
            </w:r>
            <w:proofErr w:type="spellStart"/>
            <w:r w:rsidRPr="008D7DD4">
              <w:rPr>
                <w:rFonts w:ascii="Garamond" w:eastAsia="MS PMincho" w:hAnsi="Garamond" w:cs="Arial"/>
                <w:b/>
                <w:color w:val="44546A"/>
                <w:sz w:val="28"/>
                <w:szCs w:val="20"/>
              </w:rPr>
              <w:t>nepr</w:t>
            </w:r>
            <w:proofErr w:type="spellEnd"/>
            <w:r w:rsidRPr="008D7DD4">
              <w:rPr>
                <w:rFonts w:ascii="Garamond" w:eastAsia="MS PMincho" w:hAnsi="Garamond" w:cs="Arial"/>
                <w:b/>
                <w:color w:val="44546A"/>
                <w:sz w:val="28"/>
                <w:szCs w:val="20"/>
              </w:rPr>
              <w:t>.</w:t>
            </w:r>
          </w:p>
        </w:tc>
      </w:tr>
      <w:tr w:rsidR="008D7DD4" w:rsidRPr="008D7DD4" w14:paraId="2202FEDA" w14:textId="77777777" w:rsidTr="003D463E">
        <w:trPr>
          <w:trHeight w:val="355"/>
        </w:trPr>
        <w:tc>
          <w:tcPr>
            <w:tcW w:w="467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8C57D5"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stanovanja in hiše</w:t>
            </w:r>
          </w:p>
        </w:tc>
        <w:tc>
          <w:tcPr>
            <w:tcW w:w="2410" w:type="dxa"/>
            <w:tcBorders>
              <w:top w:val="nil"/>
              <w:left w:val="nil"/>
              <w:bottom w:val="single" w:sz="4" w:space="0" w:color="auto"/>
              <w:right w:val="single" w:sz="4" w:space="0" w:color="auto"/>
            </w:tcBorders>
            <w:shd w:val="clear" w:color="000000" w:fill="BFBFBF"/>
            <w:vAlign w:val="center"/>
            <w:hideMark/>
          </w:tcPr>
          <w:p w14:paraId="571250B5"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127.631.069.849</w:t>
            </w:r>
          </w:p>
        </w:tc>
        <w:tc>
          <w:tcPr>
            <w:tcW w:w="1448" w:type="dxa"/>
            <w:tcBorders>
              <w:top w:val="nil"/>
              <w:left w:val="nil"/>
              <w:bottom w:val="single" w:sz="4" w:space="0" w:color="auto"/>
              <w:right w:val="single" w:sz="4" w:space="0" w:color="auto"/>
            </w:tcBorders>
            <w:shd w:val="clear" w:color="000000" w:fill="BFBFBF"/>
            <w:vAlign w:val="center"/>
            <w:hideMark/>
          </w:tcPr>
          <w:p w14:paraId="74AF10C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966" w:type="dxa"/>
            <w:tcBorders>
              <w:top w:val="nil"/>
              <w:left w:val="nil"/>
              <w:bottom w:val="single" w:sz="4" w:space="0" w:color="auto"/>
              <w:right w:val="single" w:sz="4" w:space="0" w:color="auto"/>
            </w:tcBorders>
            <w:shd w:val="clear" w:color="000000" w:fill="BFBFBF"/>
            <w:vAlign w:val="center"/>
            <w:hideMark/>
          </w:tcPr>
          <w:p w14:paraId="7B23D17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1.850.650.513</w:t>
            </w:r>
          </w:p>
        </w:tc>
        <w:tc>
          <w:tcPr>
            <w:tcW w:w="2114" w:type="dxa"/>
            <w:tcBorders>
              <w:top w:val="nil"/>
              <w:left w:val="nil"/>
              <w:bottom w:val="single" w:sz="4" w:space="0" w:color="auto"/>
              <w:right w:val="single" w:sz="4" w:space="0" w:color="auto"/>
            </w:tcBorders>
            <w:shd w:val="clear" w:color="000000" w:fill="E2EFDA"/>
            <w:vAlign w:val="center"/>
            <w:hideMark/>
          </w:tcPr>
          <w:p w14:paraId="282802DF"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r>
      <w:tr w:rsidR="008D7DD4" w:rsidRPr="008D7DD4" w14:paraId="0C710B8A" w14:textId="77777777" w:rsidTr="003D463E">
        <w:trPr>
          <w:trHeight w:val="296"/>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7F7C2D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od tega lastniki fizične osebe</w:t>
            </w:r>
          </w:p>
        </w:tc>
        <w:tc>
          <w:tcPr>
            <w:tcW w:w="2410" w:type="dxa"/>
            <w:tcBorders>
              <w:top w:val="nil"/>
              <w:left w:val="nil"/>
              <w:bottom w:val="single" w:sz="4" w:space="0" w:color="auto"/>
              <w:right w:val="single" w:sz="4" w:space="0" w:color="auto"/>
            </w:tcBorders>
            <w:shd w:val="clear" w:color="auto" w:fill="auto"/>
            <w:noWrap/>
            <w:vAlign w:val="bottom"/>
            <w:hideMark/>
          </w:tcPr>
          <w:p w14:paraId="26FB980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118.131.572.005</w:t>
            </w:r>
          </w:p>
        </w:tc>
        <w:tc>
          <w:tcPr>
            <w:tcW w:w="1448" w:type="dxa"/>
            <w:tcBorders>
              <w:top w:val="nil"/>
              <w:left w:val="nil"/>
              <w:bottom w:val="single" w:sz="4" w:space="0" w:color="auto"/>
              <w:right w:val="single" w:sz="4" w:space="0" w:color="auto"/>
            </w:tcBorders>
            <w:shd w:val="clear" w:color="auto" w:fill="auto"/>
            <w:noWrap/>
            <w:vAlign w:val="bottom"/>
            <w:hideMark/>
          </w:tcPr>
          <w:p w14:paraId="1D0485D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1,45 %</w:t>
            </w:r>
          </w:p>
        </w:tc>
        <w:tc>
          <w:tcPr>
            <w:tcW w:w="1966" w:type="dxa"/>
            <w:tcBorders>
              <w:top w:val="nil"/>
              <w:left w:val="nil"/>
              <w:bottom w:val="single" w:sz="4" w:space="0" w:color="auto"/>
              <w:right w:val="single" w:sz="4" w:space="0" w:color="auto"/>
            </w:tcBorders>
            <w:shd w:val="clear" w:color="auto" w:fill="auto"/>
            <w:noWrap/>
            <w:vAlign w:val="bottom"/>
            <w:hideMark/>
          </w:tcPr>
          <w:p w14:paraId="519014A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1.712.907.794</w:t>
            </w:r>
          </w:p>
        </w:tc>
        <w:tc>
          <w:tcPr>
            <w:tcW w:w="2114" w:type="dxa"/>
            <w:tcBorders>
              <w:top w:val="nil"/>
              <w:left w:val="nil"/>
              <w:bottom w:val="single" w:sz="4" w:space="0" w:color="auto"/>
              <w:right w:val="single" w:sz="4" w:space="0" w:color="auto"/>
            </w:tcBorders>
            <w:shd w:val="clear" w:color="000000" w:fill="E2EFDA"/>
            <w:noWrap/>
            <w:vAlign w:val="bottom"/>
            <w:hideMark/>
          </w:tcPr>
          <w:p w14:paraId="1F75FCD4"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1.888</w:t>
            </w:r>
          </w:p>
        </w:tc>
      </w:tr>
      <w:tr w:rsidR="008D7DD4" w:rsidRPr="008D7DD4" w14:paraId="25976712" w14:textId="77777777" w:rsidTr="003D463E">
        <w:trPr>
          <w:trHeight w:val="296"/>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7D45B49"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od tega lastniki pravne osebe</w:t>
            </w:r>
          </w:p>
        </w:tc>
        <w:tc>
          <w:tcPr>
            <w:tcW w:w="2410" w:type="dxa"/>
            <w:tcBorders>
              <w:top w:val="nil"/>
              <w:left w:val="nil"/>
              <w:bottom w:val="single" w:sz="4" w:space="0" w:color="auto"/>
              <w:right w:val="single" w:sz="4" w:space="0" w:color="auto"/>
            </w:tcBorders>
            <w:shd w:val="clear" w:color="auto" w:fill="auto"/>
            <w:noWrap/>
            <w:vAlign w:val="bottom"/>
            <w:hideMark/>
          </w:tcPr>
          <w:p w14:paraId="58BEFB8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9.499.497.844</w:t>
            </w:r>
          </w:p>
        </w:tc>
        <w:tc>
          <w:tcPr>
            <w:tcW w:w="1448" w:type="dxa"/>
            <w:tcBorders>
              <w:top w:val="nil"/>
              <w:left w:val="nil"/>
              <w:bottom w:val="single" w:sz="4" w:space="0" w:color="auto"/>
              <w:right w:val="single" w:sz="4" w:space="0" w:color="auto"/>
            </w:tcBorders>
            <w:shd w:val="clear" w:color="auto" w:fill="auto"/>
            <w:noWrap/>
            <w:vAlign w:val="bottom"/>
            <w:hideMark/>
          </w:tcPr>
          <w:p w14:paraId="31C4351F"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1,45 %</w:t>
            </w:r>
          </w:p>
        </w:tc>
        <w:tc>
          <w:tcPr>
            <w:tcW w:w="1966" w:type="dxa"/>
            <w:tcBorders>
              <w:top w:val="nil"/>
              <w:left w:val="nil"/>
              <w:bottom w:val="single" w:sz="4" w:space="0" w:color="auto"/>
              <w:right w:val="single" w:sz="4" w:space="0" w:color="auto"/>
            </w:tcBorders>
            <w:shd w:val="clear" w:color="auto" w:fill="auto"/>
            <w:noWrap/>
            <w:vAlign w:val="bottom"/>
            <w:hideMark/>
          </w:tcPr>
          <w:p w14:paraId="4F36C04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137.742.719</w:t>
            </w:r>
          </w:p>
        </w:tc>
        <w:tc>
          <w:tcPr>
            <w:tcW w:w="2114" w:type="dxa"/>
            <w:tcBorders>
              <w:top w:val="nil"/>
              <w:left w:val="nil"/>
              <w:bottom w:val="single" w:sz="4" w:space="0" w:color="auto"/>
              <w:right w:val="single" w:sz="4" w:space="0" w:color="auto"/>
            </w:tcBorders>
            <w:shd w:val="clear" w:color="000000" w:fill="E2EFDA"/>
            <w:noWrap/>
            <w:vAlign w:val="bottom"/>
            <w:hideMark/>
          </w:tcPr>
          <w:p w14:paraId="027A36D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11.711</w:t>
            </w:r>
          </w:p>
        </w:tc>
      </w:tr>
      <w:tr w:rsidR="008D7DD4" w:rsidRPr="008D7DD4" w14:paraId="043596A8" w14:textId="77777777" w:rsidTr="003D463E">
        <w:trPr>
          <w:trHeight w:val="340"/>
        </w:trPr>
        <w:tc>
          <w:tcPr>
            <w:tcW w:w="4678" w:type="dxa"/>
            <w:tcBorders>
              <w:top w:val="nil"/>
              <w:left w:val="single" w:sz="4" w:space="0" w:color="auto"/>
              <w:bottom w:val="single" w:sz="4" w:space="0" w:color="auto"/>
              <w:right w:val="single" w:sz="4" w:space="0" w:color="auto"/>
            </w:tcBorders>
            <w:shd w:val="clear" w:color="000000" w:fill="BFBFBF"/>
            <w:noWrap/>
            <w:vAlign w:val="bottom"/>
            <w:hideMark/>
          </w:tcPr>
          <w:p w14:paraId="3C59EC84"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stavbna zemljišča</w:t>
            </w:r>
          </w:p>
        </w:tc>
        <w:tc>
          <w:tcPr>
            <w:tcW w:w="2410" w:type="dxa"/>
            <w:tcBorders>
              <w:top w:val="nil"/>
              <w:left w:val="nil"/>
              <w:bottom w:val="single" w:sz="4" w:space="0" w:color="auto"/>
              <w:right w:val="single" w:sz="4" w:space="0" w:color="auto"/>
            </w:tcBorders>
            <w:shd w:val="clear" w:color="000000" w:fill="BFBFBF"/>
            <w:noWrap/>
            <w:vAlign w:val="bottom"/>
            <w:hideMark/>
          </w:tcPr>
          <w:p w14:paraId="60D35FA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33.722.790.082</w:t>
            </w:r>
          </w:p>
        </w:tc>
        <w:tc>
          <w:tcPr>
            <w:tcW w:w="1448" w:type="dxa"/>
            <w:tcBorders>
              <w:top w:val="nil"/>
              <w:left w:val="nil"/>
              <w:bottom w:val="single" w:sz="4" w:space="0" w:color="auto"/>
              <w:right w:val="single" w:sz="4" w:space="0" w:color="auto"/>
            </w:tcBorders>
            <w:shd w:val="clear" w:color="000000" w:fill="BFBFBF"/>
            <w:noWrap/>
            <w:vAlign w:val="bottom"/>
            <w:hideMark/>
          </w:tcPr>
          <w:p w14:paraId="2809E330"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966" w:type="dxa"/>
            <w:tcBorders>
              <w:top w:val="nil"/>
              <w:left w:val="nil"/>
              <w:bottom w:val="single" w:sz="4" w:space="0" w:color="auto"/>
              <w:right w:val="single" w:sz="4" w:space="0" w:color="auto"/>
            </w:tcBorders>
            <w:shd w:val="clear" w:color="000000" w:fill="BFBFBF"/>
            <w:noWrap/>
            <w:vAlign w:val="bottom"/>
            <w:hideMark/>
          </w:tcPr>
          <w:p w14:paraId="1E5D678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488.980.456</w:t>
            </w:r>
          </w:p>
        </w:tc>
        <w:tc>
          <w:tcPr>
            <w:tcW w:w="2114" w:type="dxa"/>
            <w:tcBorders>
              <w:top w:val="nil"/>
              <w:left w:val="nil"/>
              <w:bottom w:val="single" w:sz="4" w:space="0" w:color="auto"/>
              <w:right w:val="single" w:sz="4" w:space="0" w:color="auto"/>
            </w:tcBorders>
            <w:shd w:val="clear" w:color="000000" w:fill="E2EFDA"/>
            <w:noWrap/>
            <w:vAlign w:val="bottom"/>
            <w:hideMark/>
          </w:tcPr>
          <w:p w14:paraId="00597DA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296</w:t>
            </w:r>
          </w:p>
        </w:tc>
      </w:tr>
      <w:tr w:rsidR="008D7DD4" w:rsidRPr="008D7DD4" w14:paraId="1EF389C3" w14:textId="77777777" w:rsidTr="003D463E">
        <w:trPr>
          <w:trHeight w:val="296"/>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6E1669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od tega lastniki fizične osebe</w:t>
            </w:r>
          </w:p>
        </w:tc>
        <w:tc>
          <w:tcPr>
            <w:tcW w:w="2410" w:type="dxa"/>
            <w:tcBorders>
              <w:top w:val="nil"/>
              <w:left w:val="nil"/>
              <w:bottom w:val="single" w:sz="4" w:space="0" w:color="auto"/>
              <w:right w:val="single" w:sz="4" w:space="0" w:color="auto"/>
            </w:tcBorders>
            <w:shd w:val="clear" w:color="auto" w:fill="auto"/>
            <w:noWrap/>
            <w:vAlign w:val="bottom"/>
            <w:hideMark/>
          </w:tcPr>
          <w:p w14:paraId="6029F34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25.902.617.371</w:t>
            </w:r>
          </w:p>
        </w:tc>
        <w:tc>
          <w:tcPr>
            <w:tcW w:w="1448" w:type="dxa"/>
            <w:tcBorders>
              <w:top w:val="nil"/>
              <w:left w:val="nil"/>
              <w:bottom w:val="single" w:sz="4" w:space="0" w:color="auto"/>
              <w:right w:val="single" w:sz="4" w:space="0" w:color="auto"/>
            </w:tcBorders>
            <w:shd w:val="clear" w:color="auto" w:fill="auto"/>
            <w:noWrap/>
            <w:vAlign w:val="bottom"/>
            <w:hideMark/>
          </w:tcPr>
          <w:p w14:paraId="4467C45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1,45 %</w:t>
            </w:r>
          </w:p>
        </w:tc>
        <w:tc>
          <w:tcPr>
            <w:tcW w:w="1966" w:type="dxa"/>
            <w:tcBorders>
              <w:top w:val="nil"/>
              <w:left w:val="nil"/>
              <w:bottom w:val="single" w:sz="4" w:space="0" w:color="auto"/>
              <w:right w:val="single" w:sz="4" w:space="0" w:color="auto"/>
            </w:tcBorders>
            <w:shd w:val="clear" w:color="auto" w:fill="auto"/>
            <w:noWrap/>
            <w:vAlign w:val="bottom"/>
            <w:hideMark/>
          </w:tcPr>
          <w:p w14:paraId="5BE3832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375.587.952</w:t>
            </w:r>
          </w:p>
        </w:tc>
        <w:tc>
          <w:tcPr>
            <w:tcW w:w="2114" w:type="dxa"/>
            <w:tcBorders>
              <w:top w:val="nil"/>
              <w:left w:val="nil"/>
              <w:bottom w:val="single" w:sz="4" w:space="0" w:color="auto"/>
              <w:right w:val="single" w:sz="4" w:space="0" w:color="auto"/>
            </w:tcBorders>
            <w:shd w:val="clear" w:color="000000" w:fill="E2EFDA"/>
            <w:noWrap/>
            <w:vAlign w:val="bottom"/>
            <w:hideMark/>
          </w:tcPr>
          <w:p w14:paraId="422BA20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246</w:t>
            </w:r>
          </w:p>
        </w:tc>
      </w:tr>
      <w:tr w:rsidR="008D7DD4" w:rsidRPr="008D7DD4" w14:paraId="4AC34137" w14:textId="77777777" w:rsidTr="003D463E">
        <w:trPr>
          <w:trHeight w:val="296"/>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FF8BF8C"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od tega lastniki pravne osebe</w:t>
            </w:r>
          </w:p>
        </w:tc>
        <w:tc>
          <w:tcPr>
            <w:tcW w:w="2410" w:type="dxa"/>
            <w:tcBorders>
              <w:top w:val="nil"/>
              <w:left w:val="nil"/>
              <w:bottom w:val="single" w:sz="4" w:space="0" w:color="auto"/>
              <w:right w:val="single" w:sz="4" w:space="0" w:color="auto"/>
            </w:tcBorders>
            <w:shd w:val="clear" w:color="auto" w:fill="auto"/>
            <w:noWrap/>
            <w:vAlign w:val="bottom"/>
            <w:hideMark/>
          </w:tcPr>
          <w:p w14:paraId="04D9698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7.820.172.711</w:t>
            </w:r>
          </w:p>
        </w:tc>
        <w:tc>
          <w:tcPr>
            <w:tcW w:w="1448" w:type="dxa"/>
            <w:tcBorders>
              <w:top w:val="nil"/>
              <w:left w:val="nil"/>
              <w:bottom w:val="single" w:sz="4" w:space="0" w:color="auto"/>
              <w:right w:val="single" w:sz="4" w:space="0" w:color="auto"/>
            </w:tcBorders>
            <w:shd w:val="clear" w:color="auto" w:fill="auto"/>
            <w:noWrap/>
            <w:vAlign w:val="bottom"/>
            <w:hideMark/>
          </w:tcPr>
          <w:p w14:paraId="23B229B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1,45 %</w:t>
            </w:r>
          </w:p>
        </w:tc>
        <w:tc>
          <w:tcPr>
            <w:tcW w:w="1966" w:type="dxa"/>
            <w:tcBorders>
              <w:top w:val="nil"/>
              <w:left w:val="nil"/>
              <w:bottom w:val="single" w:sz="4" w:space="0" w:color="auto"/>
              <w:right w:val="single" w:sz="4" w:space="0" w:color="auto"/>
            </w:tcBorders>
            <w:shd w:val="clear" w:color="auto" w:fill="auto"/>
            <w:noWrap/>
            <w:vAlign w:val="bottom"/>
            <w:hideMark/>
          </w:tcPr>
          <w:p w14:paraId="04F680B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113.392.504</w:t>
            </w:r>
          </w:p>
        </w:tc>
        <w:tc>
          <w:tcPr>
            <w:tcW w:w="2114" w:type="dxa"/>
            <w:tcBorders>
              <w:top w:val="nil"/>
              <w:left w:val="nil"/>
              <w:bottom w:val="single" w:sz="4" w:space="0" w:color="auto"/>
              <w:right w:val="single" w:sz="4" w:space="0" w:color="auto"/>
            </w:tcBorders>
            <w:shd w:val="clear" w:color="000000" w:fill="E2EFDA"/>
            <w:noWrap/>
            <w:vAlign w:val="bottom"/>
            <w:hideMark/>
          </w:tcPr>
          <w:p w14:paraId="7FB480EF"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896</w:t>
            </w:r>
          </w:p>
        </w:tc>
      </w:tr>
      <w:tr w:rsidR="008D7DD4" w:rsidRPr="008D7DD4" w14:paraId="538AAB3A" w14:textId="77777777" w:rsidTr="003D463E">
        <w:trPr>
          <w:trHeight w:val="340"/>
        </w:trPr>
        <w:tc>
          <w:tcPr>
            <w:tcW w:w="4678" w:type="dxa"/>
            <w:tcBorders>
              <w:top w:val="nil"/>
              <w:left w:val="single" w:sz="4" w:space="0" w:color="auto"/>
              <w:bottom w:val="single" w:sz="4" w:space="0" w:color="auto"/>
              <w:right w:val="single" w:sz="4" w:space="0" w:color="auto"/>
            </w:tcBorders>
            <w:shd w:val="clear" w:color="000000" w:fill="FFFF00"/>
            <w:noWrap/>
            <w:vAlign w:val="bottom"/>
            <w:hideMark/>
          </w:tcPr>
          <w:p w14:paraId="3FA9C681"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SKUPAJ</w:t>
            </w:r>
          </w:p>
        </w:tc>
        <w:tc>
          <w:tcPr>
            <w:tcW w:w="2410" w:type="dxa"/>
            <w:tcBorders>
              <w:top w:val="nil"/>
              <w:left w:val="nil"/>
              <w:bottom w:val="single" w:sz="4" w:space="0" w:color="auto"/>
              <w:right w:val="single" w:sz="4" w:space="0" w:color="auto"/>
            </w:tcBorders>
            <w:shd w:val="clear" w:color="000000" w:fill="FFFF00"/>
            <w:noWrap/>
            <w:vAlign w:val="bottom"/>
            <w:hideMark/>
          </w:tcPr>
          <w:p w14:paraId="6F310F7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161.353.859.931</w:t>
            </w:r>
          </w:p>
        </w:tc>
        <w:tc>
          <w:tcPr>
            <w:tcW w:w="1448" w:type="dxa"/>
            <w:tcBorders>
              <w:top w:val="nil"/>
              <w:left w:val="single" w:sz="4" w:space="0" w:color="auto"/>
              <w:bottom w:val="single" w:sz="4" w:space="0" w:color="auto"/>
              <w:right w:val="single" w:sz="4" w:space="0" w:color="auto"/>
            </w:tcBorders>
            <w:shd w:val="clear" w:color="000000" w:fill="FFFF00"/>
            <w:noWrap/>
            <w:vAlign w:val="bottom"/>
            <w:hideMark/>
          </w:tcPr>
          <w:p w14:paraId="482A2DF4"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966" w:type="dxa"/>
            <w:tcBorders>
              <w:top w:val="nil"/>
              <w:left w:val="nil"/>
              <w:bottom w:val="single" w:sz="4" w:space="0" w:color="auto"/>
              <w:right w:val="single" w:sz="4" w:space="0" w:color="auto"/>
            </w:tcBorders>
            <w:shd w:val="clear" w:color="000000" w:fill="FFFF00"/>
            <w:noWrap/>
            <w:vAlign w:val="bottom"/>
            <w:hideMark/>
          </w:tcPr>
          <w:p w14:paraId="1531C3A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2.339.630.969</w:t>
            </w:r>
          </w:p>
        </w:tc>
        <w:tc>
          <w:tcPr>
            <w:tcW w:w="2114" w:type="dxa"/>
            <w:tcBorders>
              <w:top w:val="nil"/>
              <w:left w:val="nil"/>
              <w:bottom w:val="nil"/>
              <w:right w:val="nil"/>
            </w:tcBorders>
            <w:shd w:val="clear" w:color="auto" w:fill="auto"/>
            <w:noWrap/>
            <w:vAlign w:val="bottom"/>
            <w:hideMark/>
          </w:tcPr>
          <w:p w14:paraId="312AD719"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r>
    </w:tbl>
    <w:p w14:paraId="09D7C569" w14:textId="77777777" w:rsidR="008D7DD4" w:rsidRPr="008D7DD4" w:rsidRDefault="008D7DD4" w:rsidP="008D7DD4">
      <w:pPr>
        <w:spacing w:after="0" w:line="240" w:lineRule="auto"/>
        <w:jc w:val="both"/>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Vir: Podatki o posplošeni vrednosti nepremičnin GURS, javni vpogled, stanje na dan 10.6.2024</w:t>
      </w:r>
    </w:p>
    <w:p w14:paraId="35BD11DB" w14:textId="77777777" w:rsidR="008D7DD4" w:rsidRPr="008D7DD4" w:rsidRDefault="008D7DD4" w:rsidP="008D7DD4">
      <w:pPr>
        <w:spacing w:line="240" w:lineRule="auto"/>
        <w:jc w:val="both"/>
        <w:rPr>
          <w:rFonts w:ascii="Times New Roman" w:eastAsia="Times New Roman" w:hAnsi="Times New Roman"/>
          <w:noProof/>
          <w:sz w:val="24"/>
          <w:szCs w:val="24"/>
          <w:lang w:eastAsia="sl-SI"/>
        </w:rPr>
      </w:pPr>
    </w:p>
    <w:p w14:paraId="3162C7B1" w14:textId="77777777" w:rsidR="008D7DD4" w:rsidRPr="008D7DD4" w:rsidRDefault="008D7DD4" w:rsidP="008D7DD4">
      <w:pPr>
        <w:spacing w:line="240" w:lineRule="auto"/>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Tabela 3: Primeri izračunov davka na stanovanjske nepremičnine </w:t>
      </w:r>
    </w:p>
    <w:p w14:paraId="35938F91" w14:textId="77777777" w:rsidR="008D7DD4" w:rsidRPr="008D7DD4" w:rsidRDefault="008D7DD4" w:rsidP="008D7DD4">
      <w:pPr>
        <w:spacing w:after="0" w:line="240" w:lineRule="auto"/>
        <w:ind w:left="12240" w:firstLine="720"/>
        <w:jc w:val="center"/>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Zneski v evrih</w:t>
      </w:r>
    </w:p>
    <w:tbl>
      <w:tblPr>
        <w:tblW w:w="15582" w:type="dxa"/>
        <w:tblCellMar>
          <w:left w:w="70" w:type="dxa"/>
          <w:right w:w="70" w:type="dxa"/>
        </w:tblCellMar>
        <w:tblLook w:val="04A0" w:firstRow="1" w:lastRow="0" w:firstColumn="1" w:lastColumn="0" w:noHBand="0" w:noVBand="1"/>
      </w:tblPr>
      <w:tblGrid>
        <w:gridCol w:w="9278"/>
        <w:gridCol w:w="2551"/>
        <w:gridCol w:w="2205"/>
        <w:gridCol w:w="1548"/>
      </w:tblGrid>
      <w:tr w:rsidR="008D7DD4" w:rsidRPr="008D7DD4" w14:paraId="3A7E11A7" w14:textId="77777777" w:rsidTr="003D463E">
        <w:trPr>
          <w:trHeight w:val="628"/>
        </w:trPr>
        <w:tc>
          <w:tcPr>
            <w:tcW w:w="9278" w:type="dxa"/>
            <w:tcBorders>
              <w:top w:val="nil"/>
              <w:left w:val="nil"/>
              <w:bottom w:val="nil"/>
              <w:right w:val="nil"/>
            </w:tcBorders>
            <w:shd w:val="clear" w:color="auto" w:fill="auto"/>
            <w:noWrap/>
            <w:vAlign w:val="bottom"/>
            <w:hideMark/>
          </w:tcPr>
          <w:p w14:paraId="78F78557"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AC34860"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Posplošena vrednost</w:t>
            </w:r>
          </w:p>
        </w:tc>
        <w:tc>
          <w:tcPr>
            <w:tcW w:w="2205" w:type="dxa"/>
            <w:tcBorders>
              <w:top w:val="single" w:sz="4" w:space="0" w:color="auto"/>
              <w:left w:val="nil"/>
              <w:bottom w:val="single" w:sz="4" w:space="0" w:color="auto"/>
              <w:right w:val="single" w:sz="4" w:space="0" w:color="auto"/>
            </w:tcBorders>
            <w:shd w:val="clear" w:color="000000" w:fill="FCE4D6"/>
            <w:vAlign w:val="center"/>
            <w:hideMark/>
          </w:tcPr>
          <w:p w14:paraId="40BC68C3"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Stopnja davka 1,45 %</w:t>
            </w:r>
          </w:p>
        </w:tc>
        <w:tc>
          <w:tcPr>
            <w:tcW w:w="1548" w:type="dxa"/>
            <w:tcBorders>
              <w:top w:val="single" w:sz="4" w:space="0" w:color="auto"/>
              <w:left w:val="nil"/>
              <w:bottom w:val="single" w:sz="4" w:space="0" w:color="auto"/>
              <w:right w:val="single" w:sz="4" w:space="0" w:color="auto"/>
            </w:tcBorders>
            <w:shd w:val="clear" w:color="000000" w:fill="FCE4D6"/>
            <w:vAlign w:val="center"/>
            <w:hideMark/>
          </w:tcPr>
          <w:p w14:paraId="170BCB2C"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Znesek davka</w:t>
            </w:r>
          </w:p>
        </w:tc>
      </w:tr>
      <w:tr w:rsidR="008D7DD4" w:rsidRPr="008D7DD4" w14:paraId="46F59707" w14:textId="77777777" w:rsidTr="003D463E">
        <w:trPr>
          <w:trHeight w:val="261"/>
        </w:trPr>
        <w:tc>
          <w:tcPr>
            <w:tcW w:w="1558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781620"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Lastnik - primer fizična oseba 1</w:t>
            </w:r>
          </w:p>
        </w:tc>
      </w:tr>
      <w:tr w:rsidR="008D7DD4" w:rsidRPr="008D7DD4" w14:paraId="52624BB4"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56AFB35F"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Ljubljana - 64 m2 (rezidenčno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2D811675"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230.700</w:t>
            </w:r>
          </w:p>
        </w:tc>
        <w:tc>
          <w:tcPr>
            <w:tcW w:w="2205" w:type="dxa"/>
            <w:tcBorders>
              <w:top w:val="nil"/>
              <w:left w:val="nil"/>
              <w:bottom w:val="single" w:sz="4" w:space="0" w:color="auto"/>
              <w:right w:val="single" w:sz="4" w:space="0" w:color="auto"/>
            </w:tcBorders>
            <w:shd w:val="clear" w:color="auto" w:fill="auto"/>
            <w:noWrap/>
            <w:vAlign w:val="bottom"/>
            <w:hideMark/>
          </w:tcPr>
          <w:p w14:paraId="4C476344"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69B7FC9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3.345</w:t>
            </w:r>
          </w:p>
        </w:tc>
      </w:tr>
      <w:tr w:rsidR="008D7DD4" w:rsidRPr="008D7DD4" w14:paraId="55E994A0"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1FFF153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Kranjska gora - 69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17DE2DEF"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338.800</w:t>
            </w:r>
          </w:p>
        </w:tc>
        <w:tc>
          <w:tcPr>
            <w:tcW w:w="2205" w:type="dxa"/>
            <w:tcBorders>
              <w:top w:val="nil"/>
              <w:left w:val="nil"/>
              <w:bottom w:val="single" w:sz="4" w:space="0" w:color="auto"/>
              <w:right w:val="single" w:sz="4" w:space="0" w:color="auto"/>
            </w:tcBorders>
            <w:shd w:val="clear" w:color="auto" w:fill="auto"/>
            <w:noWrap/>
            <w:vAlign w:val="bottom"/>
            <w:hideMark/>
          </w:tcPr>
          <w:p w14:paraId="4194F7D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0AF436DE"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4.913</w:t>
            </w:r>
          </w:p>
        </w:tc>
      </w:tr>
      <w:tr w:rsidR="008D7DD4" w:rsidRPr="008D7DD4" w14:paraId="7B6FE63E" w14:textId="77777777" w:rsidTr="003D463E">
        <w:trPr>
          <w:trHeight w:val="45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7CF79DE1"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1 in z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4270C63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4.913</w:t>
            </w:r>
          </w:p>
        </w:tc>
      </w:tr>
      <w:tr w:rsidR="008D7DD4" w:rsidRPr="008D7DD4" w14:paraId="7EE17D7F" w14:textId="77777777" w:rsidTr="00A35B4A">
        <w:trPr>
          <w:trHeight w:val="2761"/>
        </w:trPr>
        <w:tc>
          <w:tcPr>
            <w:tcW w:w="9278" w:type="dxa"/>
            <w:tcBorders>
              <w:top w:val="single" w:sz="4" w:space="0" w:color="auto"/>
              <w:bottom w:val="nil"/>
              <w:right w:val="nil"/>
            </w:tcBorders>
            <w:shd w:val="clear" w:color="auto" w:fill="auto"/>
            <w:noWrap/>
            <w:vAlign w:val="bottom"/>
            <w:hideMark/>
          </w:tcPr>
          <w:p w14:paraId="0EE0CB51"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551" w:type="dxa"/>
            <w:tcBorders>
              <w:top w:val="single" w:sz="4" w:space="0" w:color="auto"/>
              <w:left w:val="nil"/>
              <w:bottom w:val="nil"/>
              <w:right w:val="nil"/>
            </w:tcBorders>
            <w:shd w:val="clear" w:color="auto" w:fill="auto"/>
            <w:noWrap/>
            <w:vAlign w:val="bottom"/>
            <w:hideMark/>
          </w:tcPr>
          <w:p w14:paraId="60E4A064"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205" w:type="dxa"/>
            <w:tcBorders>
              <w:top w:val="single" w:sz="4" w:space="0" w:color="auto"/>
              <w:left w:val="nil"/>
              <w:bottom w:val="nil"/>
              <w:right w:val="nil"/>
            </w:tcBorders>
            <w:shd w:val="clear" w:color="auto" w:fill="auto"/>
            <w:noWrap/>
            <w:vAlign w:val="bottom"/>
            <w:hideMark/>
          </w:tcPr>
          <w:p w14:paraId="3DE9FE7C"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1548" w:type="dxa"/>
            <w:tcBorders>
              <w:top w:val="single" w:sz="4" w:space="0" w:color="auto"/>
              <w:left w:val="nil"/>
              <w:bottom w:val="nil"/>
              <w:right w:val="nil"/>
            </w:tcBorders>
            <w:shd w:val="clear" w:color="auto" w:fill="auto"/>
            <w:noWrap/>
            <w:vAlign w:val="bottom"/>
            <w:hideMark/>
          </w:tcPr>
          <w:p w14:paraId="54D4B2F0" w14:textId="77777777" w:rsidR="008D7DD4" w:rsidRPr="008D7DD4" w:rsidRDefault="008D7DD4" w:rsidP="008D7DD4">
            <w:pPr>
              <w:spacing w:after="0" w:line="240" w:lineRule="auto"/>
              <w:rPr>
                <w:rFonts w:ascii="Garamond" w:eastAsia="MS PMincho" w:hAnsi="Garamond" w:cs="Arial"/>
                <w:b/>
                <w:color w:val="44546A"/>
                <w:sz w:val="28"/>
                <w:szCs w:val="20"/>
              </w:rPr>
            </w:pPr>
          </w:p>
        </w:tc>
      </w:tr>
      <w:tr w:rsidR="008D7DD4" w:rsidRPr="008D7DD4" w14:paraId="10FEF6D7" w14:textId="77777777" w:rsidTr="003D463E">
        <w:trPr>
          <w:trHeight w:val="272"/>
        </w:trPr>
        <w:tc>
          <w:tcPr>
            <w:tcW w:w="1558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9868F3"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Lastnik - primer fizična oseba 2</w:t>
            </w:r>
          </w:p>
        </w:tc>
      </w:tr>
      <w:tr w:rsidR="008D7DD4" w:rsidRPr="008D7DD4" w14:paraId="6F51FB59"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2050514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Kamnik - 230 m2 (rezidenčna hiša)</w:t>
            </w:r>
          </w:p>
        </w:tc>
        <w:tc>
          <w:tcPr>
            <w:tcW w:w="2551" w:type="dxa"/>
            <w:tcBorders>
              <w:top w:val="nil"/>
              <w:left w:val="nil"/>
              <w:bottom w:val="single" w:sz="4" w:space="0" w:color="auto"/>
              <w:right w:val="single" w:sz="4" w:space="0" w:color="auto"/>
            </w:tcBorders>
            <w:shd w:val="clear" w:color="auto" w:fill="auto"/>
            <w:noWrap/>
            <w:vAlign w:val="bottom"/>
            <w:hideMark/>
          </w:tcPr>
          <w:p w14:paraId="444BBD7B"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279.700</w:t>
            </w:r>
          </w:p>
        </w:tc>
        <w:tc>
          <w:tcPr>
            <w:tcW w:w="2205" w:type="dxa"/>
            <w:tcBorders>
              <w:top w:val="nil"/>
              <w:left w:val="nil"/>
              <w:bottom w:val="single" w:sz="4" w:space="0" w:color="auto"/>
              <w:right w:val="single" w:sz="4" w:space="0" w:color="auto"/>
            </w:tcBorders>
            <w:shd w:val="clear" w:color="auto" w:fill="auto"/>
            <w:noWrap/>
            <w:vAlign w:val="bottom"/>
            <w:hideMark/>
          </w:tcPr>
          <w:p w14:paraId="28B0EE9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26BE586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4.056</w:t>
            </w:r>
          </w:p>
        </w:tc>
      </w:tr>
      <w:tr w:rsidR="008D7DD4" w:rsidRPr="008D7DD4" w14:paraId="17E54F9A"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37246B4F"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Ljubljana - 42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0B3597C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162.000</w:t>
            </w:r>
          </w:p>
        </w:tc>
        <w:tc>
          <w:tcPr>
            <w:tcW w:w="2205" w:type="dxa"/>
            <w:tcBorders>
              <w:top w:val="nil"/>
              <w:left w:val="nil"/>
              <w:bottom w:val="single" w:sz="4" w:space="0" w:color="auto"/>
              <w:right w:val="single" w:sz="4" w:space="0" w:color="auto"/>
            </w:tcBorders>
            <w:shd w:val="clear" w:color="auto" w:fill="auto"/>
            <w:noWrap/>
            <w:vAlign w:val="bottom"/>
            <w:hideMark/>
          </w:tcPr>
          <w:p w14:paraId="220CA495"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5A12A23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2.349</w:t>
            </w:r>
          </w:p>
        </w:tc>
      </w:tr>
      <w:tr w:rsidR="008D7DD4" w:rsidRPr="008D7DD4" w14:paraId="364ABDB7" w14:textId="77777777" w:rsidTr="003D463E">
        <w:trPr>
          <w:trHeight w:val="153"/>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2B8EF3"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v primeru oddajanja nerezidenčnega stanovanja v najem (najemnina v višini 750 €/mesec) se znesek davka zniža za</w:t>
            </w:r>
          </w:p>
        </w:tc>
        <w:tc>
          <w:tcPr>
            <w:tcW w:w="1548" w:type="dxa"/>
            <w:tcBorders>
              <w:top w:val="nil"/>
              <w:left w:val="nil"/>
              <w:bottom w:val="single" w:sz="4" w:space="0" w:color="auto"/>
              <w:right w:val="single" w:sz="4" w:space="0" w:color="auto"/>
            </w:tcBorders>
            <w:shd w:val="clear" w:color="auto" w:fill="auto"/>
            <w:noWrap/>
            <w:vAlign w:val="bottom"/>
            <w:hideMark/>
          </w:tcPr>
          <w:p w14:paraId="4917EF7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-2.250</w:t>
            </w:r>
          </w:p>
        </w:tc>
      </w:tr>
      <w:tr w:rsidR="008D7DD4" w:rsidRPr="008D7DD4" w14:paraId="5E560B16"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6C5CD744"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končni znesek davka na nerezidenčno stanovanje v primeru najema znaša</w:t>
            </w:r>
          </w:p>
        </w:tc>
        <w:tc>
          <w:tcPr>
            <w:tcW w:w="2551" w:type="dxa"/>
            <w:tcBorders>
              <w:top w:val="nil"/>
              <w:left w:val="nil"/>
              <w:bottom w:val="single" w:sz="4" w:space="0" w:color="auto"/>
              <w:right w:val="single" w:sz="4" w:space="0" w:color="auto"/>
            </w:tcBorders>
            <w:shd w:val="clear" w:color="auto" w:fill="auto"/>
            <w:noWrap/>
            <w:vAlign w:val="bottom"/>
            <w:hideMark/>
          </w:tcPr>
          <w:p w14:paraId="40BB37FA"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14:paraId="695F376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548" w:type="dxa"/>
            <w:tcBorders>
              <w:top w:val="nil"/>
              <w:left w:val="nil"/>
              <w:bottom w:val="single" w:sz="4" w:space="0" w:color="auto"/>
              <w:right w:val="single" w:sz="4" w:space="0" w:color="auto"/>
            </w:tcBorders>
            <w:shd w:val="clear" w:color="auto" w:fill="auto"/>
            <w:noWrap/>
            <w:vAlign w:val="bottom"/>
            <w:hideMark/>
          </w:tcPr>
          <w:p w14:paraId="04DE46F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99</w:t>
            </w:r>
          </w:p>
        </w:tc>
      </w:tr>
      <w:tr w:rsidR="008D7DD4" w:rsidRPr="008D7DD4" w14:paraId="22122809"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25F42728"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Domžale - stavbno zemljišče</w:t>
            </w:r>
          </w:p>
        </w:tc>
        <w:tc>
          <w:tcPr>
            <w:tcW w:w="2551" w:type="dxa"/>
            <w:tcBorders>
              <w:top w:val="nil"/>
              <w:left w:val="nil"/>
              <w:bottom w:val="single" w:sz="4" w:space="0" w:color="auto"/>
              <w:right w:val="single" w:sz="4" w:space="0" w:color="auto"/>
            </w:tcBorders>
            <w:shd w:val="clear" w:color="auto" w:fill="auto"/>
            <w:noWrap/>
            <w:vAlign w:val="bottom"/>
            <w:hideMark/>
          </w:tcPr>
          <w:p w14:paraId="228EED0B"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40.900</w:t>
            </w:r>
          </w:p>
        </w:tc>
        <w:tc>
          <w:tcPr>
            <w:tcW w:w="2205" w:type="dxa"/>
            <w:tcBorders>
              <w:top w:val="nil"/>
              <w:left w:val="nil"/>
              <w:bottom w:val="single" w:sz="4" w:space="0" w:color="auto"/>
              <w:right w:val="single" w:sz="4" w:space="0" w:color="auto"/>
            </w:tcBorders>
            <w:shd w:val="clear" w:color="auto" w:fill="auto"/>
            <w:noWrap/>
            <w:vAlign w:val="bottom"/>
            <w:hideMark/>
          </w:tcPr>
          <w:p w14:paraId="60288BB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0E85120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593,05</w:t>
            </w:r>
          </w:p>
        </w:tc>
      </w:tr>
      <w:tr w:rsidR="008D7DD4" w:rsidRPr="008D7DD4" w14:paraId="6CBADE7E" w14:textId="77777777" w:rsidTr="003D463E">
        <w:trPr>
          <w:trHeight w:val="45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2D96944C"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2 - z najemom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04C3F5D7"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692</w:t>
            </w:r>
          </w:p>
        </w:tc>
      </w:tr>
      <w:tr w:rsidR="008D7DD4" w:rsidRPr="008D7DD4" w14:paraId="0D721C23" w14:textId="77777777" w:rsidTr="003D463E">
        <w:trPr>
          <w:trHeight w:val="45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57F67A1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2 - brez najema in upoštevanjem oprostitve davka za rezidenčna stanovanja</w:t>
            </w:r>
          </w:p>
        </w:tc>
        <w:tc>
          <w:tcPr>
            <w:tcW w:w="1548" w:type="dxa"/>
            <w:tcBorders>
              <w:top w:val="single" w:sz="4" w:space="0" w:color="auto"/>
              <w:left w:val="nil"/>
              <w:bottom w:val="single" w:sz="4" w:space="0" w:color="auto"/>
              <w:right w:val="single" w:sz="4" w:space="0" w:color="auto"/>
            </w:tcBorders>
            <w:shd w:val="clear" w:color="000000" w:fill="FFE699"/>
            <w:noWrap/>
            <w:vAlign w:val="bottom"/>
            <w:hideMark/>
          </w:tcPr>
          <w:p w14:paraId="25B78B9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2.942</w:t>
            </w:r>
          </w:p>
        </w:tc>
      </w:tr>
      <w:tr w:rsidR="008D7DD4" w:rsidRPr="008D7DD4" w14:paraId="63F50499" w14:textId="77777777" w:rsidTr="003D463E">
        <w:trPr>
          <w:trHeight w:val="148"/>
        </w:trPr>
        <w:tc>
          <w:tcPr>
            <w:tcW w:w="9278" w:type="dxa"/>
            <w:tcBorders>
              <w:top w:val="single" w:sz="4" w:space="0" w:color="auto"/>
              <w:bottom w:val="nil"/>
              <w:right w:val="nil"/>
            </w:tcBorders>
            <w:shd w:val="clear" w:color="auto" w:fill="auto"/>
            <w:noWrap/>
            <w:vAlign w:val="bottom"/>
            <w:hideMark/>
          </w:tcPr>
          <w:p w14:paraId="6DAE11C0"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2551" w:type="dxa"/>
            <w:tcBorders>
              <w:top w:val="single" w:sz="4" w:space="0" w:color="auto"/>
              <w:left w:val="nil"/>
              <w:bottom w:val="nil"/>
              <w:right w:val="nil"/>
            </w:tcBorders>
            <w:shd w:val="clear" w:color="auto" w:fill="auto"/>
            <w:noWrap/>
            <w:vAlign w:val="bottom"/>
            <w:hideMark/>
          </w:tcPr>
          <w:p w14:paraId="49EBE4F1" w14:textId="77777777" w:rsidR="008D7DD4" w:rsidRPr="008D7DD4" w:rsidRDefault="008D7DD4" w:rsidP="008D7DD4">
            <w:pPr>
              <w:spacing w:after="0" w:line="240" w:lineRule="auto"/>
              <w:jc w:val="center"/>
              <w:rPr>
                <w:rFonts w:ascii="Garamond" w:eastAsia="MS PMincho" w:hAnsi="Garamond" w:cs="Arial"/>
                <w:b/>
                <w:color w:val="44546A"/>
                <w:sz w:val="28"/>
                <w:szCs w:val="20"/>
              </w:rPr>
            </w:pPr>
          </w:p>
        </w:tc>
        <w:tc>
          <w:tcPr>
            <w:tcW w:w="2205" w:type="dxa"/>
            <w:tcBorders>
              <w:top w:val="single" w:sz="4" w:space="0" w:color="auto"/>
              <w:left w:val="nil"/>
              <w:bottom w:val="nil"/>
              <w:right w:val="nil"/>
            </w:tcBorders>
            <w:shd w:val="clear" w:color="auto" w:fill="auto"/>
            <w:noWrap/>
            <w:vAlign w:val="bottom"/>
            <w:hideMark/>
          </w:tcPr>
          <w:p w14:paraId="79BAC47E" w14:textId="77777777" w:rsidR="008D7DD4" w:rsidRPr="008D7DD4" w:rsidRDefault="008D7DD4" w:rsidP="008D7DD4">
            <w:pPr>
              <w:spacing w:after="0" w:line="240" w:lineRule="auto"/>
              <w:jc w:val="center"/>
              <w:rPr>
                <w:rFonts w:ascii="Garamond" w:eastAsia="MS PMincho" w:hAnsi="Garamond" w:cs="Arial"/>
                <w:b/>
                <w:color w:val="44546A"/>
                <w:sz w:val="28"/>
                <w:szCs w:val="20"/>
              </w:rPr>
            </w:pPr>
          </w:p>
        </w:tc>
        <w:tc>
          <w:tcPr>
            <w:tcW w:w="1548" w:type="dxa"/>
            <w:tcBorders>
              <w:top w:val="single" w:sz="4" w:space="0" w:color="auto"/>
              <w:left w:val="nil"/>
              <w:bottom w:val="nil"/>
              <w:right w:val="nil"/>
            </w:tcBorders>
            <w:shd w:val="clear" w:color="auto" w:fill="auto"/>
            <w:noWrap/>
            <w:vAlign w:val="bottom"/>
            <w:hideMark/>
          </w:tcPr>
          <w:p w14:paraId="0D1118E7" w14:textId="77777777" w:rsidR="008D7DD4" w:rsidRPr="008D7DD4" w:rsidRDefault="008D7DD4" w:rsidP="008D7DD4">
            <w:pPr>
              <w:spacing w:after="0" w:line="240" w:lineRule="auto"/>
              <w:rPr>
                <w:rFonts w:ascii="Garamond" w:eastAsia="MS PMincho" w:hAnsi="Garamond" w:cs="Arial"/>
                <w:b/>
                <w:color w:val="44546A"/>
                <w:sz w:val="28"/>
                <w:szCs w:val="20"/>
              </w:rPr>
            </w:pPr>
          </w:p>
        </w:tc>
      </w:tr>
      <w:tr w:rsidR="008D7DD4" w:rsidRPr="008D7DD4" w14:paraId="22E9052D" w14:textId="77777777" w:rsidTr="003D463E">
        <w:trPr>
          <w:trHeight w:val="250"/>
        </w:trPr>
        <w:tc>
          <w:tcPr>
            <w:tcW w:w="15582"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9BE41A4"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Lastnik - primer fizična oseba 3</w:t>
            </w:r>
          </w:p>
        </w:tc>
      </w:tr>
      <w:tr w:rsidR="008D7DD4" w:rsidRPr="008D7DD4" w14:paraId="4684EE14"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60784598"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Ljubljana - 264 m2 (rezidenčna hiša)</w:t>
            </w:r>
          </w:p>
        </w:tc>
        <w:tc>
          <w:tcPr>
            <w:tcW w:w="2551" w:type="dxa"/>
            <w:tcBorders>
              <w:top w:val="nil"/>
              <w:left w:val="nil"/>
              <w:bottom w:val="single" w:sz="4" w:space="0" w:color="auto"/>
              <w:right w:val="single" w:sz="4" w:space="0" w:color="auto"/>
            </w:tcBorders>
            <w:shd w:val="clear" w:color="auto" w:fill="auto"/>
            <w:noWrap/>
            <w:vAlign w:val="bottom"/>
            <w:hideMark/>
          </w:tcPr>
          <w:p w14:paraId="0112C58B"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342.500</w:t>
            </w:r>
          </w:p>
        </w:tc>
        <w:tc>
          <w:tcPr>
            <w:tcW w:w="2205" w:type="dxa"/>
            <w:tcBorders>
              <w:top w:val="nil"/>
              <w:left w:val="nil"/>
              <w:bottom w:val="single" w:sz="4" w:space="0" w:color="auto"/>
              <w:right w:val="single" w:sz="4" w:space="0" w:color="auto"/>
            </w:tcBorders>
            <w:shd w:val="clear" w:color="auto" w:fill="auto"/>
            <w:noWrap/>
            <w:vAlign w:val="bottom"/>
            <w:hideMark/>
          </w:tcPr>
          <w:p w14:paraId="4831197F"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1EABF93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4.966</w:t>
            </w:r>
          </w:p>
        </w:tc>
      </w:tr>
      <w:tr w:rsidR="008D7DD4" w:rsidRPr="008D7DD4" w14:paraId="0AFE31DF"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74AE3E18"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Ljubljana - 77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5B910DD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267.000</w:t>
            </w:r>
          </w:p>
        </w:tc>
        <w:tc>
          <w:tcPr>
            <w:tcW w:w="2205" w:type="dxa"/>
            <w:tcBorders>
              <w:top w:val="nil"/>
              <w:left w:val="nil"/>
              <w:bottom w:val="single" w:sz="4" w:space="0" w:color="auto"/>
              <w:right w:val="single" w:sz="4" w:space="0" w:color="auto"/>
            </w:tcBorders>
            <w:shd w:val="clear" w:color="auto" w:fill="auto"/>
            <w:noWrap/>
            <w:vAlign w:val="bottom"/>
            <w:hideMark/>
          </w:tcPr>
          <w:p w14:paraId="66CCB2F7"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55FAA0F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3.872</w:t>
            </w:r>
          </w:p>
        </w:tc>
      </w:tr>
      <w:tr w:rsidR="008D7DD4" w:rsidRPr="008D7DD4" w14:paraId="50A5ECFB" w14:textId="77777777" w:rsidTr="003D463E">
        <w:trPr>
          <w:trHeight w:val="226"/>
        </w:trPr>
        <w:tc>
          <w:tcPr>
            <w:tcW w:w="14034" w:type="dxa"/>
            <w:gridSpan w:val="3"/>
            <w:tcBorders>
              <w:top w:val="single" w:sz="4" w:space="0" w:color="auto"/>
              <w:left w:val="single" w:sz="4" w:space="0" w:color="auto"/>
              <w:bottom w:val="nil"/>
              <w:right w:val="single" w:sz="4" w:space="0" w:color="000000"/>
            </w:tcBorders>
            <w:shd w:val="clear" w:color="auto" w:fill="auto"/>
            <w:vAlign w:val="bottom"/>
            <w:hideMark/>
          </w:tcPr>
          <w:p w14:paraId="54CC0171"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v primeru oddajanja nerezidenčnega stanovanja v najem (najemnina v višini 1.000 €/mesec) se znesek davka zniža za</w:t>
            </w:r>
          </w:p>
        </w:tc>
        <w:tc>
          <w:tcPr>
            <w:tcW w:w="1548" w:type="dxa"/>
            <w:tcBorders>
              <w:top w:val="nil"/>
              <w:left w:val="nil"/>
              <w:bottom w:val="single" w:sz="4" w:space="0" w:color="auto"/>
              <w:right w:val="single" w:sz="4" w:space="0" w:color="auto"/>
            </w:tcBorders>
            <w:shd w:val="clear" w:color="auto" w:fill="auto"/>
            <w:noWrap/>
            <w:vAlign w:val="bottom"/>
            <w:hideMark/>
          </w:tcPr>
          <w:p w14:paraId="31602631"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-3.000</w:t>
            </w:r>
          </w:p>
        </w:tc>
      </w:tr>
      <w:tr w:rsidR="008D7DD4" w:rsidRPr="008D7DD4" w14:paraId="48155750" w14:textId="77777777" w:rsidTr="003D463E">
        <w:trPr>
          <w:trHeight w:val="208"/>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14875"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končni znesek davka na nerezidenčno stanovanje v primeru najema znaša</w:t>
            </w:r>
          </w:p>
        </w:tc>
        <w:tc>
          <w:tcPr>
            <w:tcW w:w="1548" w:type="dxa"/>
            <w:tcBorders>
              <w:top w:val="nil"/>
              <w:left w:val="nil"/>
              <w:bottom w:val="single" w:sz="4" w:space="0" w:color="auto"/>
              <w:right w:val="single" w:sz="4" w:space="0" w:color="auto"/>
            </w:tcBorders>
            <w:shd w:val="clear" w:color="auto" w:fill="auto"/>
            <w:noWrap/>
            <w:vAlign w:val="bottom"/>
            <w:hideMark/>
          </w:tcPr>
          <w:p w14:paraId="62C559D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872</w:t>
            </w:r>
          </w:p>
        </w:tc>
      </w:tr>
      <w:tr w:rsidR="008D7DD4" w:rsidRPr="008D7DD4" w14:paraId="34C358E1" w14:textId="77777777" w:rsidTr="003D463E">
        <w:trPr>
          <w:trHeight w:val="453"/>
        </w:trPr>
        <w:tc>
          <w:tcPr>
            <w:tcW w:w="14034" w:type="dxa"/>
            <w:gridSpan w:val="3"/>
            <w:tcBorders>
              <w:top w:val="single" w:sz="4" w:space="0" w:color="auto"/>
              <w:left w:val="single" w:sz="4" w:space="0" w:color="auto"/>
              <w:bottom w:val="nil"/>
              <w:right w:val="single" w:sz="4" w:space="0" w:color="000000"/>
            </w:tcBorders>
            <w:shd w:val="clear" w:color="000000" w:fill="FFE699"/>
            <w:vAlign w:val="bottom"/>
            <w:hideMark/>
          </w:tcPr>
          <w:p w14:paraId="75C384B5"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3 - z najemom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68C6FC2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872</w:t>
            </w:r>
          </w:p>
        </w:tc>
      </w:tr>
      <w:tr w:rsidR="008D7DD4" w:rsidRPr="008D7DD4" w14:paraId="7C83F593" w14:textId="77777777" w:rsidTr="003D463E">
        <w:trPr>
          <w:trHeight w:val="45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45356FE0"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3 - brez najema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2E11D0C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3.872</w:t>
            </w:r>
          </w:p>
        </w:tc>
      </w:tr>
      <w:tr w:rsidR="008D7DD4" w:rsidRPr="008D7DD4" w14:paraId="6A5B2C03" w14:textId="77777777" w:rsidTr="00A35B4A">
        <w:trPr>
          <w:trHeight w:val="3504"/>
        </w:trPr>
        <w:tc>
          <w:tcPr>
            <w:tcW w:w="9278" w:type="dxa"/>
            <w:tcBorders>
              <w:top w:val="nil"/>
              <w:left w:val="nil"/>
              <w:bottom w:val="nil"/>
              <w:right w:val="nil"/>
            </w:tcBorders>
            <w:shd w:val="clear" w:color="auto" w:fill="auto"/>
            <w:noWrap/>
            <w:vAlign w:val="bottom"/>
            <w:hideMark/>
          </w:tcPr>
          <w:p w14:paraId="6D7115F0"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2551" w:type="dxa"/>
            <w:tcBorders>
              <w:top w:val="nil"/>
              <w:left w:val="nil"/>
              <w:bottom w:val="nil"/>
              <w:right w:val="nil"/>
            </w:tcBorders>
            <w:shd w:val="clear" w:color="auto" w:fill="auto"/>
            <w:noWrap/>
            <w:vAlign w:val="bottom"/>
            <w:hideMark/>
          </w:tcPr>
          <w:p w14:paraId="26639D0A"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205" w:type="dxa"/>
            <w:tcBorders>
              <w:top w:val="nil"/>
              <w:left w:val="nil"/>
              <w:bottom w:val="nil"/>
              <w:right w:val="nil"/>
            </w:tcBorders>
            <w:shd w:val="clear" w:color="auto" w:fill="auto"/>
            <w:noWrap/>
            <w:vAlign w:val="bottom"/>
            <w:hideMark/>
          </w:tcPr>
          <w:p w14:paraId="568C3E0E" w14:textId="77777777" w:rsidR="008D7DD4" w:rsidRPr="008D7DD4" w:rsidRDefault="008D7DD4" w:rsidP="008D7DD4">
            <w:pPr>
              <w:spacing w:after="0" w:line="240" w:lineRule="auto"/>
              <w:jc w:val="center"/>
              <w:rPr>
                <w:rFonts w:ascii="Garamond" w:eastAsia="MS PMincho" w:hAnsi="Garamond" w:cs="Arial"/>
                <w:b/>
                <w:color w:val="44546A"/>
                <w:sz w:val="28"/>
                <w:szCs w:val="20"/>
              </w:rPr>
            </w:pPr>
          </w:p>
        </w:tc>
        <w:tc>
          <w:tcPr>
            <w:tcW w:w="1548" w:type="dxa"/>
            <w:tcBorders>
              <w:top w:val="nil"/>
              <w:left w:val="nil"/>
              <w:bottom w:val="nil"/>
              <w:right w:val="nil"/>
            </w:tcBorders>
            <w:shd w:val="clear" w:color="auto" w:fill="auto"/>
            <w:noWrap/>
            <w:vAlign w:val="bottom"/>
            <w:hideMark/>
          </w:tcPr>
          <w:p w14:paraId="5D358C7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r>
      <w:tr w:rsidR="008D7DD4" w:rsidRPr="008D7DD4" w14:paraId="12D68527" w14:textId="77777777" w:rsidTr="003D463E">
        <w:trPr>
          <w:trHeight w:val="250"/>
        </w:trPr>
        <w:tc>
          <w:tcPr>
            <w:tcW w:w="15582"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46B46D6B"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Lastnik - primer fizična oseba 4</w:t>
            </w:r>
          </w:p>
        </w:tc>
      </w:tr>
      <w:tr w:rsidR="008D7DD4" w:rsidRPr="008D7DD4" w14:paraId="3ECF12B5"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4ABEF67E"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Maribor - 212 m2 (rezidenčna hiša)</w:t>
            </w:r>
          </w:p>
        </w:tc>
        <w:tc>
          <w:tcPr>
            <w:tcW w:w="2551" w:type="dxa"/>
            <w:tcBorders>
              <w:top w:val="nil"/>
              <w:left w:val="nil"/>
              <w:bottom w:val="single" w:sz="4" w:space="0" w:color="auto"/>
              <w:right w:val="single" w:sz="4" w:space="0" w:color="auto"/>
            </w:tcBorders>
            <w:shd w:val="clear" w:color="auto" w:fill="auto"/>
            <w:noWrap/>
            <w:vAlign w:val="bottom"/>
            <w:hideMark/>
          </w:tcPr>
          <w:p w14:paraId="1B032B0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197.900</w:t>
            </w:r>
          </w:p>
        </w:tc>
        <w:tc>
          <w:tcPr>
            <w:tcW w:w="2205" w:type="dxa"/>
            <w:tcBorders>
              <w:top w:val="nil"/>
              <w:left w:val="nil"/>
              <w:bottom w:val="single" w:sz="4" w:space="0" w:color="auto"/>
              <w:right w:val="single" w:sz="4" w:space="0" w:color="auto"/>
            </w:tcBorders>
            <w:shd w:val="clear" w:color="auto" w:fill="auto"/>
            <w:noWrap/>
            <w:vAlign w:val="bottom"/>
            <w:hideMark/>
          </w:tcPr>
          <w:p w14:paraId="63954FB4"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721F88C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2.870</w:t>
            </w:r>
          </w:p>
        </w:tc>
      </w:tr>
      <w:tr w:rsidR="008D7DD4" w:rsidRPr="008D7DD4" w14:paraId="075F9943"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290D907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Maribor - 62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086C99A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138.400</w:t>
            </w:r>
          </w:p>
        </w:tc>
        <w:tc>
          <w:tcPr>
            <w:tcW w:w="2205" w:type="dxa"/>
            <w:tcBorders>
              <w:top w:val="nil"/>
              <w:left w:val="nil"/>
              <w:bottom w:val="single" w:sz="4" w:space="0" w:color="auto"/>
              <w:right w:val="single" w:sz="4" w:space="0" w:color="auto"/>
            </w:tcBorders>
            <w:shd w:val="clear" w:color="auto" w:fill="auto"/>
            <w:noWrap/>
            <w:vAlign w:val="bottom"/>
            <w:hideMark/>
          </w:tcPr>
          <w:p w14:paraId="494F3C6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7FCD7071"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2.007</w:t>
            </w:r>
          </w:p>
        </w:tc>
      </w:tr>
      <w:tr w:rsidR="008D7DD4" w:rsidRPr="008D7DD4" w14:paraId="647679B0" w14:textId="77777777" w:rsidTr="003D463E">
        <w:trPr>
          <w:trHeight w:val="295"/>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875CB4"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v primeru oddajanja nerezidenčnega stanovanja v najem (najemnina v višini 800 €/mesec) se znesek davka zniža za</w:t>
            </w:r>
          </w:p>
        </w:tc>
        <w:tc>
          <w:tcPr>
            <w:tcW w:w="1548" w:type="dxa"/>
            <w:tcBorders>
              <w:top w:val="nil"/>
              <w:left w:val="nil"/>
              <w:bottom w:val="single" w:sz="4" w:space="0" w:color="auto"/>
              <w:right w:val="single" w:sz="4" w:space="0" w:color="auto"/>
            </w:tcBorders>
            <w:shd w:val="clear" w:color="auto" w:fill="auto"/>
            <w:noWrap/>
            <w:vAlign w:val="bottom"/>
            <w:hideMark/>
          </w:tcPr>
          <w:p w14:paraId="58FC5C87"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-2.400</w:t>
            </w:r>
          </w:p>
        </w:tc>
      </w:tr>
      <w:tr w:rsidR="008D7DD4" w:rsidRPr="008D7DD4" w14:paraId="76D63C8C" w14:textId="77777777" w:rsidTr="003D463E">
        <w:trPr>
          <w:trHeight w:val="208"/>
        </w:trPr>
        <w:tc>
          <w:tcPr>
            <w:tcW w:w="14034" w:type="dxa"/>
            <w:gridSpan w:val="3"/>
            <w:tcBorders>
              <w:top w:val="nil"/>
              <w:left w:val="single" w:sz="4" w:space="0" w:color="auto"/>
              <w:bottom w:val="nil"/>
              <w:right w:val="single" w:sz="4" w:space="0" w:color="000000"/>
            </w:tcBorders>
            <w:shd w:val="clear" w:color="auto" w:fill="auto"/>
            <w:noWrap/>
            <w:vAlign w:val="bottom"/>
            <w:hideMark/>
          </w:tcPr>
          <w:p w14:paraId="30273C31"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končni znesek davka na nerezidenčno stanovanje v primeru najema znaša</w:t>
            </w:r>
          </w:p>
        </w:tc>
        <w:tc>
          <w:tcPr>
            <w:tcW w:w="1548" w:type="dxa"/>
            <w:tcBorders>
              <w:top w:val="nil"/>
              <w:left w:val="nil"/>
              <w:bottom w:val="single" w:sz="4" w:space="0" w:color="auto"/>
              <w:right w:val="single" w:sz="4" w:space="0" w:color="auto"/>
            </w:tcBorders>
            <w:shd w:val="clear" w:color="auto" w:fill="auto"/>
            <w:noWrap/>
            <w:vAlign w:val="bottom"/>
            <w:hideMark/>
          </w:tcPr>
          <w:p w14:paraId="6C3CE2D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29C20F5C" w14:textId="77777777" w:rsidTr="003D463E">
        <w:trPr>
          <w:trHeight w:val="453"/>
        </w:trPr>
        <w:tc>
          <w:tcPr>
            <w:tcW w:w="14034" w:type="dxa"/>
            <w:gridSpan w:val="3"/>
            <w:tcBorders>
              <w:top w:val="single" w:sz="4" w:space="0" w:color="auto"/>
              <w:left w:val="single" w:sz="4" w:space="0" w:color="auto"/>
              <w:bottom w:val="nil"/>
              <w:right w:val="single" w:sz="4" w:space="0" w:color="000000"/>
            </w:tcBorders>
            <w:shd w:val="clear" w:color="000000" w:fill="FFE699"/>
            <w:vAlign w:val="bottom"/>
            <w:hideMark/>
          </w:tcPr>
          <w:p w14:paraId="13DDB1C9"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4 - z najemom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3AFA274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31EB9CC2" w14:textId="77777777" w:rsidTr="003D463E">
        <w:trPr>
          <w:trHeight w:val="45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14D40F38"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4 - brez najema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2658A62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2.007</w:t>
            </w:r>
          </w:p>
        </w:tc>
      </w:tr>
      <w:tr w:rsidR="008D7DD4" w:rsidRPr="008D7DD4" w14:paraId="4EF32F34" w14:textId="77777777" w:rsidTr="003D463E">
        <w:trPr>
          <w:trHeight w:val="145"/>
        </w:trPr>
        <w:tc>
          <w:tcPr>
            <w:tcW w:w="9278" w:type="dxa"/>
            <w:tcBorders>
              <w:top w:val="nil"/>
              <w:left w:val="nil"/>
              <w:bottom w:val="nil"/>
              <w:right w:val="nil"/>
            </w:tcBorders>
            <w:shd w:val="clear" w:color="auto" w:fill="auto"/>
            <w:noWrap/>
            <w:vAlign w:val="bottom"/>
            <w:hideMark/>
          </w:tcPr>
          <w:p w14:paraId="36E98FD9"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2551" w:type="dxa"/>
            <w:tcBorders>
              <w:top w:val="nil"/>
              <w:left w:val="nil"/>
              <w:bottom w:val="nil"/>
              <w:right w:val="nil"/>
            </w:tcBorders>
            <w:shd w:val="clear" w:color="auto" w:fill="auto"/>
            <w:noWrap/>
            <w:vAlign w:val="bottom"/>
            <w:hideMark/>
          </w:tcPr>
          <w:p w14:paraId="39405BB6"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205" w:type="dxa"/>
            <w:tcBorders>
              <w:top w:val="nil"/>
              <w:left w:val="nil"/>
              <w:bottom w:val="nil"/>
              <w:right w:val="nil"/>
            </w:tcBorders>
            <w:shd w:val="clear" w:color="auto" w:fill="auto"/>
            <w:noWrap/>
            <w:vAlign w:val="bottom"/>
            <w:hideMark/>
          </w:tcPr>
          <w:p w14:paraId="750B33D3"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1548" w:type="dxa"/>
            <w:tcBorders>
              <w:top w:val="nil"/>
              <w:left w:val="nil"/>
              <w:bottom w:val="nil"/>
              <w:right w:val="nil"/>
            </w:tcBorders>
            <w:shd w:val="clear" w:color="auto" w:fill="auto"/>
            <w:noWrap/>
            <w:vAlign w:val="bottom"/>
            <w:hideMark/>
          </w:tcPr>
          <w:p w14:paraId="49D01645" w14:textId="77777777" w:rsidR="008D7DD4" w:rsidRPr="008D7DD4" w:rsidRDefault="008D7DD4" w:rsidP="008D7DD4">
            <w:pPr>
              <w:spacing w:after="0" w:line="240" w:lineRule="auto"/>
              <w:rPr>
                <w:rFonts w:ascii="Garamond" w:eastAsia="MS PMincho" w:hAnsi="Garamond" w:cs="Arial"/>
                <w:b/>
                <w:color w:val="44546A"/>
                <w:sz w:val="28"/>
                <w:szCs w:val="20"/>
              </w:rPr>
            </w:pPr>
          </w:p>
        </w:tc>
      </w:tr>
      <w:tr w:rsidR="008D7DD4" w:rsidRPr="008D7DD4" w14:paraId="1C975098" w14:textId="77777777" w:rsidTr="003D463E">
        <w:trPr>
          <w:trHeight w:val="250"/>
        </w:trPr>
        <w:tc>
          <w:tcPr>
            <w:tcW w:w="15582"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6266CB6F"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Lastnik - primer fizična oseba 5</w:t>
            </w:r>
          </w:p>
        </w:tc>
      </w:tr>
      <w:tr w:rsidR="008D7DD4" w:rsidRPr="008D7DD4" w14:paraId="15E1BC2C"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73FBA6F1"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Celje - 152 m2 (rezidenčno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18404F95"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190.000</w:t>
            </w:r>
          </w:p>
        </w:tc>
        <w:tc>
          <w:tcPr>
            <w:tcW w:w="2205" w:type="dxa"/>
            <w:tcBorders>
              <w:top w:val="nil"/>
              <w:left w:val="nil"/>
              <w:bottom w:val="single" w:sz="4" w:space="0" w:color="auto"/>
              <w:right w:val="single" w:sz="4" w:space="0" w:color="auto"/>
            </w:tcBorders>
            <w:shd w:val="clear" w:color="auto" w:fill="auto"/>
            <w:noWrap/>
            <w:vAlign w:val="bottom"/>
            <w:hideMark/>
          </w:tcPr>
          <w:p w14:paraId="7639CD7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228CFD64"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2.755</w:t>
            </w:r>
          </w:p>
        </w:tc>
      </w:tr>
      <w:tr w:rsidR="008D7DD4" w:rsidRPr="008D7DD4" w14:paraId="71FD0F8E"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0FFCAB78"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Celje - 55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6B4AD90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118.000</w:t>
            </w:r>
          </w:p>
        </w:tc>
        <w:tc>
          <w:tcPr>
            <w:tcW w:w="2205" w:type="dxa"/>
            <w:tcBorders>
              <w:top w:val="nil"/>
              <w:left w:val="nil"/>
              <w:bottom w:val="single" w:sz="4" w:space="0" w:color="auto"/>
              <w:right w:val="single" w:sz="4" w:space="0" w:color="auto"/>
            </w:tcBorders>
            <w:shd w:val="clear" w:color="auto" w:fill="auto"/>
            <w:noWrap/>
            <w:vAlign w:val="bottom"/>
            <w:hideMark/>
          </w:tcPr>
          <w:p w14:paraId="31740755"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4B4A070B"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1.711</w:t>
            </w:r>
          </w:p>
        </w:tc>
      </w:tr>
      <w:tr w:rsidR="008D7DD4" w:rsidRPr="008D7DD4" w14:paraId="06C23E6E" w14:textId="77777777" w:rsidTr="003D463E">
        <w:trPr>
          <w:trHeight w:val="303"/>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4A9D45"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v primeru oddajanja nerezidenčnega stanovanja v najem (najemnina v višini 600 €/mesec) se znesek davka zniža za</w:t>
            </w:r>
          </w:p>
        </w:tc>
        <w:tc>
          <w:tcPr>
            <w:tcW w:w="1548" w:type="dxa"/>
            <w:tcBorders>
              <w:top w:val="nil"/>
              <w:left w:val="nil"/>
              <w:bottom w:val="single" w:sz="4" w:space="0" w:color="auto"/>
              <w:right w:val="single" w:sz="4" w:space="0" w:color="auto"/>
            </w:tcBorders>
            <w:shd w:val="clear" w:color="auto" w:fill="auto"/>
            <w:noWrap/>
            <w:vAlign w:val="bottom"/>
            <w:hideMark/>
          </w:tcPr>
          <w:p w14:paraId="0D801C16"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-1.800</w:t>
            </w:r>
          </w:p>
        </w:tc>
      </w:tr>
      <w:tr w:rsidR="008D7DD4" w:rsidRPr="008D7DD4" w14:paraId="6041183E" w14:textId="77777777" w:rsidTr="003D463E">
        <w:trPr>
          <w:trHeight w:val="208"/>
        </w:trPr>
        <w:tc>
          <w:tcPr>
            <w:tcW w:w="14034" w:type="dxa"/>
            <w:gridSpan w:val="3"/>
            <w:tcBorders>
              <w:top w:val="nil"/>
              <w:left w:val="single" w:sz="4" w:space="0" w:color="auto"/>
              <w:bottom w:val="nil"/>
              <w:right w:val="single" w:sz="4" w:space="0" w:color="000000"/>
            </w:tcBorders>
            <w:shd w:val="clear" w:color="auto" w:fill="auto"/>
            <w:noWrap/>
            <w:vAlign w:val="bottom"/>
            <w:hideMark/>
          </w:tcPr>
          <w:p w14:paraId="64E1AB8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končni znesek davka na nerezidenčno stanovanje v primeru najema znaša</w:t>
            </w:r>
          </w:p>
        </w:tc>
        <w:tc>
          <w:tcPr>
            <w:tcW w:w="1548" w:type="dxa"/>
            <w:tcBorders>
              <w:top w:val="nil"/>
              <w:left w:val="nil"/>
              <w:bottom w:val="single" w:sz="4" w:space="0" w:color="auto"/>
              <w:right w:val="single" w:sz="4" w:space="0" w:color="auto"/>
            </w:tcBorders>
            <w:shd w:val="clear" w:color="auto" w:fill="auto"/>
            <w:noWrap/>
            <w:vAlign w:val="bottom"/>
            <w:hideMark/>
          </w:tcPr>
          <w:p w14:paraId="407EEC6E"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70F4AE0A" w14:textId="77777777" w:rsidTr="003D463E">
        <w:trPr>
          <w:trHeight w:val="453"/>
        </w:trPr>
        <w:tc>
          <w:tcPr>
            <w:tcW w:w="14034" w:type="dxa"/>
            <w:gridSpan w:val="3"/>
            <w:tcBorders>
              <w:top w:val="single" w:sz="4" w:space="0" w:color="auto"/>
              <w:left w:val="single" w:sz="4" w:space="0" w:color="auto"/>
              <w:bottom w:val="nil"/>
              <w:right w:val="single" w:sz="4" w:space="0" w:color="000000"/>
            </w:tcBorders>
            <w:shd w:val="clear" w:color="000000" w:fill="FFE699"/>
            <w:vAlign w:val="bottom"/>
            <w:hideMark/>
          </w:tcPr>
          <w:p w14:paraId="3C4BEC06"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5 - z najemom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47AA726E"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6520C27E" w14:textId="77777777" w:rsidTr="003D463E">
        <w:trPr>
          <w:trHeight w:val="343"/>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75C5ABC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5 - brez najema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3B5C75D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1.711</w:t>
            </w:r>
          </w:p>
        </w:tc>
      </w:tr>
      <w:tr w:rsidR="008D7DD4" w:rsidRPr="008D7DD4" w14:paraId="308BB854" w14:textId="77777777" w:rsidTr="003D463E">
        <w:trPr>
          <w:trHeight w:val="125"/>
        </w:trPr>
        <w:tc>
          <w:tcPr>
            <w:tcW w:w="9278" w:type="dxa"/>
            <w:tcBorders>
              <w:top w:val="nil"/>
              <w:left w:val="nil"/>
              <w:bottom w:val="nil"/>
              <w:right w:val="nil"/>
            </w:tcBorders>
            <w:shd w:val="clear" w:color="auto" w:fill="auto"/>
            <w:noWrap/>
            <w:vAlign w:val="bottom"/>
            <w:hideMark/>
          </w:tcPr>
          <w:p w14:paraId="34D2475F"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2551" w:type="dxa"/>
            <w:tcBorders>
              <w:top w:val="nil"/>
              <w:left w:val="nil"/>
              <w:bottom w:val="nil"/>
              <w:right w:val="nil"/>
            </w:tcBorders>
            <w:shd w:val="clear" w:color="auto" w:fill="auto"/>
            <w:noWrap/>
            <w:vAlign w:val="bottom"/>
            <w:hideMark/>
          </w:tcPr>
          <w:p w14:paraId="0208DB10"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2205" w:type="dxa"/>
            <w:tcBorders>
              <w:top w:val="nil"/>
              <w:left w:val="nil"/>
              <w:bottom w:val="nil"/>
              <w:right w:val="nil"/>
            </w:tcBorders>
            <w:shd w:val="clear" w:color="auto" w:fill="auto"/>
            <w:noWrap/>
            <w:vAlign w:val="bottom"/>
            <w:hideMark/>
          </w:tcPr>
          <w:p w14:paraId="28C8963B" w14:textId="77777777" w:rsidR="008D7DD4" w:rsidRPr="008D7DD4" w:rsidRDefault="008D7DD4" w:rsidP="008D7DD4">
            <w:pPr>
              <w:spacing w:after="0" w:line="240" w:lineRule="auto"/>
              <w:rPr>
                <w:rFonts w:ascii="Garamond" w:eastAsia="MS PMincho" w:hAnsi="Garamond" w:cs="Arial"/>
                <w:b/>
                <w:color w:val="44546A"/>
                <w:sz w:val="28"/>
                <w:szCs w:val="20"/>
              </w:rPr>
            </w:pPr>
          </w:p>
        </w:tc>
        <w:tc>
          <w:tcPr>
            <w:tcW w:w="1548" w:type="dxa"/>
            <w:tcBorders>
              <w:top w:val="nil"/>
              <w:left w:val="nil"/>
              <w:bottom w:val="nil"/>
              <w:right w:val="nil"/>
            </w:tcBorders>
            <w:shd w:val="clear" w:color="auto" w:fill="auto"/>
            <w:noWrap/>
            <w:vAlign w:val="bottom"/>
            <w:hideMark/>
          </w:tcPr>
          <w:p w14:paraId="32382FBA" w14:textId="77777777" w:rsidR="008D7DD4" w:rsidRPr="008D7DD4" w:rsidRDefault="008D7DD4" w:rsidP="008D7DD4">
            <w:pPr>
              <w:spacing w:after="0" w:line="240" w:lineRule="auto"/>
              <w:rPr>
                <w:rFonts w:ascii="Garamond" w:eastAsia="MS PMincho" w:hAnsi="Garamond" w:cs="Arial"/>
                <w:b/>
                <w:color w:val="44546A"/>
                <w:sz w:val="28"/>
                <w:szCs w:val="20"/>
              </w:rPr>
            </w:pPr>
          </w:p>
        </w:tc>
      </w:tr>
      <w:tr w:rsidR="008D7DD4" w:rsidRPr="008D7DD4" w14:paraId="4721B59E" w14:textId="77777777" w:rsidTr="003D463E">
        <w:trPr>
          <w:trHeight w:val="250"/>
        </w:trPr>
        <w:tc>
          <w:tcPr>
            <w:tcW w:w="15582"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7B2B4C79" w14:textId="77777777" w:rsidR="008D7DD4" w:rsidRPr="008D7DD4" w:rsidRDefault="008D7DD4" w:rsidP="008D7DD4">
            <w:pPr>
              <w:spacing w:after="0" w:line="240" w:lineRule="auto"/>
              <w:jc w:val="center"/>
              <w:rPr>
                <w:rFonts w:ascii="Garamond" w:eastAsia="MS PMincho" w:hAnsi="Garamond" w:cs="Arial"/>
                <w:b/>
                <w:color w:val="44546A"/>
                <w:sz w:val="28"/>
                <w:szCs w:val="20"/>
              </w:rPr>
            </w:pPr>
            <w:r w:rsidRPr="008D7DD4">
              <w:rPr>
                <w:rFonts w:ascii="Garamond" w:eastAsia="MS PMincho" w:hAnsi="Garamond" w:cs="Arial"/>
                <w:b/>
                <w:color w:val="44546A"/>
                <w:sz w:val="28"/>
                <w:szCs w:val="20"/>
              </w:rPr>
              <w:t>Lastnik - primer fizična oseba 6</w:t>
            </w:r>
          </w:p>
        </w:tc>
      </w:tr>
      <w:tr w:rsidR="008D7DD4" w:rsidRPr="008D7DD4" w14:paraId="713428FE"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73414B62"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Maribor - 239 m2 (rezidenčna hiša)</w:t>
            </w:r>
          </w:p>
        </w:tc>
        <w:tc>
          <w:tcPr>
            <w:tcW w:w="2551" w:type="dxa"/>
            <w:tcBorders>
              <w:top w:val="nil"/>
              <w:left w:val="nil"/>
              <w:bottom w:val="single" w:sz="4" w:space="0" w:color="auto"/>
              <w:right w:val="single" w:sz="4" w:space="0" w:color="auto"/>
            </w:tcBorders>
            <w:shd w:val="clear" w:color="auto" w:fill="auto"/>
            <w:noWrap/>
            <w:vAlign w:val="bottom"/>
            <w:hideMark/>
          </w:tcPr>
          <w:p w14:paraId="2AF5D867"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353.800</w:t>
            </w:r>
          </w:p>
        </w:tc>
        <w:tc>
          <w:tcPr>
            <w:tcW w:w="2205" w:type="dxa"/>
            <w:tcBorders>
              <w:top w:val="nil"/>
              <w:left w:val="nil"/>
              <w:bottom w:val="single" w:sz="4" w:space="0" w:color="auto"/>
              <w:right w:val="single" w:sz="4" w:space="0" w:color="auto"/>
            </w:tcBorders>
            <w:shd w:val="clear" w:color="auto" w:fill="auto"/>
            <w:noWrap/>
            <w:vAlign w:val="bottom"/>
            <w:hideMark/>
          </w:tcPr>
          <w:p w14:paraId="347BAD2D"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07AF755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5.130</w:t>
            </w:r>
          </w:p>
        </w:tc>
      </w:tr>
      <w:tr w:rsidR="008D7DD4" w:rsidRPr="008D7DD4" w14:paraId="6597C851" w14:textId="77777777" w:rsidTr="003D463E">
        <w:trPr>
          <w:trHeight w:val="208"/>
        </w:trPr>
        <w:tc>
          <w:tcPr>
            <w:tcW w:w="9278" w:type="dxa"/>
            <w:tcBorders>
              <w:top w:val="nil"/>
              <w:left w:val="single" w:sz="4" w:space="0" w:color="auto"/>
              <w:bottom w:val="single" w:sz="4" w:space="0" w:color="auto"/>
              <w:right w:val="single" w:sz="4" w:space="0" w:color="auto"/>
            </w:tcBorders>
            <w:shd w:val="clear" w:color="auto" w:fill="auto"/>
            <w:noWrap/>
            <w:vAlign w:val="bottom"/>
            <w:hideMark/>
          </w:tcPr>
          <w:p w14:paraId="79159B8B"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Ptuj - 58 m2 (nerezidenčno stanovanje)</w:t>
            </w:r>
          </w:p>
        </w:tc>
        <w:tc>
          <w:tcPr>
            <w:tcW w:w="2551" w:type="dxa"/>
            <w:tcBorders>
              <w:top w:val="nil"/>
              <w:left w:val="nil"/>
              <w:bottom w:val="single" w:sz="4" w:space="0" w:color="auto"/>
              <w:right w:val="single" w:sz="4" w:space="0" w:color="auto"/>
            </w:tcBorders>
            <w:shd w:val="clear" w:color="auto" w:fill="auto"/>
            <w:noWrap/>
            <w:vAlign w:val="bottom"/>
            <w:hideMark/>
          </w:tcPr>
          <w:p w14:paraId="4CFD2CB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107.400</w:t>
            </w:r>
          </w:p>
        </w:tc>
        <w:tc>
          <w:tcPr>
            <w:tcW w:w="2205" w:type="dxa"/>
            <w:tcBorders>
              <w:top w:val="nil"/>
              <w:left w:val="nil"/>
              <w:bottom w:val="single" w:sz="4" w:space="0" w:color="auto"/>
              <w:right w:val="single" w:sz="4" w:space="0" w:color="auto"/>
            </w:tcBorders>
            <w:shd w:val="clear" w:color="auto" w:fill="auto"/>
            <w:noWrap/>
            <w:vAlign w:val="bottom"/>
            <w:hideMark/>
          </w:tcPr>
          <w:p w14:paraId="27A84C42"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1,45%</w:t>
            </w:r>
          </w:p>
        </w:tc>
        <w:tc>
          <w:tcPr>
            <w:tcW w:w="1548" w:type="dxa"/>
            <w:tcBorders>
              <w:top w:val="nil"/>
              <w:left w:val="nil"/>
              <w:bottom w:val="single" w:sz="4" w:space="0" w:color="auto"/>
              <w:right w:val="single" w:sz="4" w:space="0" w:color="auto"/>
            </w:tcBorders>
            <w:shd w:val="clear" w:color="auto" w:fill="auto"/>
            <w:noWrap/>
            <w:vAlign w:val="bottom"/>
            <w:hideMark/>
          </w:tcPr>
          <w:p w14:paraId="7E823E2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1.557</w:t>
            </w:r>
          </w:p>
        </w:tc>
      </w:tr>
      <w:tr w:rsidR="008D7DD4" w:rsidRPr="008D7DD4" w14:paraId="75F2B40E" w14:textId="77777777" w:rsidTr="003D463E">
        <w:trPr>
          <w:trHeight w:val="263"/>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ECBD65"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v primeru oddajanja nerezidenčnega stanovanja v najem (najemnina v višini 600 €/mesec) se znesek davka zniža za</w:t>
            </w:r>
          </w:p>
        </w:tc>
        <w:tc>
          <w:tcPr>
            <w:tcW w:w="1548" w:type="dxa"/>
            <w:tcBorders>
              <w:top w:val="nil"/>
              <w:left w:val="nil"/>
              <w:bottom w:val="single" w:sz="4" w:space="0" w:color="auto"/>
              <w:right w:val="single" w:sz="4" w:space="0" w:color="auto"/>
            </w:tcBorders>
            <w:shd w:val="clear" w:color="auto" w:fill="auto"/>
            <w:noWrap/>
            <w:vAlign w:val="bottom"/>
            <w:hideMark/>
          </w:tcPr>
          <w:p w14:paraId="372A89B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-1.800</w:t>
            </w:r>
          </w:p>
        </w:tc>
      </w:tr>
      <w:tr w:rsidR="008D7DD4" w:rsidRPr="008D7DD4" w14:paraId="6CACCCA5" w14:textId="77777777" w:rsidTr="003D463E">
        <w:trPr>
          <w:trHeight w:val="208"/>
        </w:trPr>
        <w:tc>
          <w:tcPr>
            <w:tcW w:w="14034" w:type="dxa"/>
            <w:gridSpan w:val="3"/>
            <w:tcBorders>
              <w:top w:val="nil"/>
              <w:left w:val="single" w:sz="4" w:space="0" w:color="auto"/>
              <w:bottom w:val="nil"/>
              <w:right w:val="single" w:sz="4" w:space="0" w:color="000000"/>
            </w:tcBorders>
            <w:shd w:val="clear" w:color="auto" w:fill="auto"/>
            <w:noWrap/>
            <w:vAlign w:val="bottom"/>
            <w:hideMark/>
          </w:tcPr>
          <w:p w14:paraId="7AF27737"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končni znesek davka na nerezidenčno stanovanje v primeru najema znaša</w:t>
            </w:r>
          </w:p>
        </w:tc>
        <w:tc>
          <w:tcPr>
            <w:tcW w:w="1548" w:type="dxa"/>
            <w:tcBorders>
              <w:top w:val="nil"/>
              <w:left w:val="nil"/>
              <w:bottom w:val="single" w:sz="4" w:space="0" w:color="auto"/>
              <w:right w:val="single" w:sz="4" w:space="0" w:color="auto"/>
            </w:tcBorders>
            <w:shd w:val="clear" w:color="auto" w:fill="auto"/>
            <w:noWrap/>
            <w:vAlign w:val="bottom"/>
            <w:hideMark/>
          </w:tcPr>
          <w:p w14:paraId="42D47C2E"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5E60DDC5" w14:textId="77777777" w:rsidTr="003D463E">
        <w:trPr>
          <w:trHeight w:val="453"/>
        </w:trPr>
        <w:tc>
          <w:tcPr>
            <w:tcW w:w="14034" w:type="dxa"/>
            <w:gridSpan w:val="3"/>
            <w:tcBorders>
              <w:top w:val="single" w:sz="4" w:space="0" w:color="auto"/>
              <w:left w:val="single" w:sz="4" w:space="0" w:color="auto"/>
              <w:bottom w:val="nil"/>
              <w:right w:val="single" w:sz="4" w:space="0" w:color="000000"/>
            </w:tcBorders>
            <w:shd w:val="clear" w:color="000000" w:fill="FFE699"/>
            <w:vAlign w:val="bottom"/>
            <w:hideMark/>
          </w:tcPr>
          <w:p w14:paraId="3C33D146"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6 - z najemom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2AF043AC"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0</w:t>
            </w:r>
          </w:p>
        </w:tc>
      </w:tr>
      <w:tr w:rsidR="008D7DD4" w:rsidRPr="008D7DD4" w14:paraId="480D1314" w14:textId="77777777" w:rsidTr="003D463E">
        <w:trPr>
          <w:trHeight w:val="415"/>
        </w:trPr>
        <w:tc>
          <w:tcPr>
            <w:tcW w:w="14034" w:type="dxa"/>
            <w:gridSpan w:val="3"/>
            <w:tcBorders>
              <w:top w:val="single" w:sz="4" w:space="0" w:color="auto"/>
              <w:left w:val="single" w:sz="4" w:space="0" w:color="auto"/>
              <w:bottom w:val="single" w:sz="4" w:space="0" w:color="auto"/>
              <w:right w:val="single" w:sz="4" w:space="0" w:color="auto"/>
            </w:tcBorders>
            <w:shd w:val="clear" w:color="000000" w:fill="FFE699"/>
            <w:vAlign w:val="bottom"/>
            <w:hideMark/>
          </w:tcPr>
          <w:p w14:paraId="4528C8E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KONČNI ZNESEK DAVKA NA STANOVANJSKE NEPREMIČNINE FIZIČNE OSEBE 6 - brez najema in upoštevanjem oprostitve davka za rezidenčna stanovanja</w:t>
            </w:r>
          </w:p>
        </w:tc>
        <w:tc>
          <w:tcPr>
            <w:tcW w:w="1548" w:type="dxa"/>
            <w:tcBorders>
              <w:top w:val="nil"/>
              <w:left w:val="nil"/>
              <w:bottom w:val="single" w:sz="4" w:space="0" w:color="auto"/>
              <w:right w:val="single" w:sz="4" w:space="0" w:color="auto"/>
            </w:tcBorders>
            <w:shd w:val="clear" w:color="000000" w:fill="FFE699"/>
            <w:noWrap/>
            <w:vAlign w:val="bottom"/>
            <w:hideMark/>
          </w:tcPr>
          <w:p w14:paraId="48B0F75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1.557</w:t>
            </w:r>
          </w:p>
        </w:tc>
      </w:tr>
    </w:tbl>
    <w:p w14:paraId="38A1BDA2" w14:textId="77777777" w:rsidR="008D7DD4" w:rsidRPr="008D7DD4" w:rsidRDefault="008D7DD4" w:rsidP="008D7DD4">
      <w:pPr>
        <w:spacing w:after="0" w:line="240" w:lineRule="auto"/>
        <w:jc w:val="both"/>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Vir: Podatki o posplošeni vrednosti nepremičnin GURS, javni vpogled, stanje na dan 10.6.2024</w:t>
      </w:r>
    </w:p>
    <w:p w14:paraId="2FF4C1C0" w14:textId="77777777" w:rsidR="008D7DD4" w:rsidRPr="008D7DD4" w:rsidRDefault="008D7DD4" w:rsidP="008D7DD4">
      <w:pPr>
        <w:spacing w:line="240" w:lineRule="auto"/>
        <w:jc w:val="both"/>
        <w:rPr>
          <w:rFonts w:ascii="Times New Roman" w:eastAsia="Times New Roman" w:hAnsi="Times New Roman"/>
          <w:i/>
          <w:iCs/>
          <w:noProof/>
          <w:sz w:val="18"/>
          <w:szCs w:val="18"/>
          <w:lang w:eastAsia="sl-SI"/>
        </w:rPr>
        <w:sectPr w:rsidR="008D7DD4" w:rsidRPr="008D7DD4" w:rsidSect="008D7DD4">
          <w:pgSz w:w="16838" w:h="11906" w:orient="landscape" w:code="9"/>
          <w:pgMar w:top="475" w:right="720" w:bottom="993" w:left="720" w:header="0" w:footer="289" w:gutter="0"/>
          <w:cols w:space="720"/>
          <w:docGrid w:linePitch="382"/>
        </w:sectPr>
      </w:pPr>
    </w:p>
    <w:p w14:paraId="5BB9AAAE" w14:textId="77777777" w:rsidR="008D7DD4" w:rsidRPr="008D7DD4" w:rsidRDefault="008D7DD4" w:rsidP="008D7DD4">
      <w:pPr>
        <w:tabs>
          <w:tab w:val="left" w:pos="142"/>
        </w:tabs>
        <w:spacing w:after="0"/>
        <w:jc w:val="center"/>
        <w:rPr>
          <w:rFonts w:ascii="Garamond" w:eastAsia="MS PGothic" w:hAnsi="Garamond"/>
          <w:color w:val="44546A"/>
          <w:kern w:val="28"/>
          <w:sz w:val="52"/>
          <w:szCs w:val="32"/>
          <w:lang w:eastAsia="sl-SI"/>
        </w:rPr>
      </w:pPr>
      <w:r w:rsidRPr="008D7DD4">
        <w:rPr>
          <w:rFonts w:ascii="Garamond" w:eastAsia="MS PGothic" w:hAnsi="Garamond"/>
          <w:color w:val="44546A"/>
          <w:kern w:val="28"/>
          <w:sz w:val="52"/>
          <w:szCs w:val="32"/>
          <w:lang w:eastAsia="sl-SI"/>
        </w:rPr>
        <w:lastRenderedPageBreak/>
        <w:t>PRESTRUKTURIRANJE IN RAZBREMENITEV DELA</w:t>
      </w:r>
    </w:p>
    <w:p w14:paraId="7CD5BD6F" w14:textId="77777777" w:rsidR="008D7DD4" w:rsidRPr="008D7DD4" w:rsidRDefault="008D7DD4" w:rsidP="008D7DD4">
      <w:pPr>
        <w:spacing w:after="0"/>
        <w:jc w:val="center"/>
        <w:rPr>
          <w:rFonts w:ascii="Garamond" w:eastAsia="MS PGothic" w:hAnsi="Garamond"/>
          <w:b/>
          <w:bCs/>
          <w:color w:val="44546A"/>
          <w:kern w:val="28"/>
          <w:sz w:val="52"/>
          <w:szCs w:val="32"/>
          <w:lang w:eastAsia="sl-SI"/>
        </w:rPr>
      </w:pPr>
    </w:p>
    <w:p w14:paraId="2ED13E91" w14:textId="77777777" w:rsidR="008D7DD4" w:rsidRPr="008D7DD4" w:rsidRDefault="008D7DD4" w:rsidP="005B6E25">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V luči vse večjih izzivov, povezanih z demografskimi spremembami, globalno gospodarsko konkurenco in potrebami po izboljšanju pogojev za delo in zaposlovanje v Sloveniji, je povečanje konkurenčnosti slovenskega gospodarstva z razbremenitvijo dela ter primerno obremenitvijo premoženja smer predlagane davčne politike.</w:t>
      </w:r>
    </w:p>
    <w:p w14:paraId="2C5A023D" w14:textId="77777777" w:rsidR="008D7DD4" w:rsidRPr="008D7DD4" w:rsidRDefault="008D7DD4" w:rsidP="005B6E25">
      <w:pPr>
        <w:spacing w:after="0"/>
        <w:jc w:val="both"/>
        <w:rPr>
          <w:rFonts w:ascii="Garamond" w:eastAsia="MS PMincho" w:hAnsi="Garamond"/>
          <w:b/>
          <w:noProof/>
          <w:color w:val="44546A"/>
          <w:sz w:val="28"/>
        </w:rPr>
      </w:pPr>
    </w:p>
    <w:p w14:paraId="1414B588" w14:textId="77777777" w:rsidR="008D7DD4" w:rsidRPr="008D7DD4" w:rsidRDefault="008D7DD4" w:rsidP="005B6E25">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CILJI:</w:t>
      </w:r>
    </w:p>
    <w:p w14:paraId="7984CDF0" w14:textId="77777777" w:rsidR="008D7DD4" w:rsidRPr="008D7DD4" w:rsidRDefault="008D7DD4" w:rsidP="00CA45CC">
      <w:pPr>
        <w:numPr>
          <w:ilvl w:val="0"/>
          <w:numId w:val="7"/>
        </w:numPr>
        <w:spacing w:after="0"/>
        <w:contextualSpacing/>
        <w:jc w:val="both"/>
        <w:rPr>
          <w:rFonts w:ascii="Garamond" w:eastAsia="MS PMincho" w:hAnsi="Garamond"/>
          <w:b/>
          <w:noProof/>
          <w:color w:val="44546A"/>
          <w:sz w:val="28"/>
        </w:rPr>
      </w:pPr>
      <w:r w:rsidRPr="008D7DD4">
        <w:rPr>
          <w:rFonts w:ascii="Garamond" w:eastAsia="MS PMincho" w:hAnsi="Garamond"/>
          <w:b/>
          <w:noProof/>
          <w:color w:val="44546A"/>
          <w:sz w:val="28"/>
        </w:rPr>
        <w:t>razbremenitev dohodkov iz delovnega razmerja za povečanje konkurenčnosti slovenskega gospodarstva oziroma slovenskega trga dela</w:t>
      </w:r>
    </w:p>
    <w:p w14:paraId="76DD5E7B" w14:textId="77777777" w:rsidR="008D7DD4" w:rsidRPr="008D7DD4" w:rsidRDefault="008D7DD4" w:rsidP="00CA45CC">
      <w:pPr>
        <w:numPr>
          <w:ilvl w:val="0"/>
          <w:numId w:val="7"/>
        </w:numPr>
        <w:spacing w:after="0"/>
        <w:contextualSpacing/>
        <w:jc w:val="both"/>
        <w:rPr>
          <w:rFonts w:ascii="Garamond" w:eastAsia="MS PMincho" w:hAnsi="Garamond"/>
          <w:b/>
          <w:noProof/>
          <w:color w:val="44546A"/>
          <w:sz w:val="28"/>
        </w:rPr>
      </w:pPr>
      <w:r w:rsidRPr="008D7DD4">
        <w:rPr>
          <w:rFonts w:ascii="Garamond" w:eastAsia="MS PMincho" w:hAnsi="Garamond"/>
          <w:b/>
          <w:noProof/>
          <w:color w:val="44546A"/>
          <w:sz w:val="28"/>
        </w:rPr>
        <w:t>možnost omilitve obremenitve vpeljanih ali predvidenih ostalih horizontalnih ukrepov na področju socialnih zavarovanj</w:t>
      </w:r>
    </w:p>
    <w:p w14:paraId="257E7CE9" w14:textId="77777777" w:rsidR="008D7DD4" w:rsidRPr="008D7DD4" w:rsidRDefault="008D7DD4" w:rsidP="00CA45CC">
      <w:pPr>
        <w:numPr>
          <w:ilvl w:val="0"/>
          <w:numId w:val="7"/>
        </w:numPr>
        <w:spacing w:after="0"/>
        <w:contextualSpacing/>
        <w:jc w:val="both"/>
        <w:rPr>
          <w:rFonts w:ascii="Garamond" w:eastAsia="MS PMincho" w:hAnsi="Garamond"/>
          <w:b/>
          <w:noProof/>
          <w:color w:val="44546A"/>
          <w:sz w:val="28"/>
        </w:rPr>
      </w:pPr>
      <w:r w:rsidRPr="008D7DD4">
        <w:rPr>
          <w:rFonts w:ascii="Garamond" w:eastAsia="MS PMincho" w:hAnsi="Garamond"/>
          <w:b/>
          <w:noProof/>
          <w:color w:val="44546A"/>
          <w:sz w:val="28"/>
        </w:rPr>
        <w:t>prispevek k stabilnemu financiranju ključnih javnih storitev z zmanjšanjem pritiska na obremenitev dela.</w:t>
      </w:r>
    </w:p>
    <w:p w14:paraId="008AC39A" w14:textId="77777777" w:rsidR="008D7DD4" w:rsidRPr="008D7DD4" w:rsidRDefault="008D7DD4" w:rsidP="001D77D7">
      <w:pPr>
        <w:spacing w:after="0"/>
        <w:jc w:val="both"/>
        <w:rPr>
          <w:rFonts w:ascii="Garamond" w:eastAsia="MS PMincho" w:hAnsi="Garamond"/>
          <w:b/>
          <w:noProof/>
          <w:color w:val="44546A"/>
          <w:sz w:val="28"/>
        </w:rPr>
      </w:pPr>
    </w:p>
    <w:p w14:paraId="667E8CF6" w14:textId="77777777" w:rsidR="008D7DD4" w:rsidRPr="008D7DD4" w:rsidRDefault="008D7DD4" w:rsidP="001D77D7">
      <w:pPr>
        <w:spacing w:after="0"/>
        <w:jc w:val="both"/>
        <w:rPr>
          <w:rFonts w:ascii="Garamond" w:eastAsia="MS PMincho" w:hAnsi="Garamond"/>
          <w:b/>
          <w:noProof/>
          <w:color w:val="44546A"/>
          <w:sz w:val="28"/>
        </w:rPr>
      </w:pPr>
      <w:bookmarkStart w:id="3" w:name="_Hlk184729371"/>
      <w:r w:rsidRPr="008D7DD4">
        <w:rPr>
          <w:rFonts w:ascii="Garamond" w:eastAsia="MS PMincho" w:hAnsi="Garamond"/>
          <w:b/>
          <w:noProof/>
          <w:color w:val="44546A"/>
          <w:sz w:val="28"/>
        </w:rPr>
        <w:t xml:space="preserve">Ukrepi na različnih področjih morajo biti zasnovani celovito. </w:t>
      </w:r>
      <w:bookmarkStart w:id="4" w:name="_Hlk185595524"/>
      <w:r w:rsidRPr="008D7DD4">
        <w:rPr>
          <w:rFonts w:ascii="Garamond" w:eastAsia="MS PMincho" w:hAnsi="Garamond"/>
          <w:b/>
          <w:noProof/>
          <w:color w:val="44546A"/>
          <w:sz w:val="28"/>
        </w:rPr>
        <w:t xml:space="preserve">Treba je upoštevati tako širši vpliv na javne finance kot tudi to, da se v okviru različnih politik in sprememb spodbuja vključevanje prebivalstva na trg dela in ustvarja pogoje za bolj vzdržno gospodarsko rast. </w:t>
      </w:r>
      <w:bookmarkEnd w:id="4"/>
      <w:r w:rsidRPr="008D7DD4">
        <w:rPr>
          <w:rFonts w:ascii="Garamond" w:eastAsia="MS PMincho" w:hAnsi="Garamond"/>
          <w:b/>
          <w:noProof/>
          <w:color w:val="44546A"/>
          <w:sz w:val="28"/>
        </w:rPr>
        <w:t>Pristop mora biti uravnotežen</w:t>
      </w:r>
      <w:r w:rsidR="00ED7B24">
        <w:rPr>
          <w:rFonts w:ascii="Garamond" w:eastAsia="MS PMincho" w:hAnsi="Garamond"/>
          <w:b/>
          <w:noProof/>
          <w:color w:val="44546A"/>
          <w:sz w:val="28"/>
        </w:rPr>
        <w:t>,</w:t>
      </w:r>
      <w:r w:rsidRPr="008D7DD4">
        <w:rPr>
          <w:rFonts w:ascii="Garamond" w:eastAsia="MS PMincho" w:hAnsi="Garamond"/>
          <w:b/>
          <w:noProof/>
          <w:color w:val="44546A"/>
          <w:sz w:val="28"/>
        </w:rPr>
        <w:t xml:space="preserve"> dolgoročno naravnan </w:t>
      </w:r>
      <w:r w:rsidR="00ED7B24">
        <w:rPr>
          <w:rFonts w:ascii="Garamond" w:eastAsia="MS PMincho" w:hAnsi="Garamond"/>
          <w:b/>
          <w:noProof/>
          <w:color w:val="44546A"/>
          <w:sz w:val="28"/>
        </w:rPr>
        <w:t>in</w:t>
      </w:r>
      <w:r w:rsidRPr="008D7DD4">
        <w:rPr>
          <w:rFonts w:ascii="Garamond" w:eastAsia="MS PMincho" w:hAnsi="Garamond"/>
          <w:b/>
          <w:noProof/>
          <w:color w:val="44546A"/>
          <w:sz w:val="28"/>
        </w:rPr>
        <w:t xml:space="preserve"> z zagotovljeno finančno stabilnostjo javnih blagajn ter tudi s ciljem spodbujanja večje socialne pravičnosti in bolj konkurenčnega gospodarskega okolja.</w:t>
      </w:r>
    </w:p>
    <w:bookmarkEnd w:id="3"/>
    <w:p w14:paraId="1FF2A50B" w14:textId="77777777" w:rsidR="008D7DD4" w:rsidRPr="008D7DD4" w:rsidRDefault="008D7DD4" w:rsidP="005B6E25">
      <w:pPr>
        <w:spacing w:after="0"/>
        <w:jc w:val="both"/>
        <w:rPr>
          <w:rFonts w:ascii="Garamond" w:eastAsia="MS PMincho" w:hAnsi="Garamond"/>
          <w:b/>
          <w:noProof/>
          <w:color w:val="44546A"/>
          <w:sz w:val="28"/>
        </w:rPr>
      </w:pPr>
    </w:p>
    <w:p w14:paraId="3AB2569C" w14:textId="77777777" w:rsidR="008D7DD4" w:rsidRPr="008D7DD4" w:rsidRDefault="008D7DD4" w:rsidP="005B6E25">
      <w:pPr>
        <w:spacing w:after="0"/>
        <w:jc w:val="both"/>
        <w:rPr>
          <w:rFonts w:ascii="Garamond" w:eastAsia="MS PMincho" w:hAnsi="Garamond"/>
          <w:b/>
          <w:noProof/>
          <w:color w:val="44546A"/>
          <w:sz w:val="28"/>
        </w:rPr>
      </w:pPr>
      <w:bookmarkStart w:id="5" w:name="_Hlk184729586"/>
      <w:r w:rsidRPr="008D7DD4">
        <w:rPr>
          <w:rFonts w:ascii="Garamond" w:eastAsia="MS PMincho" w:hAnsi="Garamond"/>
          <w:b/>
          <w:noProof/>
          <w:color w:val="44546A"/>
          <w:sz w:val="28"/>
        </w:rPr>
        <w:t xml:space="preserve">Z julijem 2025 se začne izvajati pobiranje prispevka za dolgotrajno oskrbo, ki predstavlja nov finančni izziv za delodajalce v obliki dodatnega stroška dela kot tudi za posameznike v obliki zmanjšanja neto dohodka. Obenem pa je bil z letom 2024 vpeljan obvezni zdravstveni prispevek, ki v okviru mednarodnih primerjav še ni upoštevan, bo pa dodatno vplival na konkurenčno sliko slovenskega gospodarstva. Dodatno se preko predvidenih sprememb pokojninskega sistema razpravlja tudi o možnosti za prestrukturiranje prispevnih stopenj za pokojninsko in invalidsko zavarovanje (PIZ), s ciljem ustvariti ravnovesje med prispevki za PIZ delodajalcev in zaposlenih, s čimer bi prišlo do zmanjšanja obremenitev zaposlenih in povečanja obremenitev delodajalcev. Možnosti skupnega prilagajanja in sprememb sistemov bi bilo smiselno iskati tudi v okviru sprememb zdravstvenega sistema, in sicer v smeri prestrukturiranja obveznega zdravstvenega prispevka v prispevno stopnjo, kar bi omogočilo predvsem pregledno financiranje zdravstvenih storitev. </w:t>
      </w:r>
    </w:p>
    <w:p w14:paraId="66B180AD" w14:textId="77777777" w:rsidR="008D7DD4" w:rsidRPr="008D7DD4" w:rsidRDefault="008D7DD4" w:rsidP="008D7DD4">
      <w:pPr>
        <w:spacing w:after="0"/>
        <w:jc w:val="both"/>
        <w:rPr>
          <w:rFonts w:ascii="Garamond" w:eastAsia="MS PMincho" w:hAnsi="Garamond"/>
          <w:b/>
          <w:noProof/>
          <w:color w:val="44546A"/>
          <w:sz w:val="28"/>
        </w:rPr>
      </w:pPr>
    </w:p>
    <w:p w14:paraId="42A25D2A"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 xml:space="preserve">Z uvedbo davka na stanovanjske nepremičnine se pridobi pomemben vir posrednega financiranja za vse ključne ukrepe v smeri prestrukturiranja in razbremenitve dela, kar bi lahko spodbudilo gospodarsko dejavnost ter povečalo konkurenčnost trga dela. Hkrati pa bi z uvedbo davka na stanovanjske nepremičnine prispevali k doseganju ciljev stanovanjske politike v smeri večje dostopnosti stanovanj, zlasti za mlade in socialno ranljive skupine. </w:t>
      </w:r>
    </w:p>
    <w:bookmarkEnd w:id="5"/>
    <w:p w14:paraId="69DCF8CF"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Mednarodna primerjava</w:t>
      </w:r>
    </w:p>
    <w:p w14:paraId="5D421442"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Zadnji razpoložljivi podatki Evropske Komisije (EK), Taxation trends nam dokazujejo, da je Slovenija po obremenitvi z davki in prispevki za socialno varnost v letu 2022 pod povprečjem EU (Slovenija 37,5 % v BDP, povprečje EU 40,</w:t>
      </w:r>
      <w:r w:rsidR="00E97987">
        <w:rPr>
          <w:rFonts w:ascii="Garamond" w:eastAsia="MS PMincho" w:hAnsi="Garamond"/>
          <w:b/>
          <w:noProof/>
          <w:color w:val="44546A"/>
          <w:sz w:val="28"/>
        </w:rPr>
        <w:t>2</w:t>
      </w:r>
      <w:r w:rsidRPr="008D7DD4">
        <w:rPr>
          <w:rFonts w:ascii="Garamond" w:eastAsia="MS PMincho" w:hAnsi="Garamond"/>
          <w:b/>
          <w:noProof/>
          <w:color w:val="44546A"/>
          <w:sz w:val="28"/>
        </w:rPr>
        <w:t xml:space="preserve"> %, Avstrija 43,2 %, Italija 42,7 %, Hrvaška 37 %, itd.).</w:t>
      </w:r>
    </w:p>
    <w:p w14:paraId="4B1019DE" w14:textId="77777777" w:rsidR="008D7DD4" w:rsidRPr="008D7DD4" w:rsidRDefault="008D7DD4" w:rsidP="008D7DD4">
      <w:pPr>
        <w:spacing w:after="0"/>
        <w:jc w:val="both"/>
        <w:rPr>
          <w:rFonts w:ascii="Garamond" w:eastAsia="MS PMincho" w:hAnsi="Garamond"/>
          <w:b/>
          <w:noProof/>
          <w:color w:val="44546A"/>
          <w:sz w:val="28"/>
        </w:rPr>
      </w:pPr>
    </w:p>
    <w:p w14:paraId="43BD3716"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Razvidno je, da je delež davkov in prispevkov za socialno varnost v Sloveniji, v primerjavi z Avstrijo in tudi nekaterimi drugimi razvitimi državami bistveno nižji, a je pri tem pomembno tudi, kakšna je ekonomska struktura davkov in prispevkov za socialno varnost (davki na delo, davki na potrošnjo in davki na kapital). Ta struktura za Slovenijo ni najbolj ugodna – imamo visoko skupno obdavčitev dela, kar izhaja zlasti iz najvišje obremenitve s prispevki za socialno varnost med vsemi članicami EU (16,0 % BDP, povprečje EU 1</w:t>
      </w:r>
      <w:r w:rsidR="00E97987">
        <w:rPr>
          <w:rFonts w:ascii="Garamond" w:eastAsia="MS PMincho" w:hAnsi="Garamond"/>
          <w:b/>
          <w:noProof/>
          <w:color w:val="44546A"/>
          <w:sz w:val="28"/>
        </w:rPr>
        <w:t>2</w:t>
      </w:r>
      <w:r w:rsidRPr="008D7DD4">
        <w:rPr>
          <w:rFonts w:ascii="Garamond" w:eastAsia="MS PMincho" w:hAnsi="Garamond"/>
          <w:b/>
          <w:noProof/>
          <w:color w:val="44546A"/>
          <w:sz w:val="28"/>
        </w:rPr>
        <w:t>,</w:t>
      </w:r>
      <w:r w:rsidR="00E97987">
        <w:rPr>
          <w:rFonts w:ascii="Garamond" w:eastAsia="MS PMincho" w:hAnsi="Garamond"/>
          <w:b/>
          <w:noProof/>
          <w:color w:val="44546A"/>
          <w:sz w:val="28"/>
        </w:rPr>
        <w:t>9</w:t>
      </w:r>
      <w:r w:rsidRPr="008D7DD4">
        <w:rPr>
          <w:rFonts w:ascii="Garamond" w:eastAsia="MS PMincho" w:hAnsi="Garamond"/>
          <w:b/>
          <w:noProof/>
          <w:color w:val="44546A"/>
          <w:sz w:val="28"/>
        </w:rPr>
        <w:t xml:space="preserve"> %, Avstrija 14,7 %, Hrvaška 10,6 %, itd.) ter zelo nizko obdavčitev iz naslova davkov na premoženje (0,6 % BDP, kar predstavlja 22. mesto med 27 državami članicami EU, Avstrija 0,8 %, Italija 2,4 %).</w:t>
      </w:r>
    </w:p>
    <w:p w14:paraId="4CF70DE0" w14:textId="77777777" w:rsidR="008D7DD4" w:rsidRPr="008D7DD4" w:rsidRDefault="008D7DD4" w:rsidP="008D7DD4">
      <w:pPr>
        <w:spacing w:after="0"/>
        <w:jc w:val="both"/>
        <w:rPr>
          <w:rFonts w:ascii="Garamond" w:eastAsia="MS PMincho" w:hAnsi="Garamond"/>
          <w:b/>
          <w:noProof/>
          <w:color w:val="44546A"/>
          <w:sz w:val="28"/>
        </w:rPr>
      </w:pPr>
    </w:p>
    <w:p w14:paraId="3CDC1DC5" w14:textId="77777777" w:rsidR="008D7DD4" w:rsidRPr="008D7DD4" w:rsidRDefault="008D7DD4" w:rsidP="008D7DD4">
      <w:pPr>
        <w:spacing w:after="0"/>
        <w:jc w:val="both"/>
        <w:rPr>
          <w:rFonts w:ascii="Garamond" w:eastAsia="MS PMincho" w:hAnsi="Garamond"/>
          <w:b/>
          <w:noProof/>
          <w:color w:val="44546A"/>
          <w:sz w:val="28"/>
        </w:rPr>
      </w:pPr>
    </w:p>
    <w:p w14:paraId="636EEEC6" w14:textId="77777777" w:rsidR="008D7DD4" w:rsidRPr="008D7DD4" w:rsidRDefault="008D7DD4" w:rsidP="008D7DD4">
      <w:pPr>
        <w:spacing w:after="0"/>
        <w:jc w:val="both"/>
        <w:rPr>
          <w:rFonts w:ascii="Garamond" w:eastAsia="MS PMincho" w:hAnsi="Garamond"/>
          <w:b/>
          <w:noProof/>
          <w:color w:val="44546A"/>
          <w:sz w:val="28"/>
        </w:rPr>
      </w:pPr>
    </w:p>
    <w:p w14:paraId="31CB0476" w14:textId="77777777" w:rsidR="008D7DD4" w:rsidRPr="008D7DD4" w:rsidRDefault="008D7DD4" w:rsidP="008D7DD4">
      <w:pPr>
        <w:spacing w:after="0"/>
        <w:jc w:val="both"/>
        <w:rPr>
          <w:rFonts w:ascii="Garamond" w:eastAsia="MS PMincho" w:hAnsi="Garamond"/>
          <w:b/>
          <w:noProof/>
          <w:color w:val="44546A"/>
          <w:sz w:val="28"/>
        </w:rPr>
      </w:pPr>
    </w:p>
    <w:p w14:paraId="5476F73C" w14:textId="77777777" w:rsidR="008D7DD4" w:rsidRPr="008D7DD4" w:rsidRDefault="008D7DD4" w:rsidP="008D7DD4">
      <w:pPr>
        <w:spacing w:after="0"/>
        <w:jc w:val="both"/>
        <w:rPr>
          <w:rFonts w:ascii="Garamond" w:eastAsia="MS PMincho" w:hAnsi="Garamond"/>
          <w:b/>
          <w:noProof/>
          <w:color w:val="44546A"/>
          <w:sz w:val="28"/>
        </w:rPr>
      </w:pPr>
    </w:p>
    <w:p w14:paraId="72F7A6DD" w14:textId="77777777" w:rsidR="008D7DD4" w:rsidRPr="008D7DD4" w:rsidRDefault="008D7DD4" w:rsidP="008D7DD4">
      <w:pPr>
        <w:spacing w:after="0"/>
        <w:jc w:val="both"/>
        <w:rPr>
          <w:rFonts w:ascii="Garamond" w:eastAsia="MS PMincho" w:hAnsi="Garamond"/>
          <w:b/>
          <w:noProof/>
          <w:color w:val="44546A"/>
          <w:sz w:val="28"/>
        </w:rPr>
      </w:pPr>
    </w:p>
    <w:p w14:paraId="21C965F9" w14:textId="77777777" w:rsidR="008D7DD4" w:rsidRPr="008D7DD4" w:rsidRDefault="008D7DD4" w:rsidP="008D7DD4">
      <w:pPr>
        <w:spacing w:after="0"/>
        <w:jc w:val="both"/>
        <w:rPr>
          <w:rFonts w:ascii="Garamond" w:eastAsia="MS PMincho" w:hAnsi="Garamond"/>
          <w:b/>
          <w:noProof/>
          <w:color w:val="44546A"/>
          <w:sz w:val="28"/>
        </w:rPr>
      </w:pPr>
    </w:p>
    <w:p w14:paraId="4659B455" w14:textId="77777777" w:rsidR="008D7DD4" w:rsidRDefault="008D7DD4" w:rsidP="008D7DD4">
      <w:pPr>
        <w:spacing w:after="0"/>
        <w:jc w:val="both"/>
        <w:rPr>
          <w:rFonts w:ascii="Garamond" w:eastAsia="MS PMincho" w:hAnsi="Garamond"/>
          <w:b/>
          <w:noProof/>
          <w:color w:val="44546A"/>
          <w:sz w:val="28"/>
        </w:rPr>
      </w:pPr>
    </w:p>
    <w:p w14:paraId="45AE3043" w14:textId="77777777" w:rsidR="009B3590" w:rsidRDefault="009B3590" w:rsidP="008D7DD4">
      <w:pPr>
        <w:spacing w:after="0"/>
        <w:jc w:val="both"/>
        <w:rPr>
          <w:rFonts w:ascii="Garamond" w:eastAsia="MS PMincho" w:hAnsi="Garamond"/>
          <w:b/>
          <w:noProof/>
          <w:color w:val="44546A"/>
          <w:sz w:val="28"/>
        </w:rPr>
      </w:pPr>
    </w:p>
    <w:p w14:paraId="794A850A" w14:textId="77777777" w:rsidR="009B3590" w:rsidRPr="008D7DD4" w:rsidRDefault="009B3590" w:rsidP="008D7DD4">
      <w:pPr>
        <w:spacing w:after="0"/>
        <w:jc w:val="both"/>
        <w:rPr>
          <w:rFonts w:ascii="Garamond" w:eastAsia="MS PMincho" w:hAnsi="Garamond"/>
          <w:b/>
          <w:noProof/>
          <w:color w:val="44546A"/>
          <w:sz w:val="28"/>
        </w:rPr>
      </w:pPr>
    </w:p>
    <w:p w14:paraId="7A680787" w14:textId="77777777" w:rsidR="008D7DD4" w:rsidRDefault="008D7DD4" w:rsidP="008D7DD4">
      <w:pPr>
        <w:spacing w:after="0"/>
        <w:jc w:val="both"/>
        <w:rPr>
          <w:rFonts w:ascii="Garamond" w:eastAsia="MS PMincho" w:hAnsi="Garamond"/>
          <w:b/>
          <w:noProof/>
          <w:color w:val="44546A"/>
          <w:sz w:val="28"/>
        </w:rPr>
      </w:pPr>
    </w:p>
    <w:p w14:paraId="03F5C068" w14:textId="77777777" w:rsidR="00A35B4A" w:rsidRPr="008D7DD4" w:rsidRDefault="00A35B4A" w:rsidP="008D7DD4">
      <w:pPr>
        <w:spacing w:after="0"/>
        <w:jc w:val="both"/>
        <w:rPr>
          <w:rFonts w:ascii="Garamond" w:eastAsia="MS PMincho" w:hAnsi="Garamond"/>
          <w:b/>
          <w:noProof/>
          <w:color w:val="44546A"/>
          <w:sz w:val="28"/>
        </w:rPr>
      </w:pPr>
    </w:p>
    <w:p w14:paraId="05E2FABA" w14:textId="77777777" w:rsidR="008D7DD4" w:rsidRPr="008D7DD4" w:rsidRDefault="008D7DD4" w:rsidP="008D7DD4">
      <w:pPr>
        <w:spacing w:after="0"/>
        <w:jc w:val="both"/>
        <w:rPr>
          <w:rFonts w:ascii="Garamond" w:eastAsia="MS PMincho" w:hAnsi="Garamond"/>
          <w:b/>
          <w:noProof/>
          <w:color w:val="44546A"/>
          <w:sz w:val="28"/>
        </w:rPr>
      </w:pPr>
    </w:p>
    <w:p w14:paraId="6FB953BC"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lastRenderedPageBreak/>
        <w:t>Tabela 4: Pregled strukture posameznih davkov kot % v BDP v letu 2022 za Slovenijo in sosednje države</w:t>
      </w:r>
    </w:p>
    <w:p w14:paraId="33CE4CE8" w14:textId="77777777" w:rsidR="008D7DD4" w:rsidRPr="008D7DD4" w:rsidRDefault="008D7DD4" w:rsidP="008D7DD4">
      <w:pPr>
        <w:spacing w:after="0" w:line="240" w:lineRule="auto"/>
        <w:jc w:val="both"/>
        <w:rPr>
          <w:rFonts w:ascii="Garamond" w:eastAsia="MS PMincho" w:hAnsi="Garamond"/>
          <w:b/>
          <w:noProof/>
          <w:color w:val="44546A"/>
          <w:sz w:val="28"/>
        </w:rPr>
      </w:pPr>
    </w:p>
    <w:tbl>
      <w:tblPr>
        <w:tblW w:w="9077" w:type="dxa"/>
        <w:tblCellMar>
          <w:left w:w="70" w:type="dxa"/>
          <w:right w:w="70" w:type="dxa"/>
        </w:tblCellMar>
        <w:tblLook w:val="04A0" w:firstRow="1" w:lastRow="0" w:firstColumn="1" w:lastColumn="0" w:noHBand="0" w:noVBand="1"/>
      </w:tblPr>
      <w:tblGrid>
        <w:gridCol w:w="2563"/>
        <w:gridCol w:w="1207"/>
        <w:gridCol w:w="957"/>
        <w:gridCol w:w="1204"/>
        <w:gridCol w:w="956"/>
        <w:gridCol w:w="1146"/>
        <w:gridCol w:w="1044"/>
      </w:tblGrid>
      <w:tr w:rsidR="008D7DD4" w:rsidRPr="008D7DD4" w14:paraId="3352D5D4" w14:textId="77777777" w:rsidTr="003D463E">
        <w:trPr>
          <w:trHeight w:val="301"/>
        </w:trPr>
        <w:tc>
          <w:tcPr>
            <w:tcW w:w="256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C6932A2"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 xml:space="preserve">Vrsta davka </w:t>
            </w:r>
          </w:p>
        </w:tc>
        <w:tc>
          <w:tcPr>
            <w:tcW w:w="2164" w:type="dxa"/>
            <w:gridSpan w:val="2"/>
            <w:tcBorders>
              <w:top w:val="single" w:sz="4" w:space="0" w:color="auto"/>
              <w:left w:val="nil"/>
              <w:bottom w:val="single" w:sz="4" w:space="0" w:color="auto"/>
              <w:right w:val="single" w:sz="4" w:space="0" w:color="auto"/>
            </w:tcBorders>
            <w:shd w:val="clear" w:color="000000" w:fill="DCE6F1"/>
            <w:vAlign w:val="center"/>
            <w:hideMark/>
          </w:tcPr>
          <w:p w14:paraId="3AC815DE"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2022 (v % BDP)</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28FBB526"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Rang Slovenije</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B6141ED"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Italija</w:t>
            </w:r>
          </w:p>
        </w:tc>
        <w:tc>
          <w:tcPr>
            <w:tcW w:w="114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D2B1A1B"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Hrvaška</w:t>
            </w:r>
          </w:p>
        </w:tc>
        <w:tc>
          <w:tcPr>
            <w:tcW w:w="1044"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995650F"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Avstrija</w:t>
            </w:r>
          </w:p>
        </w:tc>
      </w:tr>
      <w:tr w:rsidR="008D7DD4" w:rsidRPr="008D7DD4" w14:paraId="0EA85892" w14:textId="77777777" w:rsidTr="003D463E">
        <w:trPr>
          <w:trHeight w:val="301"/>
        </w:trPr>
        <w:tc>
          <w:tcPr>
            <w:tcW w:w="2563" w:type="dxa"/>
            <w:vMerge/>
            <w:tcBorders>
              <w:top w:val="single" w:sz="4" w:space="0" w:color="auto"/>
              <w:left w:val="single" w:sz="4" w:space="0" w:color="auto"/>
              <w:bottom w:val="single" w:sz="4" w:space="0" w:color="auto"/>
              <w:right w:val="single" w:sz="4" w:space="0" w:color="auto"/>
            </w:tcBorders>
            <w:vAlign w:val="center"/>
            <w:hideMark/>
          </w:tcPr>
          <w:p w14:paraId="0BE1F6A4" w14:textId="77777777" w:rsidR="008D7DD4" w:rsidRPr="008D7DD4" w:rsidRDefault="008D7DD4" w:rsidP="008D7DD4">
            <w:pPr>
              <w:spacing w:after="0" w:line="240" w:lineRule="auto"/>
              <w:rPr>
                <w:rFonts w:ascii="Garamond" w:eastAsia="MS PMincho" w:hAnsi="Garamond"/>
                <w:b/>
                <w:noProof/>
                <w:color w:val="44546A"/>
                <w:sz w:val="28"/>
              </w:rPr>
            </w:pPr>
          </w:p>
        </w:tc>
        <w:tc>
          <w:tcPr>
            <w:tcW w:w="1207" w:type="dxa"/>
            <w:tcBorders>
              <w:top w:val="nil"/>
              <w:left w:val="nil"/>
              <w:bottom w:val="single" w:sz="4" w:space="0" w:color="auto"/>
              <w:right w:val="single" w:sz="4" w:space="0" w:color="auto"/>
            </w:tcBorders>
            <w:shd w:val="clear" w:color="000000" w:fill="DCE6F1"/>
            <w:vAlign w:val="center"/>
            <w:hideMark/>
          </w:tcPr>
          <w:p w14:paraId="76BFB622"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Slovenija</w:t>
            </w:r>
          </w:p>
        </w:tc>
        <w:tc>
          <w:tcPr>
            <w:tcW w:w="956" w:type="dxa"/>
            <w:tcBorders>
              <w:top w:val="nil"/>
              <w:left w:val="nil"/>
              <w:bottom w:val="single" w:sz="4" w:space="0" w:color="auto"/>
              <w:right w:val="single" w:sz="4" w:space="0" w:color="auto"/>
            </w:tcBorders>
            <w:shd w:val="clear" w:color="000000" w:fill="DCE6F1"/>
            <w:vAlign w:val="center"/>
            <w:hideMark/>
          </w:tcPr>
          <w:p w14:paraId="33BB3E46" w14:textId="77777777" w:rsidR="008D7DD4" w:rsidRPr="008D7DD4" w:rsidRDefault="008D7DD4" w:rsidP="008D7DD4">
            <w:pPr>
              <w:spacing w:after="0" w:line="240" w:lineRule="auto"/>
              <w:jc w:val="center"/>
              <w:rPr>
                <w:rFonts w:ascii="Garamond" w:eastAsia="MS PMincho" w:hAnsi="Garamond"/>
                <w:b/>
                <w:noProof/>
                <w:color w:val="44546A"/>
                <w:sz w:val="28"/>
              </w:rPr>
            </w:pPr>
            <w:r w:rsidRPr="008D7DD4">
              <w:rPr>
                <w:rFonts w:ascii="Garamond" w:eastAsia="MS PMincho" w:hAnsi="Garamond"/>
                <w:b/>
                <w:noProof/>
                <w:color w:val="44546A"/>
                <w:sz w:val="28"/>
              </w:rPr>
              <w:t>EU-27</w:t>
            </w: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150CA17" w14:textId="77777777" w:rsidR="008D7DD4" w:rsidRPr="008D7DD4" w:rsidRDefault="008D7DD4" w:rsidP="008D7DD4">
            <w:pPr>
              <w:spacing w:after="0" w:line="240" w:lineRule="auto"/>
              <w:rPr>
                <w:rFonts w:ascii="Garamond" w:eastAsia="MS PMincho" w:hAnsi="Garamond"/>
                <w:b/>
                <w:noProof/>
                <w:color w:val="44546A"/>
                <w:sz w:val="28"/>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36592DA" w14:textId="77777777" w:rsidR="008D7DD4" w:rsidRPr="008D7DD4" w:rsidRDefault="008D7DD4" w:rsidP="008D7DD4">
            <w:pPr>
              <w:spacing w:after="0" w:line="240" w:lineRule="auto"/>
              <w:rPr>
                <w:rFonts w:ascii="Garamond" w:eastAsia="MS PMincho" w:hAnsi="Garamond"/>
                <w:b/>
                <w:noProof/>
                <w:color w:val="44546A"/>
                <w:sz w:val="2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6ABF550A" w14:textId="77777777" w:rsidR="008D7DD4" w:rsidRPr="008D7DD4" w:rsidRDefault="008D7DD4" w:rsidP="008D7DD4">
            <w:pPr>
              <w:spacing w:after="0" w:line="240" w:lineRule="auto"/>
              <w:rPr>
                <w:rFonts w:ascii="Garamond" w:eastAsia="MS PMincho" w:hAnsi="Garamond"/>
                <w:b/>
                <w:noProof/>
                <w:color w:val="44546A"/>
                <w:sz w:val="28"/>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92E420A" w14:textId="77777777" w:rsidR="008D7DD4" w:rsidRPr="008D7DD4" w:rsidRDefault="008D7DD4" w:rsidP="008D7DD4">
            <w:pPr>
              <w:spacing w:after="0" w:line="240" w:lineRule="auto"/>
              <w:rPr>
                <w:rFonts w:ascii="Garamond" w:eastAsia="MS PMincho" w:hAnsi="Garamond"/>
                <w:b/>
                <w:noProof/>
                <w:color w:val="44546A"/>
                <w:sz w:val="28"/>
              </w:rPr>
            </w:pPr>
          </w:p>
        </w:tc>
      </w:tr>
      <w:tr w:rsidR="008D7DD4" w:rsidRPr="008D7DD4" w14:paraId="1979A8AF"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6B5A91D5"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Davki in prispevki - skupaj</w:t>
            </w:r>
          </w:p>
        </w:tc>
        <w:tc>
          <w:tcPr>
            <w:tcW w:w="1207" w:type="dxa"/>
            <w:tcBorders>
              <w:top w:val="nil"/>
              <w:left w:val="nil"/>
              <w:bottom w:val="single" w:sz="4" w:space="0" w:color="auto"/>
              <w:right w:val="single" w:sz="4" w:space="0" w:color="auto"/>
            </w:tcBorders>
            <w:shd w:val="clear" w:color="auto" w:fill="auto"/>
            <w:noWrap/>
            <w:vAlign w:val="bottom"/>
            <w:hideMark/>
          </w:tcPr>
          <w:p w14:paraId="0C998C72"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37,5%</w:t>
            </w:r>
          </w:p>
        </w:tc>
        <w:tc>
          <w:tcPr>
            <w:tcW w:w="956" w:type="dxa"/>
            <w:tcBorders>
              <w:top w:val="nil"/>
              <w:left w:val="nil"/>
              <w:bottom w:val="single" w:sz="4" w:space="0" w:color="auto"/>
              <w:right w:val="single" w:sz="4" w:space="0" w:color="auto"/>
            </w:tcBorders>
            <w:shd w:val="clear" w:color="auto" w:fill="auto"/>
            <w:noWrap/>
            <w:vAlign w:val="bottom"/>
            <w:hideMark/>
          </w:tcPr>
          <w:p w14:paraId="79ADB2D3"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40,2%</w:t>
            </w:r>
          </w:p>
        </w:tc>
        <w:tc>
          <w:tcPr>
            <w:tcW w:w="1204" w:type="dxa"/>
            <w:tcBorders>
              <w:top w:val="nil"/>
              <w:left w:val="nil"/>
              <w:bottom w:val="single" w:sz="4" w:space="0" w:color="auto"/>
              <w:right w:val="single" w:sz="4" w:space="0" w:color="auto"/>
            </w:tcBorders>
            <w:shd w:val="clear" w:color="auto" w:fill="auto"/>
            <w:noWrap/>
            <w:vAlign w:val="bottom"/>
            <w:hideMark/>
          </w:tcPr>
          <w:p w14:paraId="17B23873"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13</w:t>
            </w:r>
          </w:p>
        </w:tc>
        <w:tc>
          <w:tcPr>
            <w:tcW w:w="956" w:type="dxa"/>
            <w:tcBorders>
              <w:top w:val="nil"/>
              <w:left w:val="nil"/>
              <w:bottom w:val="single" w:sz="4" w:space="0" w:color="auto"/>
              <w:right w:val="single" w:sz="4" w:space="0" w:color="auto"/>
            </w:tcBorders>
            <w:shd w:val="clear" w:color="auto" w:fill="auto"/>
            <w:noWrap/>
            <w:vAlign w:val="bottom"/>
            <w:hideMark/>
          </w:tcPr>
          <w:p w14:paraId="2B2C478E"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42,7%</w:t>
            </w:r>
          </w:p>
        </w:tc>
        <w:tc>
          <w:tcPr>
            <w:tcW w:w="1146" w:type="dxa"/>
            <w:tcBorders>
              <w:top w:val="nil"/>
              <w:left w:val="nil"/>
              <w:bottom w:val="single" w:sz="4" w:space="0" w:color="auto"/>
              <w:right w:val="single" w:sz="4" w:space="0" w:color="auto"/>
            </w:tcBorders>
            <w:shd w:val="clear" w:color="auto" w:fill="auto"/>
            <w:noWrap/>
            <w:vAlign w:val="bottom"/>
            <w:hideMark/>
          </w:tcPr>
          <w:p w14:paraId="5CC1D9C4"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37,0%</w:t>
            </w:r>
          </w:p>
        </w:tc>
        <w:tc>
          <w:tcPr>
            <w:tcW w:w="1044" w:type="dxa"/>
            <w:tcBorders>
              <w:top w:val="nil"/>
              <w:left w:val="nil"/>
              <w:bottom w:val="single" w:sz="4" w:space="0" w:color="auto"/>
              <w:right w:val="single" w:sz="4" w:space="0" w:color="auto"/>
            </w:tcBorders>
            <w:shd w:val="clear" w:color="auto" w:fill="auto"/>
            <w:noWrap/>
            <w:vAlign w:val="bottom"/>
            <w:hideMark/>
          </w:tcPr>
          <w:p w14:paraId="13CC237A"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43,2%</w:t>
            </w:r>
          </w:p>
        </w:tc>
      </w:tr>
      <w:tr w:rsidR="008D7DD4" w:rsidRPr="008D7DD4" w14:paraId="372BADD4"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6B48FF3D"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Prispevki za socialno varnost</w:t>
            </w:r>
          </w:p>
        </w:tc>
        <w:tc>
          <w:tcPr>
            <w:tcW w:w="1207" w:type="dxa"/>
            <w:tcBorders>
              <w:top w:val="nil"/>
              <w:left w:val="nil"/>
              <w:bottom w:val="single" w:sz="4" w:space="0" w:color="auto"/>
              <w:right w:val="single" w:sz="4" w:space="0" w:color="auto"/>
            </w:tcBorders>
            <w:shd w:val="clear" w:color="auto" w:fill="auto"/>
            <w:noWrap/>
            <w:vAlign w:val="bottom"/>
            <w:hideMark/>
          </w:tcPr>
          <w:p w14:paraId="6A74B3CE"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16,0%</w:t>
            </w:r>
          </w:p>
        </w:tc>
        <w:tc>
          <w:tcPr>
            <w:tcW w:w="956" w:type="dxa"/>
            <w:tcBorders>
              <w:top w:val="nil"/>
              <w:left w:val="nil"/>
              <w:bottom w:val="single" w:sz="4" w:space="0" w:color="auto"/>
              <w:right w:val="single" w:sz="4" w:space="0" w:color="auto"/>
            </w:tcBorders>
            <w:shd w:val="clear" w:color="auto" w:fill="auto"/>
            <w:noWrap/>
            <w:vAlign w:val="bottom"/>
            <w:hideMark/>
          </w:tcPr>
          <w:p w14:paraId="1A22CE5D"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12,9%</w:t>
            </w:r>
          </w:p>
        </w:tc>
        <w:tc>
          <w:tcPr>
            <w:tcW w:w="1204" w:type="dxa"/>
            <w:tcBorders>
              <w:top w:val="nil"/>
              <w:left w:val="nil"/>
              <w:bottom w:val="single" w:sz="4" w:space="0" w:color="auto"/>
              <w:right w:val="single" w:sz="4" w:space="0" w:color="auto"/>
            </w:tcBorders>
            <w:shd w:val="clear" w:color="auto" w:fill="auto"/>
            <w:noWrap/>
            <w:vAlign w:val="bottom"/>
            <w:hideMark/>
          </w:tcPr>
          <w:p w14:paraId="4453882C"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w:t>
            </w:r>
          </w:p>
        </w:tc>
        <w:tc>
          <w:tcPr>
            <w:tcW w:w="956" w:type="dxa"/>
            <w:tcBorders>
              <w:top w:val="nil"/>
              <w:left w:val="nil"/>
              <w:bottom w:val="single" w:sz="4" w:space="0" w:color="auto"/>
              <w:right w:val="single" w:sz="4" w:space="0" w:color="auto"/>
            </w:tcBorders>
            <w:shd w:val="clear" w:color="auto" w:fill="auto"/>
            <w:noWrap/>
            <w:vAlign w:val="bottom"/>
            <w:hideMark/>
          </w:tcPr>
          <w:p w14:paraId="539BD746"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13,2%</w:t>
            </w:r>
          </w:p>
        </w:tc>
        <w:tc>
          <w:tcPr>
            <w:tcW w:w="1146" w:type="dxa"/>
            <w:tcBorders>
              <w:top w:val="nil"/>
              <w:left w:val="nil"/>
              <w:bottom w:val="single" w:sz="4" w:space="0" w:color="auto"/>
              <w:right w:val="single" w:sz="4" w:space="0" w:color="auto"/>
            </w:tcBorders>
            <w:shd w:val="clear" w:color="auto" w:fill="auto"/>
            <w:noWrap/>
            <w:vAlign w:val="bottom"/>
            <w:hideMark/>
          </w:tcPr>
          <w:p w14:paraId="1C9E89B9"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10,6%</w:t>
            </w:r>
          </w:p>
        </w:tc>
        <w:tc>
          <w:tcPr>
            <w:tcW w:w="1044" w:type="dxa"/>
            <w:tcBorders>
              <w:top w:val="nil"/>
              <w:left w:val="nil"/>
              <w:bottom w:val="single" w:sz="4" w:space="0" w:color="auto"/>
              <w:right w:val="single" w:sz="4" w:space="0" w:color="auto"/>
            </w:tcBorders>
            <w:shd w:val="clear" w:color="auto" w:fill="auto"/>
            <w:noWrap/>
            <w:vAlign w:val="bottom"/>
            <w:hideMark/>
          </w:tcPr>
          <w:p w14:paraId="09164A43"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14,7%</w:t>
            </w:r>
          </w:p>
        </w:tc>
      </w:tr>
      <w:tr w:rsidR="008D7DD4" w:rsidRPr="008D7DD4" w14:paraId="20701B8B"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21B86E6A"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DDV</w:t>
            </w:r>
          </w:p>
        </w:tc>
        <w:tc>
          <w:tcPr>
            <w:tcW w:w="1207" w:type="dxa"/>
            <w:tcBorders>
              <w:top w:val="nil"/>
              <w:left w:val="nil"/>
              <w:bottom w:val="single" w:sz="4" w:space="0" w:color="auto"/>
              <w:right w:val="single" w:sz="4" w:space="0" w:color="auto"/>
            </w:tcBorders>
            <w:shd w:val="clear" w:color="auto" w:fill="auto"/>
            <w:noWrap/>
            <w:vAlign w:val="bottom"/>
            <w:hideMark/>
          </w:tcPr>
          <w:p w14:paraId="3B70AE87"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8,2%</w:t>
            </w:r>
          </w:p>
        </w:tc>
        <w:tc>
          <w:tcPr>
            <w:tcW w:w="956" w:type="dxa"/>
            <w:tcBorders>
              <w:top w:val="nil"/>
              <w:left w:val="nil"/>
              <w:bottom w:val="single" w:sz="4" w:space="0" w:color="auto"/>
              <w:right w:val="single" w:sz="4" w:space="0" w:color="auto"/>
            </w:tcBorders>
            <w:shd w:val="clear" w:color="auto" w:fill="auto"/>
            <w:noWrap/>
            <w:vAlign w:val="bottom"/>
            <w:hideMark/>
          </w:tcPr>
          <w:p w14:paraId="6CE43899"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7,5%</w:t>
            </w:r>
          </w:p>
        </w:tc>
        <w:tc>
          <w:tcPr>
            <w:tcW w:w="1204" w:type="dxa"/>
            <w:tcBorders>
              <w:top w:val="nil"/>
              <w:left w:val="nil"/>
              <w:bottom w:val="single" w:sz="4" w:space="0" w:color="auto"/>
              <w:right w:val="single" w:sz="4" w:space="0" w:color="auto"/>
            </w:tcBorders>
            <w:shd w:val="clear" w:color="auto" w:fill="auto"/>
            <w:noWrap/>
            <w:vAlign w:val="bottom"/>
            <w:hideMark/>
          </w:tcPr>
          <w:p w14:paraId="0A5C3155"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13</w:t>
            </w:r>
          </w:p>
        </w:tc>
        <w:tc>
          <w:tcPr>
            <w:tcW w:w="956" w:type="dxa"/>
            <w:tcBorders>
              <w:top w:val="nil"/>
              <w:left w:val="nil"/>
              <w:bottom w:val="single" w:sz="4" w:space="0" w:color="auto"/>
              <w:right w:val="single" w:sz="4" w:space="0" w:color="auto"/>
            </w:tcBorders>
            <w:shd w:val="clear" w:color="auto" w:fill="auto"/>
            <w:noWrap/>
            <w:vAlign w:val="bottom"/>
            <w:hideMark/>
          </w:tcPr>
          <w:p w14:paraId="0DDD4527"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7,1%</w:t>
            </w:r>
          </w:p>
        </w:tc>
        <w:tc>
          <w:tcPr>
            <w:tcW w:w="1146" w:type="dxa"/>
            <w:tcBorders>
              <w:top w:val="nil"/>
              <w:left w:val="nil"/>
              <w:bottom w:val="single" w:sz="4" w:space="0" w:color="auto"/>
              <w:right w:val="single" w:sz="4" w:space="0" w:color="auto"/>
            </w:tcBorders>
            <w:shd w:val="clear" w:color="auto" w:fill="auto"/>
            <w:noWrap/>
            <w:vAlign w:val="bottom"/>
            <w:hideMark/>
          </w:tcPr>
          <w:p w14:paraId="7CB29047"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13,1%</w:t>
            </w:r>
          </w:p>
        </w:tc>
        <w:tc>
          <w:tcPr>
            <w:tcW w:w="1044" w:type="dxa"/>
            <w:tcBorders>
              <w:top w:val="nil"/>
              <w:left w:val="nil"/>
              <w:bottom w:val="single" w:sz="4" w:space="0" w:color="auto"/>
              <w:right w:val="single" w:sz="4" w:space="0" w:color="auto"/>
            </w:tcBorders>
            <w:shd w:val="clear" w:color="auto" w:fill="auto"/>
            <w:noWrap/>
            <w:vAlign w:val="bottom"/>
            <w:hideMark/>
          </w:tcPr>
          <w:p w14:paraId="6955ECF3"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7,9%</w:t>
            </w:r>
          </w:p>
        </w:tc>
      </w:tr>
      <w:tr w:rsidR="008D7DD4" w:rsidRPr="008D7DD4" w14:paraId="55D2B14C"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07DD613E"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Dohodnina</w:t>
            </w:r>
          </w:p>
        </w:tc>
        <w:tc>
          <w:tcPr>
            <w:tcW w:w="1207" w:type="dxa"/>
            <w:tcBorders>
              <w:top w:val="nil"/>
              <w:left w:val="nil"/>
              <w:bottom w:val="single" w:sz="4" w:space="0" w:color="auto"/>
              <w:right w:val="single" w:sz="4" w:space="0" w:color="auto"/>
            </w:tcBorders>
            <w:shd w:val="clear" w:color="auto" w:fill="auto"/>
            <w:noWrap/>
            <w:vAlign w:val="bottom"/>
            <w:hideMark/>
          </w:tcPr>
          <w:p w14:paraId="52E82E69"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5,1%</w:t>
            </w:r>
          </w:p>
        </w:tc>
        <w:tc>
          <w:tcPr>
            <w:tcW w:w="956" w:type="dxa"/>
            <w:tcBorders>
              <w:top w:val="nil"/>
              <w:left w:val="nil"/>
              <w:bottom w:val="single" w:sz="4" w:space="0" w:color="auto"/>
              <w:right w:val="single" w:sz="4" w:space="0" w:color="auto"/>
            </w:tcBorders>
            <w:shd w:val="clear" w:color="auto" w:fill="auto"/>
            <w:noWrap/>
            <w:vAlign w:val="bottom"/>
            <w:hideMark/>
          </w:tcPr>
          <w:p w14:paraId="30495666"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9,6%</w:t>
            </w:r>
          </w:p>
        </w:tc>
        <w:tc>
          <w:tcPr>
            <w:tcW w:w="1204" w:type="dxa"/>
            <w:tcBorders>
              <w:top w:val="nil"/>
              <w:left w:val="nil"/>
              <w:bottom w:val="single" w:sz="4" w:space="0" w:color="auto"/>
              <w:right w:val="single" w:sz="4" w:space="0" w:color="auto"/>
            </w:tcBorders>
            <w:shd w:val="clear" w:color="auto" w:fill="auto"/>
            <w:noWrap/>
            <w:vAlign w:val="bottom"/>
            <w:hideMark/>
          </w:tcPr>
          <w:p w14:paraId="0884623F"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20</w:t>
            </w:r>
          </w:p>
        </w:tc>
        <w:tc>
          <w:tcPr>
            <w:tcW w:w="956" w:type="dxa"/>
            <w:tcBorders>
              <w:top w:val="nil"/>
              <w:left w:val="nil"/>
              <w:bottom w:val="single" w:sz="4" w:space="0" w:color="auto"/>
              <w:right w:val="single" w:sz="4" w:space="0" w:color="auto"/>
            </w:tcBorders>
            <w:shd w:val="clear" w:color="auto" w:fill="auto"/>
            <w:noWrap/>
            <w:vAlign w:val="bottom"/>
            <w:hideMark/>
          </w:tcPr>
          <w:p w14:paraId="59B9C089"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11,6%</w:t>
            </w:r>
          </w:p>
        </w:tc>
        <w:tc>
          <w:tcPr>
            <w:tcW w:w="1146" w:type="dxa"/>
            <w:tcBorders>
              <w:top w:val="nil"/>
              <w:left w:val="nil"/>
              <w:bottom w:val="single" w:sz="4" w:space="0" w:color="auto"/>
              <w:right w:val="single" w:sz="4" w:space="0" w:color="auto"/>
            </w:tcBorders>
            <w:shd w:val="clear" w:color="auto" w:fill="auto"/>
            <w:noWrap/>
            <w:vAlign w:val="bottom"/>
            <w:hideMark/>
          </w:tcPr>
          <w:p w14:paraId="461C23B5"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3,1%</w:t>
            </w:r>
          </w:p>
        </w:tc>
        <w:tc>
          <w:tcPr>
            <w:tcW w:w="1044" w:type="dxa"/>
            <w:tcBorders>
              <w:top w:val="nil"/>
              <w:left w:val="nil"/>
              <w:bottom w:val="single" w:sz="4" w:space="0" w:color="auto"/>
              <w:right w:val="single" w:sz="4" w:space="0" w:color="auto"/>
            </w:tcBorders>
            <w:shd w:val="clear" w:color="auto" w:fill="auto"/>
            <w:noWrap/>
            <w:vAlign w:val="bottom"/>
            <w:hideMark/>
          </w:tcPr>
          <w:p w14:paraId="4092ABB9"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9,9%</w:t>
            </w:r>
          </w:p>
        </w:tc>
      </w:tr>
      <w:tr w:rsidR="008D7DD4" w:rsidRPr="008D7DD4" w14:paraId="1451E425"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0EE88954"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Davek od dohodkov pravnih oseb</w:t>
            </w:r>
          </w:p>
        </w:tc>
        <w:tc>
          <w:tcPr>
            <w:tcW w:w="1207" w:type="dxa"/>
            <w:tcBorders>
              <w:top w:val="nil"/>
              <w:left w:val="nil"/>
              <w:bottom w:val="single" w:sz="4" w:space="0" w:color="auto"/>
              <w:right w:val="single" w:sz="4" w:space="0" w:color="auto"/>
            </w:tcBorders>
            <w:shd w:val="clear" w:color="auto" w:fill="auto"/>
            <w:noWrap/>
            <w:vAlign w:val="bottom"/>
            <w:hideMark/>
          </w:tcPr>
          <w:p w14:paraId="09E91165"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2,3%</w:t>
            </w:r>
          </w:p>
        </w:tc>
        <w:tc>
          <w:tcPr>
            <w:tcW w:w="956" w:type="dxa"/>
            <w:tcBorders>
              <w:top w:val="nil"/>
              <w:left w:val="nil"/>
              <w:bottom w:val="single" w:sz="4" w:space="0" w:color="auto"/>
              <w:right w:val="single" w:sz="4" w:space="0" w:color="auto"/>
            </w:tcBorders>
            <w:shd w:val="clear" w:color="auto" w:fill="auto"/>
            <w:noWrap/>
            <w:vAlign w:val="bottom"/>
            <w:hideMark/>
          </w:tcPr>
          <w:p w14:paraId="4D4CF3CE"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w:t>
            </w:r>
            <w:r w:rsidR="00E97987">
              <w:rPr>
                <w:rFonts w:ascii="Garamond" w:eastAsia="MS PMincho" w:hAnsi="Garamond"/>
                <w:b/>
                <w:noProof/>
                <w:color w:val="44546A"/>
                <w:sz w:val="28"/>
              </w:rPr>
              <w:t>4</w:t>
            </w:r>
            <w:r w:rsidRPr="008D7DD4">
              <w:rPr>
                <w:rFonts w:ascii="Garamond" w:eastAsia="MS PMincho" w:hAnsi="Garamond"/>
                <w:b/>
                <w:noProof/>
                <w:color w:val="44546A"/>
                <w:sz w:val="28"/>
              </w:rPr>
              <w:t>%</w:t>
            </w:r>
          </w:p>
        </w:tc>
        <w:tc>
          <w:tcPr>
            <w:tcW w:w="1204" w:type="dxa"/>
            <w:tcBorders>
              <w:top w:val="nil"/>
              <w:left w:val="nil"/>
              <w:bottom w:val="single" w:sz="4" w:space="0" w:color="auto"/>
              <w:right w:val="single" w:sz="4" w:space="0" w:color="auto"/>
            </w:tcBorders>
            <w:shd w:val="clear" w:color="auto" w:fill="auto"/>
            <w:noWrap/>
            <w:vAlign w:val="bottom"/>
            <w:hideMark/>
          </w:tcPr>
          <w:p w14:paraId="1C3214CF"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w:t>
            </w:r>
            <w:r w:rsidR="00E97987">
              <w:rPr>
                <w:rFonts w:ascii="Garamond" w:eastAsia="MS PMincho" w:hAnsi="Garamond"/>
                <w:b/>
                <w:noProof/>
                <w:color w:val="44546A"/>
                <w:sz w:val="28"/>
              </w:rPr>
              <w:t>4</w:t>
            </w:r>
          </w:p>
        </w:tc>
        <w:tc>
          <w:tcPr>
            <w:tcW w:w="956" w:type="dxa"/>
            <w:tcBorders>
              <w:top w:val="nil"/>
              <w:left w:val="nil"/>
              <w:bottom w:val="single" w:sz="4" w:space="0" w:color="auto"/>
              <w:right w:val="single" w:sz="4" w:space="0" w:color="auto"/>
            </w:tcBorders>
            <w:shd w:val="clear" w:color="auto" w:fill="auto"/>
            <w:noWrap/>
            <w:vAlign w:val="bottom"/>
            <w:hideMark/>
          </w:tcPr>
          <w:p w14:paraId="4854FD0D" w14:textId="77777777" w:rsidR="008D7DD4" w:rsidRPr="008D7DD4" w:rsidRDefault="00E97987" w:rsidP="008D7DD4">
            <w:pPr>
              <w:spacing w:after="0" w:line="240" w:lineRule="auto"/>
              <w:jc w:val="right"/>
              <w:rPr>
                <w:rFonts w:ascii="Garamond" w:eastAsia="MS PMincho" w:hAnsi="Garamond"/>
                <w:b/>
                <w:noProof/>
                <w:color w:val="44546A"/>
                <w:sz w:val="28"/>
              </w:rPr>
            </w:pPr>
            <w:r>
              <w:rPr>
                <w:rFonts w:ascii="Garamond" w:eastAsia="MS PMincho" w:hAnsi="Garamond"/>
                <w:b/>
                <w:noProof/>
                <w:color w:val="44546A"/>
                <w:sz w:val="28"/>
              </w:rPr>
              <w:t>3</w:t>
            </w:r>
            <w:r w:rsidR="008D7DD4" w:rsidRPr="008D7DD4">
              <w:rPr>
                <w:rFonts w:ascii="Garamond" w:eastAsia="MS PMincho" w:hAnsi="Garamond"/>
                <w:b/>
                <w:noProof/>
                <w:color w:val="44546A"/>
                <w:sz w:val="28"/>
              </w:rPr>
              <w:t>,</w:t>
            </w:r>
            <w:r>
              <w:rPr>
                <w:rFonts w:ascii="Garamond" w:eastAsia="MS PMincho" w:hAnsi="Garamond"/>
                <w:b/>
                <w:noProof/>
                <w:color w:val="44546A"/>
                <w:sz w:val="28"/>
              </w:rPr>
              <w:t>4</w:t>
            </w:r>
            <w:r w:rsidR="008D7DD4" w:rsidRPr="008D7DD4">
              <w:rPr>
                <w:rFonts w:ascii="Garamond" w:eastAsia="MS PMincho" w:hAnsi="Garamond"/>
                <w:b/>
                <w:noProof/>
                <w:color w:val="44546A"/>
                <w:sz w:val="28"/>
              </w:rPr>
              <w:t>%</w:t>
            </w:r>
          </w:p>
        </w:tc>
        <w:tc>
          <w:tcPr>
            <w:tcW w:w="1146" w:type="dxa"/>
            <w:tcBorders>
              <w:top w:val="nil"/>
              <w:left w:val="nil"/>
              <w:bottom w:val="single" w:sz="4" w:space="0" w:color="auto"/>
              <w:right w:val="single" w:sz="4" w:space="0" w:color="auto"/>
            </w:tcBorders>
            <w:shd w:val="clear" w:color="auto" w:fill="auto"/>
            <w:noWrap/>
            <w:vAlign w:val="bottom"/>
            <w:hideMark/>
          </w:tcPr>
          <w:p w14:paraId="7F7CA9DF"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3,2%</w:t>
            </w:r>
          </w:p>
        </w:tc>
        <w:tc>
          <w:tcPr>
            <w:tcW w:w="1044" w:type="dxa"/>
            <w:tcBorders>
              <w:top w:val="nil"/>
              <w:left w:val="nil"/>
              <w:bottom w:val="single" w:sz="4" w:space="0" w:color="auto"/>
              <w:right w:val="single" w:sz="4" w:space="0" w:color="auto"/>
            </w:tcBorders>
            <w:shd w:val="clear" w:color="auto" w:fill="auto"/>
            <w:noWrap/>
            <w:vAlign w:val="bottom"/>
            <w:hideMark/>
          </w:tcPr>
          <w:p w14:paraId="6C8DBB28"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3,5%</w:t>
            </w:r>
          </w:p>
        </w:tc>
      </w:tr>
      <w:tr w:rsidR="008D7DD4" w:rsidRPr="008D7DD4" w14:paraId="5D266E33"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24AA2799"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Okoljski davki</w:t>
            </w:r>
          </w:p>
        </w:tc>
        <w:tc>
          <w:tcPr>
            <w:tcW w:w="1207" w:type="dxa"/>
            <w:tcBorders>
              <w:top w:val="nil"/>
              <w:left w:val="nil"/>
              <w:bottom w:val="single" w:sz="4" w:space="0" w:color="auto"/>
              <w:right w:val="single" w:sz="4" w:space="0" w:color="auto"/>
            </w:tcBorders>
            <w:shd w:val="clear" w:color="auto" w:fill="auto"/>
            <w:noWrap/>
            <w:vAlign w:val="bottom"/>
            <w:hideMark/>
          </w:tcPr>
          <w:p w14:paraId="2EBDEF5A"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2,9%</w:t>
            </w:r>
          </w:p>
        </w:tc>
        <w:tc>
          <w:tcPr>
            <w:tcW w:w="956" w:type="dxa"/>
            <w:tcBorders>
              <w:top w:val="nil"/>
              <w:left w:val="nil"/>
              <w:bottom w:val="single" w:sz="4" w:space="0" w:color="auto"/>
              <w:right w:val="single" w:sz="4" w:space="0" w:color="auto"/>
            </w:tcBorders>
            <w:shd w:val="clear" w:color="auto" w:fill="auto"/>
            <w:noWrap/>
            <w:vAlign w:val="bottom"/>
            <w:hideMark/>
          </w:tcPr>
          <w:p w14:paraId="47941035"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2,0%</w:t>
            </w:r>
          </w:p>
        </w:tc>
        <w:tc>
          <w:tcPr>
            <w:tcW w:w="1204" w:type="dxa"/>
            <w:tcBorders>
              <w:top w:val="nil"/>
              <w:left w:val="nil"/>
              <w:bottom w:val="single" w:sz="4" w:space="0" w:color="auto"/>
              <w:right w:val="single" w:sz="4" w:space="0" w:color="auto"/>
            </w:tcBorders>
            <w:shd w:val="clear" w:color="auto" w:fill="auto"/>
            <w:noWrap/>
            <w:vAlign w:val="bottom"/>
            <w:hideMark/>
          </w:tcPr>
          <w:p w14:paraId="163EAA28"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4</w:t>
            </w:r>
          </w:p>
        </w:tc>
        <w:tc>
          <w:tcPr>
            <w:tcW w:w="956" w:type="dxa"/>
            <w:tcBorders>
              <w:top w:val="nil"/>
              <w:left w:val="nil"/>
              <w:bottom w:val="single" w:sz="4" w:space="0" w:color="auto"/>
              <w:right w:val="single" w:sz="4" w:space="0" w:color="auto"/>
            </w:tcBorders>
            <w:shd w:val="clear" w:color="auto" w:fill="auto"/>
            <w:noWrap/>
            <w:vAlign w:val="bottom"/>
            <w:hideMark/>
          </w:tcPr>
          <w:p w14:paraId="7D127F65"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2,2%</w:t>
            </w:r>
          </w:p>
        </w:tc>
        <w:tc>
          <w:tcPr>
            <w:tcW w:w="1146" w:type="dxa"/>
            <w:tcBorders>
              <w:top w:val="nil"/>
              <w:left w:val="nil"/>
              <w:bottom w:val="single" w:sz="4" w:space="0" w:color="auto"/>
              <w:right w:val="single" w:sz="4" w:space="0" w:color="auto"/>
            </w:tcBorders>
            <w:shd w:val="clear" w:color="auto" w:fill="auto"/>
            <w:noWrap/>
            <w:vAlign w:val="bottom"/>
            <w:hideMark/>
          </w:tcPr>
          <w:p w14:paraId="49AE2EBE"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3,3%</w:t>
            </w:r>
          </w:p>
        </w:tc>
        <w:tc>
          <w:tcPr>
            <w:tcW w:w="1044" w:type="dxa"/>
            <w:tcBorders>
              <w:top w:val="nil"/>
              <w:left w:val="nil"/>
              <w:bottom w:val="single" w:sz="4" w:space="0" w:color="auto"/>
              <w:right w:val="single" w:sz="4" w:space="0" w:color="auto"/>
            </w:tcBorders>
            <w:shd w:val="clear" w:color="auto" w:fill="auto"/>
            <w:noWrap/>
            <w:vAlign w:val="bottom"/>
            <w:hideMark/>
          </w:tcPr>
          <w:p w14:paraId="3A43FBFA"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1,9%</w:t>
            </w:r>
          </w:p>
        </w:tc>
      </w:tr>
      <w:tr w:rsidR="008D7DD4" w:rsidRPr="008D7DD4" w14:paraId="2B2B7ED1" w14:textId="77777777" w:rsidTr="003D463E">
        <w:trPr>
          <w:trHeight w:val="301"/>
        </w:trPr>
        <w:tc>
          <w:tcPr>
            <w:tcW w:w="2563" w:type="dxa"/>
            <w:tcBorders>
              <w:top w:val="nil"/>
              <w:left w:val="single" w:sz="4" w:space="0" w:color="auto"/>
              <w:bottom w:val="single" w:sz="4" w:space="0" w:color="auto"/>
              <w:right w:val="single" w:sz="4" w:space="0" w:color="auto"/>
            </w:tcBorders>
            <w:shd w:val="clear" w:color="000000" w:fill="DCE6F1"/>
            <w:noWrap/>
            <w:vAlign w:val="bottom"/>
            <w:hideMark/>
          </w:tcPr>
          <w:p w14:paraId="265E8634" w14:textId="77777777" w:rsidR="008D7DD4" w:rsidRPr="008D7DD4" w:rsidRDefault="008D7DD4" w:rsidP="008D7DD4">
            <w:pPr>
              <w:spacing w:after="0" w:line="240" w:lineRule="auto"/>
              <w:rPr>
                <w:rFonts w:ascii="Garamond" w:eastAsia="MS PMincho" w:hAnsi="Garamond"/>
                <w:b/>
                <w:noProof/>
                <w:color w:val="44546A"/>
                <w:sz w:val="28"/>
              </w:rPr>
            </w:pPr>
            <w:r w:rsidRPr="008D7DD4">
              <w:rPr>
                <w:rFonts w:ascii="Garamond" w:eastAsia="MS PMincho" w:hAnsi="Garamond"/>
                <w:b/>
                <w:noProof/>
                <w:color w:val="44546A"/>
                <w:sz w:val="28"/>
              </w:rPr>
              <w:t>Davek na premoženje</w:t>
            </w:r>
          </w:p>
        </w:tc>
        <w:tc>
          <w:tcPr>
            <w:tcW w:w="1207" w:type="dxa"/>
            <w:tcBorders>
              <w:top w:val="nil"/>
              <w:left w:val="nil"/>
              <w:bottom w:val="single" w:sz="4" w:space="0" w:color="auto"/>
              <w:right w:val="single" w:sz="4" w:space="0" w:color="auto"/>
            </w:tcBorders>
            <w:shd w:val="clear" w:color="auto" w:fill="auto"/>
            <w:noWrap/>
            <w:vAlign w:val="bottom"/>
            <w:hideMark/>
          </w:tcPr>
          <w:p w14:paraId="134F2D0B"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0,6%</w:t>
            </w:r>
          </w:p>
        </w:tc>
        <w:tc>
          <w:tcPr>
            <w:tcW w:w="956" w:type="dxa"/>
            <w:tcBorders>
              <w:top w:val="nil"/>
              <w:left w:val="nil"/>
              <w:bottom w:val="single" w:sz="4" w:space="0" w:color="auto"/>
              <w:right w:val="single" w:sz="4" w:space="0" w:color="auto"/>
            </w:tcBorders>
            <w:shd w:val="clear" w:color="auto" w:fill="auto"/>
            <w:noWrap/>
            <w:vAlign w:val="bottom"/>
            <w:hideMark/>
          </w:tcPr>
          <w:p w14:paraId="5F7FC2A8"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2,1%</w:t>
            </w:r>
          </w:p>
        </w:tc>
        <w:tc>
          <w:tcPr>
            <w:tcW w:w="1204" w:type="dxa"/>
            <w:tcBorders>
              <w:top w:val="nil"/>
              <w:left w:val="nil"/>
              <w:bottom w:val="single" w:sz="4" w:space="0" w:color="auto"/>
              <w:right w:val="single" w:sz="4" w:space="0" w:color="auto"/>
            </w:tcBorders>
            <w:shd w:val="clear" w:color="auto" w:fill="auto"/>
            <w:noWrap/>
            <w:vAlign w:val="bottom"/>
            <w:hideMark/>
          </w:tcPr>
          <w:p w14:paraId="435B81B2"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22</w:t>
            </w:r>
          </w:p>
        </w:tc>
        <w:tc>
          <w:tcPr>
            <w:tcW w:w="956" w:type="dxa"/>
            <w:tcBorders>
              <w:top w:val="nil"/>
              <w:left w:val="nil"/>
              <w:bottom w:val="single" w:sz="4" w:space="0" w:color="auto"/>
              <w:right w:val="single" w:sz="4" w:space="0" w:color="auto"/>
            </w:tcBorders>
            <w:shd w:val="clear" w:color="auto" w:fill="auto"/>
            <w:noWrap/>
            <w:vAlign w:val="bottom"/>
            <w:hideMark/>
          </w:tcPr>
          <w:p w14:paraId="288B5B43"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2,4%</w:t>
            </w:r>
          </w:p>
        </w:tc>
        <w:tc>
          <w:tcPr>
            <w:tcW w:w="1146" w:type="dxa"/>
            <w:tcBorders>
              <w:top w:val="nil"/>
              <w:left w:val="nil"/>
              <w:bottom w:val="single" w:sz="4" w:space="0" w:color="auto"/>
              <w:right w:val="single" w:sz="4" w:space="0" w:color="auto"/>
            </w:tcBorders>
            <w:shd w:val="clear" w:color="auto" w:fill="auto"/>
            <w:noWrap/>
            <w:vAlign w:val="bottom"/>
            <w:hideMark/>
          </w:tcPr>
          <w:p w14:paraId="0538EBC4"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0,9%</w:t>
            </w:r>
          </w:p>
        </w:tc>
        <w:tc>
          <w:tcPr>
            <w:tcW w:w="1044" w:type="dxa"/>
            <w:tcBorders>
              <w:top w:val="nil"/>
              <w:left w:val="nil"/>
              <w:bottom w:val="single" w:sz="4" w:space="0" w:color="auto"/>
              <w:right w:val="single" w:sz="4" w:space="0" w:color="auto"/>
            </w:tcBorders>
            <w:shd w:val="clear" w:color="auto" w:fill="auto"/>
            <w:noWrap/>
            <w:vAlign w:val="bottom"/>
            <w:hideMark/>
          </w:tcPr>
          <w:p w14:paraId="73B96A2F" w14:textId="77777777" w:rsidR="008D7DD4" w:rsidRPr="008D7DD4" w:rsidRDefault="008D7DD4" w:rsidP="008D7DD4">
            <w:pPr>
              <w:spacing w:after="0" w:line="240" w:lineRule="auto"/>
              <w:jc w:val="right"/>
              <w:rPr>
                <w:rFonts w:ascii="Garamond" w:eastAsia="MS PMincho" w:hAnsi="Garamond"/>
                <w:b/>
                <w:noProof/>
                <w:color w:val="44546A"/>
                <w:sz w:val="28"/>
              </w:rPr>
            </w:pPr>
            <w:r w:rsidRPr="008D7DD4">
              <w:rPr>
                <w:rFonts w:ascii="Garamond" w:eastAsia="MS PMincho" w:hAnsi="Garamond"/>
                <w:b/>
                <w:noProof/>
                <w:color w:val="44546A"/>
                <w:sz w:val="28"/>
              </w:rPr>
              <w:t>0,8%</w:t>
            </w:r>
          </w:p>
        </w:tc>
      </w:tr>
    </w:tbl>
    <w:p w14:paraId="3EACE793" w14:textId="77777777" w:rsidR="008D7DD4" w:rsidRPr="008D7DD4" w:rsidRDefault="008D7DD4" w:rsidP="008D7DD4">
      <w:pPr>
        <w:spacing w:after="0" w:line="240" w:lineRule="auto"/>
        <w:jc w:val="both"/>
        <w:rPr>
          <w:rFonts w:ascii="Garamond" w:eastAsia="MS PMincho" w:hAnsi="Garamond"/>
          <w:b/>
          <w:i/>
          <w:iCs/>
          <w:noProof/>
          <w:color w:val="44546A"/>
          <w:sz w:val="18"/>
          <w:szCs w:val="18"/>
        </w:rPr>
      </w:pPr>
      <w:r w:rsidRPr="008D7DD4">
        <w:rPr>
          <w:rFonts w:ascii="Garamond" w:eastAsia="MS PMincho" w:hAnsi="Garamond"/>
          <w:b/>
          <w:i/>
          <w:iCs/>
          <w:noProof/>
          <w:color w:val="44546A"/>
          <w:sz w:val="18"/>
          <w:szCs w:val="18"/>
        </w:rPr>
        <w:t>Vir: EK, Taxation trends</w:t>
      </w:r>
    </w:p>
    <w:p w14:paraId="0A3CCF78"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Davčni izdatki</w:t>
      </w:r>
    </w:p>
    <w:p w14:paraId="59EFD2A2"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Na področju davčne politike so v sistem vpeljane številne davčne spodbude, zlasti v obliki različnih olajšav, oprostitev, nižjih stopenj oziroma drugih odstopanj od širše opredeljene davčne osnove. To pomeni, da zaradi zasledovanja ciljev (večinoma) drugih politik, davčne spodbude posameznim zavezancem znižujejo njihove davčne obveznosti, hkrati pa so lahko med pomembnimi vzroki za zmanjšanje proračunskih prihodkov. V nekaterih primerih je mogoče z njihovo pravilno in predvsem previdno uporabo doseči posamezne cilje razmeroma učinkovito. Ob tem pa je pomembno spremljanje učinkov posameznih davčnih izdatkov, kakor tudi raven proračunskih odhodkov in na podlagi tega morebitno prilagajanje zakonodaje. Za dosego širših ciljev je tako treba povezati davčne politike z drugimi politikami, da se dosežejo najučinkovitejše rešitve tudi na področju davčnih izdatkov.</w:t>
      </w:r>
    </w:p>
    <w:p w14:paraId="607078DA" w14:textId="77777777" w:rsidR="008D7DD4" w:rsidRPr="008D7DD4" w:rsidRDefault="008D7DD4" w:rsidP="008D7DD4">
      <w:pPr>
        <w:spacing w:after="0"/>
        <w:jc w:val="both"/>
        <w:rPr>
          <w:rFonts w:ascii="Garamond" w:eastAsia="MS PMincho" w:hAnsi="Garamond" w:cs="Arial"/>
          <w:b/>
          <w:color w:val="44546A"/>
          <w:sz w:val="28"/>
          <w:szCs w:val="20"/>
        </w:rPr>
      </w:pPr>
    </w:p>
    <w:p w14:paraId="55D92187"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Davčni izdatki so v letu 2022 znašali 2.836 mio evrov oz. 5 </w:t>
      </w:r>
      <w:r w:rsidR="00ED7B24">
        <w:rPr>
          <w:rFonts w:ascii="Garamond" w:eastAsia="MS PMincho" w:hAnsi="Garamond" w:cs="Arial"/>
          <w:b/>
          <w:color w:val="44546A"/>
          <w:sz w:val="28"/>
          <w:szCs w:val="20"/>
        </w:rPr>
        <w:t>%</w:t>
      </w:r>
      <w:r w:rsidRPr="008D7DD4">
        <w:rPr>
          <w:rFonts w:ascii="Garamond" w:eastAsia="MS PMincho" w:hAnsi="Garamond" w:cs="Arial"/>
          <w:b/>
          <w:color w:val="44546A"/>
          <w:sz w:val="28"/>
          <w:szCs w:val="20"/>
        </w:rPr>
        <w:t xml:space="preserve"> bruto domačega proizvoda (BDP) kar je desetinko odstotka manj kot leto prej. Največji izpad javnofinančnih prihodkov v obliki davčnih izdatkov predstavljajo nižja stopnja pri davku na dodano vrednost (DDV) ter olajšave in oprostitve pri dohodnini, skupaj 4 </w:t>
      </w:r>
      <w:r w:rsidR="00873AEB">
        <w:rPr>
          <w:rFonts w:ascii="Garamond" w:eastAsia="MS PMincho" w:hAnsi="Garamond" w:cs="Arial"/>
          <w:b/>
          <w:color w:val="44546A"/>
          <w:sz w:val="28"/>
          <w:szCs w:val="20"/>
        </w:rPr>
        <w:t>%</w:t>
      </w:r>
      <w:r w:rsidRPr="008D7DD4">
        <w:rPr>
          <w:rFonts w:ascii="Garamond" w:eastAsia="MS PMincho" w:hAnsi="Garamond" w:cs="Arial"/>
          <w:b/>
          <w:color w:val="44546A"/>
          <w:sz w:val="28"/>
          <w:szCs w:val="20"/>
        </w:rPr>
        <w:t xml:space="preserve"> BDP v letu 2022.</w:t>
      </w:r>
    </w:p>
    <w:p w14:paraId="05E82C30" w14:textId="77777777" w:rsidR="008D7DD4" w:rsidRPr="008D7DD4" w:rsidRDefault="008D7DD4" w:rsidP="008D7DD4">
      <w:pPr>
        <w:spacing w:after="0"/>
        <w:jc w:val="both"/>
        <w:rPr>
          <w:rFonts w:ascii="Garamond" w:eastAsia="MS PMincho" w:hAnsi="Garamond" w:cs="Arial"/>
          <w:b/>
          <w:color w:val="44546A"/>
          <w:sz w:val="28"/>
          <w:szCs w:val="20"/>
        </w:rPr>
      </w:pPr>
    </w:p>
    <w:p w14:paraId="36F3CF62"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Obdavčitev fizičnih oseb z dohodnino temelji na progresivnosti obdavčitve dohodkov, država pa skuša z različnimi olajšavami pravično porazdeliti davčno </w:t>
      </w:r>
      <w:r w:rsidRPr="008D7DD4">
        <w:rPr>
          <w:rFonts w:ascii="Garamond" w:eastAsia="MS PMincho" w:hAnsi="Garamond" w:cs="Arial"/>
          <w:b/>
          <w:color w:val="44546A"/>
          <w:sz w:val="28"/>
          <w:szCs w:val="20"/>
        </w:rPr>
        <w:lastRenderedPageBreak/>
        <w:t>breme med posamezniki. Ocena davčnih izdatkov, za katere so na voljo podatki in jih zato lahko ocenimo, je 1.246 mio evrov za leto 2022. Od tega 660 mio evrov znaša učinek olajšav, ki so upoštevane v letni odmeri dohodnine (brez splošne olajšave), učinek drugih davčnih izdatkov fizičnih oseb, ki niso zajeti v letni odmeri dohodnine (na primer pomoči, subvencije, odškodnine, štipendije in drugo, kot tudi izdatki povezani z dohodki iz kapitala in oprostitve), pa je 586 mio evrov.</w:t>
      </w:r>
    </w:p>
    <w:p w14:paraId="4267A0F1" w14:textId="77777777" w:rsidR="008D7DD4" w:rsidRPr="008D7DD4" w:rsidRDefault="008D7DD4" w:rsidP="008D7DD4">
      <w:pPr>
        <w:spacing w:after="0"/>
        <w:jc w:val="both"/>
        <w:rPr>
          <w:rFonts w:ascii="Garamond" w:eastAsia="MS PMincho" w:hAnsi="Garamond" w:cs="Arial"/>
          <w:b/>
          <w:color w:val="44546A"/>
          <w:sz w:val="28"/>
          <w:szCs w:val="20"/>
        </w:rPr>
      </w:pPr>
    </w:p>
    <w:p w14:paraId="1C961C30"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Splošna olajšava ne povzroča razlikovanja med zavezanci, saj se upošteva avtomatično in ni potrebe po dodatnem dokazovanju izpolnjenih pogojev. Iz tega razloga ta olajšava ne sodi med davčne izdatke. Kljub vsemu pa je smiselno poudariti, da se na račun te olajšave javnofinančni prihodki letno znižajo za več kot 1.500 mio evrov.</w:t>
      </w:r>
    </w:p>
    <w:p w14:paraId="45C420B9" w14:textId="77777777" w:rsidR="008D7DD4" w:rsidRPr="008D7DD4" w:rsidRDefault="008D7DD4" w:rsidP="008D7DD4">
      <w:pPr>
        <w:spacing w:after="0"/>
        <w:jc w:val="both"/>
        <w:rPr>
          <w:rFonts w:ascii="Garamond" w:eastAsia="MS PMincho" w:hAnsi="Garamond" w:cs="Arial"/>
          <w:b/>
          <w:color w:val="44546A"/>
          <w:sz w:val="28"/>
          <w:szCs w:val="20"/>
        </w:rPr>
      </w:pPr>
    </w:p>
    <w:p w14:paraId="10283765"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Na področju dohodnine so med največjimi trije davčni izdatki: dodatna splošna olajšava, olajšava za vzdrževane otroke in </w:t>
      </w:r>
      <w:bookmarkStart w:id="6" w:name="_Hlk184824107"/>
      <w:proofErr w:type="spellStart"/>
      <w:r w:rsidRPr="008D7DD4">
        <w:rPr>
          <w:rFonts w:ascii="Garamond" w:eastAsia="MS PMincho" w:hAnsi="Garamond" w:cs="Arial"/>
          <w:b/>
          <w:color w:val="44546A"/>
          <w:sz w:val="28"/>
          <w:szCs w:val="20"/>
        </w:rPr>
        <w:t>nevštevanje</w:t>
      </w:r>
      <w:proofErr w:type="spellEnd"/>
      <w:r w:rsidRPr="008D7DD4">
        <w:rPr>
          <w:rFonts w:ascii="Garamond" w:eastAsia="MS PMincho" w:hAnsi="Garamond" w:cs="Arial"/>
          <w:b/>
          <w:color w:val="44546A"/>
          <w:sz w:val="28"/>
          <w:szCs w:val="20"/>
        </w:rPr>
        <w:t xml:space="preserve"> regresa za letni dopust v davčno osnovo</w:t>
      </w:r>
      <w:bookmarkEnd w:id="6"/>
      <w:r w:rsidRPr="008D7DD4">
        <w:rPr>
          <w:rFonts w:ascii="Garamond" w:eastAsia="MS PMincho" w:hAnsi="Garamond" w:cs="Arial"/>
          <w:b/>
          <w:color w:val="44546A"/>
          <w:sz w:val="28"/>
          <w:szCs w:val="20"/>
        </w:rPr>
        <w:t xml:space="preserve">. Tako je v letu 2022 več kot 326 tisoč zavezancev uveljavljalo olajšavo za vzdrževane otroke, katere davčni izdatek je znašal 278 mio evrov. Drugi največji delež davčnega izdatka je pomenil </w:t>
      </w:r>
      <w:proofErr w:type="spellStart"/>
      <w:r w:rsidRPr="008D7DD4">
        <w:rPr>
          <w:rFonts w:ascii="Garamond" w:eastAsia="MS PMincho" w:hAnsi="Garamond" w:cs="Arial"/>
          <w:b/>
          <w:color w:val="44546A"/>
          <w:sz w:val="28"/>
          <w:szCs w:val="20"/>
        </w:rPr>
        <w:t>nevštevanje</w:t>
      </w:r>
      <w:proofErr w:type="spellEnd"/>
      <w:r w:rsidRPr="008D7DD4">
        <w:rPr>
          <w:rFonts w:ascii="Garamond" w:eastAsia="MS PMincho" w:hAnsi="Garamond" w:cs="Arial"/>
          <w:b/>
          <w:color w:val="44546A"/>
          <w:sz w:val="28"/>
          <w:szCs w:val="20"/>
        </w:rPr>
        <w:t xml:space="preserve"> regresa za letni dopust v davčno osnovo, ki ga je izkoristilo več kot 840 tisoč zavezancev za dohodnino v skupnem znesku 272 mio evrov. Dodatna splošna olajšava, ki je bila pri dohodnini največji davčni izdatek v preteklih letih, je bila v letu 2022 šele tretji največji davčni izdatek z 252 mio evri. Vsi ti skupaj po oceni znižajo javnofinančne prihodke za več kot 800 mio evrov.</w:t>
      </w:r>
    </w:p>
    <w:p w14:paraId="71E1DD87" w14:textId="77777777" w:rsidR="008D7DD4" w:rsidRPr="008D7DD4" w:rsidRDefault="008D7DD4" w:rsidP="008D7DD4">
      <w:pPr>
        <w:spacing w:after="0"/>
        <w:jc w:val="both"/>
        <w:rPr>
          <w:rFonts w:ascii="Garamond" w:eastAsia="MS PMincho" w:hAnsi="Garamond" w:cs="Arial"/>
          <w:b/>
          <w:color w:val="44546A"/>
          <w:sz w:val="28"/>
          <w:szCs w:val="20"/>
        </w:rPr>
      </w:pPr>
    </w:p>
    <w:p w14:paraId="00FC7AF5" w14:textId="77777777" w:rsidR="008D7DD4" w:rsidRPr="008D7DD4" w:rsidRDefault="008D7DD4" w:rsidP="008D7DD4">
      <w:pPr>
        <w:spacing w:after="0"/>
        <w:jc w:val="both"/>
        <w:rPr>
          <w:rFonts w:ascii="Garamond" w:eastAsia="MS PMincho" w:hAnsi="Garamond" w:cs="Arial"/>
          <w:b/>
          <w:color w:val="44546A"/>
          <w:sz w:val="28"/>
          <w:szCs w:val="20"/>
        </w:rPr>
      </w:pPr>
    </w:p>
    <w:p w14:paraId="7105C6AB" w14:textId="77777777" w:rsidR="008D7DD4" w:rsidRPr="008D7DD4" w:rsidRDefault="008D7DD4" w:rsidP="008D7DD4">
      <w:pPr>
        <w:spacing w:after="0"/>
        <w:jc w:val="both"/>
        <w:rPr>
          <w:rFonts w:ascii="Garamond" w:eastAsia="MS PMincho" w:hAnsi="Garamond" w:cs="Arial"/>
          <w:b/>
          <w:color w:val="44546A"/>
          <w:sz w:val="28"/>
          <w:szCs w:val="20"/>
        </w:rPr>
      </w:pPr>
    </w:p>
    <w:p w14:paraId="05A37AC6" w14:textId="77777777" w:rsidR="008D7DD4" w:rsidRPr="008D7DD4" w:rsidRDefault="008D7DD4" w:rsidP="008D7DD4">
      <w:pPr>
        <w:spacing w:after="0"/>
        <w:jc w:val="both"/>
        <w:rPr>
          <w:rFonts w:ascii="Garamond" w:eastAsia="MS PMincho" w:hAnsi="Garamond" w:cs="Arial"/>
          <w:b/>
          <w:color w:val="44546A"/>
          <w:sz w:val="28"/>
          <w:szCs w:val="20"/>
        </w:rPr>
      </w:pPr>
    </w:p>
    <w:p w14:paraId="6BA9A51D" w14:textId="77777777" w:rsidR="008D7DD4" w:rsidRPr="008D7DD4" w:rsidRDefault="008D7DD4" w:rsidP="008D7DD4">
      <w:pPr>
        <w:spacing w:after="0"/>
        <w:jc w:val="both"/>
        <w:rPr>
          <w:rFonts w:ascii="Garamond" w:eastAsia="MS PMincho" w:hAnsi="Garamond" w:cs="Arial"/>
          <w:b/>
          <w:color w:val="44546A"/>
          <w:sz w:val="28"/>
          <w:szCs w:val="20"/>
        </w:rPr>
      </w:pPr>
    </w:p>
    <w:p w14:paraId="663049A9" w14:textId="77777777" w:rsidR="008D7DD4" w:rsidRPr="008D7DD4" w:rsidRDefault="008D7DD4" w:rsidP="008D7DD4">
      <w:pPr>
        <w:spacing w:after="0"/>
        <w:jc w:val="both"/>
        <w:rPr>
          <w:rFonts w:ascii="Garamond" w:eastAsia="MS PMincho" w:hAnsi="Garamond" w:cs="Arial"/>
          <w:b/>
          <w:color w:val="44546A"/>
          <w:sz w:val="28"/>
          <w:szCs w:val="20"/>
        </w:rPr>
      </w:pPr>
    </w:p>
    <w:p w14:paraId="6586C99C" w14:textId="77777777" w:rsidR="008D7DD4" w:rsidRPr="008D7DD4" w:rsidRDefault="008D7DD4" w:rsidP="008D7DD4">
      <w:pPr>
        <w:spacing w:after="0"/>
        <w:jc w:val="both"/>
        <w:rPr>
          <w:rFonts w:ascii="Garamond" w:eastAsia="MS PMincho" w:hAnsi="Garamond" w:cs="Arial"/>
          <w:b/>
          <w:color w:val="44546A"/>
          <w:sz w:val="28"/>
          <w:szCs w:val="20"/>
        </w:rPr>
      </w:pPr>
    </w:p>
    <w:p w14:paraId="7EF1511E" w14:textId="77777777" w:rsidR="008D7DD4" w:rsidRPr="008D7DD4" w:rsidRDefault="008D7DD4" w:rsidP="008D7DD4">
      <w:pPr>
        <w:spacing w:after="0"/>
        <w:jc w:val="both"/>
        <w:rPr>
          <w:rFonts w:ascii="Garamond" w:eastAsia="MS PMincho" w:hAnsi="Garamond" w:cs="Arial"/>
          <w:b/>
          <w:color w:val="44546A"/>
          <w:sz w:val="28"/>
          <w:szCs w:val="20"/>
        </w:rPr>
      </w:pPr>
    </w:p>
    <w:p w14:paraId="0AC1D7E0" w14:textId="77777777" w:rsidR="008D7DD4" w:rsidRPr="008D7DD4" w:rsidRDefault="008D7DD4" w:rsidP="008D7DD4">
      <w:pPr>
        <w:spacing w:after="0"/>
        <w:jc w:val="both"/>
        <w:rPr>
          <w:rFonts w:ascii="Garamond" w:eastAsia="MS PMincho" w:hAnsi="Garamond" w:cs="Arial"/>
          <w:b/>
          <w:color w:val="44546A"/>
          <w:sz w:val="28"/>
          <w:szCs w:val="20"/>
        </w:rPr>
      </w:pPr>
    </w:p>
    <w:p w14:paraId="4983561C" w14:textId="77777777" w:rsidR="008D7DD4" w:rsidRPr="008D7DD4" w:rsidRDefault="008D7DD4" w:rsidP="008D7DD4">
      <w:pPr>
        <w:spacing w:after="0"/>
        <w:jc w:val="both"/>
        <w:rPr>
          <w:rFonts w:ascii="Garamond" w:eastAsia="MS PMincho" w:hAnsi="Garamond" w:cs="Arial"/>
          <w:b/>
          <w:color w:val="44546A"/>
          <w:sz w:val="28"/>
          <w:szCs w:val="20"/>
        </w:rPr>
      </w:pPr>
    </w:p>
    <w:p w14:paraId="4E8B50AE" w14:textId="77777777" w:rsidR="008D7DD4" w:rsidRPr="008D7DD4" w:rsidRDefault="008D7DD4" w:rsidP="008D7DD4">
      <w:pPr>
        <w:spacing w:after="0"/>
        <w:jc w:val="both"/>
        <w:rPr>
          <w:rFonts w:ascii="Garamond" w:eastAsia="MS PMincho" w:hAnsi="Garamond" w:cs="Arial"/>
          <w:b/>
          <w:color w:val="44546A"/>
          <w:sz w:val="28"/>
          <w:szCs w:val="20"/>
        </w:rPr>
      </w:pPr>
    </w:p>
    <w:p w14:paraId="51A2FB40" w14:textId="77777777" w:rsidR="008D7DD4" w:rsidRDefault="008D7DD4" w:rsidP="008D7DD4">
      <w:pPr>
        <w:spacing w:after="0"/>
        <w:jc w:val="both"/>
        <w:rPr>
          <w:rFonts w:ascii="Garamond" w:eastAsia="MS PMincho" w:hAnsi="Garamond" w:cs="Arial"/>
          <w:b/>
          <w:color w:val="44546A"/>
          <w:sz w:val="28"/>
          <w:szCs w:val="20"/>
        </w:rPr>
      </w:pPr>
    </w:p>
    <w:p w14:paraId="1282821C" w14:textId="77777777" w:rsidR="009B3590" w:rsidRDefault="009B3590" w:rsidP="008D7DD4">
      <w:pPr>
        <w:spacing w:after="0"/>
        <w:jc w:val="both"/>
        <w:rPr>
          <w:rFonts w:ascii="Garamond" w:eastAsia="MS PMincho" w:hAnsi="Garamond" w:cs="Arial"/>
          <w:b/>
          <w:color w:val="44546A"/>
          <w:sz w:val="28"/>
          <w:szCs w:val="20"/>
        </w:rPr>
      </w:pPr>
    </w:p>
    <w:p w14:paraId="51DB9EEF" w14:textId="77777777" w:rsidR="009B3590" w:rsidRPr="008D7DD4" w:rsidRDefault="009B3590" w:rsidP="008D7DD4">
      <w:pPr>
        <w:spacing w:after="0"/>
        <w:jc w:val="both"/>
        <w:rPr>
          <w:rFonts w:ascii="Garamond" w:eastAsia="MS PMincho" w:hAnsi="Garamond" w:cs="Arial"/>
          <w:b/>
          <w:color w:val="44546A"/>
          <w:sz w:val="28"/>
          <w:szCs w:val="20"/>
        </w:rPr>
      </w:pPr>
    </w:p>
    <w:p w14:paraId="748DB07F" w14:textId="77777777" w:rsidR="008D7DD4" w:rsidRPr="008D7DD4" w:rsidRDefault="008D7DD4" w:rsidP="008D7DD4">
      <w:pPr>
        <w:spacing w:after="0"/>
        <w:jc w:val="both"/>
        <w:rPr>
          <w:rFonts w:ascii="Garamond" w:eastAsia="MS PMincho" w:hAnsi="Garamond" w:cs="Arial"/>
          <w:b/>
          <w:color w:val="44546A"/>
          <w:sz w:val="28"/>
          <w:szCs w:val="20"/>
        </w:rPr>
      </w:pPr>
    </w:p>
    <w:p w14:paraId="7AB8E7B4"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lastRenderedPageBreak/>
        <w:t>Tabela 5: Učinek posameznih davčnih izdatkov pri odmeri dohodnine v obdobju 2020–2022</w:t>
      </w:r>
    </w:p>
    <w:p w14:paraId="229DD011" w14:textId="77777777" w:rsidR="008D7DD4" w:rsidRPr="008D7DD4" w:rsidRDefault="008D7DD4" w:rsidP="008D7DD4">
      <w:pPr>
        <w:spacing w:after="0"/>
        <w:jc w:val="right"/>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Zneski v mio evrih</w:t>
      </w:r>
    </w:p>
    <w:tbl>
      <w:tblPr>
        <w:tblW w:w="9399" w:type="dxa"/>
        <w:tblCellMar>
          <w:left w:w="70" w:type="dxa"/>
          <w:right w:w="70" w:type="dxa"/>
        </w:tblCellMar>
        <w:tblLook w:val="04A0" w:firstRow="1" w:lastRow="0" w:firstColumn="1" w:lastColumn="0" w:noHBand="0" w:noVBand="1"/>
      </w:tblPr>
      <w:tblGrid>
        <w:gridCol w:w="4006"/>
        <w:gridCol w:w="939"/>
        <w:gridCol w:w="955"/>
        <w:gridCol w:w="959"/>
        <w:gridCol w:w="848"/>
        <w:gridCol w:w="848"/>
        <w:gridCol w:w="856"/>
      </w:tblGrid>
      <w:tr w:rsidR="008D7DD4" w:rsidRPr="008D7DD4" w14:paraId="745AE3E3" w14:textId="77777777" w:rsidTr="009B3590">
        <w:trPr>
          <w:trHeight w:val="194"/>
        </w:trPr>
        <w:tc>
          <w:tcPr>
            <w:tcW w:w="4006" w:type="dxa"/>
            <w:tcBorders>
              <w:top w:val="single" w:sz="4" w:space="0" w:color="auto"/>
              <w:left w:val="single" w:sz="4" w:space="0" w:color="auto"/>
              <w:bottom w:val="nil"/>
              <w:right w:val="single" w:sz="4" w:space="0" w:color="auto"/>
            </w:tcBorders>
            <w:shd w:val="clear" w:color="000000" w:fill="FFFFFF"/>
            <w:noWrap/>
            <w:vAlign w:val="center"/>
            <w:hideMark/>
          </w:tcPr>
          <w:p w14:paraId="1B43D067" w14:textId="77777777" w:rsidR="008D7DD4" w:rsidRPr="008D7DD4" w:rsidRDefault="008D7DD4" w:rsidP="008D7DD4">
            <w:pPr>
              <w:spacing w:after="0" w:line="240" w:lineRule="auto"/>
              <w:rPr>
                <w:rFonts w:ascii="Garamond" w:eastAsia="Times New Roman" w:hAnsi="Garamond" w:cs="Arial"/>
                <w:sz w:val="26"/>
                <w:szCs w:val="26"/>
                <w:lang w:eastAsia="sl-SI"/>
              </w:rPr>
            </w:pPr>
            <w:r w:rsidRPr="008D7DD4">
              <w:rPr>
                <w:rFonts w:ascii="Garamond" w:eastAsia="Times New Roman" w:hAnsi="Garamond" w:cs="Arial"/>
                <w:sz w:val="26"/>
                <w:szCs w:val="26"/>
                <w:lang w:eastAsia="sl-SI"/>
              </w:rPr>
              <w:t> </w:t>
            </w:r>
          </w:p>
        </w:tc>
        <w:tc>
          <w:tcPr>
            <w:tcW w:w="2841" w:type="dxa"/>
            <w:gridSpan w:val="3"/>
            <w:tcBorders>
              <w:top w:val="single" w:sz="4" w:space="0" w:color="auto"/>
              <w:left w:val="nil"/>
              <w:bottom w:val="single" w:sz="4" w:space="0" w:color="auto"/>
              <w:right w:val="single" w:sz="4" w:space="0" w:color="auto"/>
            </w:tcBorders>
            <w:shd w:val="clear" w:color="DCE6F1" w:fill="FFFFFF" w:themeFill="background1"/>
            <w:noWrap/>
            <w:vAlign w:val="center"/>
            <w:hideMark/>
          </w:tcPr>
          <w:p w14:paraId="139ECA0D"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Število zavezancev</w:t>
            </w:r>
          </w:p>
        </w:tc>
        <w:tc>
          <w:tcPr>
            <w:tcW w:w="2552" w:type="dxa"/>
            <w:gridSpan w:val="3"/>
            <w:tcBorders>
              <w:top w:val="single" w:sz="4" w:space="0" w:color="auto"/>
              <w:left w:val="nil"/>
              <w:bottom w:val="single" w:sz="4" w:space="0" w:color="auto"/>
              <w:right w:val="single" w:sz="4" w:space="0" w:color="auto"/>
            </w:tcBorders>
            <w:shd w:val="clear" w:color="DCE6F1" w:fill="FFFFFF" w:themeFill="background1"/>
            <w:noWrap/>
            <w:vAlign w:val="center"/>
            <w:hideMark/>
          </w:tcPr>
          <w:p w14:paraId="4DBA04E7"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Znesek davčnega izdatka</w:t>
            </w:r>
          </w:p>
        </w:tc>
      </w:tr>
      <w:tr w:rsidR="008D7DD4" w:rsidRPr="008D7DD4" w14:paraId="201E0C99" w14:textId="77777777" w:rsidTr="009B3590">
        <w:trPr>
          <w:trHeight w:val="194"/>
        </w:trPr>
        <w:tc>
          <w:tcPr>
            <w:tcW w:w="4006" w:type="dxa"/>
            <w:tcBorders>
              <w:top w:val="nil"/>
              <w:left w:val="single" w:sz="4" w:space="0" w:color="auto"/>
              <w:bottom w:val="single" w:sz="4" w:space="0" w:color="auto"/>
              <w:right w:val="single" w:sz="4" w:space="0" w:color="auto"/>
            </w:tcBorders>
            <w:shd w:val="clear" w:color="000000" w:fill="FFFFFF"/>
            <w:noWrap/>
            <w:vAlign w:val="center"/>
            <w:hideMark/>
          </w:tcPr>
          <w:p w14:paraId="5DE570BA" w14:textId="77777777" w:rsidR="008D7DD4" w:rsidRPr="008D7DD4" w:rsidRDefault="008D7DD4" w:rsidP="008D7DD4">
            <w:pPr>
              <w:spacing w:after="0" w:line="240" w:lineRule="auto"/>
              <w:rPr>
                <w:rFonts w:ascii="Garamond" w:eastAsia="Times New Roman" w:hAnsi="Garamond" w:cs="Arial"/>
                <w:sz w:val="26"/>
                <w:szCs w:val="26"/>
                <w:lang w:eastAsia="sl-SI"/>
              </w:rPr>
            </w:pPr>
            <w:r w:rsidRPr="008D7DD4">
              <w:rPr>
                <w:rFonts w:ascii="Garamond" w:eastAsia="Times New Roman" w:hAnsi="Garamond" w:cs="Arial"/>
                <w:sz w:val="26"/>
                <w:szCs w:val="26"/>
                <w:lang w:eastAsia="sl-SI"/>
              </w:rPr>
              <w:t> </w:t>
            </w:r>
          </w:p>
        </w:tc>
        <w:tc>
          <w:tcPr>
            <w:tcW w:w="926" w:type="dxa"/>
            <w:tcBorders>
              <w:top w:val="nil"/>
              <w:left w:val="nil"/>
              <w:bottom w:val="single" w:sz="4" w:space="0" w:color="auto"/>
              <w:right w:val="single" w:sz="4" w:space="0" w:color="auto"/>
            </w:tcBorders>
            <w:shd w:val="clear" w:color="DCE6F1" w:fill="FFFFFF" w:themeFill="background1"/>
            <w:noWrap/>
            <w:vAlign w:val="bottom"/>
            <w:hideMark/>
          </w:tcPr>
          <w:p w14:paraId="462273C0"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2020</w:t>
            </w:r>
          </w:p>
        </w:tc>
        <w:tc>
          <w:tcPr>
            <w:tcW w:w="955" w:type="dxa"/>
            <w:tcBorders>
              <w:top w:val="nil"/>
              <w:left w:val="nil"/>
              <w:bottom w:val="single" w:sz="4" w:space="0" w:color="auto"/>
              <w:right w:val="single" w:sz="4" w:space="0" w:color="auto"/>
            </w:tcBorders>
            <w:shd w:val="clear" w:color="DCE6F1" w:fill="FFFFFF" w:themeFill="background1"/>
            <w:noWrap/>
            <w:vAlign w:val="bottom"/>
            <w:hideMark/>
          </w:tcPr>
          <w:p w14:paraId="32BF60F8"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2021</w:t>
            </w:r>
          </w:p>
        </w:tc>
        <w:tc>
          <w:tcPr>
            <w:tcW w:w="959" w:type="dxa"/>
            <w:tcBorders>
              <w:top w:val="nil"/>
              <w:left w:val="nil"/>
              <w:bottom w:val="single" w:sz="4" w:space="0" w:color="auto"/>
              <w:right w:val="single" w:sz="4" w:space="0" w:color="auto"/>
            </w:tcBorders>
            <w:shd w:val="clear" w:color="DCE6F1" w:fill="FFFFFF" w:themeFill="background1"/>
            <w:noWrap/>
            <w:vAlign w:val="bottom"/>
            <w:hideMark/>
          </w:tcPr>
          <w:p w14:paraId="72F7EA39"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2022</w:t>
            </w:r>
          </w:p>
        </w:tc>
        <w:tc>
          <w:tcPr>
            <w:tcW w:w="848" w:type="dxa"/>
            <w:tcBorders>
              <w:top w:val="nil"/>
              <w:left w:val="nil"/>
              <w:bottom w:val="single" w:sz="4" w:space="0" w:color="auto"/>
              <w:right w:val="single" w:sz="4" w:space="0" w:color="auto"/>
            </w:tcBorders>
            <w:shd w:val="clear" w:color="DCE6F1" w:fill="FFFFFF" w:themeFill="background1"/>
            <w:noWrap/>
            <w:vAlign w:val="bottom"/>
            <w:hideMark/>
          </w:tcPr>
          <w:p w14:paraId="2BE18EA2"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2020</w:t>
            </w:r>
          </w:p>
        </w:tc>
        <w:tc>
          <w:tcPr>
            <w:tcW w:w="848" w:type="dxa"/>
            <w:tcBorders>
              <w:top w:val="nil"/>
              <w:left w:val="nil"/>
              <w:bottom w:val="single" w:sz="4" w:space="0" w:color="auto"/>
              <w:right w:val="single" w:sz="4" w:space="0" w:color="auto"/>
            </w:tcBorders>
            <w:shd w:val="clear" w:color="DCE6F1" w:fill="FFFFFF" w:themeFill="background1"/>
            <w:noWrap/>
            <w:vAlign w:val="bottom"/>
            <w:hideMark/>
          </w:tcPr>
          <w:p w14:paraId="0729B57F"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2021</w:t>
            </w:r>
          </w:p>
        </w:tc>
        <w:tc>
          <w:tcPr>
            <w:tcW w:w="855" w:type="dxa"/>
            <w:tcBorders>
              <w:top w:val="nil"/>
              <w:left w:val="nil"/>
              <w:bottom w:val="single" w:sz="4" w:space="0" w:color="auto"/>
              <w:right w:val="single" w:sz="4" w:space="0" w:color="auto"/>
            </w:tcBorders>
            <w:shd w:val="clear" w:color="DCE6F1" w:fill="FFFFFF" w:themeFill="background1"/>
            <w:noWrap/>
            <w:vAlign w:val="bottom"/>
            <w:hideMark/>
          </w:tcPr>
          <w:p w14:paraId="6624780A"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2022</w:t>
            </w:r>
          </w:p>
        </w:tc>
      </w:tr>
      <w:tr w:rsidR="008D7DD4" w:rsidRPr="008D7DD4" w14:paraId="720BAC55" w14:textId="77777777" w:rsidTr="003D463E">
        <w:trPr>
          <w:trHeight w:val="194"/>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3BD611D0"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vzdrževane otroke</w:t>
            </w:r>
          </w:p>
        </w:tc>
        <w:tc>
          <w:tcPr>
            <w:tcW w:w="926" w:type="dxa"/>
            <w:tcBorders>
              <w:top w:val="nil"/>
              <w:left w:val="nil"/>
              <w:bottom w:val="single" w:sz="4" w:space="0" w:color="auto"/>
              <w:right w:val="single" w:sz="4" w:space="0" w:color="auto"/>
            </w:tcBorders>
            <w:shd w:val="clear" w:color="000000" w:fill="FFFFFF"/>
            <w:noWrap/>
            <w:vAlign w:val="center"/>
            <w:hideMark/>
          </w:tcPr>
          <w:p w14:paraId="1E76364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327.852</w:t>
            </w:r>
          </w:p>
        </w:tc>
        <w:tc>
          <w:tcPr>
            <w:tcW w:w="955" w:type="dxa"/>
            <w:tcBorders>
              <w:top w:val="nil"/>
              <w:left w:val="nil"/>
              <w:bottom w:val="single" w:sz="4" w:space="0" w:color="auto"/>
              <w:right w:val="single" w:sz="4" w:space="0" w:color="auto"/>
            </w:tcBorders>
            <w:shd w:val="clear" w:color="000000" w:fill="FFFFFF"/>
            <w:noWrap/>
            <w:vAlign w:val="center"/>
            <w:hideMark/>
          </w:tcPr>
          <w:p w14:paraId="380DE45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326.218</w:t>
            </w:r>
          </w:p>
        </w:tc>
        <w:tc>
          <w:tcPr>
            <w:tcW w:w="959" w:type="dxa"/>
            <w:tcBorders>
              <w:top w:val="nil"/>
              <w:left w:val="nil"/>
              <w:bottom w:val="single" w:sz="4" w:space="0" w:color="auto"/>
              <w:right w:val="single" w:sz="4" w:space="0" w:color="auto"/>
            </w:tcBorders>
            <w:shd w:val="clear" w:color="000000" w:fill="FFFFFF"/>
            <w:noWrap/>
            <w:vAlign w:val="center"/>
            <w:hideMark/>
          </w:tcPr>
          <w:p w14:paraId="07FEAD1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326.041</w:t>
            </w:r>
          </w:p>
        </w:tc>
        <w:tc>
          <w:tcPr>
            <w:tcW w:w="848" w:type="dxa"/>
            <w:tcBorders>
              <w:top w:val="nil"/>
              <w:left w:val="nil"/>
              <w:bottom w:val="single" w:sz="4" w:space="0" w:color="auto"/>
              <w:right w:val="single" w:sz="4" w:space="0" w:color="auto"/>
            </w:tcBorders>
            <w:shd w:val="clear" w:color="000000" w:fill="FFFFFF"/>
            <w:noWrap/>
            <w:vAlign w:val="center"/>
            <w:hideMark/>
          </w:tcPr>
          <w:p w14:paraId="5041FA2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259,3</w:t>
            </w:r>
          </w:p>
        </w:tc>
        <w:tc>
          <w:tcPr>
            <w:tcW w:w="848" w:type="dxa"/>
            <w:tcBorders>
              <w:top w:val="nil"/>
              <w:left w:val="nil"/>
              <w:bottom w:val="single" w:sz="4" w:space="0" w:color="auto"/>
              <w:right w:val="single" w:sz="4" w:space="0" w:color="auto"/>
            </w:tcBorders>
            <w:shd w:val="clear" w:color="000000" w:fill="FFFFFF"/>
            <w:noWrap/>
            <w:vAlign w:val="center"/>
            <w:hideMark/>
          </w:tcPr>
          <w:p w14:paraId="0E26A4F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270,2</w:t>
            </w:r>
          </w:p>
        </w:tc>
        <w:tc>
          <w:tcPr>
            <w:tcW w:w="855" w:type="dxa"/>
            <w:tcBorders>
              <w:top w:val="nil"/>
              <w:left w:val="nil"/>
              <w:bottom w:val="single" w:sz="4" w:space="0" w:color="auto"/>
              <w:right w:val="single" w:sz="4" w:space="0" w:color="auto"/>
            </w:tcBorders>
            <w:shd w:val="clear" w:color="000000" w:fill="FFFFFF"/>
            <w:noWrap/>
            <w:vAlign w:val="center"/>
            <w:hideMark/>
          </w:tcPr>
          <w:p w14:paraId="7B93D97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278,0</w:t>
            </w:r>
          </w:p>
        </w:tc>
      </w:tr>
      <w:tr w:rsidR="008D7DD4" w:rsidRPr="008D7DD4" w14:paraId="32C535BC" w14:textId="77777777" w:rsidTr="003D463E">
        <w:trPr>
          <w:trHeight w:val="526"/>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44DF38EE" w14:textId="77777777" w:rsidR="008D7DD4" w:rsidRPr="008D7DD4" w:rsidRDefault="008D7DD4" w:rsidP="008D7DD4">
            <w:pPr>
              <w:spacing w:after="0" w:line="240" w:lineRule="auto"/>
              <w:rPr>
                <w:rFonts w:ascii="Garamond" w:eastAsia="MS PMincho" w:hAnsi="Garamond" w:cs="Arial"/>
                <w:b/>
                <w:color w:val="44546A"/>
                <w:sz w:val="26"/>
                <w:szCs w:val="26"/>
              </w:rPr>
            </w:pPr>
            <w:proofErr w:type="spellStart"/>
            <w:r w:rsidRPr="008D7DD4">
              <w:rPr>
                <w:rFonts w:ascii="Garamond" w:eastAsia="MS PMincho" w:hAnsi="Garamond" w:cs="Arial"/>
                <w:b/>
                <w:color w:val="44546A"/>
                <w:sz w:val="26"/>
                <w:szCs w:val="26"/>
              </w:rPr>
              <w:t>Nevštevanje</w:t>
            </w:r>
            <w:proofErr w:type="spellEnd"/>
            <w:r w:rsidRPr="008D7DD4">
              <w:rPr>
                <w:rFonts w:ascii="Garamond" w:eastAsia="MS PMincho" w:hAnsi="Garamond" w:cs="Arial"/>
                <w:b/>
                <w:color w:val="44546A"/>
                <w:sz w:val="26"/>
                <w:szCs w:val="26"/>
              </w:rPr>
              <w:t xml:space="preserve"> regresa za letni dopust v davčno osnovo</w:t>
            </w:r>
          </w:p>
        </w:tc>
        <w:tc>
          <w:tcPr>
            <w:tcW w:w="926" w:type="dxa"/>
            <w:tcBorders>
              <w:top w:val="nil"/>
              <w:left w:val="nil"/>
              <w:bottom w:val="single" w:sz="4" w:space="0" w:color="auto"/>
              <w:right w:val="single" w:sz="4" w:space="0" w:color="auto"/>
            </w:tcBorders>
            <w:shd w:val="clear" w:color="000000" w:fill="FFFFFF"/>
            <w:noWrap/>
            <w:vAlign w:val="center"/>
            <w:hideMark/>
          </w:tcPr>
          <w:p w14:paraId="4297ECA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809.096</w:t>
            </w:r>
          </w:p>
        </w:tc>
        <w:tc>
          <w:tcPr>
            <w:tcW w:w="955" w:type="dxa"/>
            <w:tcBorders>
              <w:top w:val="nil"/>
              <w:left w:val="nil"/>
              <w:bottom w:val="single" w:sz="4" w:space="0" w:color="auto"/>
              <w:right w:val="single" w:sz="4" w:space="0" w:color="auto"/>
            </w:tcBorders>
            <w:shd w:val="clear" w:color="000000" w:fill="FFFFFF"/>
            <w:noWrap/>
            <w:vAlign w:val="center"/>
            <w:hideMark/>
          </w:tcPr>
          <w:p w14:paraId="595DEB73"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821.330</w:t>
            </w:r>
          </w:p>
        </w:tc>
        <w:tc>
          <w:tcPr>
            <w:tcW w:w="959" w:type="dxa"/>
            <w:tcBorders>
              <w:top w:val="nil"/>
              <w:left w:val="nil"/>
              <w:bottom w:val="single" w:sz="4" w:space="0" w:color="auto"/>
              <w:right w:val="single" w:sz="4" w:space="0" w:color="auto"/>
            </w:tcBorders>
            <w:shd w:val="clear" w:color="000000" w:fill="FFFFFF"/>
            <w:noWrap/>
            <w:vAlign w:val="center"/>
            <w:hideMark/>
          </w:tcPr>
          <w:p w14:paraId="031E8A8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840.203</w:t>
            </w:r>
          </w:p>
        </w:tc>
        <w:tc>
          <w:tcPr>
            <w:tcW w:w="848" w:type="dxa"/>
            <w:tcBorders>
              <w:top w:val="nil"/>
              <w:left w:val="nil"/>
              <w:bottom w:val="single" w:sz="4" w:space="0" w:color="auto"/>
              <w:right w:val="single" w:sz="4" w:space="0" w:color="auto"/>
            </w:tcBorders>
            <w:shd w:val="clear" w:color="000000" w:fill="FFFFFF"/>
            <w:noWrap/>
            <w:vAlign w:val="center"/>
            <w:hideMark/>
          </w:tcPr>
          <w:p w14:paraId="45B3FD4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225,6</w:t>
            </w:r>
          </w:p>
        </w:tc>
        <w:tc>
          <w:tcPr>
            <w:tcW w:w="848" w:type="dxa"/>
            <w:tcBorders>
              <w:top w:val="nil"/>
              <w:left w:val="nil"/>
              <w:bottom w:val="single" w:sz="4" w:space="0" w:color="auto"/>
              <w:right w:val="single" w:sz="4" w:space="0" w:color="auto"/>
            </w:tcBorders>
            <w:shd w:val="clear" w:color="000000" w:fill="FFFFFF"/>
            <w:noWrap/>
            <w:vAlign w:val="center"/>
            <w:hideMark/>
          </w:tcPr>
          <w:p w14:paraId="25098B0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255,7</w:t>
            </w:r>
          </w:p>
        </w:tc>
        <w:tc>
          <w:tcPr>
            <w:tcW w:w="855" w:type="dxa"/>
            <w:tcBorders>
              <w:top w:val="nil"/>
              <w:left w:val="nil"/>
              <w:bottom w:val="single" w:sz="4" w:space="0" w:color="auto"/>
              <w:right w:val="single" w:sz="4" w:space="0" w:color="auto"/>
            </w:tcBorders>
            <w:shd w:val="clear" w:color="000000" w:fill="FFFFFF"/>
            <w:noWrap/>
            <w:vAlign w:val="center"/>
            <w:hideMark/>
          </w:tcPr>
          <w:p w14:paraId="7A2684E5"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271,8</w:t>
            </w:r>
          </w:p>
        </w:tc>
      </w:tr>
      <w:tr w:rsidR="008D7DD4" w:rsidRPr="008D7DD4" w14:paraId="5C131EC9" w14:textId="77777777" w:rsidTr="003D463E">
        <w:trPr>
          <w:trHeight w:val="194"/>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52AB408B"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Dodatna splošna olajšava</w:t>
            </w:r>
          </w:p>
        </w:tc>
        <w:tc>
          <w:tcPr>
            <w:tcW w:w="926" w:type="dxa"/>
            <w:tcBorders>
              <w:top w:val="nil"/>
              <w:left w:val="nil"/>
              <w:bottom w:val="single" w:sz="4" w:space="0" w:color="auto"/>
              <w:right w:val="single" w:sz="4" w:space="0" w:color="auto"/>
            </w:tcBorders>
            <w:shd w:val="clear" w:color="000000" w:fill="FFFFFF"/>
            <w:noWrap/>
            <w:vAlign w:val="center"/>
            <w:hideMark/>
          </w:tcPr>
          <w:p w14:paraId="0ED7E6C5"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779.863</w:t>
            </w:r>
          </w:p>
        </w:tc>
        <w:tc>
          <w:tcPr>
            <w:tcW w:w="955" w:type="dxa"/>
            <w:tcBorders>
              <w:top w:val="nil"/>
              <w:left w:val="nil"/>
              <w:bottom w:val="single" w:sz="4" w:space="0" w:color="auto"/>
              <w:right w:val="single" w:sz="4" w:space="0" w:color="auto"/>
            </w:tcBorders>
            <w:shd w:val="clear" w:color="000000" w:fill="FFFFFF"/>
            <w:noWrap/>
            <w:vAlign w:val="center"/>
            <w:hideMark/>
          </w:tcPr>
          <w:p w14:paraId="0BBCD7F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700.254</w:t>
            </w:r>
          </w:p>
        </w:tc>
        <w:tc>
          <w:tcPr>
            <w:tcW w:w="959" w:type="dxa"/>
            <w:tcBorders>
              <w:top w:val="nil"/>
              <w:left w:val="nil"/>
              <w:bottom w:val="single" w:sz="4" w:space="0" w:color="auto"/>
              <w:right w:val="single" w:sz="4" w:space="0" w:color="auto"/>
            </w:tcBorders>
            <w:shd w:val="clear" w:color="000000" w:fill="FFFFFF"/>
            <w:noWrap/>
            <w:vAlign w:val="center"/>
            <w:hideMark/>
          </w:tcPr>
          <w:p w14:paraId="66B6657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643.539</w:t>
            </w:r>
          </w:p>
        </w:tc>
        <w:tc>
          <w:tcPr>
            <w:tcW w:w="848" w:type="dxa"/>
            <w:tcBorders>
              <w:top w:val="nil"/>
              <w:left w:val="nil"/>
              <w:bottom w:val="single" w:sz="4" w:space="0" w:color="auto"/>
              <w:right w:val="single" w:sz="4" w:space="0" w:color="auto"/>
            </w:tcBorders>
            <w:shd w:val="clear" w:color="000000" w:fill="FFFFFF"/>
            <w:noWrap/>
            <w:vAlign w:val="center"/>
            <w:hideMark/>
          </w:tcPr>
          <w:p w14:paraId="7E5E6ECC"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328,0</w:t>
            </w:r>
          </w:p>
        </w:tc>
        <w:tc>
          <w:tcPr>
            <w:tcW w:w="848" w:type="dxa"/>
            <w:tcBorders>
              <w:top w:val="nil"/>
              <w:left w:val="nil"/>
              <w:bottom w:val="single" w:sz="4" w:space="0" w:color="auto"/>
              <w:right w:val="single" w:sz="4" w:space="0" w:color="auto"/>
            </w:tcBorders>
            <w:shd w:val="clear" w:color="000000" w:fill="FFFFFF"/>
            <w:noWrap/>
            <w:vAlign w:val="center"/>
            <w:hideMark/>
          </w:tcPr>
          <w:p w14:paraId="07CD84A5"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305,7</w:t>
            </w:r>
          </w:p>
        </w:tc>
        <w:tc>
          <w:tcPr>
            <w:tcW w:w="855" w:type="dxa"/>
            <w:tcBorders>
              <w:top w:val="nil"/>
              <w:left w:val="nil"/>
              <w:bottom w:val="single" w:sz="4" w:space="0" w:color="auto"/>
              <w:right w:val="single" w:sz="4" w:space="0" w:color="auto"/>
            </w:tcBorders>
            <w:shd w:val="clear" w:color="000000" w:fill="FFFFFF"/>
            <w:noWrap/>
            <w:vAlign w:val="center"/>
            <w:hideMark/>
          </w:tcPr>
          <w:p w14:paraId="72665D3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252,8</w:t>
            </w:r>
          </w:p>
        </w:tc>
      </w:tr>
      <w:tr w:rsidR="008D7DD4" w:rsidRPr="008D7DD4" w14:paraId="24D70D26" w14:textId="77777777" w:rsidTr="003D463E">
        <w:trPr>
          <w:trHeight w:val="526"/>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6490DF28"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Vsi dohodki, ki so oproščeni plačila dohodnine (20. do 34. člen ZDoh-2)</w:t>
            </w:r>
          </w:p>
        </w:tc>
        <w:tc>
          <w:tcPr>
            <w:tcW w:w="926" w:type="dxa"/>
            <w:tcBorders>
              <w:top w:val="nil"/>
              <w:left w:val="nil"/>
              <w:bottom w:val="single" w:sz="4" w:space="0" w:color="auto"/>
              <w:right w:val="single" w:sz="4" w:space="0" w:color="auto"/>
            </w:tcBorders>
            <w:shd w:val="clear" w:color="000000" w:fill="FFFFFF"/>
            <w:noWrap/>
            <w:vAlign w:val="center"/>
            <w:hideMark/>
          </w:tcPr>
          <w:p w14:paraId="24CDEF14"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520.385</w:t>
            </w:r>
          </w:p>
        </w:tc>
        <w:tc>
          <w:tcPr>
            <w:tcW w:w="955" w:type="dxa"/>
            <w:tcBorders>
              <w:top w:val="nil"/>
              <w:left w:val="nil"/>
              <w:bottom w:val="single" w:sz="4" w:space="0" w:color="auto"/>
              <w:right w:val="single" w:sz="4" w:space="0" w:color="auto"/>
            </w:tcBorders>
            <w:shd w:val="clear" w:color="000000" w:fill="FFFFFF"/>
            <w:noWrap/>
            <w:vAlign w:val="center"/>
            <w:hideMark/>
          </w:tcPr>
          <w:p w14:paraId="0B599B2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534.813</w:t>
            </w:r>
          </w:p>
        </w:tc>
        <w:tc>
          <w:tcPr>
            <w:tcW w:w="959" w:type="dxa"/>
            <w:tcBorders>
              <w:top w:val="nil"/>
              <w:left w:val="nil"/>
              <w:bottom w:val="single" w:sz="4" w:space="0" w:color="auto"/>
              <w:right w:val="single" w:sz="4" w:space="0" w:color="auto"/>
            </w:tcBorders>
            <w:shd w:val="clear" w:color="000000" w:fill="FFFFFF"/>
            <w:noWrap/>
            <w:vAlign w:val="center"/>
            <w:hideMark/>
          </w:tcPr>
          <w:p w14:paraId="07A2B6B6"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571.474</w:t>
            </w:r>
          </w:p>
        </w:tc>
        <w:tc>
          <w:tcPr>
            <w:tcW w:w="848" w:type="dxa"/>
            <w:tcBorders>
              <w:top w:val="nil"/>
              <w:left w:val="nil"/>
              <w:bottom w:val="single" w:sz="4" w:space="0" w:color="auto"/>
              <w:right w:val="single" w:sz="4" w:space="0" w:color="auto"/>
            </w:tcBorders>
            <w:shd w:val="clear" w:color="000000" w:fill="FFFFFF"/>
            <w:noWrap/>
            <w:vAlign w:val="center"/>
            <w:hideMark/>
          </w:tcPr>
          <w:p w14:paraId="084821C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191,4</w:t>
            </w:r>
          </w:p>
        </w:tc>
        <w:tc>
          <w:tcPr>
            <w:tcW w:w="848" w:type="dxa"/>
            <w:tcBorders>
              <w:top w:val="nil"/>
              <w:left w:val="nil"/>
              <w:bottom w:val="single" w:sz="4" w:space="0" w:color="auto"/>
              <w:right w:val="single" w:sz="4" w:space="0" w:color="auto"/>
            </w:tcBorders>
            <w:shd w:val="clear" w:color="000000" w:fill="FFFFFF"/>
            <w:noWrap/>
            <w:vAlign w:val="center"/>
            <w:hideMark/>
          </w:tcPr>
          <w:p w14:paraId="5244E24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199,7</w:t>
            </w:r>
          </w:p>
        </w:tc>
        <w:tc>
          <w:tcPr>
            <w:tcW w:w="855" w:type="dxa"/>
            <w:tcBorders>
              <w:top w:val="nil"/>
              <w:left w:val="nil"/>
              <w:bottom w:val="single" w:sz="4" w:space="0" w:color="auto"/>
              <w:right w:val="single" w:sz="4" w:space="0" w:color="auto"/>
            </w:tcBorders>
            <w:shd w:val="clear" w:color="000000" w:fill="FFFFFF"/>
            <w:noWrap/>
            <w:vAlign w:val="center"/>
            <w:hideMark/>
          </w:tcPr>
          <w:p w14:paraId="37AA8C5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205,2</w:t>
            </w:r>
          </w:p>
        </w:tc>
      </w:tr>
      <w:tr w:rsidR="008D7DD4" w:rsidRPr="008D7DD4" w14:paraId="57923778" w14:textId="77777777" w:rsidTr="003D463E">
        <w:trPr>
          <w:trHeight w:val="526"/>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692023F9" w14:textId="77777777" w:rsidR="008D7DD4" w:rsidRPr="008D7DD4" w:rsidRDefault="008D7DD4" w:rsidP="008D7DD4">
            <w:pPr>
              <w:spacing w:after="0" w:line="240" w:lineRule="auto"/>
              <w:rPr>
                <w:rFonts w:ascii="Garamond" w:eastAsia="MS PMincho" w:hAnsi="Garamond" w:cs="Arial"/>
                <w:b/>
                <w:color w:val="44546A"/>
                <w:sz w:val="26"/>
                <w:szCs w:val="26"/>
              </w:rPr>
            </w:pPr>
            <w:proofErr w:type="spellStart"/>
            <w:r w:rsidRPr="008D7DD4">
              <w:rPr>
                <w:rFonts w:ascii="Garamond" w:eastAsia="MS PMincho" w:hAnsi="Garamond" w:cs="Arial"/>
                <w:b/>
                <w:color w:val="44546A"/>
                <w:sz w:val="26"/>
                <w:szCs w:val="26"/>
              </w:rPr>
              <w:t>Nevštevanje</w:t>
            </w:r>
            <w:proofErr w:type="spellEnd"/>
            <w:r w:rsidRPr="008D7DD4">
              <w:rPr>
                <w:rFonts w:ascii="Garamond" w:eastAsia="MS PMincho" w:hAnsi="Garamond" w:cs="Arial"/>
                <w:b/>
                <w:color w:val="44546A"/>
                <w:sz w:val="26"/>
                <w:szCs w:val="26"/>
              </w:rPr>
              <w:t xml:space="preserve"> dela plače za poslovno uspešnost v davčno osnovo </w:t>
            </w:r>
          </w:p>
        </w:tc>
        <w:tc>
          <w:tcPr>
            <w:tcW w:w="926" w:type="dxa"/>
            <w:tcBorders>
              <w:top w:val="nil"/>
              <w:left w:val="nil"/>
              <w:bottom w:val="single" w:sz="4" w:space="0" w:color="auto"/>
              <w:right w:val="single" w:sz="4" w:space="0" w:color="auto"/>
            </w:tcBorders>
            <w:shd w:val="clear" w:color="000000" w:fill="FFFFFF"/>
            <w:noWrap/>
            <w:vAlign w:val="center"/>
            <w:hideMark/>
          </w:tcPr>
          <w:p w14:paraId="1110F80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285.339</w:t>
            </w:r>
          </w:p>
        </w:tc>
        <w:tc>
          <w:tcPr>
            <w:tcW w:w="955" w:type="dxa"/>
            <w:tcBorders>
              <w:top w:val="nil"/>
              <w:left w:val="nil"/>
              <w:bottom w:val="single" w:sz="4" w:space="0" w:color="auto"/>
              <w:right w:val="single" w:sz="4" w:space="0" w:color="auto"/>
            </w:tcBorders>
            <w:shd w:val="clear" w:color="000000" w:fill="FFFFFF"/>
            <w:noWrap/>
            <w:vAlign w:val="center"/>
            <w:hideMark/>
          </w:tcPr>
          <w:p w14:paraId="5306EB1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309.251</w:t>
            </w:r>
          </w:p>
        </w:tc>
        <w:tc>
          <w:tcPr>
            <w:tcW w:w="959" w:type="dxa"/>
            <w:tcBorders>
              <w:top w:val="nil"/>
              <w:left w:val="nil"/>
              <w:bottom w:val="single" w:sz="4" w:space="0" w:color="auto"/>
              <w:right w:val="single" w:sz="4" w:space="0" w:color="auto"/>
            </w:tcBorders>
            <w:shd w:val="clear" w:color="000000" w:fill="FFFFFF"/>
            <w:noWrap/>
            <w:vAlign w:val="center"/>
            <w:hideMark/>
          </w:tcPr>
          <w:p w14:paraId="4B75E26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358.683</w:t>
            </w:r>
          </w:p>
        </w:tc>
        <w:tc>
          <w:tcPr>
            <w:tcW w:w="848" w:type="dxa"/>
            <w:tcBorders>
              <w:top w:val="nil"/>
              <w:left w:val="nil"/>
              <w:bottom w:val="single" w:sz="4" w:space="0" w:color="auto"/>
              <w:right w:val="single" w:sz="4" w:space="0" w:color="auto"/>
            </w:tcBorders>
            <w:shd w:val="clear" w:color="000000" w:fill="FFFFFF"/>
            <w:noWrap/>
            <w:vAlign w:val="center"/>
            <w:hideMark/>
          </w:tcPr>
          <w:p w14:paraId="047BEF8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46,2</w:t>
            </w:r>
          </w:p>
        </w:tc>
        <w:tc>
          <w:tcPr>
            <w:tcW w:w="848" w:type="dxa"/>
            <w:tcBorders>
              <w:top w:val="nil"/>
              <w:left w:val="nil"/>
              <w:bottom w:val="single" w:sz="4" w:space="0" w:color="auto"/>
              <w:right w:val="single" w:sz="4" w:space="0" w:color="auto"/>
            </w:tcBorders>
            <w:shd w:val="clear" w:color="000000" w:fill="FFFFFF"/>
            <w:noWrap/>
            <w:vAlign w:val="center"/>
            <w:hideMark/>
          </w:tcPr>
          <w:p w14:paraId="21A0BA8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57,0</w:t>
            </w:r>
          </w:p>
        </w:tc>
        <w:tc>
          <w:tcPr>
            <w:tcW w:w="855" w:type="dxa"/>
            <w:tcBorders>
              <w:top w:val="nil"/>
              <w:left w:val="nil"/>
              <w:bottom w:val="single" w:sz="4" w:space="0" w:color="auto"/>
              <w:right w:val="single" w:sz="4" w:space="0" w:color="auto"/>
            </w:tcBorders>
            <w:shd w:val="clear" w:color="000000" w:fill="FFFFFF"/>
            <w:noWrap/>
            <w:vAlign w:val="center"/>
            <w:hideMark/>
          </w:tcPr>
          <w:p w14:paraId="2E218904"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82,2</w:t>
            </w:r>
          </w:p>
        </w:tc>
      </w:tr>
      <w:tr w:rsidR="008D7DD4" w:rsidRPr="008D7DD4" w14:paraId="7B94AAD1"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1F66C858"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zavezance po 70. letu starosti</w:t>
            </w:r>
          </w:p>
        </w:tc>
        <w:tc>
          <w:tcPr>
            <w:tcW w:w="926" w:type="dxa"/>
            <w:tcBorders>
              <w:top w:val="nil"/>
              <w:left w:val="nil"/>
              <w:bottom w:val="single" w:sz="4" w:space="0" w:color="auto"/>
              <w:right w:val="single" w:sz="4" w:space="0" w:color="auto"/>
            </w:tcBorders>
            <w:shd w:val="clear" w:color="000000" w:fill="FFFFFF"/>
            <w:noWrap/>
            <w:vAlign w:val="center"/>
            <w:hideMark/>
          </w:tcPr>
          <w:p w14:paraId="452091F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5" w:type="dxa"/>
            <w:tcBorders>
              <w:top w:val="nil"/>
              <w:left w:val="nil"/>
              <w:bottom w:val="single" w:sz="4" w:space="0" w:color="auto"/>
              <w:right w:val="single" w:sz="4" w:space="0" w:color="auto"/>
            </w:tcBorders>
            <w:shd w:val="clear" w:color="000000" w:fill="FFFFFF"/>
            <w:noWrap/>
            <w:vAlign w:val="center"/>
            <w:hideMark/>
          </w:tcPr>
          <w:p w14:paraId="0D8C7AD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61512FD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295.318</w:t>
            </w:r>
          </w:p>
        </w:tc>
        <w:tc>
          <w:tcPr>
            <w:tcW w:w="848" w:type="dxa"/>
            <w:tcBorders>
              <w:top w:val="nil"/>
              <w:left w:val="nil"/>
              <w:bottom w:val="single" w:sz="4" w:space="0" w:color="auto"/>
              <w:right w:val="single" w:sz="4" w:space="0" w:color="auto"/>
            </w:tcBorders>
            <w:shd w:val="clear" w:color="000000" w:fill="FFFFFF"/>
            <w:noWrap/>
            <w:vAlign w:val="center"/>
            <w:hideMark/>
          </w:tcPr>
          <w:p w14:paraId="02A6467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3FEA35D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855" w:type="dxa"/>
            <w:tcBorders>
              <w:top w:val="nil"/>
              <w:left w:val="nil"/>
              <w:bottom w:val="single" w:sz="4" w:space="0" w:color="auto"/>
              <w:right w:val="single" w:sz="4" w:space="0" w:color="auto"/>
            </w:tcBorders>
            <w:shd w:val="clear" w:color="000000" w:fill="FFFFFF"/>
            <w:noWrap/>
            <w:vAlign w:val="center"/>
            <w:hideMark/>
          </w:tcPr>
          <w:p w14:paraId="1721826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45,3</w:t>
            </w:r>
          </w:p>
        </w:tc>
      </w:tr>
      <w:tr w:rsidR="008D7DD4" w:rsidRPr="008D7DD4" w14:paraId="4AE6767F" w14:textId="77777777" w:rsidTr="003D463E">
        <w:trPr>
          <w:trHeight w:val="194"/>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116A085E"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Posebna osebna olajšava za študente</w:t>
            </w:r>
          </w:p>
        </w:tc>
        <w:tc>
          <w:tcPr>
            <w:tcW w:w="926" w:type="dxa"/>
            <w:tcBorders>
              <w:top w:val="nil"/>
              <w:left w:val="nil"/>
              <w:bottom w:val="single" w:sz="4" w:space="0" w:color="auto"/>
              <w:right w:val="single" w:sz="4" w:space="0" w:color="auto"/>
            </w:tcBorders>
            <w:shd w:val="clear" w:color="000000" w:fill="FFFFFF"/>
            <w:noWrap/>
            <w:vAlign w:val="center"/>
            <w:hideMark/>
          </w:tcPr>
          <w:p w14:paraId="2BCFBC1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79.124</w:t>
            </w:r>
          </w:p>
        </w:tc>
        <w:tc>
          <w:tcPr>
            <w:tcW w:w="955" w:type="dxa"/>
            <w:tcBorders>
              <w:top w:val="nil"/>
              <w:left w:val="nil"/>
              <w:bottom w:val="single" w:sz="4" w:space="0" w:color="auto"/>
              <w:right w:val="single" w:sz="4" w:space="0" w:color="auto"/>
            </w:tcBorders>
            <w:shd w:val="clear" w:color="000000" w:fill="FFFFFF"/>
            <w:noWrap/>
            <w:vAlign w:val="center"/>
            <w:hideMark/>
          </w:tcPr>
          <w:p w14:paraId="5B7086B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88.122</w:t>
            </w:r>
          </w:p>
        </w:tc>
        <w:tc>
          <w:tcPr>
            <w:tcW w:w="959" w:type="dxa"/>
            <w:tcBorders>
              <w:top w:val="nil"/>
              <w:left w:val="nil"/>
              <w:bottom w:val="single" w:sz="4" w:space="0" w:color="auto"/>
              <w:right w:val="single" w:sz="4" w:space="0" w:color="auto"/>
            </w:tcBorders>
            <w:shd w:val="clear" w:color="000000" w:fill="FFFFFF"/>
            <w:noWrap/>
            <w:vAlign w:val="center"/>
            <w:hideMark/>
          </w:tcPr>
          <w:p w14:paraId="06EC0C3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95.823</w:t>
            </w:r>
          </w:p>
        </w:tc>
        <w:tc>
          <w:tcPr>
            <w:tcW w:w="848" w:type="dxa"/>
            <w:tcBorders>
              <w:top w:val="nil"/>
              <w:left w:val="nil"/>
              <w:bottom w:val="single" w:sz="4" w:space="0" w:color="auto"/>
              <w:right w:val="single" w:sz="4" w:space="0" w:color="auto"/>
            </w:tcBorders>
            <w:shd w:val="clear" w:color="000000" w:fill="FFFFFF"/>
            <w:noWrap/>
            <w:vAlign w:val="center"/>
            <w:hideMark/>
          </w:tcPr>
          <w:p w14:paraId="289C901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19,8</w:t>
            </w:r>
          </w:p>
        </w:tc>
        <w:tc>
          <w:tcPr>
            <w:tcW w:w="848" w:type="dxa"/>
            <w:tcBorders>
              <w:top w:val="nil"/>
              <w:left w:val="nil"/>
              <w:bottom w:val="single" w:sz="4" w:space="0" w:color="auto"/>
              <w:right w:val="single" w:sz="4" w:space="0" w:color="auto"/>
            </w:tcBorders>
            <w:shd w:val="clear" w:color="000000" w:fill="FFFFFF"/>
            <w:noWrap/>
            <w:vAlign w:val="center"/>
            <w:hideMark/>
          </w:tcPr>
          <w:p w14:paraId="195179FC"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24,3</w:t>
            </w:r>
          </w:p>
        </w:tc>
        <w:tc>
          <w:tcPr>
            <w:tcW w:w="855" w:type="dxa"/>
            <w:tcBorders>
              <w:top w:val="nil"/>
              <w:left w:val="nil"/>
              <w:bottom w:val="single" w:sz="4" w:space="0" w:color="auto"/>
              <w:right w:val="single" w:sz="4" w:space="0" w:color="auto"/>
            </w:tcBorders>
            <w:shd w:val="clear" w:color="000000" w:fill="FFFFFF"/>
            <w:noWrap/>
            <w:vAlign w:val="center"/>
            <w:hideMark/>
          </w:tcPr>
          <w:p w14:paraId="65C17D0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28,1</w:t>
            </w:r>
          </w:p>
        </w:tc>
      </w:tr>
      <w:tr w:rsidR="008D7DD4" w:rsidRPr="008D7DD4" w14:paraId="03A843CE" w14:textId="77777777" w:rsidTr="003D463E">
        <w:trPr>
          <w:trHeight w:val="194"/>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065CB0C5"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 xml:space="preserve">Olajšava za vzdrževane družinske člane </w:t>
            </w:r>
          </w:p>
        </w:tc>
        <w:tc>
          <w:tcPr>
            <w:tcW w:w="926" w:type="dxa"/>
            <w:tcBorders>
              <w:top w:val="nil"/>
              <w:left w:val="nil"/>
              <w:bottom w:val="single" w:sz="4" w:space="0" w:color="auto"/>
              <w:right w:val="single" w:sz="4" w:space="0" w:color="auto"/>
            </w:tcBorders>
            <w:shd w:val="clear" w:color="000000" w:fill="FFFFFF"/>
            <w:noWrap/>
            <w:vAlign w:val="center"/>
            <w:hideMark/>
          </w:tcPr>
          <w:p w14:paraId="2CF625B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47.589</w:t>
            </w:r>
          </w:p>
        </w:tc>
        <w:tc>
          <w:tcPr>
            <w:tcW w:w="955" w:type="dxa"/>
            <w:tcBorders>
              <w:top w:val="nil"/>
              <w:left w:val="nil"/>
              <w:bottom w:val="single" w:sz="4" w:space="0" w:color="auto"/>
              <w:right w:val="single" w:sz="4" w:space="0" w:color="auto"/>
            </w:tcBorders>
            <w:shd w:val="clear" w:color="000000" w:fill="FFFFFF"/>
            <w:noWrap/>
            <w:vAlign w:val="center"/>
            <w:hideMark/>
          </w:tcPr>
          <w:p w14:paraId="7A12E25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45.534</w:t>
            </w:r>
          </w:p>
        </w:tc>
        <w:tc>
          <w:tcPr>
            <w:tcW w:w="959" w:type="dxa"/>
            <w:tcBorders>
              <w:top w:val="nil"/>
              <w:left w:val="nil"/>
              <w:bottom w:val="single" w:sz="4" w:space="0" w:color="auto"/>
              <w:right w:val="single" w:sz="4" w:space="0" w:color="auto"/>
            </w:tcBorders>
            <w:shd w:val="clear" w:color="000000" w:fill="FFFFFF"/>
            <w:noWrap/>
            <w:vAlign w:val="center"/>
            <w:hideMark/>
          </w:tcPr>
          <w:p w14:paraId="4182B25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41.585</w:t>
            </w:r>
          </w:p>
        </w:tc>
        <w:tc>
          <w:tcPr>
            <w:tcW w:w="848" w:type="dxa"/>
            <w:tcBorders>
              <w:top w:val="nil"/>
              <w:left w:val="nil"/>
              <w:bottom w:val="single" w:sz="4" w:space="0" w:color="auto"/>
              <w:right w:val="single" w:sz="4" w:space="0" w:color="auto"/>
            </w:tcBorders>
            <w:shd w:val="clear" w:color="000000" w:fill="FFFFFF"/>
            <w:noWrap/>
            <w:vAlign w:val="center"/>
            <w:hideMark/>
          </w:tcPr>
          <w:p w14:paraId="4DFFD7F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20,2</w:t>
            </w:r>
          </w:p>
        </w:tc>
        <w:tc>
          <w:tcPr>
            <w:tcW w:w="848" w:type="dxa"/>
            <w:tcBorders>
              <w:top w:val="nil"/>
              <w:left w:val="nil"/>
              <w:bottom w:val="single" w:sz="4" w:space="0" w:color="auto"/>
              <w:right w:val="single" w:sz="4" w:space="0" w:color="auto"/>
            </w:tcBorders>
            <w:shd w:val="clear" w:color="000000" w:fill="FFFFFF"/>
            <w:noWrap/>
            <w:vAlign w:val="center"/>
            <w:hideMark/>
          </w:tcPr>
          <w:p w14:paraId="6B0D195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21,3</w:t>
            </w:r>
          </w:p>
        </w:tc>
        <w:tc>
          <w:tcPr>
            <w:tcW w:w="855" w:type="dxa"/>
            <w:tcBorders>
              <w:top w:val="nil"/>
              <w:left w:val="nil"/>
              <w:bottom w:val="single" w:sz="4" w:space="0" w:color="auto"/>
              <w:right w:val="single" w:sz="4" w:space="0" w:color="auto"/>
            </w:tcBorders>
            <w:shd w:val="clear" w:color="000000" w:fill="FFFFFF"/>
            <w:noWrap/>
            <w:vAlign w:val="center"/>
            <w:hideMark/>
          </w:tcPr>
          <w:p w14:paraId="7090F23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20,8</w:t>
            </w:r>
          </w:p>
        </w:tc>
      </w:tr>
      <w:tr w:rsidR="008D7DD4" w:rsidRPr="008D7DD4" w14:paraId="57AB5720"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693DEF01"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Znižanje stopnje dohodnine od kapitalskih dobičkov po petih letih</w:t>
            </w:r>
          </w:p>
        </w:tc>
        <w:tc>
          <w:tcPr>
            <w:tcW w:w="926" w:type="dxa"/>
            <w:tcBorders>
              <w:top w:val="nil"/>
              <w:left w:val="nil"/>
              <w:bottom w:val="single" w:sz="4" w:space="0" w:color="auto"/>
              <w:right w:val="single" w:sz="4" w:space="0" w:color="auto"/>
            </w:tcBorders>
            <w:shd w:val="clear" w:color="000000" w:fill="FFFFFF"/>
            <w:noWrap/>
            <w:vAlign w:val="center"/>
            <w:hideMark/>
          </w:tcPr>
          <w:p w14:paraId="0806E9E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5.829</w:t>
            </w:r>
          </w:p>
        </w:tc>
        <w:tc>
          <w:tcPr>
            <w:tcW w:w="955" w:type="dxa"/>
            <w:tcBorders>
              <w:top w:val="nil"/>
              <w:left w:val="nil"/>
              <w:bottom w:val="single" w:sz="4" w:space="0" w:color="auto"/>
              <w:right w:val="single" w:sz="4" w:space="0" w:color="auto"/>
            </w:tcBorders>
            <w:shd w:val="clear" w:color="000000" w:fill="FFFFFF"/>
            <w:noWrap/>
            <w:vAlign w:val="center"/>
            <w:hideMark/>
          </w:tcPr>
          <w:p w14:paraId="0C483C6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5.641</w:t>
            </w:r>
          </w:p>
        </w:tc>
        <w:tc>
          <w:tcPr>
            <w:tcW w:w="959" w:type="dxa"/>
            <w:tcBorders>
              <w:top w:val="nil"/>
              <w:left w:val="nil"/>
              <w:bottom w:val="single" w:sz="4" w:space="0" w:color="auto"/>
              <w:right w:val="single" w:sz="4" w:space="0" w:color="auto"/>
            </w:tcBorders>
            <w:shd w:val="clear" w:color="000000" w:fill="FFFFFF"/>
            <w:noWrap/>
            <w:vAlign w:val="center"/>
            <w:hideMark/>
          </w:tcPr>
          <w:p w14:paraId="4A411993"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10.005</w:t>
            </w:r>
          </w:p>
        </w:tc>
        <w:tc>
          <w:tcPr>
            <w:tcW w:w="848" w:type="dxa"/>
            <w:tcBorders>
              <w:top w:val="nil"/>
              <w:left w:val="nil"/>
              <w:bottom w:val="single" w:sz="4" w:space="0" w:color="auto"/>
              <w:right w:val="single" w:sz="4" w:space="0" w:color="auto"/>
            </w:tcBorders>
            <w:shd w:val="clear" w:color="000000" w:fill="FFFFFF"/>
            <w:noWrap/>
            <w:vAlign w:val="center"/>
            <w:hideMark/>
          </w:tcPr>
          <w:p w14:paraId="3E7EE90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11,7</w:t>
            </w:r>
          </w:p>
        </w:tc>
        <w:tc>
          <w:tcPr>
            <w:tcW w:w="848" w:type="dxa"/>
            <w:tcBorders>
              <w:top w:val="nil"/>
              <w:left w:val="nil"/>
              <w:bottom w:val="single" w:sz="4" w:space="0" w:color="auto"/>
              <w:right w:val="single" w:sz="4" w:space="0" w:color="auto"/>
            </w:tcBorders>
            <w:shd w:val="clear" w:color="000000" w:fill="FFFFFF"/>
            <w:noWrap/>
            <w:vAlign w:val="center"/>
            <w:hideMark/>
          </w:tcPr>
          <w:p w14:paraId="25BF90F5"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20,0</w:t>
            </w:r>
          </w:p>
        </w:tc>
        <w:tc>
          <w:tcPr>
            <w:tcW w:w="855" w:type="dxa"/>
            <w:tcBorders>
              <w:top w:val="nil"/>
              <w:left w:val="nil"/>
              <w:bottom w:val="single" w:sz="4" w:space="0" w:color="auto"/>
              <w:right w:val="single" w:sz="4" w:space="0" w:color="auto"/>
            </w:tcBorders>
            <w:shd w:val="clear" w:color="000000" w:fill="FFFFFF"/>
            <w:noWrap/>
            <w:vAlign w:val="center"/>
            <w:hideMark/>
          </w:tcPr>
          <w:p w14:paraId="4128DCCC"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16,7</w:t>
            </w:r>
          </w:p>
        </w:tc>
      </w:tr>
      <w:tr w:rsidR="008D7DD4" w:rsidRPr="008D7DD4" w14:paraId="177F3C8D"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633A385F"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vzdrževane otroke, ki potrebujejo posebno nego in varstvo</w:t>
            </w:r>
          </w:p>
        </w:tc>
        <w:tc>
          <w:tcPr>
            <w:tcW w:w="926" w:type="dxa"/>
            <w:tcBorders>
              <w:top w:val="nil"/>
              <w:left w:val="nil"/>
              <w:bottom w:val="single" w:sz="4" w:space="0" w:color="auto"/>
              <w:right w:val="single" w:sz="4" w:space="0" w:color="auto"/>
            </w:tcBorders>
            <w:shd w:val="clear" w:color="000000" w:fill="FFFFFF"/>
            <w:noWrap/>
            <w:vAlign w:val="center"/>
            <w:hideMark/>
          </w:tcPr>
          <w:p w14:paraId="4B9174D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8.866</w:t>
            </w:r>
          </w:p>
        </w:tc>
        <w:tc>
          <w:tcPr>
            <w:tcW w:w="955" w:type="dxa"/>
            <w:tcBorders>
              <w:top w:val="nil"/>
              <w:left w:val="nil"/>
              <w:bottom w:val="single" w:sz="4" w:space="0" w:color="auto"/>
              <w:right w:val="single" w:sz="4" w:space="0" w:color="auto"/>
            </w:tcBorders>
            <w:shd w:val="clear" w:color="000000" w:fill="FFFFFF"/>
            <w:noWrap/>
            <w:vAlign w:val="center"/>
            <w:hideMark/>
          </w:tcPr>
          <w:p w14:paraId="263D591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9.322</w:t>
            </w:r>
          </w:p>
        </w:tc>
        <w:tc>
          <w:tcPr>
            <w:tcW w:w="959" w:type="dxa"/>
            <w:tcBorders>
              <w:top w:val="nil"/>
              <w:left w:val="nil"/>
              <w:bottom w:val="single" w:sz="4" w:space="0" w:color="auto"/>
              <w:right w:val="single" w:sz="4" w:space="0" w:color="auto"/>
            </w:tcBorders>
            <w:shd w:val="clear" w:color="000000" w:fill="FFFFFF"/>
            <w:noWrap/>
            <w:vAlign w:val="center"/>
            <w:hideMark/>
          </w:tcPr>
          <w:p w14:paraId="1A90A00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9.840</w:t>
            </w:r>
          </w:p>
        </w:tc>
        <w:tc>
          <w:tcPr>
            <w:tcW w:w="848" w:type="dxa"/>
            <w:tcBorders>
              <w:top w:val="nil"/>
              <w:left w:val="nil"/>
              <w:bottom w:val="single" w:sz="4" w:space="0" w:color="auto"/>
              <w:right w:val="single" w:sz="4" w:space="0" w:color="auto"/>
            </w:tcBorders>
            <w:shd w:val="clear" w:color="000000" w:fill="FFFFFF"/>
            <w:noWrap/>
            <w:vAlign w:val="center"/>
            <w:hideMark/>
          </w:tcPr>
          <w:p w14:paraId="3957F50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12,4</w:t>
            </w:r>
          </w:p>
        </w:tc>
        <w:tc>
          <w:tcPr>
            <w:tcW w:w="848" w:type="dxa"/>
            <w:tcBorders>
              <w:top w:val="nil"/>
              <w:left w:val="nil"/>
              <w:bottom w:val="single" w:sz="4" w:space="0" w:color="auto"/>
              <w:right w:val="single" w:sz="4" w:space="0" w:color="auto"/>
            </w:tcBorders>
            <w:shd w:val="clear" w:color="000000" w:fill="FFFFFF"/>
            <w:noWrap/>
            <w:vAlign w:val="center"/>
            <w:hideMark/>
          </w:tcPr>
          <w:p w14:paraId="7E5ECD46"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13,6</w:t>
            </w:r>
          </w:p>
        </w:tc>
        <w:tc>
          <w:tcPr>
            <w:tcW w:w="855" w:type="dxa"/>
            <w:tcBorders>
              <w:top w:val="nil"/>
              <w:left w:val="nil"/>
              <w:bottom w:val="single" w:sz="4" w:space="0" w:color="auto"/>
              <w:right w:val="single" w:sz="4" w:space="0" w:color="auto"/>
            </w:tcBorders>
            <w:shd w:val="clear" w:color="000000" w:fill="FFFFFF"/>
            <w:noWrap/>
            <w:vAlign w:val="center"/>
            <w:hideMark/>
          </w:tcPr>
          <w:p w14:paraId="15F5F33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14,8</w:t>
            </w:r>
          </w:p>
        </w:tc>
      </w:tr>
      <w:tr w:rsidR="008D7DD4" w:rsidRPr="008D7DD4" w14:paraId="3CFC19B5" w14:textId="77777777" w:rsidTr="003D463E">
        <w:trPr>
          <w:trHeight w:val="526"/>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0742A4F9"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zavezance, ki prostovoljno opravljajo operativne naloge zaščite, reševanje in pomoči</w:t>
            </w:r>
          </w:p>
        </w:tc>
        <w:tc>
          <w:tcPr>
            <w:tcW w:w="926" w:type="dxa"/>
            <w:tcBorders>
              <w:top w:val="nil"/>
              <w:left w:val="nil"/>
              <w:bottom w:val="single" w:sz="4" w:space="0" w:color="auto"/>
              <w:right w:val="single" w:sz="4" w:space="0" w:color="auto"/>
            </w:tcBorders>
            <w:shd w:val="clear" w:color="000000" w:fill="FFFFFF"/>
            <w:noWrap/>
            <w:vAlign w:val="center"/>
            <w:hideMark/>
          </w:tcPr>
          <w:p w14:paraId="22BF9D54"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5" w:type="dxa"/>
            <w:tcBorders>
              <w:top w:val="nil"/>
              <w:left w:val="nil"/>
              <w:bottom w:val="single" w:sz="4" w:space="0" w:color="auto"/>
              <w:right w:val="single" w:sz="4" w:space="0" w:color="auto"/>
            </w:tcBorders>
            <w:shd w:val="clear" w:color="000000" w:fill="FFFFFF"/>
            <w:noWrap/>
            <w:vAlign w:val="center"/>
            <w:hideMark/>
          </w:tcPr>
          <w:p w14:paraId="2C03743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1B8D12A8"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27.867</w:t>
            </w:r>
          </w:p>
        </w:tc>
        <w:tc>
          <w:tcPr>
            <w:tcW w:w="848" w:type="dxa"/>
            <w:tcBorders>
              <w:top w:val="nil"/>
              <w:left w:val="nil"/>
              <w:bottom w:val="single" w:sz="4" w:space="0" w:color="auto"/>
              <w:right w:val="single" w:sz="4" w:space="0" w:color="auto"/>
            </w:tcBorders>
            <w:shd w:val="clear" w:color="000000" w:fill="FFFFFF"/>
            <w:noWrap/>
            <w:vAlign w:val="center"/>
            <w:hideMark/>
          </w:tcPr>
          <w:p w14:paraId="0E1179D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4F7D1463"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855" w:type="dxa"/>
            <w:tcBorders>
              <w:top w:val="nil"/>
              <w:left w:val="nil"/>
              <w:bottom w:val="single" w:sz="4" w:space="0" w:color="auto"/>
              <w:right w:val="single" w:sz="4" w:space="0" w:color="auto"/>
            </w:tcBorders>
            <w:shd w:val="clear" w:color="000000" w:fill="FFFFFF"/>
            <w:noWrap/>
            <w:vAlign w:val="center"/>
            <w:hideMark/>
          </w:tcPr>
          <w:p w14:paraId="0C83F28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8,9</w:t>
            </w:r>
          </w:p>
        </w:tc>
      </w:tr>
      <w:tr w:rsidR="008D7DD4" w:rsidRPr="008D7DD4" w14:paraId="74101C2E"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2E73077A"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prostovoljno dodatno pokojninsko zavarovanje</w:t>
            </w:r>
          </w:p>
        </w:tc>
        <w:tc>
          <w:tcPr>
            <w:tcW w:w="926" w:type="dxa"/>
            <w:tcBorders>
              <w:top w:val="nil"/>
              <w:left w:val="nil"/>
              <w:bottom w:val="single" w:sz="4" w:space="0" w:color="auto"/>
              <w:right w:val="single" w:sz="4" w:space="0" w:color="auto"/>
            </w:tcBorders>
            <w:shd w:val="clear" w:color="000000" w:fill="FFFFFF"/>
            <w:noWrap/>
            <w:vAlign w:val="center"/>
            <w:hideMark/>
          </w:tcPr>
          <w:p w14:paraId="0DF29B2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58.526</w:t>
            </w:r>
          </w:p>
        </w:tc>
        <w:tc>
          <w:tcPr>
            <w:tcW w:w="955" w:type="dxa"/>
            <w:tcBorders>
              <w:top w:val="nil"/>
              <w:left w:val="nil"/>
              <w:bottom w:val="single" w:sz="4" w:space="0" w:color="auto"/>
              <w:right w:val="single" w:sz="4" w:space="0" w:color="auto"/>
            </w:tcBorders>
            <w:shd w:val="clear" w:color="000000" w:fill="FFFFFF"/>
            <w:noWrap/>
            <w:vAlign w:val="center"/>
            <w:hideMark/>
          </w:tcPr>
          <w:p w14:paraId="2F37EE9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57.559</w:t>
            </w:r>
          </w:p>
        </w:tc>
        <w:tc>
          <w:tcPr>
            <w:tcW w:w="959" w:type="dxa"/>
            <w:tcBorders>
              <w:top w:val="nil"/>
              <w:left w:val="nil"/>
              <w:bottom w:val="single" w:sz="4" w:space="0" w:color="auto"/>
              <w:right w:val="single" w:sz="4" w:space="0" w:color="auto"/>
            </w:tcBorders>
            <w:shd w:val="clear" w:color="000000" w:fill="FFFFFF"/>
            <w:noWrap/>
            <w:vAlign w:val="center"/>
            <w:hideMark/>
          </w:tcPr>
          <w:p w14:paraId="0FC9814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57.795</w:t>
            </w:r>
          </w:p>
        </w:tc>
        <w:tc>
          <w:tcPr>
            <w:tcW w:w="848" w:type="dxa"/>
            <w:tcBorders>
              <w:top w:val="nil"/>
              <w:left w:val="nil"/>
              <w:bottom w:val="single" w:sz="4" w:space="0" w:color="auto"/>
              <w:right w:val="single" w:sz="4" w:space="0" w:color="auto"/>
            </w:tcBorders>
            <w:shd w:val="clear" w:color="000000" w:fill="FFFFFF"/>
            <w:noWrap/>
            <w:vAlign w:val="center"/>
            <w:hideMark/>
          </w:tcPr>
          <w:p w14:paraId="407274B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8,2</w:t>
            </w:r>
          </w:p>
        </w:tc>
        <w:tc>
          <w:tcPr>
            <w:tcW w:w="848" w:type="dxa"/>
            <w:tcBorders>
              <w:top w:val="nil"/>
              <w:left w:val="nil"/>
              <w:bottom w:val="single" w:sz="4" w:space="0" w:color="auto"/>
              <w:right w:val="single" w:sz="4" w:space="0" w:color="auto"/>
            </w:tcBorders>
            <w:shd w:val="clear" w:color="000000" w:fill="FFFFFF"/>
            <w:noWrap/>
            <w:vAlign w:val="center"/>
            <w:hideMark/>
          </w:tcPr>
          <w:p w14:paraId="01F5439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8,3</w:t>
            </w:r>
          </w:p>
        </w:tc>
        <w:tc>
          <w:tcPr>
            <w:tcW w:w="855" w:type="dxa"/>
            <w:tcBorders>
              <w:top w:val="nil"/>
              <w:left w:val="nil"/>
              <w:bottom w:val="single" w:sz="4" w:space="0" w:color="auto"/>
              <w:right w:val="single" w:sz="4" w:space="0" w:color="auto"/>
            </w:tcBorders>
            <w:shd w:val="clear" w:color="000000" w:fill="FFFFFF"/>
            <w:noWrap/>
            <w:vAlign w:val="center"/>
            <w:hideMark/>
          </w:tcPr>
          <w:p w14:paraId="392FA66B"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8,4</w:t>
            </w:r>
          </w:p>
        </w:tc>
      </w:tr>
      <w:tr w:rsidR="008D7DD4" w:rsidRPr="008D7DD4" w14:paraId="7A0F01B2"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2916023B"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Znižanje stopnje dohodnine od dobička od prodaje nepremičnin po petih letih</w:t>
            </w:r>
          </w:p>
        </w:tc>
        <w:tc>
          <w:tcPr>
            <w:tcW w:w="926" w:type="dxa"/>
            <w:tcBorders>
              <w:top w:val="nil"/>
              <w:left w:val="nil"/>
              <w:bottom w:val="single" w:sz="4" w:space="0" w:color="auto"/>
              <w:right w:val="single" w:sz="4" w:space="0" w:color="auto"/>
            </w:tcBorders>
            <w:shd w:val="clear" w:color="000000" w:fill="FFFFFF"/>
            <w:noWrap/>
            <w:vAlign w:val="center"/>
            <w:hideMark/>
          </w:tcPr>
          <w:p w14:paraId="4C604C1A"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4.322</w:t>
            </w:r>
          </w:p>
        </w:tc>
        <w:tc>
          <w:tcPr>
            <w:tcW w:w="955" w:type="dxa"/>
            <w:tcBorders>
              <w:top w:val="nil"/>
              <w:left w:val="nil"/>
              <w:bottom w:val="single" w:sz="4" w:space="0" w:color="auto"/>
              <w:right w:val="single" w:sz="4" w:space="0" w:color="auto"/>
            </w:tcBorders>
            <w:shd w:val="clear" w:color="000000" w:fill="FFFFFF"/>
            <w:noWrap/>
            <w:vAlign w:val="center"/>
            <w:hideMark/>
          </w:tcPr>
          <w:p w14:paraId="255463E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7.410</w:t>
            </w:r>
          </w:p>
        </w:tc>
        <w:tc>
          <w:tcPr>
            <w:tcW w:w="959" w:type="dxa"/>
            <w:tcBorders>
              <w:top w:val="nil"/>
              <w:left w:val="nil"/>
              <w:bottom w:val="single" w:sz="4" w:space="0" w:color="auto"/>
              <w:right w:val="single" w:sz="4" w:space="0" w:color="auto"/>
            </w:tcBorders>
            <w:shd w:val="clear" w:color="000000" w:fill="FFFFFF"/>
            <w:noWrap/>
            <w:vAlign w:val="center"/>
            <w:hideMark/>
          </w:tcPr>
          <w:p w14:paraId="3189625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6.364</w:t>
            </w:r>
          </w:p>
        </w:tc>
        <w:tc>
          <w:tcPr>
            <w:tcW w:w="848" w:type="dxa"/>
            <w:tcBorders>
              <w:top w:val="nil"/>
              <w:left w:val="nil"/>
              <w:bottom w:val="single" w:sz="4" w:space="0" w:color="auto"/>
              <w:right w:val="single" w:sz="4" w:space="0" w:color="auto"/>
            </w:tcBorders>
            <w:shd w:val="clear" w:color="000000" w:fill="FFFFFF"/>
            <w:noWrap/>
            <w:vAlign w:val="center"/>
            <w:hideMark/>
          </w:tcPr>
          <w:p w14:paraId="7E8DAF9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5,2</w:t>
            </w:r>
          </w:p>
        </w:tc>
        <w:tc>
          <w:tcPr>
            <w:tcW w:w="848" w:type="dxa"/>
            <w:tcBorders>
              <w:top w:val="nil"/>
              <w:left w:val="nil"/>
              <w:bottom w:val="single" w:sz="4" w:space="0" w:color="auto"/>
              <w:right w:val="single" w:sz="4" w:space="0" w:color="auto"/>
            </w:tcBorders>
            <w:shd w:val="clear" w:color="000000" w:fill="FFFFFF"/>
            <w:noWrap/>
            <w:vAlign w:val="center"/>
            <w:hideMark/>
          </w:tcPr>
          <w:p w14:paraId="1C97135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11,7</w:t>
            </w:r>
          </w:p>
        </w:tc>
        <w:tc>
          <w:tcPr>
            <w:tcW w:w="855" w:type="dxa"/>
            <w:tcBorders>
              <w:top w:val="nil"/>
              <w:left w:val="nil"/>
              <w:bottom w:val="single" w:sz="4" w:space="0" w:color="auto"/>
              <w:right w:val="single" w:sz="4" w:space="0" w:color="auto"/>
            </w:tcBorders>
            <w:shd w:val="clear" w:color="000000" w:fill="FFFFFF"/>
            <w:noWrap/>
            <w:vAlign w:val="center"/>
            <w:hideMark/>
          </w:tcPr>
          <w:p w14:paraId="6ACDF3C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5,8</w:t>
            </w:r>
          </w:p>
        </w:tc>
      </w:tr>
      <w:tr w:rsidR="008D7DD4" w:rsidRPr="008D7DD4" w14:paraId="352376E8" w14:textId="77777777" w:rsidTr="003D463E">
        <w:trPr>
          <w:trHeight w:val="350"/>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2CC0FE2E"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Olajšava za invalida s 100-odstotno telesno okvaro</w:t>
            </w:r>
          </w:p>
        </w:tc>
        <w:tc>
          <w:tcPr>
            <w:tcW w:w="926" w:type="dxa"/>
            <w:tcBorders>
              <w:top w:val="nil"/>
              <w:left w:val="nil"/>
              <w:bottom w:val="single" w:sz="4" w:space="0" w:color="auto"/>
              <w:right w:val="single" w:sz="4" w:space="0" w:color="auto"/>
            </w:tcBorders>
            <w:shd w:val="clear" w:color="000000" w:fill="FFFFFF"/>
            <w:noWrap/>
            <w:vAlign w:val="center"/>
            <w:hideMark/>
          </w:tcPr>
          <w:p w14:paraId="02E3EF93"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3.485</w:t>
            </w:r>
          </w:p>
        </w:tc>
        <w:tc>
          <w:tcPr>
            <w:tcW w:w="955" w:type="dxa"/>
            <w:tcBorders>
              <w:top w:val="nil"/>
              <w:left w:val="nil"/>
              <w:bottom w:val="single" w:sz="4" w:space="0" w:color="auto"/>
              <w:right w:val="single" w:sz="4" w:space="0" w:color="auto"/>
            </w:tcBorders>
            <w:shd w:val="clear" w:color="000000" w:fill="FFFFFF"/>
            <w:noWrap/>
            <w:vAlign w:val="center"/>
            <w:hideMark/>
          </w:tcPr>
          <w:p w14:paraId="7D6A8B1A"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3.457</w:t>
            </w:r>
          </w:p>
        </w:tc>
        <w:tc>
          <w:tcPr>
            <w:tcW w:w="959" w:type="dxa"/>
            <w:tcBorders>
              <w:top w:val="nil"/>
              <w:left w:val="nil"/>
              <w:bottom w:val="single" w:sz="4" w:space="0" w:color="auto"/>
              <w:right w:val="single" w:sz="4" w:space="0" w:color="auto"/>
            </w:tcBorders>
            <w:shd w:val="clear" w:color="000000" w:fill="FFFFFF"/>
            <w:noWrap/>
            <w:vAlign w:val="center"/>
            <w:hideMark/>
          </w:tcPr>
          <w:p w14:paraId="7B67673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3.683</w:t>
            </w:r>
          </w:p>
        </w:tc>
        <w:tc>
          <w:tcPr>
            <w:tcW w:w="848" w:type="dxa"/>
            <w:tcBorders>
              <w:top w:val="nil"/>
              <w:left w:val="nil"/>
              <w:bottom w:val="single" w:sz="4" w:space="0" w:color="auto"/>
              <w:right w:val="single" w:sz="4" w:space="0" w:color="auto"/>
            </w:tcBorders>
            <w:shd w:val="clear" w:color="000000" w:fill="FFFFFF"/>
            <w:noWrap/>
            <w:vAlign w:val="center"/>
            <w:hideMark/>
          </w:tcPr>
          <w:p w14:paraId="48EED895"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1,9</w:t>
            </w:r>
          </w:p>
        </w:tc>
        <w:tc>
          <w:tcPr>
            <w:tcW w:w="848" w:type="dxa"/>
            <w:tcBorders>
              <w:top w:val="nil"/>
              <w:left w:val="nil"/>
              <w:bottom w:val="single" w:sz="4" w:space="0" w:color="auto"/>
              <w:right w:val="single" w:sz="4" w:space="0" w:color="auto"/>
            </w:tcBorders>
            <w:shd w:val="clear" w:color="000000" w:fill="FFFFFF"/>
            <w:noWrap/>
            <w:vAlign w:val="center"/>
            <w:hideMark/>
          </w:tcPr>
          <w:p w14:paraId="0DF7A9D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2,2</w:t>
            </w:r>
          </w:p>
        </w:tc>
        <w:tc>
          <w:tcPr>
            <w:tcW w:w="855" w:type="dxa"/>
            <w:tcBorders>
              <w:top w:val="nil"/>
              <w:left w:val="nil"/>
              <w:bottom w:val="single" w:sz="4" w:space="0" w:color="auto"/>
              <w:right w:val="single" w:sz="4" w:space="0" w:color="auto"/>
            </w:tcBorders>
            <w:shd w:val="clear" w:color="000000" w:fill="FFFFFF"/>
            <w:noWrap/>
            <w:vAlign w:val="center"/>
            <w:hideMark/>
          </w:tcPr>
          <w:p w14:paraId="713C660A"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2,4</w:t>
            </w:r>
          </w:p>
        </w:tc>
      </w:tr>
      <w:tr w:rsidR="008D7DD4" w:rsidRPr="008D7DD4" w14:paraId="451F5E2B" w14:textId="77777777" w:rsidTr="003D463E">
        <w:trPr>
          <w:trHeight w:val="194"/>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2C958410"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Neobdavčeni znesek obresti do 1.000 evrov</w:t>
            </w:r>
          </w:p>
        </w:tc>
        <w:tc>
          <w:tcPr>
            <w:tcW w:w="926" w:type="dxa"/>
            <w:tcBorders>
              <w:top w:val="nil"/>
              <w:left w:val="nil"/>
              <w:bottom w:val="single" w:sz="4" w:space="0" w:color="auto"/>
              <w:right w:val="single" w:sz="4" w:space="0" w:color="auto"/>
            </w:tcBorders>
            <w:shd w:val="clear" w:color="000000" w:fill="FFFFFF"/>
            <w:noWrap/>
            <w:vAlign w:val="center"/>
            <w:hideMark/>
          </w:tcPr>
          <w:p w14:paraId="7EF83539"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406.598</w:t>
            </w:r>
          </w:p>
        </w:tc>
        <w:tc>
          <w:tcPr>
            <w:tcW w:w="955" w:type="dxa"/>
            <w:tcBorders>
              <w:top w:val="nil"/>
              <w:left w:val="nil"/>
              <w:bottom w:val="single" w:sz="4" w:space="0" w:color="auto"/>
              <w:right w:val="single" w:sz="4" w:space="0" w:color="auto"/>
            </w:tcBorders>
            <w:shd w:val="clear" w:color="000000" w:fill="FFFFFF"/>
            <w:noWrap/>
            <w:vAlign w:val="center"/>
            <w:hideMark/>
          </w:tcPr>
          <w:p w14:paraId="131EBCA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336.089</w:t>
            </w:r>
          </w:p>
        </w:tc>
        <w:tc>
          <w:tcPr>
            <w:tcW w:w="959" w:type="dxa"/>
            <w:tcBorders>
              <w:top w:val="nil"/>
              <w:left w:val="nil"/>
              <w:bottom w:val="single" w:sz="4" w:space="0" w:color="auto"/>
              <w:right w:val="single" w:sz="4" w:space="0" w:color="auto"/>
            </w:tcBorders>
            <w:shd w:val="clear" w:color="000000" w:fill="FFFFFF"/>
            <w:noWrap/>
            <w:vAlign w:val="center"/>
            <w:hideMark/>
          </w:tcPr>
          <w:p w14:paraId="1D3715C7"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332.175</w:t>
            </w:r>
          </w:p>
        </w:tc>
        <w:tc>
          <w:tcPr>
            <w:tcW w:w="848" w:type="dxa"/>
            <w:tcBorders>
              <w:top w:val="nil"/>
              <w:left w:val="nil"/>
              <w:bottom w:val="single" w:sz="4" w:space="0" w:color="auto"/>
              <w:right w:val="single" w:sz="4" w:space="0" w:color="auto"/>
            </w:tcBorders>
            <w:shd w:val="clear" w:color="000000" w:fill="FFFFFF"/>
            <w:noWrap/>
            <w:vAlign w:val="center"/>
            <w:hideMark/>
          </w:tcPr>
          <w:p w14:paraId="654B29FD"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4,1</w:t>
            </w:r>
          </w:p>
        </w:tc>
        <w:tc>
          <w:tcPr>
            <w:tcW w:w="848" w:type="dxa"/>
            <w:tcBorders>
              <w:top w:val="nil"/>
              <w:left w:val="nil"/>
              <w:bottom w:val="single" w:sz="4" w:space="0" w:color="auto"/>
              <w:right w:val="single" w:sz="4" w:space="0" w:color="auto"/>
            </w:tcBorders>
            <w:shd w:val="clear" w:color="000000" w:fill="FFFFFF"/>
            <w:noWrap/>
            <w:vAlign w:val="center"/>
            <w:hideMark/>
          </w:tcPr>
          <w:p w14:paraId="0F96BFA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3,0</w:t>
            </w:r>
          </w:p>
        </w:tc>
        <w:tc>
          <w:tcPr>
            <w:tcW w:w="855" w:type="dxa"/>
            <w:tcBorders>
              <w:top w:val="nil"/>
              <w:left w:val="nil"/>
              <w:bottom w:val="single" w:sz="4" w:space="0" w:color="auto"/>
              <w:right w:val="single" w:sz="4" w:space="0" w:color="auto"/>
            </w:tcBorders>
            <w:shd w:val="clear" w:color="000000" w:fill="FFFFFF"/>
            <w:noWrap/>
            <w:vAlign w:val="center"/>
            <w:hideMark/>
          </w:tcPr>
          <w:p w14:paraId="254437DA"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2,3</w:t>
            </w:r>
          </w:p>
        </w:tc>
      </w:tr>
      <w:tr w:rsidR="008D7DD4" w:rsidRPr="008D7DD4" w14:paraId="144F356A" w14:textId="77777777" w:rsidTr="003D463E">
        <w:trPr>
          <w:trHeight w:val="536"/>
        </w:trPr>
        <w:tc>
          <w:tcPr>
            <w:tcW w:w="4006" w:type="dxa"/>
            <w:tcBorders>
              <w:top w:val="nil"/>
              <w:left w:val="single" w:sz="4" w:space="0" w:color="auto"/>
              <w:bottom w:val="single" w:sz="4" w:space="0" w:color="auto"/>
              <w:right w:val="single" w:sz="4" w:space="0" w:color="auto"/>
            </w:tcBorders>
            <w:shd w:val="clear" w:color="000000" w:fill="CCFFFF"/>
            <w:vAlign w:val="center"/>
            <w:hideMark/>
          </w:tcPr>
          <w:p w14:paraId="5F6C6565"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Skupni dohodek iz osnovne kmetijske in gozdarske dejavnosti do najmanj 200 evrov, od katerega se ne plača dohodnina</w:t>
            </w:r>
          </w:p>
        </w:tc>
        <w:tc>
          <w:tcPr>
            <w:tcW w:w="926" w:type="dxa"/>
            <w:tcBorders>
              <w:top w:val="nil"/>
              <w:left w:val="nil"/>
              <w:bottom w:val="single" w:sz="4" w:space="0" w:color="auto"/>
              <w:right w:val="single" w:sz="4" w:space="0" w:color="auto"/>
            </w:tcBorders>
            <w:shd w:val="clear" w:color="000000" w:fill="FFFFFF"/>
            <w:noWrap/>
            <w:vAlign w:val="center"/>
            <w:hideMark/>
          </w:tcPr>
          <w:p w14:paraId="5C7AC25C"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472.892</w:t>
            </w:r>
          </w:p>
        </w:tc>
        <w:tc>
          <w:tcPr>
            <w:tcW w:w="955" w:type="dxa"/>
            <w:tcBorders>
              <w:top w:val="nil"/>
              <w:left w:val="nil"/>
              <w:bottom w:val="single" w:sz="4" w:space="0" w:color="auto"/>
              <w:right w:val="single" w:sz="4" w:space="0" w:color="auto"/>
            </w:tcBorders>
            <w:shd w:val="clear" w:color="000000" w:fill="FFFFFF"/>
            <w:noWrap/>
            <w:vAlign w:val="center"/>
            <w:hideMark/>
          </w:tcPr>
          <w:p w14:paraId="6C7F282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443.277</w:t>
            </w:r>
          </w:p>
        </w:tc>
        <w:tc>
          <w:tcPr>
            <w:tcW w:w="959" w:type="dxa"/>
            <w:tcBorders>
              <w:top w:val="nil"/>
              <w:left w:val="nil"/>
              <w:bottom w:val="single" w:sz="4" w:space="0" w:color="auto"/>
              <w:right w:val="single" w:sz="4" w:space="0" w:color="auto"/>
            </w:tcBorders>
            <w:shd w:val="clear" w:color="000000" w:fill="FFFFFF"/>
            <w:noWrap/>
            <w:vAlign w:val="center"/>
            <w:hideMark/>
          </w:tcPr>
          <w:p w14:paraId="6533324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387.999</w:t>
            </w:r>
          </w:p>
        </w:tc>
        <w:tc>
          <w:tcPr>
            <w:tcW w:w="848" w:type="dxa"/>
            <w:tcBorders>
              <w:top w:val="nil"/>
              <w:left w:val="nil"/>
              <w:bottom w:val="single" w:sz="4" w:space="0" w:color="auto"/>
              <w:right w:val="single" w:sz="4" w:space="0" w:color="auto"/>
            </w:tcBorders>
            <w:shd w:val="clear" w:color="000000" w:fill="FFFFFF"/>
            <w:noWrap/>
            <w:vAlign w:val="center"/>
            <w:hideMark/>
          </w:tcPr>
          <w:p w14:paraId="781BF7B3"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2,0</w:t>
            </w:r>
          </w:p>
        </w:tc>
        <w:tc>
          <w:tcPr>
            <w:tcW w:w="848" w:type="dxa"/>
            <w:tcBorders>
              <w:top w:val="nil"/>
              <w:left w:val="nil"/>
              <w:bottom w:val="single" w:sz="4" w:space="0" w:color="auto"/>
              <w:right w:val="single" w:sz="4" w:space="0" w:color="auto"/>
            </w:tcBorders>
            <w:shd w:val="clear" w:color="000000" w:fill="FFFFFF"/>
            <w:noWrap/>
            <w:vAlign w:val="center"/>
            <w:hideMark/>
          </w:tcPr>
          <w:p w14:paraId="63FA732E"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1,7</w:t>
            </w:r>
          </w:p>
        </w:tc>
        <w:tc>
          <w:tcPr>
            <w:tcW w:w="855" w:type="dxa"/>
            <w:tcBorders>
              <w:top w:val="nil"/>
              <w:left w:val="nil"/>
              <w:bottom w:val="single" w:sz="4" w:space="0" w:color="auto"/>
              <w:right w:val="single" w:sz="4" w:space="0" w:color="auto"/>
            </w:tcBorders>
            <w:shd w:val="clear" w:color="000000" w:fill="FFFFFF"/>
            <w:noWrap/>
            <w:vAlign w:val="center"/>
            <w:hideMark/>
          </w:tcPr>
          <w:p w14:paraId="1A218DF2"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2,2</w:t>
            </w:r>
          </w:p>
        </w:tc>
      </w:tr>
      <w:tr w:rsidR="008D7DD4" w:rsidRPr="008D7DD4" w14:paraId="420721A9" w14:textId="77777777" w:rsidTr="003D463E">
        <w:trPr>
          <w:trHeight w:val="225"/>
        </w:trPr>
        <w:tc>
          <w:tcPr>
            <w:tcW w:w="4006" w:type="dxa"/>
            <w:tcBorders>
              <w:top w:val="double" w:sz="6" w:space="0" w:color="auto"/>
              <w:left w:val="single" w:sz="4" w:space="0" w:color="auto"/>
              <w:bottom w:val="single" w:sz="4" w:space="0" w:color="auto"/>
              <w:right w:val="single" w:sz="4" w:space="0" w:color="auto"/>
            </w:tcBorders>
            <w:shd w:val="clear" w:color="000000" w:fill="FFC000"/>
            <w:noWrap/>
            <w:vAlign w:val="center"/>
            <w:hideMark/>
          </w:tcPr>
          <w:p w14:paraId="3DC0D556"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SKUPAJ</w:t>
            </w:r>
          </w:p>
        </w:tc>
        <w:tc>
          <w:tcPr>
            <w:tcW w:w="926" w:type="dxa"/>
            <w:tcBorders>
              <w:top w:val="double" w:sz="6" w:space="0" w:color="auto"/>
              <w:left w:val="nil"/>
              <w:bottom w:val="single" w:sz="4" w:space="0" w:color="auto"/>
              <w:right w:val="single" w:sz="4" w:space="0" w:color="auto"/>
            </w:tcBorders>
            <w:shd w:val="clear" w:color="000000" w:fill="FFC000"/>
            <w:noWrap/>
            <w:vAlign w:val="center"/>
            <w:hideMark/>
          </w:tcPr>
          <w:p w14:paraId="29C5161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5" w:type="dxa"/>
            <w:tcBorders>
              <w:top w:val="double" w:sz="6" w:space="0" w:color="auto"/>
              <w:left w:val="nil"/>
              <w:bottom w:val="single" w:sz="4" w:space="0" w:color="auto"/>
              <w:right w:val="single" w:sz="4" w:space="0" w:color="auto"/>
            </w:tcBorders>
            <w:shd w:val="clear" w:color="000000" w:fill="FFC000"/>
            <w:noWrap/>
            <w:vAlign w:val="center"/>
            <w:hideMark/>
          </w:tcPr>
          <w:p w14:paraId="08EC4B24"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959" w:type="dxa"/>
            <w:tcBorders>
              <w:top w:val="double" w:sz="6" w:space="0" w:color="auto"/>
              <w:left w:val="nil"/>
              <w:bottom w:val="single" w:sz="4" w:space="0" w:color="auto"/>
              <w:right w:val="single" w:sz="4" w:space="0" w:color="auto"/>
            </w:tcBorders>
            <w:shd w:val="clear" w:color="000000" w:fill="FFC000"/>
            <w:noWrap/>
            <w:vAlign w:val="center"/>
            <w:hideMark/>
          </w:tcPr>
          <w:p w14:paraId="6C0B6A0F"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 </w:t>
            </w:r>
          </w:p>
        </w:tc>
        <w:tc>
          <w:tcPr>
            <w:tcW w:w="848" w:type="dxa"/>
            <w:tcBorders>
              <w:top w:val="double" w:sz="6" w:space="0" w:color="auto"/>
              <w:left w:val="nil"/>
              <w:bottom w:val="single" w:sz="4" w:space="0" w:color="auto"/>
              <w:right w:val="single" w:sz="4" w:space="0" w:color="auto"/>
            </w:tcBorders>
            <w:shd w:val="clear" w:color="000000" w:fill="FFC000"/>
            <w:noWrap/>
            <w:vAlign w:val="center"/>
            <w:hideMark/>
          </w:tcPr>
          <w:p w14:paraId="0CF0B451"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1.136</w:t>
            </w:r>
          </w:p>
        </w:tc>
        <w:tc>
          <w:tcPr>
            <w:tcW w:w="848" w:type="dxa"/>
            <w:tcBorders>
              <w:top w:val="double" w:sz="6" w:space="0" w:color="auto"/>
              <w:left w:val="nil"/>
              <w:bottom w:val="single" w:sz="4" w:space="0" w:color="auto"/>
              <w:right w:val="single" w:sz="4" w:space="0" w:color="auto"/>
            </w:tcBorders>
            <w:shd w:val="clear" w:color="000000" w:fill="FFC000"/>
            <w:noWrap/>
            <w:vAlign w:val="center"/>
            <w:hideMark/>
          </w:tcPr>
          <w:p w14:paraId="09424C70"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1.194</w:t>
            </w:r>
          </w:p>
        </w:tc>
        <w:tc>
          <w:tcPr>
            <w:tcW w:w="855" w:type="dxa"/>
            <w:tcBorders>
              <w:top w:val="double" w:sz="6" w:space="0" w:color="auto"/>
              <w:left w:val="nil"/>
              <w:bottom w:val="single" w:sz="4" w:space="0" w:color="auto"/>
              <w:right w:val="single" w:sz="4" w:space="0" w:color="auto"/>
            </w:tcBorders>
            <w:shd w:val="clear" w:color="000000" w:fill="FFC000"/>
            <w:noWrap/>
            <w:vAlign w:val="center"/>
            <w:hideMark/>
          </w:tcPr>
          <w:p w14:paraId="4F7B2354" w14:textId="77777777" w:rsidR="008D7DD4" w:rsidRPr="008D7DD4" w:rsidRDefault="008D7DD4" w:rsidP="008D7DD4">
            <w:pPr>
              <w:spacing w:after="0" w:line="240" w:lineRule="auto"/>
              <w:jc w:val="right"/>
              <w:rPr>
                <w:rFonts w:ascii="Garamond" w:eastAsia="MS PMincho" w:hAnsi="Garamond" w:cs="Arial"/>
                <w:b/>
                <w:color w:val="44546A"/>
                <w:sz w:val="26"/>
                <w:szCs w:val="26"/>
              </w:rPr>
            </w:pPr>
            <w:r w:rsidRPr="008D7DD4">
              <w:rPr>
                <w:rFonts w:ascii="Garamond" w:eastAsia="MS PMincho" w:hAnsi="Garamond" w:cs="Arial"/>
                <w:b/>
                <w:color w:val="44546A"/>
                <w:sz w:val="26"/>
                <w:szCs w:val="26"/>
              </w:rPr>
              <w:t>1.246</w:t>
            </w:r>
          </w:p>
        </w:tc>
      </w:tr>
    </w:tbl>
    <w:p w14:paraId="26A32990" w14:textId="77777777" w:rsidR="008D7DD4" w:rsidRPr="008D7DD4" w:rsidRDefault="008D7DD4" w:rsidP="008D7DD4">
      <w:pPr>
        <w:spacing w:after="0"/>
        <w:jc w:val="both"/>
        <w:rPr>
          <w:rFonts w:ascii="Garamond" w:eastAsia="MS PMincho" w:hAnsi="Garamond" w:cs="Arial"/>
          <w:b/>
          <w:i/>
          <w:iCs/>
          <w:color w:val="44546A"/>
          <w:sz w:val="18"/>
          <w:szCs w:val="18"/>
        </w:rPr>
      </w:pPr>
      <w:r w:rsidRPr="008D7DD4">
        <w:rPr>
          <w:rFonts w:ascii="Garamond" w:eastAsia="MS PMincho" w:hAnsi="Garamond" w:cs="Arial"/>
          <w:b/>
          <w:i/>
          <w:iCs/>
          <w:color w:val="44546A"/>
          <w:sz w:val="18"/>
          <w:szCs w:val="18"/>
        </w:rPr>
        <w:t>Vir: Odmere dohodnine za leto 2020–2022, FURS, lastni izračuni MF</w:t>
      </w:r>
    </w:p>
    <w:p w14:paraId="5C7E32A2" w14:textId="77777777" w:rsidR="00A35B4A" w:rsidRDefault="00A35B4A" w:rsidP="008D7DD4">
      <w:pPr>
        <w:spacing w:line="240" w:lineRule="auto"/>
        <w:jc w:val="center"/>
        <w:rPr>
          <w:rFonts w:ascii="Garamond" w:eastAsia="MS PGothic" w:hAnsi="Garamond"/>
          <w:color w:val="44546A"/>
          <w:kern w:val="28"/>
          <w:sz w:val="52"/>
          <w:szCs w:val="32"/>
          <w:lang w:eastAsia="sl-SI"/>
        </w:rPr>
      </w:pPr>
    </w:p>
    <w:p w14:paraId="706948F7" w14:textId="77777777" w:rsidR="008D7DD4" w:rsidRPr="008D7DD4" w:rsidRDefault="008D7DD4" w:rsidP="008D7DD4">
      <w:pPr>
        <w:spacing w:line="240" w:lineRule="auto"/>
        <w:jc w:val="center"/>
        <w:rPr>
          <w:rFonts w:ascii="Garamond" w:eastAsia="MS PGothic" w:hAnsi="Garamond"/>
          <w:color w:val="44546A"/>
          <w:kern w:val="28"/>
          <w:sz w:val="52"/>
          <w:szCs w:val="32"/>
          <w:lang w:eastAsia="sl-SI"/>
        </w:rPr>
      </w:pPr>
      <w:r w:rsidRPr="008D7DD4">
        <w:rPr>
          <w:rFonts w:ascii="Garamond" w:eastAsia="MS PGothic" w:hAnsi="Garamond"/>
          <w:color w:val="44546A"/>
          <w:kern w:val="28"/>
          <w:sz w:val="52"/>
          <w:szCs w:val="32"/>
          <w:lang w:eastAsia="sl-SI"/>
        </w:rPr>
        <w:lastRenderedPageBreak/>
        <w:t>RAZBREMENITEV DELA</w:t>
      </w:r>
    </w:p>
    <w:p w14:paraId="12211CF3" w14:textId="77777777" w:rsidR="008D7DD4" w:rsidRPr="008D7DD4" w:rsidRDefault="008D7DD4" w:rsidP="008D7DD4">
      <w:pPr>
        <w:spacing w:after="0"/>
        <w:jc w:val="both"/>
        <w:rPr>
          <w:rFonts w:ascii="Garamond" w:eastAsia="MS PMincho" w:hAnsi="Garamond"/>
          <w:b/>
          <w:noProof/>
          <w:color w:val="44546A"/>
          <w:sz w:val="28"/>
        </w:rPr>
      </w:pPr>
    </w:p>
    <w:p w14:paraId="1B605B70"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Organizacija za gospodarsko sodelovanje in razvoj (kratica OECD iz angleškega poimenovanja: Organisation for Economic Co-operation and Development) podaja najbolj relevantno in verodostojno primerjavo obremenitve dela med državami v sklopu publikacije Taxing wages. Izhaja iz enotne metodologije in rednega spremljanja vseh davčnih sprememb in trendov v višini prejemkov fizičnih oseb. V navedeni publikaciji OECD se izračunava velikost davčnega bremena v stroških dela (davčnega primeža), ki nam pove, kolikšen je skupni odstotni delež dohodnine, delodajalčevih in delojemalčevih prispevkov za socialno varnost v skupnih stroških dela, ki jih mora delodajalec izplačati za zaposlenega. Skupni stroški dela zajemajo neto plačo ter davke in prispevke za socialno varnost. Upoštevajoč enotno metodologijo, ki velja v vseh državah članicah, bruto plača, ki jo posredujejo države (pripravljeno na podlagi statističnih uradov), ne vključuje nadomestil porodniške odsotnosti, bolniških odsotnosti, daljših od 30 dni, dodatkov za nego itd., kot tudi ne morebitnih izplačil poleg bruto plače, ki bremenijo materialne stroške, kot na primer povračila stroškov za prevoz na delo in z dela, nadomestila za prehrano, za službena potovanja, za terenske dodatke, dnevnice in nočnine itd. V tem okviru velja izpostaviti, da navedena mednarodna primerjava tudi ne vključuje morebitne drugačne obremenitve t. i. 13. plač, božičnic</w:t>
      </w:r>
      <w:r w:rsidR="00873AEB">
        <w:rPr>
          <w:rFonts w:ascii="Garamond" w:eastAsia="MS PMincho" w:hAnsi="Garamond"/>
          <w:b/>
          <w:noProof/>
          <w:color w:val="44546A"/>
          <w:sz w:val="28"/>
        </w:rPr>
        <w:t>,</w:t>
      </w:r>
      <w:r w:rsidRPr="008D7DD4">
        <w:rPr>
          <w:rFonts w:ascii="Garamond" w:eastAsia="MS PMincho" w:hAnsi="Garamond"/>
          <w:b/>
          <w:noProof/>
          <w:color w:val="44546A"/>
          <w:sz w:val="28"/>
        </w:rPr>
        <w:t xml:space="preserve"> ipd.</w:t>
      </w:r>
    </w:p>
    <w:p w14:paraId="5AA0A443" w14:textId="77777777" w:rsidR="008D7DD4" w:rsidRPr="008D7DD4" w:rsidRDefault="008D7DD4" w:rsidP="008D7DD4">
      <w:pPr>
        <w:spacing w:after="0"/>
        <w:jc w:val="both"/>
        <w:rPr>
          <w:rFonts w:ascii="Garamond" w:eastAsia="MS PMincho" w:hAnsi="Garamond"/>
          <w:b/>
          <w:noProof/>
          <w:color w:val="44546A"/>
          <w:sz w:val="28"/>
        </w:rPr>
      </w:pPr>
    </w:p>
    <w:p w14:paraId="5FCA909B"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V splošnem je obremenitev slovenskih plač nad povprečjem OECD držav, in sicer za samsko osebo brez otrok pri povprečni plači za leto 2023 v Sloveniji znaša 43,3 %, povprečje OECD pa je 34,9 %. Davčni primež se je v Sloveniji glede na leto 2022 zvišal za 0,4 odstotne točke</w:t>
      </w:r>
      <w:r w:rsidRPr="008D7DD4">
        <w:rPr>
          <w:rFonts w:ascii="Garamond" w:eastAsia="MS PMincho" w:hAnsi="Garamond"/>
          <w:b/>
          <w:noProof/>
          <w:color w:val="44546A"/>
          <w:sz w:val="28"/>
          <w:vertAlign w:val="superscript"/>
        </w:rPr>
        <w:footnoteReference w:id="3"/>
      </w:r>
      <w:r w:rsidRPr="008D7DD4">
        <w:rPr>
          <w:rFonts w:ascii="Garamond" w:eastAsia="MS PMincho" w:hAnsi="Garamond"/>
          <w:b/>
          <w:noProof/>
          <w:color w:val="44546A"/>
          <w:sz w:val="28"/>
        </w:rPr>
        <w:t>, povprečje OECD držav pa se je zvišalo za 0,1 odstotne točke. Z zviševanjem dohodkov se davčni primež še povečuje in nakazuje, da so ukrepi v smeri razbremenitve dela srednjega in višjega razreda nujni. Pri samski osebi brez otrok in dohodkom v višini 2,5 povprečnih plač znaša davčni primež v Sloveniji 49,5 % (povprečje OECD pa 41,8 %). Razlika v davčnem primežu med Slovenijo in povprečjem OECD je pri povprečni plači 8,4 odstotnih točk, pri dohodku v višini 2,5 povprečne plače pa 7,7 odstotnih točk.</w:t>
      </w:r>
    </w:p>
    <w:p w14:paraId="791A6438" w14:textId="77777777" w:rsidR="008D7DD4" w:rsidRPr="008D7DD4" w:rsidRDefault="008D7DD4" w:rsidP="008D7DD4">
      <w:pPr>
        <w:spacing w:after="0"/>
        <w:jc w:val="both"/>
        <w:rPr>
          <w:rFonts w:ascii="Times New Roman" w:eastAsia="Times New Roman" w:hAnsi="Times New Roman" w:cs="Arial"/>
          <w:sz w:val="24"/>
          <w:szCs w:val="20"/>
          <w:lang w:eastAsia="sl-SI"/>
        </w:rPr>
      </w:pPr>
    </w:p>
    <w:p w14:paraId="0483B75A"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Po podatkih OECD je Slovenija po obremenitvi dela v letu 2023 pri samski osebi s povprečno plačo dosegla 7. mesto, pred njo so Belgija, Nemčija, Avstrija, Francija, Italija in Finska. Ne glede na vse pa je treba omeniti, da bomo z uvedbo obveznega </w:t>
      </w:r>
      <w:r w:rsidRPr="008D7DD4">
        <w:rPr>
          <w:rFonts w:ascii="Garamond" w:eastAsia="MS PMincho" w:hAnsi="Garamond" w:cs="Arial"/>
          <w:b/>
          <w:color w:val="44546A"/>
          <w:sz w:val="28"/>
          <w:szCs w:val="20"/>
        </w:rPr>
        <w:lastRenderedPageBreak/>
        <w:t>zdravstvenega prispevka in uveljavitvijo prispevka za dolgotrajno oskrbo</w:t>
      </w:r>
      <w:r w:rsidRPr="008D7DD4">
        <w:rPr>
          <w:rFonts w:ascii="Garamond" w:eastAsia="MS PMincho" w:hAnsi="Garamond" w:cs="Arial"/>
          <w:b/>
          <w:color w:val="44546A"/>
          <w:sz w:val="28"/>
          <w:szCs w:val="20"/>
          <w:vertAlign w:val="superscript"/>
        </w:rPr>
        <w:footnoteReference w:id="4"/>
      </w:r>
      <w:r w:rsidRPr="008D7DD4">
        <w:rPr>
          <w:rFonts w:ascii="Garamond" w:eastAsia="MS PMincho" w:hAnsi="Garamond" w:cs="Arial"/>
          <w:b/>
          <w:color w:val="44546A"/>
          <w:sz w:val="28"/>
          <w:szCs w:val="20"/>
        </w:rPr>
        <w:t xml:space="preserve"> dodatno </w:t>
      </w:r>
      <w:r w:rsidR="00873AEB" w:rsidRPr="008D7DD4">
        <w:rPr>
          <w:rFonts w:ascii="Garamond" w:eastAsia="MS PMincho" w:hAnsi="Garamond" w:cs="Arial"/>
          <w:b/>
          <w:color w:val="44546A"/>
          <w:sz w:val="28"/>
          <w:szCs w:val="20"/>
        </w:rPr>
        <w:t xml:space="preserve">vplivali </w:t>
      </w:r>
      <w:r w:rsidRPr="008D7DD4">
        <w:rPr>
          <w:rFonts w:ascii="Garamond" w:eastAsia="MS PMincho" w:hAnsi="Garamond" w:cs="Arial"/>
          <w:b/>
          <w:color w:val="44546A"/>
          <w:sz w:val="28"/>
          <w:szCs w:val="20"/>
        </w:rPr>
        <w:t>na zvišanje davčnega primeža. Ob vseh nespremenjenih razmerah</w:t>
      </w:r>
      <w:r w:rsidR="00873AEB">
        <w:rPr>
          <w:rFonts w:ascii="Garamond" w:eastAsia="MS PMincho" w:hAnsi="Garamond" w:cs="Arial"/>
          <w:b/>
          <w:color w:val="44546A"/>
          <w:sz w:val="28"/>
          <w:szCs w:val="20"/>
        </w:rPr>
        <w:t>,</w:t>
      </w:r>
      <w:r w:rsidRPr="008D7DD4">
        <w:rPr>
          <w:rFonts w:ascii="Garamond" w:eastAsia="MS PMincho" w:hAnsi="Garamond" w:cs="Arial"/>
          <w:b/>
          <w:color w:val="44546A"/>
          <w:sz w:val="28"/>
          <w:szCs w:val="20"/>
        </w:rPr>
        <w:t xml:space="preserve"> kot so veljale v letu 2023 v preostalih državah članicah OECD, bi po oceni te spremembe pomenile, da bi se davčni primež v Sloveniji zvišal za več kot 2 odstotni točki. Slovenija bi se s tem uvrstila na 5. mesto na lestvici. Italija in Finska bi bili tako državi, ki po višini davčnega primeža ne bi bili več pred Slovenijo. </w:t>
      </w:r>
    </w:p>
    <w:p w14:paraId="4C1DA6AD" w14:textId="77777777" w:rsidR="008D7DD4" w:rsidRPr="008D7DD4" w:rsidRDefault="008D7DD4" w:rsidP="008D7DD4">
      <w:pPr>
        <w:spacing w:after="0"/>
        <w:jc w:val="both"/>
        <w:rPr>
          <w:rFonts w:ascii="Garamond" w:eastAsia="MS PMincho" w:hAnsi="Garamond" w:cs="Arial"/>
          <w:b/>
          <w:color w:val="44546A"/>
          <w:sz w:val="28"/>
          <w:szCs w:val="20"/>
        </w:rPr>
      </w:pPr>
    </w:p>
    <w:p w14:paraId="2890106B"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Pri celotni analizi davčnega primeža je pomembno pogledati tudi strukturo obremenitev. Za Slovenijo velja, da tri četrtine celotnega davčnega primeža pri samski osebi brez otrok in povprečni plači ustvarijo prispevki za socialno varnost, ki jih plačujejo delodajalci in delojemalci. Ob tem pa</w:t>
      </w:r>
      <w:r w:rsidR="00873AEB">
        <w:rPr>
          <w:rFonts w:ascii="Garamond" w:eastAsia="MS PMincho" w:hAnsi="Garamond" w:cs="Arial"/>
          <w:b/>
          <w:color w:val="44546A"/>
          <w:sz w:val="28"/>
          <w:szCs w:val="20"/>
        </w:rPr>
        <w:t xml:space="preserve"> je treba</w:t>
      </w:r>
      <w:r w:rsidRPr="008D7DD4">
        <w:rPr>
          <w:rFonts w:ascii="Garamond" w:eastAsia="MS PMincho" w:hAnsi="Garamond" w:cs="Arial"/>
          <w:b/>
          <w:color w:val="44546A"/>
          <w:sz w:val="28"/>
          <w:szCs w:val="20"/>
        </w:rPr>
        <w:t xml:space="preserve"> strukturo davčnega primeža gledati skupaj s sistemom prispevkov za socialno varnost, ki pa se med državami zelo razlikuje. Že skupna stopnja prispevkov za socialno varnost je lahko zelo različna in zlasti za Slovenijo lahko ugotovimo, da odstopamo navzgor predvsem pri prispevkih za socialno varnost na strani delojemalcev. Bistveno bolj pomemb</w:t>
      </w:r>
      <w:r w:rsidR="00873AEB">
        <w:rPr>
          <w:rFonts w:ascii="Garamond" w:eastAsia="MS PMincho" w:hAnsi="Garamond" w:cs="Arial"/>
          <w:b/>
          <w:color w:val="44546A"/>
          <w:sz w:val="28"/>
          <w:szCs w:val="20"/>
        </w:rPr>
        <w:t>en</w:t>
      </w:r>
      <w:r w:rsidRPr="008D7DD4">
        <w:rPr>
          <w:rFonts w:ascii="Garamond" w:eastAsia="MS PMincho" w:hAnsi="Garamond" w:cs="Arial"/>
          <w:b/>
          <w:color w:val="44546A"/>
          <w:sz w:val="28"/>
          <w:szCs w:val="20"/>
        </w:rPr>
        <w:t xml:space="preserve"> pa je sistem financiranja pravic, ki se med državami prav tako izredno razlikuje. V Sloveniji večina bremena izhaja iz prispevkov za socialno varnost, ne iz davkov. Med članicami OECD zgodovinsko gledano obstajata dva pristopa, ki urejata financiranje socialne varnosti, in sicer preko plačevanja posebnih dajatev – prispevkov ali/in splošnih davkov oz. iz naslova privatnih zavarovanj. V državah, kjer se večji del socialne varnosti zagotavlja preko socialnih zavarovanj, je delež prispevkov za socialno varnost v strošku dela običajno višji (tako primeroma v državah kot so Poljska, Češka, Slovaška in Grčija, poleg Slovenije, delež prispevkov za socialno varnost v skupnem strošku dela presega 76 %). Določene države, kjer v sisteme socialnih zavarovanj vstopa tudi država iz splošnih davčnih virov, pa je običajno delež davkov bistveno višji (tak primer je Danska, kjer delež prispevkov za socialno varnost predstavlja okoli 2 % stroška dela, medtem ko pri deležu dohodnine bistveno odstopa navzgor).</w:t>
      </w:r>
    </w:p>
    <w:p w14:paraId="39D29CFB" w14:textId="77777777" w:rsidR="008D7DD4" w:rsidRPr="008D7DD4" w:rsidRDefault="008D7DD4" w:rsidP="008D7DD4">
      <w:pPr>
        <w:spacing w:after="0"/>
        <w:jc w:val="both"/>
        <w:rPr>
          <w:rFonts w:ascii="Garamond" w:eastAsia="MS PMincho" w:hAnsi="Garamond" w:cs="Arial"/>
          <w:b/>
          <w:color w:val="44546A"/>
          <w:sz w:val="28"/>
          <w:szCs w:val="20"/>
        </w:rPr>
      </w:pPr>
    </w:p>
    <w:p w14:paraId="5FDD274B"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 xml:space="preserve">Zavedati pa se je </w:t>
      </w:r>
      <w:r w:rsidR="00873AEB">
        <w:rPr>
          <w:rFonts w:ascii="Garamond" w:eastAsia="MS PMincho" w:hAnsi="Garamond"/>
          <w:b/>
          <w:noProof/>
          <w:color w:val="44546A"/>
          <w:sz w:val="28"/>
        </w:rPr>
        <w:t>treba</w:t>
      </w:r>
      <w:r w:rsidRPr="008D7DD4">
        <w:rPr>
          <w:rFonts w:ascii="Garamond" w:eastAsia="MS PMincho" w:hAnsi="Garamond"/>
          <w:b/>
          <w:noProof/>
          <w:color w:val="44546A"/>
          <w:sz w:val="28"/>
        </w:rPr>
        <w:t>, da obstajajo razlike med državami, saj so definicije bruto plače na nacionalni ravni lahko drugačn</w:t>
      </w:r>
      <w:r w:rsidR="001D6DB0">
        <w:rPr>
          <w:rFonts w:ascii="Garamond" w:eastAsia="MS PMincho" w:hAnsi="Garamond"/>
          <w:b/>
          <w:noProof/>
          <w:color w:val="44546A"/>
          <w:sz w:val="28"/>
        </w:rPr>
        <w:t>e</w:t>
      </w:r>
      <w:r w:rsidRPr="008D7DD4">
        <w:rPr>
          <w:rFonts w:ascii="Garamond" w:eastAsia="MS PMincho" w:hAnsi="Garamond"/>
          <w:b/>
          <w:noProof/>
          <w:color w:val="44546A"/>
          <w:sz w:val="28"/>
        </w:rPr>
        <w:t xml:space="preserve"> in so določena izredna izplačila lahko že del bruto plače. Enoten pristop sicer omogoča najvišjo mero primerljivosti med državami, vendar pa je pri interpretaciji dejanskih davčnih bremen v različnih državah treba biti previden. Plačni sistemi po državah so namreč zelo heterogeni. V skladu s slovensko delovnopravno zakonodajo imajo zaposleni pravico do povračila stroškov prevoza na delo in iz dela, za prehrano in izplačil regresa za letni dopust, ki </w:t>
      </w:r>
      <w:r w:rsidRPr="008D7DD4">
        <w:rPr>
          <w:rFonts w:ascii="Garamond" w:eastAsia="MS PMincho" w:hAnsi="Garamond"/>
          <w:b/>
          <w:noProof/>
          <w:color w:val="44546A"/>
          <w:sz w:val="28"/>
        </w:rPr>
        <w:lastRenderedPageBreak/>
        <w:t xml:space="preserve">pa niso vključeni v bruto plačo, ki je izplačana zaposlenim za delo v okviru delovnega razmerja. To pomeni, da v izračunu davčnega primeža ti dohodki niso upoštevani. </w:t>
      </w:r>
    </w:p>
    <w:p w14:paraId="4239477B" w14:textId="77777777" w:rsidR="008D7DD4" w:rsidRPr="008D7DD4" w:rsidRDefault="008D7DD4" w:rsidP="008D7DD4">
      <w:pPr>
        <w:spacing w:after="0"/>
        <w:jc w:val="both"/>
        <w:rPr>
          <w:rFonts w:ascii="Garamond" w:eastAsia="MS PMincho" w:hAnsi="Garamond"/>
          <w:b/>
          <w:noProof/>
          <w:color w:val="44546A"/>
          <w:sz w:val="28"/>
        </w:rPr>
      </w:pPr>
    </w:p>
    <w:p w14:paraId="2A780E5B" w14:textId="77777777" w:rsidR="008D7DD4" w:rsidRPr="008D7DD4" w:rsidRDefault="008D7DD4" w:rsidP="008D7DD4">
      <w:pPr>
        <w:spacing w:after="0"/>
        <w:jc w:val="both"/>
        <w:rPr>
          <w:rFonts w:ascii="Garamond" w:eastAsia="MS PMincho" w:hAnsi="Garamond"/>
          <w:b/>
          <w:noProof/>
          <w:color w:val="44546A"/>
          <w:sz w:val="28"/>
        </w:rPr>
      </w:pPr>
      <w:r w:rsidRPr="008D7DD4">
        <w:rPr>
          <w:rFonts w:ascii="Garamond" w:eastAsia="MS PMincho" w:hAnsi="Garamond"/>
          <w:b/>
          <w:noProof/>
          <w:color w:val="44546A"/>
          <w:sz w:val="28"/>
        </w:rPr>
        <w:t>Zgolj informativno, ob upoštevanju nespremenjenih razmer v preostalih državah članicah OECD, je pripravljen prilagojen in teoretični izračun davčnega primeža za leto 2023 za Slovenijo, če bi se pri izračunu upoštevala - ob nespremenjeni davčni obravnavi - še povračila stroškov prevoza na delo in prehrane</w:t>
      </w:r>
      <w:r w:rsidRPr="008D7DD4">
        <w:rPr>
          <w:rFonts w:ascii="Garamond" w:eastAsia="MS PMincho" w:hAnsi="Garamond"/>
          <w:b/>
          <w:noProof/>
          <w:color w:val="44546A"/>
          <w:sz w:val="28"/>
          <w:vertAlign w:val="superscript"/>
        </w:rPr>
        <w:footnoteReference w:id="5"/>
      </w:r>
      <w:r w:rsidRPr="008D7DD4">
        <w:rPr>
          <w:rFonts w:ascii="Garamond" w:eastAsia="MS PMincho" w:hAnsi="Garamond"/>
          <w:b/>
          <w:noProof/>
          <w:color w:val="44546A"/>
          <w:sz w:val="28"/>
        </w:rPr>
        <w:t>. Ocenjuje se, da bi se davčni primež pri samski osebi s povprečno plačo v Sloveniji lahko znižal za približno 3 odstotne točke. S tem bi se Slovenija uvrstila na 15. mesto</w:t>
      </w:r>
      <w:r w:rsidRPr="008D7DD4">
        <w:rPr>
          <w:rFonts w:ascii="Garamond" w:eastAsia="MS PMincho" w:hAnsi="Garamond"/>
          <w:b/>
          <w:noProof/>
          <w:color w:val="44546A"/>
          <w:sz w:val="28"/>
          <w:vertAlign w:val="superscript"/>
        </w:rPr>
        <w:footnoteReference w:id="6"/>
      </w:r>
      <w:r w:rsidRPr="008D7DD4">
        <w:rPr>
          <w:rFonts w:ascii="Garamond" w:eastAsia="MS PMincho" w:hAnsi="Garamond"/>
          <w:b/>
          <w:noProof/>
          <w:color w:val="44546A"/>
          <w:sz w:val="28"/>
        </w:rPr>
        <w:t xml:space="preserve">, a bi bil sicer davčni primež še vedno nekoliko višji od povprečja držav OECD. </w:t>
      </w:r>
    </w:p>
    <w:p w14:paraId="5ACB7646"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t>Vpliv na strukturo davkov</w:t>
      </w:r>
    </w:p>
    <w:p w14:paraId="4A8544A1"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 vidika uravnoteženega pristopa in pregleda vseh predvidenih ukrepov, ki bodo vplivali na prestrukturiranje obremenitve dela, je treba pogledati tako vpliv na javne finance kot tudi na samo spremembo v strukturi davkov in prispevkov za socialno varnost. Pomembno je, da se sledi ciljem ustrezne davčne politike na način zagotavljanja ravnotežja med fiskalnimi cilji in gospodarsko konkurenčnostjo. </w:t>
      </w:r>
      <w:bookmarkStart w:id="7" w:name="_Hlk185595625"/>
      <w:r w:rsidRPr="008D7DD4">
        <w:rPr>
          <w:rFonts w:ascii="Garamond" w:eastAsia="MS PMincho" w:hAnsi="Garamond" w:cs="Arial"/>
          <w:b/>
          <w:color w:val="44546A"/>
          <w:sz w:val="28"/>
          <w:szCs w:val="20"/>
        </w:rPr>
        <w:t xml:space="preserve">Glede na dejstvo, da v Sloveniji ekonomska struktura davkov in prispevkov za socialno varnost ni najbolj ugodna zaradi nadpovprečne obremenitve dela in podpovprečne obremenitve premoženja, je pomembno, da z uravnoteženim pristopom na različnih področjih vplivamo tudi na slednje. To je namreč eden od pokazateljev zagotavljanja konkurenčnega poslovnega okolja in mednarodno primerljivega trga dela.  </w:t>
      </w:r>
      <w:bookmarkEnd w:id="7"/>
    </w:p>
    <w:p w14:paraId="75A6AF39" w14:textId="77777777" w:rsidR="008D7DD4" w:rsidRPr="008D7DD4" w:rsidRDefault="008D7DD4" w:rsidP="00A35B4A">
      <w:pPr>
        <w:spacing w:after="0"/>
        <w:jc w:val="both"/>
        <w:rPr>
          <w:rFonts w:ascii="Garamond" w:eastAsia="MS PMincho" w:hAnsi="Garamond" w:cs="Arial"/>
          <w:b/>
          <w:color w:val="44546A"/>
          <w:sz w:val="28"/>
          <w:szCs w:val="20"/>
        </w:rPr>
      </w:pPr>
    </w:p>
    <w:p w14:paraId="169D1CA3" w14:textId="77777777" w:rsidR="008D7DD4" w:rsidRPr="008D7DD4" w:rsidRDefault="00A35B4A" w:rsidP="00A35B4A">
      <w:pPr>
        <w:spacing w:after="0"/>
        <w:jc w:val="both"/>
        <w:rPr>
          <w:rFonts w:ascii="Garamond" w:eastAsia="MS PMincho" w:hAnsi="Garamond" w:cs="Arial"/>
          <w:b/>
          <w:color w:val="44546A"/>
          <w:sz w:val="28"/>
          <w:szCs w:val="20"/>
        </w:rPr>
      </w:pPr>
      <w:r w:rsidRPr="00A35B4A">
        <w:rPr>
          <w:rFonts w:ascii="Garamond" w:eastAsia="MS PMincho" w:hAnsi="Garamond" w:cs="Arial"/>
          <w:b/>
          <w:color w:val="44546A"/>
          <w:sz w:val="28"/>
          <w:szCs w:val="20"/>
        </w:rPr>
        <w:t xml:space="preserve">S tem namenom so v Tabeli 6 navedeni učinki določenih sprememb in ukrepov na različnih področjih dela oz. politik, ki bodo prestrukturirali obremenitev dela in hkrati vplivali na obremenitev premoženja. Prikazane so vse morebitne uveljavitve različnih predlaganih ukrepov na davčnem področju kot tudi v okviru socialnih zavarovanj ter pri določenih ukrepih dodane tudi finančne posledice. Pri tem poudarjamo, da predlogi, zlasti na področju obveznih socialnih zavarovanj, niso dokončni, niti ne predstavljajo stališča Ministrstva za finance. Kljub temu je celosten pogled na učinke prestrukturiranja obremenitve dela kot tudi na javnofinančno vzdržnost ključen za razumevanje širšega konteksta predlaganih sprememb. Zgolj teoretično je izpostaviti, da bi uvedba davka na stanovanjske nepremičnine v </w:t>
      </w:r>
      <w:r w:rsidRPr="00A35B4A">
        <w:rPr>
          <w:rFonts w:ascii="Garamond" w:eastAsia="MS PMincho" w:hAnsi="Garamond" w:cs="Arial"/>
          <w:b/>
          <w:color w:val="44546A"/>
          <w:sz w:val="28"/>
          <w:szCs w:val="20"/>
        </w:rPr>
        <w:lastRenderedPageBreak/>
        <w:t xml:space="preserve">ocenjenem znesku vplivala na zvišanje deleža davka na premoženje v BDP za okoli 1,2 odstotni točki, kar pomeni, da bi se Slovenija na lestvici tovrstne obremenitve povzpela za kar nekaj mest. Upoštevajoč vse ostale nespremenjene razmere v drugih državah članicah EU, bi bila Slovenija sicer še vedno pod povprečjem EU držav in bi se uvrstila na 9. mesto. V primeru, da bi se celotni znesek obremenitve stanovanjskih nepremičnin namenil za razbremenitev dela z dohodnino, pa bi se, teoretično in ob vseh ostalih nespremenjenih razmerah tudi v drugih državah, Slovenija po deležu dohodnine v BDP uvrstila za 2 mesti nižje in bi bila tako na 22. mestu.  </w:t>
      </w:r>
      <w:r w:rsidR="008D7DD4" w:rsidRPr="008D7DD4">
        <w:rPr>
          <w:rFonts w:ascii="Garamond" w:eastAsia="MS PMincho" w:hAnsi="Garamond" w:cs="Arial"/>
          <w:b/>
          <w:color w:val="44546A"/>
          <w:sz w:val="28"/>
          <w:szCs w:val="20"/>
        </w:rPr>
        <w:t xml:space="preserve">  </w:t>
      </w:r>
    </w:p>
    <w:p w14:paraId="246067AB" w14:textId="77777777" w:rsidR="008D7DD4" w:rsidRPr="008D7DD4" w:rsidRDefault="008D7DD4" w:rsidP="008D7DD4">
      <w:pPr>
        <w:spacing w:after="0"/>
        <w:jc w:val="both"/>
        <w:rPr>
          <w:rFonts w:ascii="Garamond" w:eastAsia="MS PMincho" w:hAnsi="Garamond" w:cs="Arial"/>
          <w:b/>
          <w:color w:val="44546A"/>
          <w:sz w:val="28"/>
          <w:szCs w:val="20"/>
        </w:rPr>
      </w:pPr>
    </w:p>
    <w:p w14:paraId="2175C56B"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Ob tem je opozoriti, da gre pri navedbi celovitih ukrepov</w:t>
      </w:r>
      <w:r w:rsidR="002F724F">
        <w:rPr>
          <w:rFonts w:ascii="Garamond" w:eastAsia="MS PMincho" w:hAnsi="Garamond" w:cs="Arial"/>
          <w:b/>
          <w:color w:val="44546A"/>
          <w:sz w:val="28"/>
          <w:szCs w:val="20"/>
        </w:rPr>
        <w:t>, predstavljenih v Tabeli 6,</w:t>
      </w:r>
      <w:r w:rsidRPr="008D7DD4">
        <w:rPr>
          <w:rFonts w:ascii="Garamond" w:eastAsia="MS PMincho" w:hAnsi="Garamond" w:cs="Arial"/>
          <w:b/>
          <w:color w:val="44546A"/>
          <w:sz w:val="28"/>
          <w:szCs w:val="20"/>
        </w:rPr>
        <w:t xml:space="preserve"> za takšne, ki bi se časovno različno uveljavljali in ne bi imeli vsi učinka v istem letu. Ne glede na vse, pa je pomembno, da bi s spremembami zagotavljali dolgoročno javnofinančno vzdržnost.</w:t>
      </w:r>
    </w:p>
    <w:p w14:paraId="3E23597C" w14:textId="77777777" w:rsidR="008D7DD4" w:rsidRPr="008D7DD4" w:rsidRDefault="008D7DD4" w:rsidP="008D7DD4">
      <w:pPr>
        <w:spacing w:after="0"/>
        <w:jc w:val="both"/>
        <w:rPr>
          <w:rFonts w:ascii="Garamond" w:eastAsia="MS PMincho" w:hAnsi="Garamond" w:cs="Arial"/>
          <w:b/>
          <w:color w:val="44546A"/>
          <w:sz w:val="28"/>
          <w:szCs w:val="20"/>
        </w:rPr>
      </w:pPr>
    </w:p>
    <w:p w14:paraId="6D2CCC0D" w14:textId="77777777" w:rsidR="008D7DD4" w:rsidRPr="008D7DD4" w:rsidRDefault="00A35B4A" w:rsidP="008D7DD4">
      <w:pPr>
        <w:spacing w:after="0"/>
        <w:jc w:val="both"/>
        <w:rPr>
          <w:rFonts w:ascii="Garamond" w:eastAsia="MS PMincho" w:hAnsi="Garamond" w:cs="Arial"/>
          <w:b/>
          <w:color w:val="44546A"/>
          <w:sz w:val="28"/>
          <w:szCs w:val="20"/>
        </w:rPr>
      </w:pPr>
      <w:r w:rsidRPr="00A35B4A">
        <w:rPr>
          <w:rFonts w:ascii="Garamond" w:eastAsia="MS PMincho" w:hAnsi="Garamond" w:cs="Arial"/>
          <w:b/>
          <w:color w:val="44546A"/>
          <w:sz w:val="28"/>
          <w:szCs w:val="20"/>
        </w:rPr>
        <w:t>Tabela 6: Pregled grobe letne ocene učinkov na javne finance morebitnih ukrepov na davčnem področju kot tudi na področju socialnih zavarovanj v smeri prestrukturiranja obremenitve dela</w:t>
      </w:r>
      <w:r w:rsidR="008D7DD4" w:rsidRPr="008D7DD4">
        <w:rPr>
          <w:rFonts w:ascii="Garamond" w:eastAsia="MS PMincho" w:hAnsi="Garamond" w:cs="Arial"/>
          <w:b/>
          <w:color w:val="44546A"/>
          <w:sz w:val="28"/>
          <w:szCs w:val="20"/>
          <w:vertAlign w:val="superscript"/>
        </w:rPr>
        <w:footnoteReference w:id="7"/>
      </w:r>
    </w:p>
    <w:p w14:paraId="6A9CFF0A" w14:textId="77777777" w:rsidR="008D7DD4" w:rsidRPr="008D7DD4" w:rsidRDefault="008D7DD4" w:rsidP="008D7DD4">
      <w:pPr>
        <w:spacing w:after="0"/>
        <w:jc w:val="both"/>
        <w:rPr>
          <w:rFonts w:ascii="Garamond" w:eastAsia="MS PMincho" w:hAnsi="Garamond" w:cs="Arial"/>
          <w:b/>
          <w:i/>
          <w:iCs/>
          <w:color w:val="44546A"/>
          <w:sz w:val="18"/>
          <w:szCs w:val="18"/>
        </w:rPr>
      </w:pP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r>
      <w:r w:rsidRPr="008D7DD4">
        <w:rPr>
          <w:rFonts w:ascii="Garamond" w:eastAsia="MS PMincho" w:hAnsi="Garamond" w:cs="Arial"/>
          <w:b/>
          <w:color w:val="44546A"/>
          <w:sz w:val="28"/>
          <w:szCs w:val="20"/>
        </w:rPr>
        <w:tab/>
        <w:t xml:space="preserve">    </w:t>
      </w:r>
      <w:r w:rsidRPr="008D7DD4">
        <w:rPr>
          <w:rFonts w:ascii="Garamond" w:eastAsia="MS PMincho" w:hAnsi="Garamond" w:cs="Arial"/>
          <w:b/>
          <w:i/>
          <w:iCs/>
          <w:color w:val="44546A"/>
          <w:sz w:val="18"/>
          <w:szCs w:val="18"/>
        </w:rPr>
        <w:t>Zneski v mio €</w:t>
      </w:r>
    </w:p>
    <w:tbl>
      <w:tblPr>
        <w:tblW w:w="9395" w:type="dxa"/>
        <w:tblCellMar>
          <w:left w:w="0" w:type="dxa"/>
          <w:right w:w="0" w:type="dxa"/>
        </w:tblCellMar>
        <w:tblLook w:val="04A0" w:firstRow="1" w:lastRow="0" w:firstColumn="1" w:lastColumn="0" w:noHBand="0" w:noVBand="1"/>
      </w:tblPr>
      <w:tblGrid>
        <w:gridCol w:w="4301"/>
        <w:gridCol w:w="1185"/>
        <w:gridCol w:w="1143"/>
        <w:gridCol w:w="1428"/>
        <w:gridCol w:w="1338"/>
      </w:tblGrid>
      <w:tr w:rsidR="008D7DD4" w:rsidRPr="008D7DD4" w14:paraId="6DC8CF3C" w14:textId="77777777" w:rsidTr="003D463E">
        <w:trPr>
          <w:trHeight w:val="165"/>
        </w:trPr>
        <w:tc>
          <w:tcPr>
            <w:tcW w:w="4301" w:type="dxa"/>
            <w:tcBorders>
              <w:top w:val="nil"/>
              <w:left w:val="nil"/>
              <w:bottom w:val="nil"/>
              <w:right w:val="nil"/>
            </w:tcBorders>
            <w:shd w:val="clear" w:color="auto" w:fill="auto"/>
            <w:noWrap/>
            <w:tcMar>
              <w:top w:w="15" w:type="dxa"/>
              <w:left w:w="15" w:type="dxa"/>
              <w:bottom w:w="0" w:type="dxa"/>
              <w:right w:w="15" w:type="dxa"/>
            </w:tcMar>
            <w:vAlign w:val="bottom"/>
            <w:hideMark/>
          </w:tcPr>
          <w:p w14:paraId="23F10743" w14:textId="77777777" w:rsidR="008D7DD4" w:rsidRPr="008D7DD4" w:rsidRDefault="008D7DD4" w:rsidP="008D7DD4">
            <w:pPr>
              <w:spacing w:after="0" w:line="240" w:lineRule="auto"/>
              <w:rPr>
                <w:rFonts w:ascii="Garamond" w:eastAsia="Times New Roman" w:hAnsi="Garamond"/>
                <w:sz w:val="26"/>
                <w:szCs w:val="26"/>
                <w:lang w:eastAsia="sl-SI"/>
              </w:rPr>
            </w:pPr>
          </w:p>
        </w:tc>
        <w:tc>
          <w:tcPr>
            <w:tcW w:w="2328" w:type="dxa"/>
            <w:gridSpan w:val="2"/>
            <w:tcBorders>
              <w:top w:val="single" w:sz="4" w:space="0" w:color="auto"/>
              <w:left w:val="single" w:sz="4" w:space="0" w:color="auto"/>
              <w:bottom w:val="single" w:sz="4" w:space="0" w:color="auto"/>
              <w:right w:val="single" w:sz="4" w:space="0" w:color="auto"/>
            </w:tcBorders>
            <w:shd w:val="clear" w:color="000000" w:fill="FFF2CC"/>
            <w:tcMar>
              <w:top w:w="15" w:type="dxa"/>
              <w:left w:w="15" w:type="dxa"/>
              <w:bottom w:w="0" w:type="dxa"/>
              <w:right w:w="15" w:type="dxa"/>
            </w:tcMar>
            <w:vAlign w:val="center"/>
            <w:hideMark/>
          </w:tcPr>
          <w:p w14:paraId="70B06D01"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Vpliv na državni proračun</w:t>
            </w:r>
          </w:p>
        </w:tc>
        <w:tc>
          <w:tcPr>
            <w:tcW w:w="2766" w:type="dxa"/>
            <w:gridSpan w:val="2"/>
            <w:tcBorders>
              <w:top w:val="single" w:sz="4" w:space="0" w:color="auto"/>
              <w:left w:val="nil"/>
              <w:bottom w:val="single" w:sz="4" w:space="0" w:color="auto"/>
              <w:right w:val="single" w:sz="4" w:space="0" w:color="000000"/>
            </w:tcBorders>
            <w:shd w:val="clear" w:color="000000" w:fill="FFF2CC"/>
            <w:tcMar>
              <w:top w:w="15" w:type="dxa"/>
              <w:left w:w="15" w:type="dxa"/>
              <w:bottom w:w="0" w:type="dxa"/>
              <w:right w:w="15" w:type="dxa"/>
            </w:tcMar>
            <w:vAlign w:val="center"/>
            <w:hideMark/>
          </w:tcPr>
          <w:p w14:paraId="3B52AD22"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Vpliv na blagajne socialnih zavarovanj</w:t>
            </w:r>
          </w:p>
        </w:tc>
      </w:tr>
      <w:tr w:rsidR="008D7DD4" w:rsidRPr="008D7DD4" w14:paraId="1C5C3860" w14:textId="77777777" w:rsidTr="003D463E">
        <w:trPr>
          <w:trHeight w:val="178"/>
        </w:trPr>
        <w:tc>
          <w:tcPr>
            <w:tcW w:w="430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C3217D" w14:textId="77777777" w:rsidR="008D7DD4" w:rsidRPr="008D7DD4" w:rsidRDefault="008D7DD4" w:rsidP="008D7DD4">
            <w:pPr>
              <w:spacing w:after="0" w:line="240" w:lineRule="auto"/>
              <w:jc w:val="center"/>
              <w:rPr>
                <w:rFonts w:ascii="Garamond" w:eastAsia="Times New Roman" w:hAnsi="Garamond" w:cs="Calibri"/>
                <w:b/>
                <w:bCs/>
                <w:color w:val="000000"/>
                <w:sz w:val="26"/>
                <w:szCs w:val="26"/>
                <w:lang w:eastAsia="sl-SI"/>
              </w:rPr>
            </w:pPr>
          </w:p>
        </w:tc>
        <w:tc>
          <w:tcPr>
            <w:tcW w:w="1185" w:type="dxa"/>
            <w:tcBorders>
              <w:top w:val="nil"/>
              <w:left w:val="single" w:sz="4" w:space="0" w:color="auto"/>
              <w:bottom w:val="single" w:sz="4" w:space="0" w:color="auto"/>
              <w:right w:val="single" w:sz="4" w:space="0" w:color="auto"/>
            </w:tcBorders>
            <w:shd w:val="clear" w:color="000000" w:fill="FFF2CC"/>
            <w:tcMar>
              <w:top w:w="15" w:type="dxa"/>
              <w:left w:w="15" w:type="dxa"/>
              <w:bottom w:w="0" w:type="dxa"/>
              <w:right w:w="15" w:type="dxa"/>
            </w:tcMar>
            <w:vAlign w:val="center"/>
            <w:hideMark/>
          </w:tcPr>
          <w:p w14:paraId="17E89972"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Prihodki</w:t>
            </w:r>
          </w:p>
        </w:tc>
        <w:tc>
          <w:tcPr>
            <w:tcW w:w="1143" w:type="dxa"/>
            <w:tcBorders>
              <w:top w:val="nil"/>
              <w:left w:val="nil"/>
              <w:bottom w:val="single" w:sz="4" w:space="0" w:color="auto"/>
              <w:right w:val="single" w:sz="4" w:space="0" w:color="auto"/>
            </w:tcBorders>
            <w:shd w:val="clear" w:color="000000" w:fill="FFF2CC"/>
            <w:tcMar>
              <w:top w:w="15" w:type="dxa"/>
              <w:left w:w="15" w:type="dxa"/>
              <w:bottom w:w="0" w:type="dxa"/>
              <w:right w:w="15" w:type="dxa"/>
            </w:tcMar>
            <w:vAlign w:val="center"/>
            <w:hideMark/>
          </w:tcPr>
          <w:p w14:paraId="51536681"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Odhodki</w:t>
            </w:r>
          </w:p>
        </w:tc>
        <w:tc>
          <w:tcPr>
            <w:tcW w:w="1428" w:type="dxa"/>
            <w:tcBorders>
              <w:top w:val="single" w:sz="4" w:space="0" w:color="auto"/>
              <w:left w:val="nil"/>
              <w:bottom w:val="single" w:sz="4" w:space="0" w:color="auto"/>
              <w:right w:val="nil"/>
            </w:tcBorders>
            <w:shd w:val="clear" w:color="000000" w:fill="FFF2CC"/>
            <w:tcMar>
              <w:top w:w="15" w:type="dxa"/>
              <w:left w:w="15" w:type="dxa"/>
              <w:bottom w:w="0" w:type="dxa"/>
              <w:right w:w="15" w:type="dxa"/>
            </w:tcMar>
            <w:vAlign w:val="center"/>
            <w:hideMark/>
          </w:tcPr>
          <w:p w14:paraId="079056A2"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Vpliv na delodajalce</w:t>
            </w:r>
          </w:p>
        </w:tc>
        <w:tc>
          <w:tcPr>
            <w:tcW w:w="1338" w:type="dxa"/>
            <w:tcBorders>
              <w:top w:val="single" w:sz="4" w:space="0" w:color="auto"/>
              <w:left w:val="single" w:sz="4" w:space="0" w:color="auto"/>
              <w:bottom w:val="single" w:sz="4" w:space="0" w:color="auto"/>
              <w:right w:val="single" w:sz="4" w:space="0" w:color="auto"/>
            </w:tcBorders>
            <w:shd w:val="clear" w:color="000000" w:fill="FFF2CC"/>
            <w:tcMar>
              <w:top w:w="15" w:type="dxa"/>
              <w:left w:w="15" w:type="dxa"/>
              <w:bottom w:w="0" w:type="dxa"/>
              <w:right w:w="15" w:type="dxa"/>
            </w:tcMar>
            <w:vAlign w:val="center"/>
            <w:hideMark/>
          </w:tcPr>
          <w:p w14:paraId="47582A51" w14:textId="77777777" w:rsidR="008D7DD4" w:rsidRPr="008D7DD4" w:rsidRDefault="008D7DD4" w:rsidP="008D7DD4">
            <w:pPr>
              <w:spacing w:after="0" w:line="240" w:lineRule="auto"/>
              <w:jc w:val="center"/>
              <w:rPr>
                <w:rFonts w:ascii="Garamond" w:eastAsia="MS PMincho" w:hAnsi="Garamond" w:cs="Arial"/>
                <w:b/>
                <w:color w:val="44546A"/>
                <w:sz w:val="26"/>
                <w:szCs w:val="26"/>
              </w:rPr>
            </w:pPr>
            <w:r w:rsidRPr="008D7DD4">
              <w:rPr>
                <w:rFonts w:ascii="Garamond" w:eastAsia="MS PMincho" w:hAnsi="Garamond" w:cs="Arial"/>
                <w:b/>
                <w:color w:val="44546A"/>
                <w:sz w:val="26"/>
                <w:szCs w:val="26"/>
              </w:rPr>
              <w:t>Vpliv na zaposlene</w:t>
            </w:r>
          </w:p>
        </w:tc>
      </w:tr>
      <w:tr w:rsidR="008D7DD4" w:rsidRPr="008D7DD4" w14:paraId="1B655F53" w14:textId="77777777" w:rsidTr="008D7DD4">
        <w:trPr>
          <w:trHeight w:val="87"/>
        </w:trPr>
        <w:tc>
          <w:tcPr>
            <w:tcW w:w="9395" w:type="dxa"/>
            <w:gridSpan w:val="5"/>
            <w:tcBorders>
              <w:top w:val="single" w:sz="4" w:space="0" w:color="auto"/>
              <w:left w:val="single" w:sz="4" w:space="0" w:color="auto"/>
              <w:bottom w:val="single" w:sz="4" w:space="0" w:color="auto"/>
              <w:right w:val="single" w:sz="4" w:space="0" w:color="auto"/>
            </w:tcBorders>
            <w:shd w:val="clear" w:color="000000" w:fill="E2EFD9"/>
            <w:tcMar>
              <w:top w:w="15" w:type="dxa"/>
              <w:left w:w="15" w:type="dxa"/>
              <w:bottom w:w="0" w:type="dxa"/>
              <w:right w:w="15" w:type="dxa"/>
            </w:tcMar>
            <w:vAlign w:val="bottom"/>
          </w:tcPr>
          <w:p w14:paraId="18EB7147"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6"/>
                <w:szCs w:val="26"/>
              </w:rPr>
              <w:t>Predlogi na davčnem področju</w:t>
            </w:r>
          </w:p>
        </w:tc>
      </w:tr>
      <w:tr w:rsidR="008D7DD4" w:rsidRPr="008D7DD4" w14:paraId="6F3E2C92" w14:textId="77777777" w:rsidTr="003D463E">
        <w:trPr>
          <w:trHeight w:val="87"/>
        </w:trPr>
        <w:tc>
          <w:tcPr>
            <w:tcW w:w="43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B06C547"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uvedba davka na stanovanjske nepremičnine</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CAEB43"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6</w:t>
            </w:r>
            <w:r w:rsidR="00800073">
              <w:rPr>
                <w:rFonts w:ascii="Garamond" w:eastAsia="MS PMincho" w:hAnsi="Garamond" w:cs="Arial"/>
                <w:b/>
                <w:color w:val="44546A"/>
                <w:sz w:val="28"/>
                <w:szCs w:val="20"/>
              </w:rPr>
              <w:t>0</w:t>
            </w:r>
            <w:r w:rsidRPr="008D7DD4">
              <w:rPr>
                <w:rFonts w:ascii="Garamond" w:eastAsia="MS PMincho" w:hAnsi="Garamond" w:cs="Arial"/>
                <w:b/>
                <w:color w:val="44546A"/>
                <w:sz w:val="28"/>
                <w:szCs w:val="20"/>
              </w:rPr>
              <w:t>0</w:t>
            </w: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1CB06B91"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71B67D4"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6AF4C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8"/>
                <w:szCs w:val="20"/>
              </w:rPr>
              <w:t> </w:t>
            </w:r>
          </w:p>
        </w:tc>
      </w:tr>
      <w:tr w:rsidR="008D7DD4" w:rsidRPr="008D7DD4" w14:paraId="0C10A1DA" w14:textId="77777777" w:rsidTr="003D463E">
        <w:trPr>
          <w:trHeight w:val="186"/>
        </w:trPr>
        <w:tc>
          <w:tcPr>
            <w:tcW w:w="43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40BD8C"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 xml:space="preserve">uvedba </w:t>
            </w:r>
            <w:proofErr w:type="spellStart"/>
            <w:r w:rsidRPr="008D7DD4">
              <w:rPr>
                <w:rFonts w:ascii="Garamond" w:eastAsia="MS PMincho" w:hAnsi="Garamond" w:cs="Arial"/>
                <w:b/>
                <w:color w:val="44546A"/>
                <w:sz w:val="26"/>
                <w:szCs w:val="26"/>
              </w:rPr>
              <w:t>t.i</w:t>
            </w:r>
            <w:proofErr w:type="spellEnd"/>
            <w:r w:rsidRPr="008D7DD4">
              <w:rPr>
                <w:rFonts w:ascii="Garamond" w:eastAsia="MS PMincho" w:hAnsi="Garamond" w:cs="Arial"/>
                <w:b/>
                <w:color w:val="44546A"/>
                <w:sz w:val="26"/>
                <w:szCs w:val="26"/>
              </w:rPr>
              <w:t xml:space="preserve">. in </w:t>
            </w:r>
            <w:proofErr w:type="spellStart"/>
            <w:r w:rsidRPr="008D7DD4">
              <w:rPr>
                <w:rFonts w:ascii="Garamond" w:eastAsia="MS PMincho" w:hAnsi="Garamond" w:cs="Arial"/>
                <w:b/>
                <w:color w:val="44546A"/>
                <w:sz w:val="26"/>
                <w:szCs w:val="26"/>
              </w:rPr>
              <w:t>work</w:t>
            </w:r>
            <w:proofErr w:type="spellEnd"/>
            <w:r w:rsidRPr="008D7DD4">
              <w:rPr>
                <w:rFonts w:ascii="Garamond" w:eastAsia="MS PMincho" w:hAnsi="Garamond" w:cs="Arial"/>
                <w:b/>
                <w:color w:val="44546A"/>
                <w:sz w:val="26"/>
                <w:szCs w:val="26"/>
              </w:rPr>
              <w:t xml:space="preserve"> olajšave</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31B47BE7"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-400</w:t>
            </w: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tcPr>
          <w:p w14:paraId="740210CD"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0E4B780B"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49034F"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r>
      <w:tr w:rsidR="008D7DD4" w:rsidRPr="008D7DD4" w14:paraId="75AC8549" w14:textId="77777777" w:rsidTr="003D463E">
        <w:trPr>
          <w:trHeight w:val="186"/>
        </w:trPr>
        <w:tc>
          <w:tcPr>
            <w:tcW w:w="43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51DEBDB"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 xml:space="preserve">spremembe dohodninskih razredov in </w:t>
            </w:r>
            <w:r w:rsidR="002F724F">
              <w:rPr>
                <w:rFonts w:ascii="Garamond" w:eastAsia="MS PMincho" w:hAnsi="Garamond" w:cs="Arial"/>
                <w:b/>
                <w:color w:val="44546A"/>
                <w:sz w:val="26"/>
                <w:szCs w:val="26"/>
              </w:rPr>
              <w:t>stopenj</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17EE199A"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-200</w:t>
            </w: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tcPr>
          <w:p w14:paraId="2458E69D"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0193DB52"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519ACE" w14:textId="77777777" w:rsidR="008D7DD4" w:rsidRPr="008D7DD4" w:rsidRDefault="008D7DD4" w:rsidP="008D7DD4">
            <w:pPr>
              <w:spacing w:after="0" w:line="240" w:lineRule="auto"/>
              <w:jc w:val="right"/>
              <w:rPr>
                <w:rFonts w:ascii="Garamond" w:eastAsia="MS PMincho" w:hAnsi="Garamond" w:cs="Arial"/>
                <w:b/>
                <w:color w:val="44546A"/>
                <w:sz w:val="28"/>
                <w:szCs w:val="20"/>
              </w:rPr>
            </w:pPr>
          </w:p>
        </w:tc>
      </w:tr>
      <w:tr w:rsidR="008D7DD4" w:rsidRPr="008D7DD4" w14:paraId="7AF41C86" w14:textId="77777777" w:rsidTr="008D7DD4">
        <w:trPr>
          <w:trHeight w:val="295"/>
        </w:trPr>
        <w:tc>
          <w:tcPr>
            <w:tcW w:w="9395" w:type="dxa"/>
            <w:gridSpan w:val="5"/>
            <w:tcBorders>
              <w:top w:val="single" w:sz="4" w:space="0" w:color="auto"/>
              <w:left w:val="single" w:sz="4" w:space="0" w:color="auto"/>
              <w:bottom w:val="single" w:sz="4" w:space="0" w:color="auto"/>
              <w:right w:val="single" w:sz="4" w:space="0" w:color="auto"/>
            </w:tcBorders>
            <w:shd w:val="clear" w:color="auto" w:fill="E2EFD9"/>
            <w:tcMar>
              <w:top w:w="15" w:type="dxa"/>
              <w:left w:w="15" w:type="dxa"/>
              <w:bottom w:w="0" w:type="dxa"/>
              <w:right w:w="15" w:type="dxa"/>
            </w:tcMar>
            <w:vAlign w:val="bottom"/>
          </w:tcPr>
          <w:p w14:paraId="76822C8D" w14:textId="77777777" w:rsidR="008D7DD4" w:rsidRPr="008D7DD4" w:rsidRDefault="008D7DD4" w:rsidP="008D7DD4">
            <w:pPr>
              <w:spacing w:after="0" w:line="240" w:lineRule="auto"/>
              <w:rPr>
                <w:rFonts w:ascii="Garamond" w:eastAsia="MS PMincho" w:hAnsi="Garamond" w:cs="Arial"/>
                <w:b/>
                <w:color w:val="44546A"/>
                <w:sz w:val="28"/>
                <w:szCs w:val="20"/>
              </w:rPr>
            </w:pPr>
            <w:r w:rsidRPr="008D7DD4">
              <w:rPr>
                <w:rFonts w:ascii="Garamond" w:eastAsia="MS PMincho" w:hAnsi="Garamond" w:cs="Arial"/>
                <w:b/>
                <w:color w:val="44546A"/>
                <w:sz w:val="26"/>
                <w:szCs w:val="26"/>
              </w:rPr>
              <w:t>Predlogi na področju socialnih zavarovanj</w:t>
            </w:r>
          </w:p>
        </w:tc>
      </w:tr>
      <w:tr w:rsidR="008D7DD4" w:rsidRPr="008D7DD4" w14:paraId="6CCE5440" w14:textId="77777777" w:rsidTr="003D463E">
        <w:trPr>
          <w:trHeight w:val="186"/>
        </w:trPr>
        <w:tc>
          <w:tcPr>
            <w:tcW w:w="43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F731E7" w14:textId="77777777" w:rsidR="008D7DD4" w:rsidRPr="008D7DD4" w:rsidRDefault="008D7DD4" w:rsidP="008D7DD4">
            <w:pPr>
              <w:spacing w:after="0" w:line="240" w:lineRule="auto"/>
              <w:rPr>
                <w:rFonts w:ascii="Garamond" w:eastAsia="MS PMincho" w:hAnsi="Garamond" w:cs="Arial"/>
                <w:b/>
                <w:color w:val="44546A"/>
                <w:sz w:val="26"/>
                <w:szCs w:val="26"/>
              </w:rPr>
            </w:pPr>
            <w:r w:rsidRPr="008D7DD4">
              <w:rPr>
                <w:rFonts w:ascii="Garamond" w:eastAsia="MS PMincho" w:hAnsi="Garamond" w:cs="Arial"/>
                <w:b/>
                <w:color w:val="44546A"/>
                <w:sz w:val="26"/>
                <w:szCs w:val="26"/>
              </w:rPr>
              <w:t>uvedba prispevka za dolgotrajno oskrbo</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209B8"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-60</w:t>
            </w: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177B7E10"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12</w:t>
            </w: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779FE859"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310</w:t>
            </w: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18DEB" w14:textId="77777777" w:rsidR="008D7DD4" w:rsidRPr="008D7DD4" w:rsidRDefault="008D7DD4" w:rsidP="008D7DD4">
            <w:pPr>
              <w:spacing w:after="0" w:line="240" w:lineRule="auto"/>
              <w:jc w:val="right"/>
              <w:rPr>
                <w:rFonts w:ascii="Garamond" w:eastAsia="MS PMincho" w:hAnsi="Garamond" w:cs="Arial"/>
                <w:b/>
                <w:color w:val="44546A"/>
                <w:sz w:val="28"/>
                <w:szCs w:val="20"/>
              </w:rPr>
            </w:pPr>
            <w:r w:rsidRPr="008D7DD4">
              <w:rPr>
                <w:rFonts w:ascii="Garamond" w:eastAsia="MS PMincho" w:hAnsi="Garamond" w:cs="Arial"/>
                <w:b/>
                <w:color w:val="44546A"/>
                <w:sz w:val="28"/>
                <w:szCs w:val="20"/>
              </w:rPr>
              <w:t>310</w:t>
            </w:r>
          </w:p>
        </w:tc>
      </w:tr>
      <w:tr w:rsidR="00A35B4A" w:rsidRPr="008D7DD4" w14:paraId="6B2EBC37" w14:textId="77777777" w:rsidTr="003D463E">
        <w:trPr>
          <w:trHeight w:val="186"/>
        </w:trPr>
        <w:tc>
          <w:tcPr>
            <w:tcW w:w="43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282F9F6" w14:textId="77777777" w:rsidR="00A35B4A" w:rsidRPr="008D7DD4" w:rsidRDefault="00A35B4A" w:rsidP="00A35B4A">
            <w:pPr>
              <w:spacing w:after="0" w:line="240" w:lineRule="auto"/>
              <w:rPr>
                <w:rFonts w:ascii="Garamond" w:eastAsia="MS PMincho" w:hAnsi="Garamond" w:cs="Arial"/>
                <w:b/>
                <w:color w:val="44546A"/>
                <w:sz w:val="26"/>
                <w:szCs w:val="26"/>
              </w:rPr>
            </w:pPr>
            <w:r w:rsidRPr="00A35B4A">
              <w:rPr>
                <w:rFonts w:ascii="Garamond" w:eastAsia="MS PMincho" w:hAnsi="Garamond" w:cs="Arial"/>
                <w:b/>
                <w:color w:val="44546A"/>
                <w:sz w:val="26"/>
                <w:szCs w:val="26"/>
              </w:rPr>
              <w:t>morebitno prestrukturiranje prispevka za pokojninsko in invalidsko zavarovanje</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35BC1C9F"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tcPr>
          <w:p w14:paraId="0CA2D9D4"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E8B5A3A"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115676"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r>
      <w:tr w:rsidR="00A35B4A" w:rsidRPr="008D7DD4" w14:paraId="618AC167" w14:textId="77777777" w:rsidTr="003D463E">
        <w:trPr>
          <w:trHeight w:val="186"/>
        </w:trPr>
        <w:tc>
          <w:tcPr>
            <w:tcW w:w="43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AF77187" w14:textId="77777777" w:rsidR="00A35B4A" w:rsidRPr="008D7DD4" w:rsidRDefault="00A35B4A" w:rsidP="008D7DD4">
            <w:pPr>
              <w:spacing w:after="0" w:line="240" w:lineRule="auto"/>
              <w:rPr>
                <w:rFonts w:ascii="Garamond" w:eastAsia="MS PMincho" w:hAnsi="Garamond" w:cs="Arial"/>
                <w:b/>
                <w:color w:val="44546A"/>
                <w:sz w:val="26"/>
                <w:szCs w:val="26"/>
              </w:rPr>
            </w:pPr>
            <w:r w:rsidRPr="00A35B4A">
              <w:rPr>
                <w:rFonts w:ascii="Garamond" w:eastAsia="MS PMincho" w:hAnsi="Garamond" w:cs="Arial"/>
                <w:b/>
                <w:color w:val="44546A"/>
                <w:sz w:val="26"/>
                <w:szCs w:val="26"/>
              </w:rPr>
              <w:t>morebitno prestrukturiranje obveznega zdravstvenega prispevka v stopnjo</w:t>
            </w:r>
          </w:p>
        </w:tc>
        <w:tc>
          <w:tcPr>
            <w:tcW w:w="118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01CB4973"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143"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tcPr>
          <w:p w14:paraId="6ECD6890"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42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9314776"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8F610B" w14:textId="77777777" w:rsidR="00A35B4A" w:rsidRPr="008D7DD4" w:rsidRDefault="00A35B4A" w:rsidP="008D7DD4">
            <w:pPr>
              <w:spacing w:after="0" w:line="240" w:lineRule="auto"/>
              <w:jc w:val="right"/>
              <w:rPr>
                <w:rFonts w:ascii="Garamond" w:eastAsia="MS PMincho" w:hAnsi="Garamond" w:cs="Arial"/>
                <w:b/>
                <w:color w:val="44546A"/>
                <w:sz w:val="28"/>
                <w:szCs w:val="20"/>
              </w:rPr>
            </w:pPr>
          </w:p>
        </w:tc>
      </w:tr>
    </w:tbl>
    <w:p w14:paraId="232A8787" w14:textId="77777777" w:rsidR="008D7DD4" w:rsidRPr="008D7DD4" w:rsidRDefault="008D7DD4" w:rsidP="008D7DD4">
      <w:pPr>
        <w:spacing w:after="0"/>
        <w:rPr>
          <w:rFonts w:ascii="Garamond" w:eastAsia="MS PMincho" w:hAnsi="Garamond" w:cs="Arial"/>
          <w:b/>
          <w:color w:val="44546A"/>
          <w:sz w:val="28"/>
          <w:szCs w:val="20"/>
        </w:rPr>
      </w:pPr>
      <w:r w:rsidRPr="008D7DD4">
        <w:rPr>
          <w:rFonts w:ascii="Garamond" w:eastAsia="MS PMincho" w:hAnsi="Garamond" w:cs="Arial"/>
          <w:b/>
          <w:i/>
          <w:iCs/>
          <w:color w:val="44546A"/>
          <w:sz w:val="18"/>
          <w:szCs w:val="18"/>
        </w:rPr>
        <w:t xml:space="preserve"> Vir: Lastni preračuni MF</w:t>
      </w:r>
    </w:p>
    <w:p w14:paraId="319E0A3B" w14:textId="77777777" w:rsidR="008D7DD4" w:rsidRPr="008D7DD4" w:rsidRDefault="008D7DD4" w:rsidP="008D7DD4">
      <w:pPr>
        <w:spacing w:after="0"/>
        <w:jc w:val="center"/>
        <w:rPr>
          <w:rFonts w:ascii="Garamond" w:eastAsia="MS PMincho" w:hAnsi="Garamond" w:cs="Arial"/>
          <w:b/>
          <w:color w:val="44546A"/>
          <w:sz w:val="48"/>
          <w:szCs w:val="48"/>
        </w:rPr>
        <w:sectPr w:rsidR="008D7DD4" w:rsidRPr="008D7DD4" w:rsidSect="008D7DD4">
          <w:footerReference w:type="default" r:id="rId17"/>
          <w:pgSz w:w="11900" w:h="16840" w:code="9"/>
          <w:pgMar w:top="851" w:right="1021" w:bottom="1559" w:left="1021" w:header="0" w:footer="794" w:gutter="0"/>
          <w:cols w:space="708"/>
          <w:docGrid w:linePitch="326"/>
        </w:sectPr>
      </w:pPr>
    </w:p>
    <w:p w14:paraId="16FB3827" w14:textId="77777777" w:rsidR="008D7DD4" w:rsidRPr="008D7DD4" w:rsidRDefault="008D7DD4" w:rsidP="00CA45CC">
      <w:pPr>
        <w:numPr>
          <w:ilvl w:val="0"/>
          <w:numId w:val="6"/>
        </w:numPr>
        <w:pBdr>
          <w:top w:val="single" w:sz="4" w:space="10" w:color="4472C4"/>
          <w:bottom w:val="single" w:sz="4" w:space="10" w:color="4472C4"/>
        </w:pBdr>
        <w:tabs>
          <w:tab w:val="num" w:pos="360"/>
        </w:tabs>
        <w:spacing w:before="360" w:after="360" w:line="259" w:lineRule="auto"/>
        <w:ind w:left="864" w:right="864" w:firstLine="0"/>
        <w:jc w:val="center"/>
        <w:rPr>
          <w:rFonts w:ascii="Times New Roman" w:eastAsia="Garamond" w:hAnsi="Times New Roman"/>
          <w:b/>
          <w:i/>
          <w:iCs/>
          <w:color w:val="4472C4"/>
          <w:kern w:val="2"/>
          <w:sz w:val="32"/>
          <w:szCs w:val="32"/>
          <w:lang w:eastAsia="sl-SI"/>
        </w:rPr>
      </w:pPr>
      <w:r w:rsidRPr="008D7DD4">
        <w:rPr>
          <w:rFonts w:ascii="Times New Roman" w:eastAsia="Garamond" w:hAnsi="Times New Roman"/>
          <w:b/>
          <w:i/>
          <w:iCs/>
          <w:color w:val="4472C4"/>
          <w:kern w:val="2"/>
          <w:sz w:val="32"/>
          <w:szCs w:val="32"/>
          <w:lang w:eastAsia="sl-SI"/>
        </w:rPr>
        <w:lastRenderedPageBreak/>
        <w:t>Možnosti v smeri razbremenitve dela</w:t>
      </w:r>
    </w:p>
    <w:p w14:paraId="3EA5E4EB"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Možne smeri pri iskanju ukrepov na strani razbremenitve dela </w:t>
      </w:r>
      <w:r w:rsidR="00646A1D">
        <w:rPr>
          <w:rFonts w:ascii="Garamond" w:eastAsia="MS PMincho" w:hAnsi="Garamond" w:cs="Arial"/>
          <w:b/>
          <w:color w:val="44546A"/>
          <w:sz w:val="28"/>
          <w:szCs w:val="20"/>
        </w:rPr>
        <w:t>predstavljajo</w:t>
      </w:r>
      <w:r w:rsidRPr="008D7DD4">
        <w:rPr>
          <w:rFonts w:ascii="Garamond" w:eastAsia="MS PMincho" w:hAnsi="Garamond" w:cs="Arial"/>
          <w:b/>
          <w:color w:val="44546A"/>
          <w:sz w:val="28"/>
          <w:szCs w:val="20"/>
        </w:rPr>
        <w:t xml:space="preserve"> prispevek k zagotavljanju konkurenčnosti gospodarstva, spodbujanje zaposlovanja ter nenazadnje izboljšanje neto razpoložljivega dohodka, kar neposredno vpliva na življenje posameznikov. Ob tem je ključnega pomena, da ukrepi ne ogrozijo ravnovesja v javnih financah, temveč prispevajo k dolgoročni fiskalni vzdržnosti. </w:t>
      </w:r>
    </w:p>
    <w:p w14:paraId="7D4BE069" w14:textId="77777777" w:rsidR="008D7DD4" w:rsidRPr="008D7DD4" w:rsidRDefault="008D7DD4" w:rsidP="008D7DD4">
      <w:pPr>
        <w:spacing w:after="0"/>
        <w:jc w:val="both"/>
        <w:rPr>
          <w:rFonts w:ascii="Garamond" w:eastAsia="MS PMincho" w:hAnsi="Garamond" w:cs="Arial"/>
          <w:b/>
          <w:color w:val="44546A"/>
          <w:sz w:val="28"/>
          <w:szCs w:val="20"/>
        </w:rPr>
      </w:pPr>
    </w:p>
    <w:p w14:paraId="62ED2290"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Med možnimi ukrepi se predlaga kombinacija različnih ukrepov, s katerimi se zasleduje razbremenitvi dohodkov iz delovnega razmerja ter se tako spodbuja zaposlovanje. Obenem pa je pomembno, da se z dodatnimi ukrepi in bolj enakomerno razporeditvijo bremen poskrbi tudi za razbremenitev srednjega in višjega razreda, saj gre za dohodkovne skupine, kjer trenutno velja zelo visoka obremenitev, kar ne samo omejuje motivacijo za dodatno doseganje dohodkov temveč tudi otežuje gospodarstvu privabljanje in zadrževanje visoko kvalificiranih kadrov.</w:t>
      </w:r>
    </w:p>
    <w:p w14:paraId="3E53E96C" w14:textId="77777777" w:rsidR="008D7DD4" w:rsidRPr="008D7DD4" w:rsidRDefault="008D7DD4" w:rsidP="008D7DD4">
      <w:pPr>
        <w:spacing w:after="0"/>
        <w:jc w:val="both"/>
        <w:rPr>
          <w:rFonts w:ascii="Garamond" w:eastAsia="MS PMincho" w:hAnsi="Garamond" w:cs="Arial"/>
          <w:b/>
          <w:color w:val="44546A"/>
          <w:sz w:val="28"/>
          <w:szCs w:val="20"/>
        </w:rPr>
      </w:pPr>
    </w:p>
    <w:p w14:paraId="342E986C" w14:textId="77777777" w:rsidR="008D7DD4" w:rsidRPr="008D7DD4" w:rsidRDefault="008D7DD4" w:rsidP="002F724F">
      <w:pPr>
        <w:spacing w:after="0"/>
        <w:jc w:val="both"/>
        <w:rPr>
          <w:rFonts w:ascii="Garamond" w:eastAsia="MS PMincho" w:hAnsi="Garamond" w:cs="Arial"/>
          <w:b/>
          <w:color w:val="44546A"/>
          <w:sz w:val="28"/>
          <w:szCs w:val="20"/>
        </w:rPr>
      </w:pPr>
      <w:bookmarkStart w:id="8" w:name="_Hlk185595721"/>
      <w:r w:rsidRPr="008D7DD4">
        <w:rPr>
          <w:rFonts w:ascii="Garamond" w:eastAsia="MS PMincho" w:hAnsi="Garamond" w:cs="Arial"/>
          <w:b/>
          <w:color w:val="44546A"/>
          <w:sz w:val="28"/>
          <w:szCs w:val="20"/>
        </w:rPr>
        <w:t>Možni ukrepi v smeri razbremenitve dela so:</w:t>
      </w:r>
    </w:p>
    <w:p w14:paraId="7A9A25F2" w14:textId="77777777" w:rsidR="008D7DD4" w:rsidRPr="008D7DD4" w:rsidRDefault="008D7DD4" w:rsidP="00CA45CC">
      <w:pPr>
        <w:numPr>
          <w:ilvl w:val="0"/>
          <w:numId w:val="9"/>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uvedba posebne osebne olajšave za dohodke iz delovnega razmerja (</w:t>
      </w:r>
      <w:proofErr w:type="spellStart"/>
      <w:r w:rsidRPr="008D7DD4">
        <w:rPr>
          <w:rFonts w:ascii="Garamond" w:eastAsia="MS PMincho" w:hAnsi="Garamond" w:cs="Arial"/>
          <w:b/>
          <w:color w:val="44546A"/>
          <w:sz w:val="28"/>
          <w:szCs w:val="20"/>
        </w:rPr>
        <w:t>t.i</w:t>
      </w:r>
      <w:proofErr w:type="spellEnd"/>
      <w:r w:rsidRPr="008D7DD4">
        <w:rPr>
          <w:rFonts w:ascii="Garamond" w:eastAsia="MS PMincho" w:hAnsi="Garamond" w:cs="Arial"/>
          <w:b/>
          <w:color w:val="44546A"/>
          <w:sz w:val="28"/>
          <w:szCs w:val="20"/>
        </w:rPr>
        <w:t>. in-</w:t>
      </w:r>
      <w:proofErr w:type="spellStart"/>
      <w:r w:rsidRPr="008D7DD4">
        <w:rPr>
          <w:rFonts w:ascii="Garamond" w:eastAsia="MS PMincho" w:hAnsi="Garamond" w:cs="Arial"/>
          <w:b/>
          <w:color w:val="44546A"/>
          <w:sz w:val="28"/>
          <w:szCs w:val="20"/>
        </w:rPr>
        <w:t>work</w:t>
      </w:r>
      <w:proofErr w:type="spellEnd"/>
      <w:r w:rsidRPr="008D7DD4">
        <w:rPr>
          <w:rFonts w:ascii="Garamond" w:eastAsia="MS PMincho" w:hAnsi="Garamond" w:cs="Arial"/>
          <w:b/>
          <w:color w:val="44546A"/>
          <w:sz w:val="28"/>
          <w:szCs w:val="20"/>
        </w:rPr>
        <w:t xml:space="preserve"> olajšava – primeroma v obliki znižanja davčne osnove v višini 2.000 evrov letno) in je po veljavni ureditvi primerljiva olajšavi</w:t>
      </w:r>
      <w:r w:rsidR="007C5F5E">
        <w:rPr>
          <w:rFonts w:ascii="Garamond" w:eastAsia="MS PMincho" w:hAnsi="Garamond" w:cs="Arial"/>
          <w:b/>
          <w:color w:val="44546A"/>
          <w:sz w:val="28"/>
          <w:szCs w:val="20"/>
        </w:rPr>
        <w:t>,</w:t>
      </w:r>
      <w:r w:rsidRPr="008D7DD4">
        <w:rPr>
          <w:rFonts w:ascii="Garamond" w:eastAsia="MS PMincho" w:hAnsi="Garamond" w:cs="Arial"/>
          <w:b/>
          <w:color w:val="44546A"/>
          <w:sz w:val="28"/>
          <w:szCs w:val="20"/>
        </w:rPr>
        <w:t xml:space="preserve"> namenjeni mladim do dopolnjenega 29. leta starosti;</w:t>
      </w:r>
    </w:p>
    <w:p w14:paraId="06AEB665" w14:textId="77777777" w:rsidR="008D7DD4" w:rsidRPr="008D7DD4" w:rsidRDefault="008D7DD4" w:rsidP="00CA45CC">
      <w:pPr>
        <w:numPr>
          <w:ilvl w:val="0"/>
          <w:numId w:val="9"/>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spremembe dohodninske lestvice</w:t>
      </w:r>
      <w:r w:rsidR="002F724F">
        <w:rPr>
          <w:rFonts w:ascii="Garamond" w:eastAsia="MS PMincho" w:hAnsi="Garamond" w:cs="Arial"/>
          <w:b/>
          <w:color w:val="44546A"/>
          <w:sz w:val="28"/>
          <w:szCs w:val="20"/>
        </w:rPr>
        <w:t xml:space="preserve"> in stopenj dohodnine</w:t>
      </w:r>
      <w:r w:rsidRPr="008D7DD4">
        <w:rPr>
          <w:rFonts w:ascii="Garamond" w:eastAsia="MS PMincho" w:hAnsi="Garamond" w:cs="Arial"/>
          <w:b/>
          <w:color w:val="44546A"/>
          <w:sz w:val="28"/>
          <w:szCs w:val="20"/>
        </w:rPr>
        <w:t>:</w:t>
      </w:r>
    </w:p>
    <w:p w14:paraId="7797EF5E" w14:textId="77777777" w:rsidR="008D7DD4" w:rsidRPr="008D7DD4" w:rsidRDefault="008D7DD4" w:rsidP="00CA45CC">
      <w:pPr>
        <w:numPr>
          <w:ilvl w:val="0"/>
          <w:numId w:val="14"/>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prilagoditev dohodninskih razredov in stopenj za razbremenitev srednjega in višjega razreda, </w:t>
      </w:r>
    </w:p>
    <w:p w14:paraId="1AC6EF93" w14:textId="77777777" w:rsidR="008D7DD4" w:rsidRPr="008D7DD4" w:rsidRDefault="008D7DD4" w:rsidP="00CA45CC">
      <w:pPr>
        <w:numPr>
          <w:ilvl w:val="0"/>
          <w:numId w:val="14"/>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znižanja stopnje dohodnine v zadnjem davčnem razredu (primeroma s 50 % na 43 %), </w:t>
      </w:r>
    </w:p>
    <w:p w14:paraId="5CE188C8" w14:textId="77777777" w:rsidR="008D7DD4" w:rsidRPr="008D7DD4" w:rsidRDefault="008D7DD4" w:rsidP="00CA45CC">
      <w:pPr>
        <w:numPr>
          <w:ilvl w:val="0"/>
          <w:numId w:val="14"/>
        </w:numPr>
        <w:spacing w:after="0"/>
        <w:contextualSpacing/>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uvedbe dodatnega davčnega razreda z nižjo davčno stopnjo (primeroma nad 500.000 evrov davčne osnove se uvede stopnja 20 %).</w:t>
      </w:r>
    </w:p>
    <w:bookmarkEnd w:id="8"/>
    <w:p w14:paraId="53494B34" w14:textId="77777777" w:rsidR="008D7DD4" w:rsidRPr="008D7DD4" w:rsidRDefault="008D7DD4" w:rsidP="002F724F">
      <w:pPr>
        <w:spacing w:after="0"/>
        <w:jc w:val="both"/>
        <w:rPr>
          <w:rFonts w:ascii="Garamond" w:eastAsia="MS PMincho" w:hAnsi="Garamond" w:cs="Arial"/>
          <w:b/>
          <w:color w:val="44546A"/>
          <w:sz w:val="28"/>
          <w:szCs w:val="20"/>
        </w:rPr>
      </w:pPr>
    </w:p>
    <w:p w14:paraId="3DD6EEF8"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Z vidika mednarodne konkurenčnosti in mednarodne primerjave davčnega primeža, ob upoštevanju metodologije OECD, bi z uvedbo zgolj </w:t>
      </w:r>
      <w:proofErr w:type="spellStart"/>
      <w:r w:rsidRPr="008D7DD4">
        <w:rPr>
          <w:rFonts w:ascii="Garamond" w:eastAsia="MS PMincho" w:hAnsi="Garamond" w:cs="Arial"/>
          <w:b/>
          <w:color w:val="44546A"/>
          <w:sz w:val="28"/>
          <w:szCs w:val="20"/>
        </w:rPr>
        <w:t>t.i</w:t>
      </w:r>
      <w:proofErr w:type="spellEnd"/>
      <w:r w:rsidRPr="008D7DD4">
        <w:rPr>
          <w:rFonts w:ascii="Garamond" w:eastAsia="MS PMincho" w:hAnsi="Garamond" w:cs="Arial"/>
          <w:b/>
          <w:color w:val="44546A"/>
          <w:sz w:val="28"/>
          <w:szCs w:val="20"/>
        </w:rPr>
        <w:t>. in-</w:t>
      </w:r>
      <w:proofErr w:type="spellStart"/>
      <w:r w:rsidRPr="008D7DD4">
        <w:rPr>
          <w:rFonts w:ascii="Garamond" w:eastAsia="MS PMincho" w:hAnsi="Garamond" w:cs="Arial"/>
          <w:b/>
          <w:color w:val="44546A"/>
          <w:sz w:val="28"/>
          <w:szCs w:val="20"/>
        </w:rPr>
        <w:t>work</w:t>
      </w:r>
      <w:proofErr w:type="spellEnd"/>
      <w:r w:rsidRPr="008D7DD4">
        <w:rPr>
          <w:rFonts w:ascii="Garamond" w:eastAsia="MS PMincho" w:hAnsi="Garamond" w:cs="Arial"/>
          <w:b/>
          <w:color w:val="44546A"/>
          <w:sz w:val="28"/>
          <w:szCs w:val="20"/>
        </w:rPr>
        <w:t xml:space="preserve"> olajšave vplivali na zmanjšanje davčnega primeža. Trenutno pri samski osebi s povprečno plačo znaša davčni primež 43,3 %, medtem ko bi uveljavitev te olajšave znižala davčni primež, ob vseh ostalih nespremenjenih izhodiščih, na 41,6 %. Primerjalno s sosednjimi državami, bi se Slovenija približala Hrvaški, kjer </w:t>
      </w:r>
      <w:r w:rsidRPr="008D7DD4">
        <w:rPr>
          <w:rFonts w:ascii="Garamond" w:eastAsia="MS PMincho" w:hAnsi="Garamond" w:cs="Arial"/>
          <w:b/>
          <w:color w:val="44546A"/>
          <w:sz w:val="28"/>
          <w:szCs w:val="20"/>
        </w:rPr>
        <w:lastRenderedPageBreak/>
        <w:t>trenutno davčni primež znaša 40,3 %, v Italiji 45,1 % in Avstriji 47,3 %. Ob upoštevanju trenutnih podatkov in nespremenjenih razmer v preostalih državah, bi se z navedeno rešitvijo Slovenija uvrstila na 10. mesto, skupaj s Slovaško, medtem ko danes dosega 7. mesto med državami OECD.</w:t>
      </w:r>
    </w:p>
    <w:p w14:paraId="799A7B34" w14:textId="77777777" w:rsidR="008D7DD4" w:rsidRPr="008D7DD4" w:rsidRDefault="008D7DD4" w:rsidP="008D7DD4">
      <w:pPr>
        <w:spacing w:after="0"/>
        <w:jc w:val="both"/>
        <w:rPr>
          <w:rFonts w:ascii="Garamond" w:eastAsia="MS PMincho" w:hAnsi="Garamond" w:cs="Arial"/>
          <w:b/>
          <w:color w:val="44546A"/>
          <w:sz w:val="28"/>
          <w:szCs w:val="20"/>
        </w:rPr>
      </w:pPr>
    </w:p>
    <w:p w14:paraId="3675754C"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Okvirno bi rešitev in-</w:t>
      </w:r>
      <w:proofErr w:type="spellStart"/>
      <w:r w:rsidRPr="008D7DD4">
        <w:rPr>
          <w:rFonts w:ascii="Garamond" w:eastAsia="MS PMincho" w:hAnsi="Garamond" w:cs="Arial"/>
          <w:b/>
          <w:color w:val="44546A"/>
          <w:sz w:val="28"/>
          <w:szCs w:val="20"/>
        </w:rPr>
        <w:t>work</w:t>
      </w:r>
      <w:proofErr w:type="spellEnd"/>
      <w:r w:rsidRPr="008D7DD4">
        <w:rPr>
          <w:rFonts w:ascii="Garamond" w:eastAsia="MS PMincho" w:hAnsi="Garamond" w:cs="Arial"/>
          <w:b/>
          <w:color w:val="44546A"/>
          <w:sz w:val="28"/>
          <w:szCs w:val="20"/>
        </w:rPr>
        <w:t xml:space="preserve"> olajšave v obliki znižanja davčne osnove v višini 2.000 evrov letno vplivala na znižanje javnofinančnih prihodkov – po oceni za okoli 400 mio evrov letno. S takim predlogom bi dosegli, da zavezanci, ki prejemajo dohodek približno do višine 13.420 evrov (mesečno 1.120 evrov) ne bi plačali dohodnine (ob upoštevanju veljavnega sistema za leto 2024 in uveljavljanju le splošne in dodatne splošne olajšave). Zaposlenega, ki prejme minimalno plačo, bi razbremenili za 320 evrov letno, medtem ko bi bila povprečna plača razbremenjena za okoli 520 evrov letno.</w:t>
      </w:r>
    </w:p>
    <w:p w14:paraId="5321C4BE" w14:textId="77777777" w:rsidR="008D7DD4" w:rsidRPr="008D7DD4" w:rsidRDefault="008D7DD4" w:rsidP="008D7DD4">
      <w:pPr>
        <w:spacing w:after="0"/>
        <w:jc w:val="both"/>
        <w:rPr>
          <w:rFonts w:ascii="Garamond" w:eastAsia="MS PMincho" w:hAnsi="Garamond" w:cs="Arial"/>
          <w:b/>
          <w:color w:val="44546A"/>
          <w:sz w:val="28"/>
          <w:szCs w:val="20"/>
        </w:rPr>
      </w:pPr>
    </w:p>
    <w:p w14:paraId="51858896" w14:textId="77777777" w:rsidR="008D7DD4" w:rsidRPr="008D7DD4" w:rsidRDefault="008D7DD4" w:rsidP="008D7DD4">
      <w:pPr>
        <w:spacing w:after="0"/>
        <w:jc w:val="both"/>
        <w:rPr>
          <w:rFonts w:ascii="Garamond" w:eastAsia="MS PMincho" w:hAnsi="Garamond" w:cs="Arial"/>
          <w:b/>
          <w:color w:val="44546A"/>
          <w:sz w:val="28"/>
          <w:szCs w:val="20"/>
        </w:rPr>
      </w:pPr>
      <w:r w:rsidRPr="008D7DD4">
        <w:rPr>
          <w:rFonts w:ascii="Garamond" w:eastAsia="MS PMincho" w:hAnsi="Garamond" w:cs="Arial"/>
          <w:b/>
          <w:color w:val="44546A"/>
          <w:sz w:val="28"/>
          <w:szCs w:val="20"/>
        </w:rPr>
        <w:t xml:space="preserve">Od višine sredstev, ki bi bila zbrana iz naslova obdavčitve stanovanjskih nepremičnin, so odvisni dodatni ukrepi na področju sprememb dohodninske lestvice v obliki sprememb davčnih stopenj in / ali sprememb davčnih razredov. S spremembo stopnje v zadnjem davčnem razredu (znižanje na 43 %) bi se javnofinančni prihodki </w:t>
      </w:r>
      <w:r w:rsidR="007C5F5E" w:rsidRPr="008D7DD4">
        <w:rPr>
          <w:rFonts w:ascii="Garamond" w:eastAsia="MS PMincho" w:hAnsi="Garamond" w:cs="Arial"/>
          <w:b/>
          <w:color w:val="44546A"/>
          <w:sz w:val="28"/>
          <w:szCs w:val="20"/>
        </w:rPr>
        <w:t xml:space="preserve">po oceni </w:t>
      </w:r>
      <w:r w:rsidRPr="008D7DD4">
        <w:rPr>
          <w:rFonts w:ascii="Garamond" w:eastAsia="MS PMincho" w:hAnsi="Garamond" w:cs="Arial"/>
          <w:b/>
          <w:color w:val="44546A"/>
          <w:sz w:val="28"/>
          <w:szCs w:val="20"/>
        </w:rPr>
        <w:t xml:space="preserve">znižali za okoli 27 mio evrov. V primeru zgolj uvedbe dodatnega davčnega razreda s stopnjo 20 % za davčno osnovo nad 500 tisoč evri, pa bi se javnofinančni prihodki </w:t>
      </w:r>
      <w:r w:rsidR="007C5F5E">
        <w:rPr>
          <w:rFonts w:ascii="Garamond" w:eastAsia="MS PMincho" w:hAnsi="Garamond" w:cs="Arial"/>
          <w:b/>
          <w:color w:val="44546A"/>
          <w:sz w:val="28"/>
          <w:szCs w:val="20"/>
        </w:rPr>
        <w:t>znižali</w:t>
      </w:r>
      <w:r w:rsidRPr="008D7DD4">
        <w:rPr>
          <w:rFonts w:ascii="Garamond" w:eastAsia="MS PMincho" w:hAnsi="Garamond" w:cs="Arial"/>
          <w:b/>
          <w:color w:val="44546A"/>
          <w:sz w:val="28"/>
          <w:szCs w:val="20"/>
        </w:rPr>
        <w:t xml:space="preserve"> za okoli 26 mio evrov.</w:t>
      </w:r>
    </w:p>
    <w:bookmarkEnd w:id="0"/>
    <w:p w14:paraId="0AD5BAFC" w14:textId="77777777" w:rsidR="008D7DD4" w:rsidRPr="008D7DD4" w:rsidRDefault="008D7DD4" w:rsidP="008D7DD4">
      <w:pPr>
        <w:spacing w:after="0"/>
        <w:jc w:val="both"/>
        <w:rPr>
          <w:rFonts w:ascii="Garamond" w:eastAsia="MS PMincho" w:hAnsi="Garamond" w:cs="Arial"/>
          <w:b/>
          <w:color w:val="44546A"/>
          <w:sz w:val="28"/>
          <w:szCs w:val="20"/>
        </w:rPr>
      </w:pPr>
    </w:p>
    <w:sectPr w:rsidR="008D7DD4" w:rsidRPr="008D7DD4" w:rsidSect="001D77D7">
      <w:pgSz w:w="11900" w:h="16840" w:code="9"/>
      <w:pgMar w:top="1106" w:right="1559" w:bottom="1134" w:left="890" w:header="142"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94D6" w14:textId="77777777" w:rsidR="004F4FF8" w:rsidRDefault="004F4FF8">
      <w:pPr>
        <w:spacing w:after="0" w:line="240" w:lineRule="auto"/>
      </w:pPr>
      <w:r>
        <w:separator/>
      </w:r>
    </w:p>
  </w:endnote>
  <w:endnote w:type="continuationSeparator" w:id="0">
    <w:p w14:paraId="0D07F6F0" w14:textId="77777777" w:rsidR="004F4FF8" w:rsidRDefault="004F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312D" w14:textId="77777777" w:rsidR="008D7DD4" w:rsidRPr="003D463E" w:rsidRDefault="008D7DD4">
    <w:pPr>
      <w:pStyle w:val="Noga"/>
      <w:jc w:val="center"/>
      <w:rPr>
        <w:rFonts w:ascii="Calibri" w:hAnsi="Calibri"/>
        <w:color w:val="4472C4"/>
      </w:rPr>
    </w:pPr>
    <w:r w:rsidRPr="003D463E">
      <w:rPr>
        <w:rFonts w:ascii="Calibri" w:hAnsi="Calibri"/>
        <w:color w:val="4472C4"/>
      </w:rPr>
      <w:fldChar w:fldCharType="begin"/>
    </w:r>
    <w:r w:rsidRPr="003D463E">
      <w:rPr>
        <w:rFonts w:ascii="Calibri" w:hAnsi="Calibri"/>
        <w:color w:val="4472C4"/>
      </w:rPr>
      <w:instrText>PAGE   \* MERGEFORMAT</w:instrText>
    </w:r>
    <w:r w:rsidRPr="003D463E">
      <w:rPr>
        <w:rFonts w:ascii="Calibri" w:hAnsi="Calibri"/>
        <w:color w:val="4472C4"/>
      </w:rPr>
      <w:fldChar w:fldCharType="separate"/>
    </w:r>
    <w:r w:rsidRPr="003D463E">
      <w:rPr>
        <w:rFonts w:ascii="Calibri" w:hAnsi="Calibri"/>
        <w:color w:val="4472C4"/>
      </w:rPr>
      <w:t>2</w:t>
    </w:r>
    <w:r w:rsidRPr="003D463E">
      <w:rPr>
        <w:rFonts w:ascii="Calibri" w:hAnsi="Calibri"/>
        <w:color w:val="4472C4"/>
      </w:rPr>
      <w:fldChar w:fldCharType="end"/>
    </w:r>
  </w:p>
  <w:p w14:paraId="4FF06F74" w14:textId="77777777" w:rsidR="008D7DD4" w:rsidRDefault="008D7DD4">
    <w:pPr>
      <w:pStyle w:val="Noga"/>
    </w:pPr>
  </w:p>
  <w:p w14:paraId="55F08264" w14:textId="77777777" w:rsidR="008D7DD4" w:rsidRDefault="008D7D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A152" w14:textId="77777777" w:rsidR="00C911FD" w:rsidRDefault="00C911FD">
    <w:pPr>
      <w:pStyle w:val="Noga"/>
      <w:jc w:val="center"/>
    </w:pPr>
    <w:r>
      <w:fldChar w:fldCharType="begin"/>
    </w:r>
    <w:r>
      <w:instrText xml:space="preserve"> PAGE   \* MERGEFORMAT </w:instrText>
    </w:r>
    <w:r>
      <w:fldChar w:fldCharType="separate"/>
    </w:r>
    <w:r>
      <w:rPr>
        <w:noProof/>
      </w:rPr>
      <w:t>2</w:t>
    </w:r>
    <w:r>
      <w:rPr>
        <w:noProof/>
      </w:rPr>
      <w:fldChar w:fldCharType="end"/>
    </w:r>
  </w:p>
  <w:p w14:paraId="66607C70" w14:textId="77777777" w:rsidR="00C911FD" w:rsidRDefault="00C911F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BF17" w14:textId="77777777" w:rsidR="008D7DD4" w:rsidRDefault="008D7DD4">
    <w:pPr>
      <w:pStyle w:val="Noga"/>
      <w:jc w:val="center"/>
    </w:pPr>
    <w:r w:rsidRPr="008D7DD4">
      <w:rPr>
        <w:rFonts w:ascii="Garamond" w:hAnsi="Garamond"/>
        <w:color w:val="4472C4"/>
      </w:rPr>
      <w:fldChar w:fldCharType="begin"/>
    </w:r>
    <w:r w:rsidRPr="008D7DD4">
      <w:rPr>
        <w:rFonts w:ascii="Garamond" w:hAnsi="Garamond"/>
        <w:color w:val="4472C4"/>
      </w:rPr>
      <w:instrText>PAGE   \* MERGEFORMAT</w:instrText>
    </w:r>
    <w:r w:rsidRPr="008D7DD4">
      <w:rPr>
        <w:rFonts w:ascii="Garamond" w:hAnsi="Garamond"/>
        <w:color w:val="4472C4"/>
      </w:rPr>
      <w:fldChar w:fldCharType="separate"/>
    </w:r>
    <w:r w:rsidRPr="008D7DD4">
      <w:rPr>
        <w:rFonts w:ascii="Garamond" w:hAnsi="Garamond"/>
        <w:color w:val="4472C4"/>
      </w:rPr>
      <w:t>2</w:t>
    </w:r>
    <w:r w:rsidRPr="008D7DD4">
      <w:rPr>
        <w:rFonts w:ascii="Garamond" w:hAnsi="Garamond"/>
        <w:color w:val="4472C4"/>
      </w:rPr>
      <w:fldChar w:fldCharType="end"/>
    </w:r>
  </w:p>
  <w:p w14:paraId="0B45D4D0" w14:textId="77777777" w:rsidR="008D7DD4" w:rsidRDefault="008D7DD4">
    <w:pPr>
      <w:pStyle w:val="Nog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0F34" w14:textId="77777777" w:rsidR="004F4FF8" w:rsidRDefault="004F4FF8">
      <w:pPr>
        <w:spacing w:after="0" w:line="240" w:lineRule="auto"/>
      </w:pPr>
      <w:r>
        <w:separator/>
      </w:r>
    </w:p>
  </w:footnote>
  <w:footnote w:type="continuationSeparator" w:id="0">
    <w:p w14:paraId="718A8050" w14:textId="77777777" w:rsidR="004F4FF8" w:rsidRDefault="004F4FF8">
      <w:pPr>
        <w:spacing w:after="0" w:line="240" w:lineRule="auto"/>
      </w:pPr>
      <w:r>
        <w:continuationSeparator/>
      </w:r>
    </w:p>
  </w:footnote>
  <w:footnote w:id="1">
    <w:p w14:paraId="238A6742" w14:textId="77777777" w:rsidR="008D7DD4" w:rsidRPr="008D7DD4" w:rsidRDefault="008D7DD4" w:rsidP="008D7DD4">
      <w:pPr>
        <w:pStyle w:val="Sprotnaopomba-besedilo"/>
        <w:jc w:val="both"/>
        <w:rPr>
          <w:rFonts w:ascii="Garamond" w:eastAsia="MS PMincho" w:hAnsi="Garamond" w:cs="Arial"/>
          <w:color w:val="44546A"/>
        </w:rPr>
      </w:pPr>
      <w:r w:rsidRPr="008D7DD4">
        <w:rPr>
          <w:rFonts w:ascii="Garamond" w:eastAsia="MS PMincho" w:hAnsi="Garamond" w:cs="Arial"/>
          <w:color w:val="44546A"/>
        </w:rPr>
        <w:footnoteRef/>
      </w:r>
      <w:r w:rsidRPr="008D7DD4">
        <w:rPr>
          <w:rFonts w:ascii="Garamond" w:eastAsia="MS PMincho" w:hAnsi="Garamond" w:cs="Arial"/>
          <w:color w:val="44546A"/>
        </w:rPr>
        <w:t xml:space="preserve"> Ocena je pripravljena na podlagi podatkov GURS o posplošenih vrednostih nepremičnin, stanje na dan 26. 4. 2024</w:t>
      </w:r>
      <w:r w:rsidR="0064429C">
        <w:rPr>
          <w:rFonts w:ascii="Garamond" w:eastAsia="MS PMincho" w:hAnsi="Garamond" w:cs="Arial"/>
          <w:color w:val="44546A"/>
        </w:rPr>
        <w:t>,</w:t>
      </w:r>
      <w:r w:rsidRPr="008D7DD4">
        <w:rPr>
          <w:rFonts w:ascii="Garamond" w:eastAsia="MS PMincho" w:hAnsi="Garamond" w:cs="Arial"/>
          <w:color w:val="44546A"/>
        </w:rPr>
        <w:t xml:space="preserve"> ter predpostavkah o rezidentstvu glede na število nepremičnin v lasti (v primeru lastništva 1 nepremičnine je upoštevano to stanovanje kot rezidenčno, medtem ko je pri lastništvu 2 ali več stanovanjskih nepremičnin ocenjena vrednost 1 stanovanjske nepremičnine kot rezidenčne).</w:t>
      </w:r>
    </w:p>
  </w:footnote>
  <w:footnote w:id="2">
    <w:p w14:paraId="0FA817F6" w14:textId="77777777" w:rsidR="008D7DD4" w:rsidRDefault="008D7DD4" w:rsidP="008D7DD4">
      <w:pPr>
        <w:pStyle w:val="Sprotnaopomba-besedilo"/>
        <w:jc w:val="both"/>
      </w:pPr>
      <w:r w:rsidRPr="008D7DD4">
        <w:rPr>
          <w:rFonts w:ascii="Garamond" w:eastAsia="MS PMincho" w:hAnsi="Garamond" w:cs="Arial"/>
          <w:color w:val="44546A"/>
        </w:rPr>
        <w:footnoteRef/>
      </w:r>
      <w:r w:rsidRPr="008D7DD4">
        <w:rPr>
          <w:rFonts w:ascii="Garamond" w:eastAsia="MS PMincho" w:hAnsi="Garamond" w:cs="Arial"/>
          <w:color w:val="44546A"/>
        </w:rPr>
        <w:t xml:space="preserve"> Ocena na podlagi podatkov o odmeri davka od dohodkov iz naslova oddajanja premoženja v najem za leto 2022, FURS.</w:t>
      </w:r>
    </w:p>
  </w:footnote>
  <w:footnote w:id="3">
    <w:p w14:paraId="3EABE8B2" w14:textId="77777777" w:rsidR="008D7DD4" w:rsidRPr="008D7DD4" w:rsidRDefault="008D7DD4" w:rsidP="008D7DD4">
      <w:pPr>
        <w:pStyle w:val="Sprotnaopomba-besedilo"/>
        <w:rPr>
          <w:rFonts w:ascii="Garamond" w:hAnsi="Garamond"/>
        </w:rPr>
      </w:pPr>
      <w:r w:rsidRPr="008D7DD4">
        <w:rPr>
          <w:rStyle w:val="Sprotnaopomba-sklic"/>
          <w:rFonts w:ascii="Garamond" w:hAnsi="Garamond"/>
          <w:color w:val="44546A"/>
        </w:rPr>
        <w:footnoteRef/>
      </w:r>
      <w:r w:rsidRPr="008D7DD4">
        <w:rPr>
          <w:rFonts w:ascii="Garamond" w:hAnsi="Garamond"/>
          <w:color w:val="44546A"/>
        </w:rPr>
        <w:t xml:space="preserve"> Rast davčnega primeža je bila predvsem posledica rasti plač</w:t>
      </w:r>
    </w:p>
  </w:footnote>
  <w:footnote w:id="4">
    <w:p w14:paraId="640AD492" w14:textId="77777777" w:rsidR="008D7DD4" w:rsidRDefault="008D7DD4" w:rsidP="008D7DD4">
      <w:pPr>
        <w:pStyle w:val="Sprotnaopomba-besedilo"/>
      </w:pPr>
      <w:r w:rsidRPr="001D77D7">
        <w:rPr>
          <w:rStyle w:val="Sprotnaopomba-sklic"/>
        </w:rPr>
        <w:footnoteRef/>
      </w:r>
      <w:r w:rsidRPr="001D77D7">
        <w:rPr>
          <w:rStyle w:val="Sprotnaopomba-sklic"/>
        </w:rPr>
        <w:t xml:space="preserve"> </w:t>
      </w:r>
      <w:r w:rsidRPr="008D7DD4">
        <w:rPr>
          <w:rFonts w:ascii="Garamond" w:eastAsia="MS PMincho" w:hAnsi="Garamond" w:cs="Arial"/>
          <w:color w:val="44546A"/>
        </w:rPr>
        <w:t>Pri izračunu upoštevan obvezni zdravstveni prispevek, ki bremeni zaposlenega in znaša 35 € / mesec ter stopnja v višini 1 % za dolgotrajno oskrbo, ki bremeni tako zaposlenega kot delodajalca.</w:t>
      </w:r>
      <w:r>
        <w:t xml:space="preserve"> </w:t>
      </w:r>
    </w:p>
  </w:footnote>
  <w:footnote w:id="5">
    <w:p w14:paraId="0E89D210" w14:textId="77777777" w:rsidR="008D7DD4" w:rsidRPr="008D7DD4" w:rsidRDefault="008D7DD4" w:rsidP="008D7DD4">
      <w:pPr>
        <w:pStyle w:val="Sprotnaopomba-besedilo"/>
        <w:jc w:val="both"/>
        <w:rPr>
          <w:rFonts w:ascii="Garamond" w:eastAsia="MS PMincho" w:hAnsi="Garamond" w:cs="Arial"/>
          <w:color w:val="44546A"/>
        </w:rPr>
      </w:pPr>
      <w:r w:rsidRPr="001D77D7">
        <w:rPr>
          <w:rStyle w:val="Sprotnaopomba-sklic"/>
        </w:rPr>
        <w:footnoteRef/>
      </w:r>
      <w:r w:rsidRPr="001D77D7">
        <w:rPr>
          <w:rStyle w:val="Sprotnaopomba-sklic"/>
        </w:rPr>
        <w:t xml:space="preserve"> </w:t>
      </w:r>
      <w:r w:rsidRPr="008D7DD4">
        <w:rPr>
          <w:rFonts w:ascii="Garamond" w:eastAsia="MS PMincho" w:hAnsi="Garamond" w:cs="Arial"/>
          <w:color w:val="44546A"/>
        </w:rPr>
        <w:t>V izračunu se je upošteval povprečni strošek prehrane v višini 6,8 € na dan (podatek iz analize REK obrazcev za leto 2023), za znesek povračila stroška prevoza se je upoštevalo kilometrino 0,21 €/km in razdaljo 25 km, kar predstavlja povprečno oddaljenosti, ki jo posameznik opravi za prevoz na delo in iz dela (vir: Statistični urad RS).</w:t>
      </w:r>
    </w:p>
  </w:footnote>
  <w:footnote w:id="6">
    <w:p w14:paraId="584C6E4D" w14:textId="77777777" w:rsidR="008D7DD4" w:rsidRDefault="008D7DD4" w:rsidP="008D7DD4">
      <w:pPr>
        <w:pStyle w:val="Sprotnaopomba-besedilo"/>
        <w:jc w:val="both"/>
      </w:pPr>
      <w:r w:rsidRPr="001D77D7">
        <w:rPr>
          <w:rStyle w:val="Sprotnaopomba-sklic"/>
        </w:rPr>
        <w:footnoteRef/>
      </w:r>
      <w:r w:rsidRPr="001D77D7">
        <w:rPr>
          <w:rStyle w:val="Sprotnaopomba-sklic"/>
        </w:rPr>
        <w:t xml:space="preserve"> </w:t>
      </w:r>
      <w:r w:rsidRPr="008D7DD4">
        <w:rPr>
          <w:rFonts w:ascii="Garamond" w:eastAsia="MS PMincho" w:hAnsi="Garamond" w:cs="Arial"/>
          <w:color w:val="44546A"/>
        </w:rPr>
        <w:t>Slovenija bi se s tem uvrstila za Portugalsko, Švedsko, Slovaško, Luksemburg, Madžarsko, Latvijo, Španijo in Češko.</w:t>
      </w:r>
    </w:p>
  </w:footnote>
  <w:footnote w:id="7">
    <w:p w14:paraId="07306C8C" w14:textId="77777777" w:rsidR="008D7DD4" w:rsidRPr="008D7DD4" w:rsidRDefault="008D7DD4" w:rsidP="008D7DD4">
      <w:pPr>
        <w:pStyle w:val="Sprotnaopomba-besedilo"/>
        <w:jc w:val="both"/>
        <w:rPr>
          <w:rFonts w:ascii="Garamond" w:eastAsia="MS PMincho" w:hAnsi="Garamond" w:cs="Arial"/>
          <w:color w:val="44546A"/>
        </w:rPr>
      </w:pPr>
      <w:r w:rsidRPr="001D77D7">
        <w:rPr>
          <w:rStyle w:val="Sprotnaopomba-sklic"/>
        </w:rPr>
        <w:footnoteRef/>
      </w:r>
      <w:r w:rsidRPr="001D77D7">
        <w:rPr>
          <w:rStyle w:val="Sprotnaopomba-sklic"/>
        </w:rPr>
        <w:t xml:space="preserve"> </w:t>
      </w:r>
      <w:r w:rsidRPr="008D7DD4">
        <w:rPr>
          <w:rFonts w:ascii="Garamond" w:eastAsia="MS PMincho" w:hAnsi="Garamond" w:cs="Arial"/>
          <w:color w:val="44546A"/>
        </w:rPr>
        <w:t xml:space="preserve">Navedeno pomeni, da je pripravljena groba ocena ob upoštevanju zgolj ene spremembe, brez dodatnih drugih ukrepov </w:t>
      </w:r>
      <w:r w:rsidR="002F724F">
        <w:rPr>
          <w:rFonts w:ascii="Garamond" w:eastAsia="MS PMincho" w:hAnsi="Garamond" w:cs="Arial"/>
          <w:color w:val="44546A"/>
        </w:rPr>
        <w:t xml:space="preserve">oz. kombinacije ukrepov </w:t>
      </w:r>
      <w:r w:rsidRPr="008D7DD4">
        <w:rPr>
          <w:rFonts w:ascii="Garamond" w:eastAsia="MS PMincho" w:hAnsi="Garamond" w:cs="Arial"/>
          <w:color w:val="44546A"/>
        </w:rPr>
        <w:t>na posameznih področjih, ki imajo dodatni vpliv na končno oceno.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F223" w14:textId="77777777" w:rsidR="000774C5" w:rsidRDefault="000774C5">
    <w:pPr>
      <w:pStyle w:val="Glava"/>
    </w:pPr>
  </w:p>
  <w:p w14:paraId="4DF7FF42" w14:textId="77777777" w:rsidR="000774C5" w:rsidRDefault="000774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C30BE7"/>
    <w:multiLevelType w:val="hybridMultilevel"/>
    <w:tmpl w:val="8D6E2398"/>
    <w:lvl w:ilvl="0" w:tplc="C31CACAA">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2A1A6C4C"/>
    <w:multiLevelType w:val="hybridMultilevel"/>
    <w:tmpl w:val="72C2F6B8"/>
    <w:lvl w:ilvl="0" w:tplc="2C38E302">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114005B"/>
    <w:multiLevelType w:val="hybridMultilevel"/>
    <w:tmpl w:val="A4C6EE8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53A2CB1"/>
    <w:multiLevelType w:val="hybridMultilevel"/>
    <w:tmpl w:val="66B48A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7C17A9D"/>
    <w:multiLevelType w:val="hybridMultilevel"/>
    <w:tmpl w:val="3F4A47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C47222"/>
    <w:multiLevelType w:val="hybridMultilevel"/>
    <w:tmpl w:val="280EF13E"/>
    <w:lvl w:ilvl="0" w:tplc="D0FCEBE4">
      <w:start w:val="1"/>
      <w:numFmt w:val="lowerLetter"/>
      <w:lvlText w:val="%1)"/>
      <w:lvlJc w:val="left"/>
      <w:pPr>
        <w:ind w:left="1080" w:hanging="360"/>
      </w:pPr>
      <w:rPr>
        <w:rFonts w:ascii="Arial" w:hAnsi="Arial" w:cs="Aria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DAD434A"/>
    <w:multiLevelType w:val="hybridMultilevel"/>
    <w:tmpl w:val="74729A0C"/>
    <w:lvl w:ilvl="0" w:tplc="597C5D6C">
      <w:start w:val="2"/>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C37972"/>
    <w:multiLevelType w:val="hybridMultilevel"/>
    <w:tmpl w:val="EB10431C"/>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1561929">
    <w:abstractNumId w:val="8"/>
  </w:num>
  <w:num w:numId="2" w16cid:durableId="1277447168">
    <w:abstractNumId w:val="9"/>
  </w:num>
  <w:num w:numId="3" w16cid:durableId="1435248771">
    <w:abstractNumId w:val="6"/>
  </w:num>
  <w:num w:numId="4" w16cid:durableId="735126212">
    <w:abstractNumId w:val="0"/>
  </w:num>
  <w:num w:numId="5" w16cid:durableId="1674724514">
    <w:abstractNumId w:val="7"/>
    <w:lvlOverride w:ilvl="0">
      <w:startOverride w:val="1"/>
    </w:lvlOverride>
  </w:num>
  <w:num w:numId="6" w16cid:durableId="606737507">
    <w:abstractNumId w:val="1"/>
  </w:num>
  <w:num w:numId="7" w16cid:durableId="949779111">
    <w:abstractNumId w:val="5"/>
  </w:num>
  <w:num w:numId="8" w16cid:durableId="635372197">
    <w:abstractNumId w:val="10"/>
  </w:num>
  <w:num w:numId="9" w16cid:durableId="1492065389">
    <w:abstractNumId w:val="12"/>
  </w:num>
  <w:num w:numId="10" w16cid:durableId="1619141719">
    <w:abstractNumId w:val="3"/>
  </w:num>
  <w:num w:numId="11" w16cid:durableId="1999579289">
    <w:abstractNumId w:val="13"/>
  </w:num>
  <w:num w:numId="12" w16cid:durableId="820846670">
    <w:abstractNumId w:val="4"/>
  </w:num>
  <w:num w:numId="13" w16cid:durableId="2115207162">
    <w:abstractNumId w:val="2"/>
  </w:num>
  <w:num w:numId="14" w16cid:durableId="214099920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01A6"/>
    <w:rsid w:val="000205D3"/>
    <w:rsid w:val="00025FC4"/>
    <w:rsid w:val="000347C5"/>
    <w:rsid w:val="00046811"/>
    <w:rsid w:val="00056F88"/>
    <w:rsid w:val="00066929"/>
    <w:rsid w:val="000774C5"/>
    <w:rsid w:val="00087655"/>
    <w:rsid w:val="000A70D0"/>
    <w:rsid w:val="000D1C23"/>
    <w:rsid w:val="00105FDB"/>
    <w:rsid w:val="00107ED0"/>
    <w:rsid w:val="00117FCD"/>
    <w:rsid w:val="00122E3E"/>
    <w:rsid w:val="001427DA"/>
    <w:rsid w:val="001611AF"/>
    <w:rsid w:val="001644C3"/>
    <w:rsid w:val="00186022"/>
    <w:rsid w:val="00196FAF"/>
    <w:rsid w:val="001B0C4B"/>
    <w:rsid w:val="001B223E"/>
    <w:rsid w:val="001B42D9"/>
    <w:rsid w:val="001C1FE9"/>
    <w:rsid w:val="001D2591"/>
    <w:rsid w:val="001D275B"/>
    <w:rsid w:val="001D69E0"/>
    <w:rsid w:val="001D6DB0"/>
    <w:rsid w:val="001D77D7"/>
    <w:rsid w:val="001E6744"/>
    <w:rsid w:val="001E7883"/>
    <w:rsid w:val="001F5898"/>
    <w:rsid w:val="002121C4"/>
    <w:rsid w:val="00223F81"/>
    <w:rsid w:val="002274DC"/>
    <w:rsid w:val="00262D67"/>
    <w:rsid w:val="00266B98"/>
    <w:rsid w:val="002914D9"/>
    <w:rsid w:val="002A556D"/>
    <w:rsid w:val="002A7713"/>
    <w:rsid w:val="002B3051"/>
    <w:rsid w:val="002F13F7"/>
    <w:rsid w:val="002F724F"/>
    <w:rsid w:val="003049A8"/>
    <w:rsid w:val="0030646B"/>
    <w:rsid w:val="003068B9"/>
    <w:rsid w:val="00310B0B"/>
    <w:rsid w:val="00345B58"/>
    <w:rsid w:val="00345F62"/>
    <w:rsid w:val="003611F3"/>
    <w:rsid w:val="00366A8C"/>
    <w:rsid w:val="00372466"/>
    <w:rsid w:val="003D1E7C"/>
    <w:rsid w:val="003D463E"/>
    <w:rsid w:val="003F60EB"/>
    <w:rsid w:val="0041111E"/>
    <w:rsid w:val="00424799"/>
    <w:rsid w:val="00435953"/>
    <w:rsid w:val="004415BD"/>
    <w:rsid w:val="00441D47"/>
    <w:rsid w:val="00446B1A"/>
    <w:rsid w:val="00457498"/>
    <w:rsid w:val="00472136"/>
    <w:rsid w:val="00490CB5"/>
    <w:rsid w:val="004A64D9"/>
    <w:rsid w:val="004B0801"/>
    <w:rsid w:val="004B6068"/>
    <w:rsid w:val="004D569C"/>
    <w:rsid w:val="004E4A50"/>
    <w:rsid w:val="004F27D6"/>
    <w:rsid w:val="004F4290"/>
    <w:rsid w:val="004F4FF8"/>
    <w:rsid w:val="004F6CC3"/>
    <w:rsid w:val="00500803"/>
    <w:rsid w:val="00510C89"/>
    <w:rsid w:val="00533CC2"/>
    <w:rsid w:val="005346AE"/>
    <w:rsid w:val="005522F0"/>
    <w:rsid w:val="005553CB"/>
    <w:rsid w:val="00562C7C"/>
    <w:rsid w:val="005654ED"/>
    <w:rsid w:val="0057203E"/>
    <w:rsid w:val="00580808"/>
    <w:rsid w:val="00594B90"/>
    <w:rsid w:val="0059610E"/>
    <w:rsid w:val="005B4049"/>
    <w:rsid w:val="005B40E6"/>
    <w:rsid w:val="005B6E25"/>
    <w:rsid w:val="005B7FA2"/>
    <w:rsid w:val="005C5F18"/>
    <w:rsid w:val="005E0062"/>
    <w:rsid w:val="005F267F"/>
    <w:rsid w:val="005F3DC6"/>
    <w:rsid w:val="00605CA7"/>
    <w:rsid w:val="00617BD9"/>
    <w:rsid w:val="00642B87"/>
    <w:rsid w:val="0064429C"/>
    <w:rsid w:val="00646A1D"/>
    <w:rsid w:val="00661DE3"/>
    <w:rsid w:val="00684108"/>
    <w:rsid w:val="0068465E"/>
    <w:rsid w:val="006864F9"/>
    <w:rsid w:val="006939DB"/>
    <w:rsid w:val="00697AD9"/>
    <w:rsid w:val="006A5437"/>
    <w:rsid w:val="006C7C9B"/>
    <w:rsid w:val="006D442A"/>
    <w:rsid w:val="006F274A"/>
    <w:rsid w:val="006F3462"/>
    <w:rsid w:val="006F402D"/>
    <w:rsid w:val="006F794F"/>
    <w:rsid w:val="00715026"/>
    <w:rsid w:val="00717D84"/>
    <w:rsid w:val="00732DF5"/>
    <w:rsid w:val="00755DBB"/>
    <w:rsid w:val="00762C02"/>
    <w:rsid w:val="0077561B"/>
    <w:rsid w:val="00797981"/>
    <w:rsid w:val="007A3722"/>
    <w:rsid w:val="007C5A44"/>
    <w:rsid w:val="007C5F5E"/>
    <w:rsid w:val="007D142A"/>
    <w:rsid w:val="007D7CF3"/>
    <w:rsid w:val="00800073"/>
    <w:rsid w:val="00806631"/>
    <w:rsid w:val="0081012F"/>
    <w:rsid w:val="00810681"/>
    <w:rsid w:val="00820ED3"/>
    <w:rsid w:val="008267D5"/>
    <w:rsid w:val="008278BF"/>
    <w:rsid w:val="00854C9E"/>
    <w:rsid w:val="00873AEB"/>
    <w:rsid w:val="008924FD"/>
    <w:rsid w:val="008C0372"/>
    <w:rsid w:val="008D1B3E"/>
    <w:rsid w:val="008D7DD4"/>
    <w:rsid w:val="008E4146"/>
    <w:rsid w:val="008F262B"/>
    <w:rsid w:val="00910641"/>
    <w:rsid w:val="00913B5B"/>
    <w:rsid w:val="0091603C"/>
    <w:rsid w:val="0092479D"/>
    <w:rsid w:val="00947815"/>
    <w:rsid w:val="00955443"/>
    <w:rsid w:val="00980029"/>
    <w:rsid w:val="00993FFC"/>
    <w:rsid w:val="009A1339"/>
    <w:rsid w:val="009A338A"/>
    <w:rsid w:val="009A4A5C"/>
    <w:rsid w:val="009B3590"/>
    <w:rsid w:val="009C00FF"/>
    <w:rsid w:val="009C5A0B"/>
    <w:rsid w:val="009D3853"/>
    <w:rsid w:val="009D7B6D"/>
    <w:rsid w:val="009F5358"/>
    <w:rsid w:val="00A01A6E"/>
    <w:rsid w:val="00A04C33"/>
    <w:rsid w:val="00A101F0"/>
    <w:rsid w:val="00A12B51"/>
    <w:rsid w:val="00A162C0"/>
    <w:rsid w:val="00A16F0C"/>
    <w:rsid w:val="00A17B9E"/>
    <w:rsid w:val="00A2404D"/>
    <w:rsid w:val="00A244B9"/>
    <w:rsid w:val="00A24E98"/>
    <w:rsid w:val="00A35B4A"/>
    <w:rsid w:val="00A35EA6"/>
    <w:rsid w:val="00A40EA6"/>
    <w:rsid w:val="00A418DE"/>
    <w:rsid w:val="00A4462D"/>
    <w:rsid w:val="00A453A7"/>
    <w:rsid w:val="00A6022E"/>
    <w:rsid w:val="00A616BD"/>
    <w:rsid w:val="00A90721"/>
    <w:rsid w:val="00AA3C9A"/>
    <w:rsid w:val="00AA65A3"/>
    <w:rsid w:val="00AB3175"/>
    <w:rsid w:val="00AD3BDC"/>
    <w:rsid w:val="00AE36D8"/>
    <w:rsid w:val="00AE5C77"/>
    <w:rsid w:val="00AF75E1"/>
    <w:rsid w:val="00B071D3"/>
    <w:rsid w:val="00B07E6E"/>
    <w:rsid w:val="00B103A4"/>
    <w:rsid w:val="00B33655"/>
    <w:rsid w:val="00B544DB"/>
    <w:rsid w:val="00B55856"/>
    <w:rsid w:val="00B56849"/>
    <w:rsid w:val="00B61E75"/>
    <w:rsid w:val="00B645E1"/>
    <w:rsid w:val="00BA21C7"/>
    <w:rsid w:val="00BC76BF"/>
    <w:rsid w:val="00BD69B3"/>
    <w:rsid w:val="00BF5451"/>
    <w:rsid w:val="00C00333"/>
    <w:rsid w:val="00C01882"/>
    <w:rsid w:val="00C16CF9"/>
    <w:rsid w:val="00C31E0B"/>
    <w:rsid w:val="00C3642D"/>
    <w:rsid w:val="00C431DA"/>
    <w:rsid w:val="00C67331"/>
    <w:rsid w:val="00C81C0D"/>
    <w:rsid w:val="00C911FD"/>
    <w:rsid w:val="00C96561"/>
    <w:rsid w:val="00CA45CC"/>
    <w:rsid w:val="00CA5013"/>
    <w:rsid w:val="00CA59B8"/>
    <w:rsid w:val="00CA5AA9"/>
    <w:rsid w:val="00CA689C"/>
    <w:rsid w:val="00CB7B2A"/>
    <w:rsid w:val="00CD31BF"/>
    <w:rsid w:val="00D14607"/>
    <w:rsid w:val="00D202CF"/>
    <w:rsid w:val="00D30B58"/>
    <w:rsid w:val="00D41914"/>
    <w:rsid w:val="00D732F0"/>
    <w:rsid w:val="00D7363A"/>
    <w:rsid w:val="00D73C39"/>
    <w:rsid w:val="00D73D26"/>
    <w:rsid w:val="00D92410"/>
    <w:rsid w:val="00D97DAE"/>
    <w:rsid w:val="00DE1580"/>
    <w:rsid w:val="00DE238C"/>
    <w:rsid w:val="00DE7754"/>
    <w:rsid w:val="00DF3371"/>
    <w:rsid w:val="00E05E41"/>
    <w:rsid w:val="00E125BE"/>
    <w:rsid w:val="00E41BE9"/>
    <w:rsid w:val="00E43CB0"/>
    <w:rsid w:val="00E455F9"/>
    <w:rsid w:val="00E457F8"/>
    <w:rsid w:val="00E62C29"/>
    <w:rsid w:val="00E71946"/>
    <w:rsid w:val="00E71C8E"/>
    <w:rsid w:val="00E753E6"/>
    <w:rsid w:val="00E822CC"/>
    <w:rsid w:val="00E930A7"/>
    <w:rsid w:val="00E97987"/>
    <w:rsid w:val="00EA721B"/>
    <w:rsid w:val="00EA7688"/>
    <w:rsid w:val="00EC28EF"/>
    <w:rsid w:val="00EC3B34"/>
    <w:rsid w:val="00EC5C10"/>
    <w:rsid w:val="00EC6233"/>
    <w:rsid w:val="00ED1323"/>
    <w:rsid w:val="00ED3665"/>
    <w:rsid w:val="00ED649C"/>
    <w:rsid w:val="00ED7B24"/>
    <w:rsid w:val="00EE392C"/>
    <w:rsid w:val="00EF5FE5"/>
    <w:rsid w:val="00F01EAA"/>
    <w:rsid w:val="00F24EDB"/>
    <w:rsid w:val="00F348F8"/>
    <w:rsid w:val="00F365ED"/>
    <w:rsid w:val="00F4001E"/>
    <w:rsid w:val="00F42A3B"/>
    <w:rsid w:val="00F45896"/>
    <w:rsid w:val="00F5135B"/>
    <w:rsid w:val="00F6027F"/>
    <w:rsid w:val="00F66639"/>
    <w:rsid w:val="00F74A47"/>
    <w:rsid w:val="00F80081"/>
    <w:rsid w:val="00F826AE"/>
    <w:rsid w:val="00F84256"/>
    <w:rsid w:val="00F875CF"/>
    <w:rsid w:val="00F926C7"/>
    <w:rsid w:val="00FA0B4A"/>
    <w:rsid w:val="00FA3BD8"/>
    <w:rsid w:val="00FC20AC"/>
    <w:rsid w:val="00FC31F5"/>
    <w:rsid w:val="00FC6D0E"/>
    <w:rsid w:val="00FD1787"/>
    <w:rsid w:val="00FD3B75"/>
    <w:rsid w:val="00FD5B08"/>
    <w:rsid w:val="00FE0ED4"/>
    <w:rsid w:val="00FE5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73BE"/>
  <w15:chartTrackingRefBased/>
  <w15:docId w15:val="{DA43DC2D-1CA6-4C16-A9A4-4B06383C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iPriority w:val="4"/>
    <w:semiHidden/>
    <w:unhideWhenUsed/>
    <w:qFormat/>
    <w:rsid w:val="008D7DD4"/>
    <w:pPr>
      <w:keepNext/>
      <w:spacing w:before="240" w:after="60"/>
      <w:outlineLvl w:val="1"/>
    </w:pPr>
    <w:rPr>
      <w:rFonts w:ascii="Times New Roman" w:eastAsia="MS PGothic" w:hAnsi="Times New Roman"/>
      <w:b/>
      <w:sz w:val="36"/>
      <w:szCs w:val="26"/>
      <w:lang w:eastAsia="sl-SI"/>
    </w:rPr>
  </w:style>
  <w:style w:type="paragraph" w:styleId="Naslov3">
    <w:name w:val="heading 3"/>
    <w:basedOn w:val="Navaden"/>
    <w:next w:val="Navaden"/>
    <w:link w:val="Naslov3Znak"/>
    <w:uiPriority w:val="9"/>
    <w:unhideWhenUsed/>
    <w:qFormat/>
    <w:rsid w:val="00FD3B75"/>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107ED0"/>
    <w:rPr>
      <w:rFonts w:ascii="Arial" w:eastAsia="Times New Roman" w:hAnsi="Arial"/>
      <w:b/>
      <w:kern w:val="32"/>
      <w:sz w:val="28"/>
      <w:szCs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semiHidden/>
    <w:rsid w:val="00107ED0"/>
    <w:rPr>
      <w:rFonts w:ascii="Arial" w:eastAsia="Times New Roman" w:hAnsi="Arial"/>
      <w:lang w:eastAsia="en-US"/>
    </w:rPr>
  </w:style>
  <w:style w:type="character" w:styleId="Sprotnaopomba-sklic">
    <w:name w:val="footnote reference"/>
    <w:uiPriority w:val="99"/>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numbered list"/>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aslov3Znak">
    <w:name w:val="Naslov 3 Znak"/>
    <w:link w:val="Naslov3"/>
    <w:uiPriority w:val="9"/>
    <w:rsid w:val="00FD3B75"/>
    <w:rPr>
      <w:rFonts w:ascii="Calibri Light" w:eastAsia="Times New Roman" w:hAnsi="Calibri Light" w:cs="Times New Roman"/>
      <w:b/>
      <w:bCs/>
      <w:sz w:val="26"/>
      <w:szCs w:val="26"/>
      <w:lang w:eastAsia="en-US"/>
    </w:rPr>
  </w:style>
  <w:style w:type="character" w:styleId="Nerazreenaomemba">
    <w:name w:val="Unresolved Mention"/>
    <w:uiPriority w:val="99"/>
    <w:semiHidden/>
    <w:unhideWhenUsed/>
    <w:rsid w:val="00FD3B75"/>
    <w:rPr>
      <w:color w:val="605E5C"/>
      <w:shd w:val="clear" w:color="auto" w:fill="E1DFDD"/>
    </w:rPr>
  </w:style>
  <w:style w:type="paragraph" w:styleId="Revizija">
    <w:name w:val="Revision"/>
    <w:hidden/>
    <w:uiPriority w:val="99"/>
    <w:semiHidden/>
    <w:rsid w:val="006F794F"/>
    <w:rPr>
      <w:sz w:val="22"/>
      <w:szCs w:val="22"/>
      <w:lang w:eastAsia="en-US"/>
    </w:rPr>
  </w:style>
  <w:style w:type="character" w:styleId="Intenzivenpoudarek">
    <w:name w:val="Intense Emphasis"/>
    <w:uiPriority w:val="21"/>
    <w:qFormat/>
    <w:rsid w:val="00025FC4"/>
    <w:rPr>
      <w:i/>
      <w:iCs/>
      <w:color w:val="4472C4"/>
    </w:rPr>
  </w:style>
  <w:style w:type="paragraph" w:customStyle="1" w:styleId="Naslov21">
    <w:name w:val="Naslov 21"/>
    <w:basedOn w:val="Navaden"/>
    <w:next w:val="Navaden"/>
    <w:uiPriority w:val="4"/>
    <w:qFormat/>
    <w:rsid w:val="008D7DD4"/>
    <w:pPr>
      <w:keepNext/>
      <w:spacing w:after="240" w:line="240" w:lineRule="auto"/>
      <w:outlineLvl w:val="1"/>
    </w:pPr>
    <w:rPr>
      <w:rFonts w:ascii="Times New Roman" w:eastAsia="MS PGothic" w:hAnsi="Times New Roman"/>
      <w:b/>
      <w:sz w:val="36"/>
      <w:szCs w:val="26"/>
      <w:lang w:eastAsia="sl-SI"/>
    </w:rPr>
  </w:style>
  <w:style w:type="numbering" w:customStyle="1" w:styleId="Brezseznama1">
    <w:name w:val="Brez seznama1"/>
    <w:next w:val="Brezseznama"/>
    <w:uiPriority w:val="99"/>
    <w:semiHidden/>
    <w:unhideWhenUsed/>
    <w:rsid w:val="008D7DD4"/>
  </w:style>
  <w:style w:type="character" w:customStyle="1" w:styleId="Naslov2Znak">
    <w:name w:val="Naslov 2 Znak"/>
    <w:link w:val="Naslov2"/>
    <w:uiPriority w:val="4"/>
    <w:rsid w:val="008D7DD4"/>
    <w:rPr>
      <w:rFonts w:ascii="Times New Roman" w:eastAsia="MS PGothic" w:hAnsi="Times New Roman" w:cs="Times New Roman"/>
      <w:b/>
      <w:sz w:val="36"/>
      <w:szCs w:val="26"/>
      <w:lang w:eastAsia="sl-SI"/>
    </w:rPr>
  </w:style>
  <w:style w:type="paragraph" w:customStyle="1" w:styleId="Naslov10">
    <w:name w:val="Naslov1"/>
    <w:basedOn w:val="Navaden"/>
    <w:next w:val="Naslov"/>
    <w:link w:val="NaslovZnak"/>
    <w:uiPriority w:val="1"/>
    <w:qFormat/>
    <w:rsid w:val="008D7DD4"/>
    <w:pPr>
      <w:spacing w:line="240" w:lineRule="auto"/>
    </w:pPr>
    <w:rPr>
      <w:rFonts w:ascii="Garamond" w:eastAsia="MS PGothic" w:hAnsi="Garamond"/>
      <w:bCs/>
      <w:sz w:val="72"/>
      <w:szCs w:val="52"/>
      <w:lang w:eastAsia="sl-SI"/>
    </w:rPr>
  </w:style>
  <w:style w:type="character" w:customStyle="1" w:styleId="NaslovZnak">
    <w:name w:val="Naslov Znak"/>
    <w:link w:val="Naslov10"/>
    <w:uiPriority w:val="1"/>
    <w:rsid w:val="008D7DD4"/>
    <w:rPr>
      <w:rFonts w:ascii="Garamond" w:eastAsia="MS PGothic" w:hAnsi="Garamond" w:cs="Times New Roman"/>
      <w:bCs/>
      <w:sz w:val="72"/>
      <w:szCs w:val="52"/>
      <w:lang w:eastAsia="sl-SI"/>
    </w:rPr>
  </w:style>
  <w:style w:type="paragraph" w:styleId="Podnaslov">
    <w:name w:val="Subtitle"/>
    <w:basedOn w:val="Navaden"/>
    <w:link w:val="PodnaslovZnak"/>
    <w:uiPriority w:val="2"/>
    <w:qFormat/>
    <w:rsid w:val="008D7DD4"/>
    <w:pPr>
      <w:framePr w:hSpace="180" w:wrap="around" w:vAnchor="text" w:hAnchor="margin" w:y="1167"/>
      <w:spacing w:after="0" w:line="240" w:lineRule="auto"/>
    </w:pPr>
    <w:rPr>
      <w:rFonts w:ascii="Times New Roman" w:eastAsia="Times New Roman" w:hAnsi="Times New Roman"/>
      <w:b/>
      <w:caps/>
      <w:spacing w:val="20"/>
      <w:sz w:val="32"/>
      <w:szCs w:val="24"/>
      <w:lang w:eastAsia="sl-SI"/>
    </w:rPr>
  </w:style>
  <w:style w:type="character" w:customStyle="1" w:styleId="PodnaslovZnak">
    <w:name w:val="Podnaslov Znak"/>
    <w:link w:val="Podnaslov"/>
    <w:uiPriority w:val="2"/>
    <w:rsid w:val="008D7DD4"/>
    <w:rPr>
      <w:rFonts w:ascii="Times New Roman" w:eastAsia="Times New Roman" w:hAnsi="Times New Roman"/>
      <w:b/>
      <w:caps/>
      <w:spacing w:val="20"/>
      <w:sz w:val="32"/>
      <w:szCs w:val="24"/>
    </w:rPr>
  </w:style>
  <w:style w:type="paragraph" w:customStyle="1" w:styleId="Ime">
    <w:name w:val="Ime"/>
    <w:basedOn w:val="Navaden"/>
    <w:uiPriority w:val="3"/>
    <w:qFormat/>
    <w:rsid w:val="008D7DD4"/>
    <w:pPr>
      <w:spacing w:after="0" w:line="240" w:lineRule="auto"/>
      <w:jc w:val="right"/>
    </w:pPr>
    <w:rPr>
      <w:rFonts w:ascii="Times New Roman" w:eastAsia="Times New Roman" w:hAnsi="Times New Roman"/>
      <w:sz w:val="24"/>
      <w:szCs w:val="24"/>
      <w:lang w:eastAsia="sl-SI"/>
    </w:rPr>
  </w:style>
  <w:style w:type="table" w:customStyle="1" w:styleId="Tabelamrea1">
    <w:name w:val="Tabela – mreža1"/>
    <w:basedOn w:val="Navadnatabela"/>
    <w:next w:val="Tabelamrea"/>
    <w:uiPriority w:val="39"/>
    <w:rsid w:val="008D7DD4"/>
    <w:rPr>
      <w:rFonts w:ascii="Garamond" w:eastAsia="Garamond" w:hAnsi="Garamond"/>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unhideWhenUsed/>
    <w:rsid w:val="008D7DD4"/>
    <w:rPr>
      <w:color w:val="808080"/>
    </w:rPr>
  </w:style>
  <w:style w:type="paragraph" w:customStyle="1" w:styleId="Vsebina">
    <w:name w:val="Vsebina"/>
    <w:basedOn w:val="Navaden"/>
    <w:link w:val="Znakivvsebini"/>
    <w:qFormat/>
    <w:rsid w:val="008D7DD4"/>
    <w:pPr>
      <w:spacing w:after="0" w:line="240" w:lineRule="auto"/>
    </w:pPr>
    <w:rPr>
      <w:rFonts w:ascii="Times New Roman" w:eastAsia="Times New Roman" w:hAnsi="Times New Roman"/>
      <w:b/>
      <w:sz w:val="24"/>
      <w:szCs w:val="24"/>
      <w:lang w:eastAsia="sl-SI"/>
    </w:rPr>
  </w:style>
  <w:style w:type="paragraph" w:customStyle="1" w:styleId="Poudarjenobesedilo">
    <w:name w:val="Poudarjeno besedilo"/>
    <w:basedOn w:val="Navaden"/>
    <w:link w:val="Poudarjeniznakibesedila"/>
    <w:qFormat/>
    <w:rsid w:val="008D7DD4"/>
    <w:pPr>
      <w:spacing w:after="0" w:line="240" w:lineRule="auto"/>
    </w:pPr>
    <w:rPr>
      <w:rFonts w:ascii="Times New Roman" w:eastAsia="Times New Roman" w:hAnsi="Times New Roman"/>
      <w:sz w:val="24"/>
      <w:szCs w:val="24"/>
      <w:lang w:eastAsia="sl-SI"/>
    </w:rPr>
  </w:style>
  <w:style w:type="character" w:customStyle="1" w:styleId="Znakivvsebini">
    <w:name w:val="Znaki v vsebini"/>
    <w:link w:val="Vsebina"/>
    <w:rsid w:val="008D7DD4"/>
    <w:rPr>
      <w:rFonts w:ascii="Times New Roman" w:eastAsia="Times New Roman" w:hAnsi="Times New Roman"/>
      <w:b/>
      <w:sz w:val="24"/>
      <w:szCs w:val="24"/>
    </w:rPr>
  </w:style>
  <w:style w:type="character" w:customStyle="1" w:styleId="Poudarjeniznakibesedila">
    <w:name w:val="Poudarjeni znaki besedila"/>
    <w:link w:val="Poudarjenobesedilo"/>
    <w:rsid w:val="008D7DD4"/>
    <w:rPr>
      <w:rFonts w:ascii="Times New Roman" w:eastAsia="Times New Roman" w:hAnsi="Times New Roman"/>
      <w:sz w:val="24"/>
      <w:szCs w:val="24"/>
    </w:rPr>
  </w:style>
  <w:style w:type="paragraph" w:customStyle="1" w:styleId="Intenzivencitat1">
    <w:name w:val="Intenziven citat1"/>
    <w:basedOn w:val="Navaden"/>
    <w:next w:val="Navaden"/>
    <w:uiPriority w:val="30"/>
    <w:qFormat/>
    <w:rsid w:val="008D7DD4"/>
    <w:pPr>
      <w:pBdr>
        <w:top w:val="single" w:sz="4" w:space="10" w:color="4472C4"/>
        <w:bottom w:val="single" w:sz="4" w:space="10" w:color="4472C4"/>
      </w:pBdr>
      <w:spacing w:before="360" w:after="360" w:line="259" w:lineRule="auto"/>
      <w:ind w:left="864" w:right="864"/>
      <w:jc w:val="center"/>
    </w:pPr>
    <w:rPr>
      <w:rFonts w:ascii="Times New Roman" w:eastAsia="Garamond" w:hAnsi="Times New Roman"/>
      <w:b/>
      <w:i/>
      <w:iCs/>
      <w:color w:val="4472C4"/>
      <w:kern w:val="2"/>
      <w:szCs w:val="24"/>
      <w:lang w:eastAsia="sl-SI"/>
    </w:rPr>
  </w:style>
  <w:style w:type="character" w:customStyle="1" w:styleId="IntenzivencitatZnak">
    <w:name w:val="Intenziven citat Znak"/>
    <w:link w:val="Intenzivencitat"/>
    <w:uiPriority w:val="30"/>
    <w:rsid w:val="008D7DD4"/>
    <w:rPr>
      <w:rFonts w:ascii="Times New Roman" w:hAnsi="Times New Roman" w:cs="Times New Roman"/>
      <w:b/>
      <w:i/>
      <w:iCs/>
      <w:color w:val="4472C4"/>
      <w:kern w:val="2"/>
      <w:sz w:val="22"/>
      <w:lang w:eastAsia="sl-SI"/>
    </w:rPr>
  </w:style>
  <w:style w:type="paragraph" w:styleId="Brezrazmikov">
    <w:name w:val="No Spacing"/>
    <w:uiPriority w:val="1"/>
    <w:qFormat/>
    <w:rsid w:val="008D7DD4"/>
    <w:rPr>
      <w:sz w:val="22"/>
      <w:szCs w:val="22"/>
      <w:lang w:eastAsia="en-US"/>
    </w:rPr>
  </w:style>
  <w:style w:type="character" w:customStyle="1" w:styleId="OdstavekseznamaZnak">
    <w:name w:val="Odstavek seznama Znak"/>
    <w:aliases w:val="numbered list Znak"/>
    <w:link w:val="Odstavekseznama"/>
    <w:uiPriority w:val="34"/>
    <w:locked/>
    <w:rsid w:val="008D7DD4"/>
    <w:rPr>
      <w:rFonts w:ascii="Times New Roman" w:eastAsia="Times New Roman" w:hAnsi="Times New Roman"/>
      <w:sz w:val="24"/>
      <w:szCs w:val="24"/>
    </w:rPr>
  </w:style>
  <w:style w:type="character" w:styleId="tevilkavrstice">
    <w:name w:val="line number"/>
    <w:basedOn w:val="Privzetapisavaodstavka"/>
    <w:uiPriority w:val="99"/>
    <w:semiHidden/>
    <w:unhideWhenUsed/>
    <w:rsid w:val="008D7DD4"/>
  </w:style>
  <w:style w:type="paragraph" w:customStyle="1" w:styleId="xmsonormal">
    <w:name w:val="x_msonormal"/>
    <w:basedOn w:val="Navaden"/>
    <w:rsid w:val="008D7DD4"/>
    <w:pPr>
      <w:spacing w:after="0" w:line="240" w:lineRule="auto"/>
    </w:pPr>
    <w:rPr>
      <w:rFonts w:ascii="Times New Roman" w:eastAsia="Garamond" w:hAnsi="Times New Roman"/>
      <w:sz w:val="24"/>
      <w:szCs w:val="24"/>
      <w:lang w:eastAsia="sl-SI"/>
    </w:rPr>
  </w:style>
  <w:style w:type="character" w:customStyle="1" w:styleId="Naslov2Znak1">
    <w:name w:val="Naslov 2 Znak1"/>
    <w:uiPriority w:val="9"/>
    <w:semiHidden/>
    <w:rsid w:val="008D7DD4"/>
    <w:rPr>
      <w:rFonts w:ascii="Calibri Light" w:eastAsia="Times New Roman" w:hAnsi="Calibri Light" w:cs="Times New Roman"/>
      <w:b/>
      <w:bCs/>
      <w:i/>
      <w:iCs/>
      <w:sz w:val="28"/>
      <w:szCs w:val="28"/>
      <w:lang w:eastAsia="en-US"/>
    </w:rPr>
  </w:style>
  <w:style w:type="paragraph" w:styleId="Naslov">
    <w:name w:val="Title"/>
    <w:basedOn w:val="Navaden"/>
    <w:next w:val="Navaden"/>
    <w:link w:val="NaslovZnak1"/>
    <w:uiPriority w:val="10"/>
    <w:qFormat/>
    <w:rsid w:val="008D7DD4"/>
    <w:pPr>
      <w:spacing w:before="240" w:after="60"/>
      <w:jc w:val="center"/>
      <w:outlineLvl w:val="0"/>
    </w:pPr>
    <w:rPr>
      <w:rFonts w:ascii="Calibri Light" w:eastAsia="Times New Roman" w:hAnsi="Calibri Light"/>
      <w:b/>
      <w:bCs/>
      <w:kern w:val="28"/>
      <w:sz w:val="32"/>
      <w:szCs w:val="32"/>
    </w:rPr>
  </w:style>
  <w:style w:type="character" w:customStyle="1" w:styleId="NaslovZnak1">
    <w:name w:val="Naslov Znak1"/>
    <w:link w:val="Naslov"/>
    <w:uiPriority w:val="10"/>
    <w:rsid w:val="008D7DD4"/>
    <w:rPr>
      <w:rFonts w:ascii="Calibri Light" w:eastAsia="Times New Roman" w:hAnsi="Calibri Light" w:cs="Times New Roman"/>
      <w:b/>
      <w:bCs/>
      <w:kern w:val="28"/>
      <w:sz w:val="32"/>
      <w:szCs w:val="32"/>
      <w:lang w:eastAsia="en-US"/>
    </w:rPr>
  </w:style>
  <w:style w:type="paragraph" w:styleId="Intenzivencitat">
    <w:name w:val="Intense Quote"/>
    <w:basedOn w:val="Navaden"/>
    <w:next w:val="Navaden"/>
    <w:link w:val="IntenzivencitatZnak"/>
    <w:uiPriority w:val="30"/>
    <w:qFormat/>
    <w:rsid w:val="008D7DD4"/>
    <w:pPr>
      <w:pBdr>
        <w:top w:val="single" w:sz="4" w:space="10" w:color="4472C4"/>
        <w:bottom w:val="single" w:sz="4" w:space="10" w:color="4472C4"/>
      </w:pBdr>
      <w:spacing w:before="360" w:after="360"/>
      <w:ind w:left="864" w:right="864"/>
      <w:jc w:val="center"/>
    </w:pPr>
    <w:rPr>
      <w:rFonts w:ascii="Times New Roman" w:hAnsi="Times New Roman"/>
      <w:b/>
      <w:i/>
      <w:iCs/>
      <w:color w:val="4472C4"/>
      <w:kern w:val="2"/>
      <w:szCs w:val="20"/>
      <w:lang w:eastAsia="sl-SI"/>
    </w:rPr>
  </w:style>
  <w:style w:type="character" w:customStyle="1" w:styleId="IntenzivencitatZnak1">
    <w:name w:val="Intenziven citat Znak1"/>
    <w:uiPriority w:val="30"/>
    <w:rsid w:val="008D7DD4"/>
    <w:rPr>
      <w:i/>
      <w:iCs/>
      <w:color w:val="4472C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721">
      <w:bodyDiv w:val="1"/>
      <w:marLeft w:val="0"/>
      <w:marRight w:val="0"/>
      <w:marTop w:val="0"/>
      <w:marBottom w:val="0"/>
      <w:divBdr>
        <w:top w:val="none" w:sz="0" w:space="0" w:color="auto"/>
        <w:left w:val="none" w:sz="0" w:space="0" w:color="auto"/>
        <w:bottom w:val="none" w:sz="0" w:space="0" w:color="auto"/>
        <w:right w:val="none" w:sz="0" w:space="0" w:color="auto"/>
      </w:divBdr>
    </w:div>
    <w:div w:id="199172715">
      <w:bodyDiv w:val="1"/>
      <w:marLeft w:val="0"/>
      <w:marRight w:val="0"/>
      <w:marTop w:val="0"/>
      <w:marBottom w:val="0"/>
      <w:divBdr>
        <w:top w:val="none" w:sz="0" w:space="0" w:color="auto"/>
        <w:left w:val="none" w:sz="0" w:space="0" w:color="auto"/>
        <w:bottom w:val="none" w:sz="0" w:space="0" w:color="auto"/>
        <w:right w:val="none" w:sz="0" w:space="0" w:color="auto"/>
      </w:divBdr>
    </w:div>
    <w:div w:id="309485751">
      <w:bodyDiv w:val="1"/>
      <w:marLeft w:val="0"/>
      <w:marRight w:val="0"/>
      <w:marTop w:val="0"/>
      <w:marBottom w:val="0"/>
      <w:divBdr>
        <w:top w:val="none" w:sz="0" w:space="0" w:color="auto"/>
        <w:left w:val="none" w:sz="0" w:space="0" w:color="auto"/>
        <w:bottom w:val="none" w:sz="0" w:space="0" w:color="auto"/>
        <w:right w:val="none" w:sz="0" w:space="0" w:color="auto"/>
      </w:divBdr>
    </w:div>
    <w:div w:id="920483621">
      <w:bodyDiv w:val="1"/>
      <w:marLeft w:val="0"/>
      <w:marRight w:val="0"/>
      <w:marTop w:val="0"/>
      <w:marBottom w:val="0"/>
      <w:divBdr>
        <w:top w:val="none" w:sz="0" w:space="0" w:color="auto"/>
        <w:left w:val="none" w:sz="0" w:space="0" w:color="auto"/>
        <w:bottom w:val="none" w:sz="0" w:space="0" w:color="auto"/>
        <w:right w:val="none" w:sz="0" w:space="0" w:color="auto"/>
      </w:divBdr>
    </w:div>
    <w:div w:id="1012680280">
      <w:bodyDiv w:val="1"/>
      <w:marLeft w:val="0"/>
      <w:marRight w:val="0"/>
      <w:marTop w:val="0"/>
      <w:marBottom w:val="0"/>
      <w:divBdr>
        <w:top w:val="none" w:sz="0" w:space="0" w:color="auto"/>
        <w:left w:val="none" w:sz="0" w:space="0" w:color="auto"/>
        <w:bottom w:val="none" w:sz="0" w:space="0" w:color="auto"/>
        <w:right w:val="none" w:sz="0" w:space="0" w:color="auto"/>
      </w:divBdr>
    </w:div>
    <w:div w:id="1031614959">
      <w:bodyDiv w:val="1"/>
      <w:marLeft w:val="0"/>
      <w:marRight w:val="0"/>
      <w:marTop w:val="0"/>
      <w:marBottom w:val="0"/>
      <w:divBdr>
        <w:top w:val="none" w:sz="0" w:space="0" w:color="auto"/>
        <w:left w:val="none" w:sz="0" w:space="0" w:color="auto"/>
        <w:bottom w:val="none" w:sz="0" w:space="0" w:color="auto"/>
        <w:right w:val="none" w:sz="0" w:space="0" w:color="auto"/>
      </w:divBdr>
    </w:div>
    <w:div w:id="1280146501">
      <w:bodyDiv w:val="1"/>
      <w:marLeft w:val="0"/>
      <w:marRight w:val="0"/>
      <w:marTop w:val="0"/>
      <w:marBottom w:val="0"/>
      <w:divBdr>
        <w:top w:val="none" w:sz="0" w:space="0" w:color="auto"/>
        <w:left w:val="none" w:sz="0" w:space="0" w:color="auto"/>
        <w:bottom w:val="none" w:sz="0" w:space="0" w:color="auto"/>
        <w:right w:val="none" w:sz="0" w:space="0" w:color="auto"/>
      </w:divBdr>
    </w:div>
    <w:div w:id="1375734094">
      <w:bodyDiv w:val="1"/>
      <w:marLeft w:val="0"/>
      <w:marRight w:val="0"/>
      <w:marTop w:val="0"/>
      <w:marBottom w:val="0"/>
      <w:divBdr>
        <w:top w:val="none" w:sz="0" w:space="0" w:color="auto"/>
        <w:left w:val="none" w:sz="0" w:space="0" w:color="auto"/>
        <w:bottom w:val="none" w:sz="0" w:space="0" w:color="auto"/>
        <w:right w:val="none" w:sz="0" w:space="0" w:color="auto"/>
      </w:divBdr>
    </w:div>
    <w:div w:id="1384864492">
      <w:bodyDiv w:val="1"/>
      <w:marLeft w:val="0"/>
      <w:marRight w:val="0"/>
      <w:marTop w:val="0"/>
      <w:marBottom w:val="0"/>
      <w:divBdr>
        <w:top w:val="none" w:sz="0" w:space="0" w:color="auto"/>
        <w:left w:val="none" w:sz="0" w:space="0" w:color="auto"/>
        <w:bottom w:val="none" w:sz="0" w:space="0" w:color="auto"/>
        <w:right w:val="none" w:sz="0" w:space="0" w:color="auto"/>
      </w:divBdr>
    </w:div>
    <w:div w:id="16972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osebno\SinkovecM02\Dokumenti\Wp8\Word\nepremi&#269;nine\opomniki,%20analize\leto%202024\premo&#382;enjski%20davek-za%20izhodi&#353;&#269;e%20po%20sest%20PV%20(dec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'ocena stanja'!$M$54</c:f>
              <c:strCache>
                <c:ptCount val="1"/>
                <c:pt idx="0">
                  <c:v>Fizične osebe</c:v>
                </c:pt>
              </c:strCache>
            </c:strRef>
          </c:tx>
          <c:spPr>
            <a:solidFill>
              <a:schemeClr val="accent1"/>
            </a:solidFill>
            <a:ln>
              <a:noFill/>
            </a:ln>
            <a:effectLst/>
          </c:spPr>
          <c:invertIfNegative val="0"/>
          <c:cat>
            <c:strRef>
              <c:f>'ocena stanja'!$L$55:$L$57</c:f>
              <c:strCache>
                <c:ptCount val="3"/>
                <c:pt idx="0">
                  <c:v>1 stanovanje ali hišo v lasti</c:v>
                </c:pt>
                <c:pt idx="1">
                  <c:v>2 stanovanji ali hiši v lasti</c:v>
                </c:pt>
                <c:pt idx="2">
                  <c:v>3 in več stanovanj ali hiš v lasti</c:v>
                </c:pt>
              </c:strCache>
            </c:strRef>
          </c:cat>
          <c:val>
            <c:numRef>
              <c:f>'ocena stanja'!$M$55:$M$57</c:f>
              <c:numCache>
                <c:formatCode>0%</c:formatCode>
                <c:ptCount val="3"/>
                <c:pt idx="0">
                  <c:v>0.74926502766273839</c:v>
                </c:pt>
                <c:pt idx="1">
                  <c:v>0.18567379904913814</c:v>
                </c:pt>
                <c:pt idx="2">
                  <c:v>6.5061173288123483E-2</c:v>
                </c:pt>
              </c:numCache>
            </c:numRef>
          </c:val>
          <c:extLst>
            <c:ext xmlns:c16="http://schemas.microsoft.com/office/drawing/2014/chart" uri="{C3380CC4-5D6E-409C-BE32-E72D297353CC}">
              <c16:uniqueId val="{00000000-A3F9-49C3-BC41-F2BC3CC7123D}"/>
            </c:ext>
          </c:extLst>
        </c:ser>
        <c:ser>
          <c:idx val="1"/>
          <c:order val="1"/>
          <c:tx>
            <c:strRef>
              <c:f>'ocena stanja'!$N$54</c:f>
              <c:strCache>
                <c:ptCount val="1"/>
                <c:pt idx="0">
                  <c:v>Pravne osebe</c:v>
                </c:pt>
              </c:strCache>
            </c:strRef>
          </c:tx>
          <c:spPr>
            <a:solidFill>
              <a:schemeClr val="accent2"/>
            </a:solidFill>
            <a:ln>
              <a:noFill/>
            </a:ln>
            <a:effectLst/>
          </c:spPr>
          <c:invertIfNegative val="0"/>
          <c:cat>
            <c:strRef>
              <c:f>'ocena stanja'!$L$55:$L$57</c:f>
              <c:strCache>
                <c:ptCount val="3"/>
                <c:pt idx="0">
                  <c:v>1 stanovanje ali hišo v lasti</c:v>
                </c:pt>
                <c:pt idx="1">
                  <c:v>2 stanovanji ali hiši v lasti</c:v>
                </c:pt>
                <c:pt idx="2">
                  <c:v>3 in več stanovanj ali hiš v lasti</c:v>
                </c:pt>
              </c:strCache>
            </c:strRef>
          </c:cat>
          <c:val>
            <c:numRef>
              <c:f>'ocena stanja'!$N$55:$N$57</c:f>
              <c:numCache>
                <c:formatCode>0%</c:formatCode>
                <c:ptCount val="3"/>
                <c:pt idx="0">
                  <c:v>0.63815677605849341</c:v>
                </c:pt>
                <c:pt idx="1">
                  <c:v>0.14640367284475431</c:v>
                </c:pt>
                <c:pt idx="2">
                  <c:v>0.21543955109675225</c:v>
                </c:pt>
              </c:numCache>
            </c:numRef>
          </c:val>
          <c:extLst>
            <c:ext xmlns:c16="http://schemas.microsoft.com/office/drawing/2014/chart" uri="{C3380CC4-5D6E-409C-BE32-E72D297353CC}">
              <c16:uniqueId val="{00000001-A3F9-49C3-BC41-F2BC3CC7123D}"/>
            </c:ext>
          </c:extLst>
        </c:ser>
        <c:dLbls>
          <c:showLegendKey val="0"/>
          <c:showVal val="0"/>
          <c:showCatName val="0"/>
          <c:showSerName val="0"/>
          <c:showPercent val="0"/>
          <c:showBubbleSize val="0"/>
        </c:dLbls>
        <c:gapWidth val="219"/>
        <c:overlap val="-27"/>
        <c:axId val="448188768"/>
        <c:axId val="448209888"/>
      </c:barChart>
      <c:catAx>
        <c:axId val="4481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8209888"/>
        <c:crosses val="autoZero"/>
        <c:auto val="1"/>
        <c:lblAlgn val="ctr"/>
        <c:lblOffset val="100"/>
        <c:noMultiLvlLbl val="0"/>
      </c:catAx>
      <c:valAx>
        <c:axId val="448209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818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7EC2FB8DB9614C9925407D62AE8E3B" ma:contentTypeVersion="11" ma:contentTypeDescription="Ustvari nov dokument." ma:contentTypeScope="" ma:versionID="c5c956cc2a83837e893b7e872b06c678">
  <xsd:schema xmlns:xsd="http://www.w3.org/2001/XMLSchema" xmlns:xs="http://www.w3.org/2001/XMLSchema" xmlns:p="http://schemas.microsoft.com/office/2006/metadata/properties" xmlns:ns2="151a32cb-68d4-46e2-8990-209d00cbea1a" xmlns:ns3="33a172e0-58b3-4095-96dd-5b9ce65f1e3e" targetNamespace="http://schemas.microsoft.com/office/2006/metadata/properties" ma:root="true" ma:fieldsID="3c0d00cae2965b5da11419c04b5aeb9f" ns2:_="" ns3:_="">
    <xsd:import namespace="151a32cb-68d4-46e2-8990-209d00cbea1a"/>
    <xsd:import namespace="33a172e0-58b3-4095-96dd-5b9ce65f1e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4" nillable="true" ma:displayName="Vrednost ID-ja dokumenta" ma:description="Vrednost ID-ja dokumenta, dodeljenega temu elementu." ma:internalName="_dlc_DocId" ma:readOnly="true">
      <xsd:simpleType>
        <xsd:restriction base="dms:Text"/>
      </xsd:simpleType>
    </xsd:element>
    <xsd:element name="_dlc_DocIdUrl" ma:index="5"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a172e0-58b3-4095-96dd-5b9ce65f1e3e"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F8E1C1A-C8A2-4B31-9343-4A54AB67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33a172e0-58b3-4095-96dd-5b9ce65f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FBE00-17F4-4A3B-9786-95C289FECB17}">
  <ds:schemaRefs>
    <ds:schemaRef ds:uri="http://schemas.microsoft.com/sharepoint/events"/>
  </ds:schemaRefs>
</ds:datastoreItem>
</file>

<file path=customXml/itemProps3.xml><?xml version="1.0" encoding="utf-8"?>
<ds:datastoreItem xmlns:ds="http://schemas.openxmlformats.org/officeDocument/2006/customXml" ds:itemID="{19773B3E-0838-4CE6-9DCF-687A10395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019A3-7CE0-479B-A513-BC5A37432168}">
  <ds:schemaRefs>
    <ds:schemaRef ds:uri="http://schemas.openxmlformats.org/officeDocument/2006/bibliography"/>
  </ds:schemaRefs>
</ds:datastoreItem>
</file>

<file path=customXml/itemProps5.xml><?xml version="1.0" encoding="utf-8"?>
<ds:datastoreItem xmlns:ds="http://schemas.openxmlformats.org/officeDocument/2006/customXml" ds:itemID="{6CA93991-DF31-4425-8655-51796909B6CD}">
  <ds:schemaRefs>
    <ds:schemaRef ds:uri="http://schemas.microsoft.com/sharepoint/v3/contenttype/forms"/>
  </ds:schemaRefs>
</ds:datastoreItem>
</file>

<file path=customXml/itemProps6.xml><?xml version="1.0" encoding="utf-8"?>
<ds:datastoreItem xmlns:ds="http://schemas.openxmlformats.org/officeDocument/2006/customXml" ds:itemID="{A6EF5020-55E9-4905-B709-A5EFE6B334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6221</Words>
  <Characters>35462</Characters>
  <Application>Microsoft Office Word</Application>
  <DocSecurity>4</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MFRS</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Aleksandra Čibej</dc:creator>
  <cp:keywords/>
  <cp:lastModifiedBy>Franja Zagorc</cp:lastModifiedBy>
  <cp:revision>2</cp:revision>
  <cp:lastPrinted>2024-12-24T06:41:00Z</cp:lastPrinted>
  <dcterms:created xsi:type="dcterms:W3CDTF">2024-12-24T10:09:00Z</dcterms:created>
  <dcterms:modified xsi:type="dcterms:W3CDTF">2024-12-24T10:09:00Z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YPDRX2FCMFN4-33-36</vt:lpwstr>
  </property>
  <property fmtid="{D5CDD505-2E9C-101B-9397-08002B2CF9AE}" pid="3" name="_dlc_DocIdItemGuid">
    <vt:lpwstr>4f4ccfc7-8d3c-44f9-881c-f21d292bb3a6</vt:lpwstr>
  </property>
  <property fmtid="{D5CDD505-2E9C-101B-9397-08002B2CF9AE}" pid="4" name="_dlc_DocIdUrl">
    <vt:lpwstr>https://intra.gov.si/sites/006-iportal/podrocja/davkicarine/interno/_layouts/15/DocIdRedir.aspx?ID=YPDRX2FCMFN4-33-36, YPDRX2FCMFN4-33-36</vt:lpwstr>
  </property>
  <property fmtid="{D5CDD505-2E9C-101B-9397-08002B2CF9AE}" pid="5" name="display_urn:schemas-microsoft-com:office:office#Editor">
    <vt:lpwstr>Aleksandra Čibej</vt:lpwstr>
  </property>
  <property fmtid="{D5CDD505-2E9C-101B-9397-08002B2CF9AE}" pid="6" name="display_urn:schemas-microsoft-com:office:office#Author">
    <vt:lpwstr>Aleksandra Čibej</vt:lpwstr>
  </property>
</Properties>
</file>