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308E" w14:textId="3FD98E48" w:rsidR="00C703B9" w:rsidRPr="00F7708F" w:rsidRDefault="00C703B9" w:rsidP="00952248">
      <w:pPr>
        <w:pStyle w:val="Telobesedila"/>
        <w:tabs>
          <w:tab w:val="clear" w:pos="-1440"/>
        </w:tabs>
        <w:jc w:val="center"/>
        <w:rPr>
          <w:rFonts w:ascii="Arial" w:hAnsi="Arial" w:cs="Arial"/>
          <w:b/>
          <w:bCs/>
          <w:i/>
          <w:iCs/>
          <w:sz w:val="16"/>
          <w:szCs w:val="16"/>
        </w:rPr>
      </w:pPr>
      <w:bookmarkStart w:id="0" w:name="_Toc271637878"/>
      <w:bookmarkStart w:id="1" w:name="_Toc271638749"/>
      <w:bookmarkStart w:id="2" w:name="_Toc271702700"/>
      <w:bookmarkStart w:id="3" w:name="_Toc52454109"/>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sidRPr="00F7708F">
        <w:rPr>
          <w:rFonts w:ascii="Arial" w:hAnsi="Arial" w:cs="Arial"/>
          <w:b/>
          <w:bCs/>
          <w:i/>
          <w:iCs/>
          <w:sz w:val="16"/>
          <w:szCs w:val="16"/>
        </w:rPr>
        <w:t xml:space="preserve">PRILOGA </w:t>
      </w:r>
      <w:r>
        <w:rPr>
          <w:rFonts w:ascii="Arial" w:hAnsi="Arial" w:cs="Arial"/>
          <w:b/>
          <w:bCs/>
          <w:i/>
          <w:iCs/>
          <w:sz w:val="16"/>
          <w:szCs w:val="16"/>
        </w:rPr>
        <w:t>10</w:t>
      </w:r>
      <w:r w:rsidRPr="00F7708F">
        <w:rPr>
          <w:rFonts w:ascii="Arial" w:hAnsi="Arial" w:cs="Arial"/>
          <w:b/>
          <w:bCs/>
          <w:i/>
          <w:iCs/>
          <w:sz w:val="16"/>
          <w:szCs w:val="16"/>
        </w:rPr>
        <w:t xml:space="preserve"> </w:t>
      </w:r>
      <w:r>
        <w:rPr>
          <w:rFonts w:ascii="Arial" w:hAnsi="Arial" w:cs="Arial"/>
          <w:b/>
          <w:bCs/>
          <w:i/>
          <w:iCs/>
          <w:sz w:val="16"/>
          <w:szCs w:val="16"/>
        </w:rPr>
        <w:t>–</w:t>
      </w:r>
      <w:r w:rsidRPr="00F7708F">
        <w:rPr>
          <w:rFonts w:ascii="Arial" w:hAnsi="Arial" w:cs="Arial"/>
          <w:b/>
          <w:bCs/>
          <w:i/>
          <w:iCs/>
          <w:sz w:val="16"/>
          <w:szCs w:val="16"/>
        </w:rPr>
        <w:t xml:space="preserve"> </w:t>
      </w:r>
      <w:r>
        <w:rPr>
          <w:rFonts w:ascii="Arial" w:hAnsi="Arial" w:cs="Arial"/>
          <w:b/>
          <w:bCs/>
          <w:i/>
          <w:iCs/>
          <w:sz w:val="16"/>
          <w:szCs w:val="16"/>
        </w:rPr>
        <w:t xml:space="preserve">Knjižbe pri vključitvi prihodkov/odhodkov ožjih delov občin v proračun </w:t>
      </w:r>
    </w:p>
    <w:p w14:paraId="7BA65092" w14:textId="64BE9197" w:rsidR="00112EE0" w:rsidRDefault="00112EE0" w:rsidP="00952248">
      <w:pPr>
        <w:pStyle w:val="Telobesedila"/>
        <w:tabs>
          <w:tab w:val="clear" w:pos="-1440"/>
        </w:tabs>
        <w:jc w:val="right"/>
        <w:rPr>
          <w:rStyle w:val="Naslov6Znak"/>
          <w:b/>
        </w:rPr>
      </w:pPr>
    </w:p>
    <w:p w14:paraId="7DE43F5E" w14:textId="77777777" w:rsidR="00C703B9" w:rsidRDefault="00C703B9" w:rsidP="00952248">
      <w:pPr>
        <w:pStyle w:val="Telobesedila"/>
        <w:tabs>
          <w:tab w:val="clear" w:pos="-1440"/>
        </w:tabs>
        <w:jc w:val="right"/>
        <w:rPr>
          <w:rStyle w:val="Naslov6Znak"/>
          <w:b/>
        </w:rPr>
      </w:pPr>
    </w:p>
    <w:bookmarkEnd w:id="0"/>
    <w:bookmarkEnd w:id="1"/>
    <w:bookmarkEnd w:id="2"/>
    <w:bookmarkEnd w:id="3"/>
    <w:p w14:paraId="04E417ED"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t xml:space="preserve">Knjižbe pri vključitvi prihodkov in odhodkov ožjih delov občine, ki so pravne osebe, je glede na veljavno zakonodajo (dokler še lahko poslujejo s svojim podračunom) naslednje: </w:t>
      </w:r>
    </w:p>
    <w:p w14:paraId="3D7681DD" w14:textId="77777777" w:rsidR="00112EE0" w:rsidRPr="00821EFF" w:rsidRDefault="00112EE0" w:rsidP="00952248">
      <w:pPr>
        <w:pStyle w:val="Telobesedila"/>
        <w:tabs>
          <w:tab w:val="clear" w:pos="-1440"/>
        </w:tabs>
        <w:rPr>
          <w:rFonts w:ascii="Arial" w:hAnsi="Arial" w:cs="Arial"/>
          <w:sz w:val="20"/>
        </w:rPr>
      </w:pPr>
    </w:p>
    <w:p w14:paraId="0660DFEB" w14:textId="4D74DB2E" w:rsidR="00112EE0" w:rsidRPr="00821EFF" w:rsidRDefault="00112EE0" w:rsidP="00952248">
      <w:pPr>
        <w:pStyle w:val="Telobesedila"/>
        <w:tabs>
          <w:tab w:val="clear" w:pos="-1440"/>
          <w:tab w:val="left" w:pos="709"/>
        </w:tabs>
        <w:rPr>
          <w:rFonts w:ascii="Arial" w:hAnsi="Arial" w:cs="Arial"/>
          <w:b/>
          <w:bCs/>
          <w:sz w:val="20"/>
        </w:rPr>
      </w:pPr>
      <w:r w:rsidRPr="00821EFF">
        <w:rPr>
          <w:rFonts w:ascii="Arial" w:hAnsi="Arial" w:cs="Arial"/>
          <w:b/>
          <w:bCs/>
          <w:sz w:val="20"/>
        </w:rPr>
        <w:t>A)</w:t>
      </w:r>
      <w:r w:rsidRPr="00821EFF">
        <w:rPr>
          <w:rFonts w:ascii="Arial" w:hAnsi="Arial" w:cs="Arial"/>
          <w:b/>
          <w:bCs/>
          <w:sz w:val="20"/>
        </w:rPr>
        <w:tab/>
        <w:t xml:space="preserve">Sredstva, dana ožjemu delu občine, ki je pravna oseba, iz občinskega proračuna </w:t>
      </w:r>
      <w:r w:rsidRPr="00821EFF">
        <w:rPr>
          <w:rFonts w:ascii="Arial" w:hAnsi="Arial" w:cs="Arial"/>
          <w:b/>
          <w:bCs/>
          <w:sz w:val="20"/>
        </w:rPr>
        <w:tab/>
        <w:t xml:space="preserve">za </w:t>
      </w:r>
      <w:r w:rsidR="00952248">
        <w:rPr>
          <w:rFonts w:ascii="Arial" w:hAnsi="Arial" w:cs="Arial"/>
          <w:b/>
          <w:bCs/>
          <w:sz w:val="20"/>
        </w:rPr>
        <w:tab/>
      </w:r>
      <w:r w:rsidRPr="00821EFF">
        <w:rPr>
          <w:rFonts w:ascii="Arial" w:hAnsi="Arial" w:cs="Arial"/>
          <w:b/>
          <w:bCs/>
          <w:sz w:val="20"/>
        </w:rPr>
        <w:t>tekoče in investicijske odhodke</w:t>
      </w:r>
    </w:p>
    <w:p w14:paraId="4D7AEBAC" w14:textId="77777777" w:rsidR="00112EE0" w:rsidRPr="00821EFF" w:rsidRDefault="00112EE0" w:rsidP="00952248">
      <w:pPr>
        <w:pStyle w:val="Telobesedila"/>
        <w:tabs>
          <w:tab w:val="clear" w:pos="-1440"/>
        </w:tabs>
        <w:rPr>
          <w:rFonts w:ascii="Arial" w:hAnsi="Arial" w:cs="Arial"/>
          <w:b/>
          <w:bCs/>
          <w:sz w:val="20"/>
        </w:rPr>
      </w:pPr>
    </w:p>
    <w:p w14:paraId="7FB01340"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t>1.</w:t>
      </w:r>
      <w:r w:rsidRPr="00821EFF">
        <w:rPr>
          <w:rFonts w:ascii="Arial" w:hAnsi="Arial" w:cs="Arial"/>
          <w:sz w:val="20"/>
        </w:rPr>
        <w:tab/>
        <w:t xml:space="preserve">Knjižbe v poslovnih knjigah občinskega proračuna: </w:t>
      </w:r>
    </w:p>
    <w:p w14:paraId="20DF826D"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sredstva dana krajevnim skupnostim iz občinskega proračuna za tekoče in investicijsko dejavnost: 141/110;</w:t>
      </w:r>
    </w:p>
    <w:p w14:paraId="399B52F5"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na podlagi mesečnega poročila o realizaciji, ki ga posreduje ožji del občine, ki je pravna oseba občini, občina evidentira v svoje poslovne knjige naslednje: R4/141 (R4 – konti razreda 4 – odhodki iz enotnega kontnega načrta po namenih porabe).</w:t>
      </w:r>
    </w:p>
    <w:p w14:paraId="16CA6629" w14:textId="77777777" w:rsidR="00112EE0" w:rsidRPr="00821EFF" w:rsidRDefault="00112EE0" w:rsidP="00952248">
      <w:pPr>
        <w:pStyle w:val="Telobesedila"/>
        <w:tabs>
          <w:tab w:val="clear" w:pos="-1440"/>
        </w:tabs>
        <w:rPr>
          <w:rFonts w:ascii="Arial" w:hAnsi="Arial" w:cs="Arial"/>
          <w:sz w:val="20"/>
        </w:rPr>
      </w:pPr>
    </w:p>
    <w:p w14:paraId="6DBDEE9C"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t>2.</w:t>
      </w:r>
      <w:r w:rsidRPr="00821EFF">
        <w:rPr>
          <w:rFonts w:ascii="Arial" w:hAnsi="Arial" w:cs="Arial"/>
          <w:sz w:val="20"/>
        </w:rPr>
        <w:tab/>
        <w:t>Knjižbe v poslovnih knjigah ožjega dela občine, ki je pravna oseba:</w:t>
      </w:r>
    </w:p>
    <w:p w14:paraId="2A77CDF6"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sredstva prejeta iz proračuna občine za tekoče in investicijsko dejavnost: 110/740,</w:t>
      </w:r>
    </w:p>
    <w:p w14:paraId="51251070"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evidentiranje poslovnih dogodkov na podlagi originalne listinske dokumentacije - na primer dobaviteljevega računa (prejem): 18/22, plačilo računa: 22/18 in R4 /110 (R4 – konti razreda 4 – odhodki iz enotnega kontnega načrta po namenih porabe),</w:t>
      </w:r>
    </w:p>
    <w:p w14:paraId="15F469C3"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po preteku meseca pošlje ožji del občine, ki je pravna oseba, občini poročilo o mesečni realizaciji porabe sredstev za pretekli mesec,</w:t>
      </w:r>
    </w:p>
    <w:p w14:paraId="5C8A25D8"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ab/>
        <w:t>konec leta se za prejeta in še neporabljena sredstva opravi knjižba: 740/241, kar je obvezno potrebno tudi zaradi priprave premoženjske bilance (in pod 2. 1. ponovno vzpostavi prvotno stanje).</w:t>
      </w:r>
    </w:p>
    <w:p w14:paraId="3ADABEAA" w14:textId="77777777" w:rsidR="00112EE0" w:rsidRPr="00821EFF" w:rsidRDefault="00112EE0" w:rsidP="00952248">
      <w:pPr>
        <w:pStyle w:val="Telobesedila"/>
        <w:tabs>
          <w:tab w:val="clear" w:pos="-1440"/>
        </w:tabs>
        <w:rPr>
          <w:rFonts w:ascii="Arial" w:hAnsi="Arial" w:cs="Arial"/>
          <w:sz w:val="20"/>
        </w:rPr>
      </w:pPr>
    </w:p>
    <w:p w14:paraId="74D14883" w14:textId="77777777" w:rsidR="00112EE0" w:rsidRPr="00821EFF" w:rsidRDefault="00112EE0" w:rsidP="00952248">
      <w:pPr>
        <w:pStyle w:val="Telobesedila"/>
        <w:tabs>
          <w:tab w:val="clear" w:pos="-1440"/>
        </w:tabs>
        <w:ind w:left="720" w:hanging="720"/>
        <w:rPr>
          <w:rFonts w:ascii="Arial" w:hAnsi="Arial" w:cs="Arial"/>
          <w:b/>
          <w:bCs/>
          <w:sz w:val="20"/>
        </w:rPr>
      </w:pPr>
      <w:r w:rsidRPr="00821EFF">
        <w:rPr>
          <w:rFonts w:ascii="Arial" w:hAnsi="Arial" w:cs="Arial"/>
          <w:b/>
          <w:bCs/>
          <w:sz w:val="20"/>
        </w:rPr>
        <w:t>B)</w:t>
      </w:r>
      <w:r w:rsidRPr="00821EFF">
        <w:rPr>
          <w:rFonts w:ascii="Arial" w:hAnsi="Arial" w:cs="Arial"/>
          <w:b/>
          <w:bCs/>
          <w:sz w:val="20"/>
        </w:rPr>
        <w:tab/>
        <w:t>»Izvirni« (vplačani na podračun ožjega dela občine) prihodki ožjega dela občine, ki je pravna oseba (krajevni samoprispevek, prihodki občanov, obresti...) in njihova poraba</w:t>
      </w:r>
    </w:p>
    <w:p w14:paraId="1BD7B1BE" w14:textId="77777777" w:rsidR="00112EE0" w:rsidRPr="00821EFF" w:rsidRDefault="00112EE0" w:rsidP="00952248">
      <w:pPr>
        <w:pStyle w:val="Telobesedila"/>
        <w:tabs>
          <w:tab w:val="clear" w:pos="-1440"/>
        </w:tabs>
        <w:rPr>
          <w:rFonts w:ascii="Arial" w:hAnsi="Arial" w:cs="Arial"/>
          <w:b/>
          <w:bCs/>
          <w:sz w:val="20"/>
        </w:rPr>
      </w:pPr>
    </w:p>
    <w:p w14:paraId="3CCA8C15"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t>1.</w:t>
      </w:r>
      <w:r w:rsidRPr="00821EFF">
        <w:rPr>
          <w:rFonts w:ascii="Arial" w:hAnsi="Arial" w:cs="Arial"/>
          <w:sz w:val="20"/>
        </w:rPr>
        <w:tab/>
        <w:t>Knjižbe v poslovnih knjigah ožjega dela občine, ki je pravna oseba:</w:t>
      </w:r>
    </w:p>
    <w:p w14:paraId="416CD519"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vzpostavitev terjatve do kupcev: 12/28; plačilo kupca: 28/12 in 110/713 (če gre za prihodke od prodaje blaga in storitev oziroma drug ustrezen konto, če gre za javnofinančne prihodke),</w:t>
      </w:r>
    </w:p>
    <w:p w14:paraId="07380743"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plačilo odhodkov, ki se poravnavajo iz naslova vplačanih »izvirnih« prihodkov: vzpostavitev obveznosti do dobavitelja: 18/22, poravnava računa dobavitelja: 22/18 in R4/110 (R4 - konti razreda 4 – odhodki iz enotnega kontnega načrta po namenih porabe),</w:t>
      </w:r>
    </w:p>
    <w:p w14:paraId="0B7B4D64"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po preteku meseca pošlje ožji del občine, ki je pravna oseba, občini poročilo o vplačanih »izvirnih« prihodkih in poročilo o mesečni realizaciji porabe sredstev iz naslova vplačanih »izvirnih« prihodkov za pretekli mesec.</w:t>
      </w:r>
    </w:p>
    <w:p w14:paraId="1454A3B6" w14:textId="77777777" w:rsidR="00112EE0" w:rsidRPr="00821EFF" w:rsidRDefault="00112EE0" w:rsidP="00952248">
      <w:pPr>
        <w:pStyle w:val="Telobesedila"/>
        <w:tabs>
          <w:tab w:val="clear" w:pos="-1440"/>
        </w:tabs>
        <w:rPr>
          <w:rFonts w:ascii="Arial" w:hAnsi="Arial" w:cs="Arial"/>
          <w:sz w:val="20"/>
        </w:rPr>
      </w:pPr>
    </w:p>
    <w:p w14:paraId="0E19414E"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t>2.</w:t>
      </w:r>
      <w:r w:rsidRPr="00821EFF">
        <w:rPr>
          <w:rFonts w:ascii="Arial" w:hAnsi="Arial" w:cs="Arial"/>
          <w:sz w:val="20"/>
        </w:rPr>
        <w:tab/>
        <w:t xml:space="preserve">Knjižbe v poslovnih knjigah občinskega proračuna: </w:t>
      </w:r>
    </w:p>
    <w:p w14:paraId="79EB0C0C" w14:textId="77777777" w:rsidR="00112EE0" w:rsidRPr="00821EFF" w:rsidRDefault="00112EE0" w:rsidP="00952248">
      <w:pPr>
        <w:pStyle w:val="Telobesedila"/>
        <w:tabs>
          <w:tab w:val="clear" w:pos="-1440"/>
        </w:tabs>
        <w:ind w:left="1440" w:hanging="670"/>
        <w:rPr>
          <w:rFonts w:ascii="Arial" w:hAnsi="Arial" w:cs="Arial"/>
          <w:sz w:val="20"/>
        </w:rPr>
      </w:pPr>
      <w:r w:rsidRPr="00821EFF">
        <w:rPr>
          <w:rFonts w:ascii="Arial" w:hAnsi="Arial" w:cs="Arial"/>
          <w:sz w:val="20"/>
        </w:rPr>
        <w:t>-</w:t>
      </w:r>
      <w:r w:rsidRPr="00821EFF">
        <w:rPr>
          <w:rFonts w:ascii="Arial" w:hAnsi="Arial" w:cs="Arial"/>
          <w:sz w:val="20"/>
        </w:rPr>
        <w:tab/>
        <w:t>na podlagi mesečnega poročila o vplačanih »izvirnih« prihodkih in poročila o realizaciji porabe sredstev iz naslova vplačanih »izvirnih« prihodkov, ki ga posreduje ožji del občine, ki je pravna oseba, občini, občina evidentira v svoje poslovne knjige naslednje:</w:t>
      </w:r>
    </w:p>
    <w:p w14:paraId="493A29D6" w14:textId="2DC3E92F" w:rsidR="00112EE0" w:rsidRPr="00821EFF" w:rsidRDefault="00112EE0" w:rsidP="00952248">
      <w:pPr>
        <w:pStyle w:val="Telobesedila"/>
        <w:tabs>
          <w:tab w:val="clear" w:pos="-1440"/>
        </w:tabs>
        <w:ind w:left="1440" w:hanging="669"/>
        <w:rPr>
          <w:rFonts w:ascii="Arial" w:hAnsi="Arial" w:cs="Arial"/>
          <w:sz w:val="20"/>
        </w:rPr>
      </w:pPr>
      <w:r w:rsidRPr="00821EFF">
        <w:rPr>
          <w:rFonts w:ascii="Arial" w:hAnsi="Arial" w:cs="Arial"/>
          <w:sz w:val="20"/>
        </w:rPr>
        <w:t>-</w:t>
      </w:r>
      <w:r w:rsidRPr="00821EFF">
        <w:rPr>
          <w:rFonts w:ascii="Arial" w:hAnsi="Arial" w:cs="Arial"/>
          <w:sz w:val="20"/>
        </w:rPr>
        <w:tab/>
        <w:t>evidentiranje »izvirnih« prihodkov ožjega dela občine, ki je pravna oseba: 141/713 (če gre za prihodke od prodaje blaga in storitev oziroma drug ustrezen konto, če gre za javnofinančne prihodke),</w:t>
      </w:r>
    </w:p>
    <w:p w14:paraId="5763CBC9" w14:textId="4FD57F7F" w:rsidR="00112EE0" w:rsidRPr="00821EFF" w:rsidRDefault="00112EE0" w:rsidP="00952248">
      <w:pPr>
        <w:pStyle w:val="Telobesedila"/>
        <w:tabs>
          <w:tab w:val="clear" w:pos="-1440"/>
        </w:tabs>
        <w:ind w:left="1440" w:hanging="669"/>
        <w:rPr>
          <w:rFonts w:ascii="Arial" w:hAnsi="Arial" w:cs="Arial"/>
          <w:sz w:val="20"/>
        </w:rPr>
      </w:pPr>
      <w:r w:rsidRPr="00821EFF">
        <w:rPr>
          <w:rFonts w:ascii="Arial" w:hAnsi="Arial" w:cs="Arial"/>
          <w:sz w:val="20"/>
        </w:rPr>
        <w:t>-</w:t>
      </w:r>
      <w:r w:rsidRPr="00821EFF">
        <w:rPr>
          <w:rFonts w:ascii="Arial" w:hAnsi="Arial" w:cs="Arial"/>
          <w:sz w:val="20"/>
        </w:rPr>
        <w:tab/>
        <w:t>evidentiranje porabe sredstev iz naslova porabe »izvirnih« prihodkov ožjega dela občine, ki je pravna oseba: R4/141 (R4 – konti razreda 4 – odhodki iz enotnega kontnega načrta po namenih porabe).</w:t>
      </w:r>
    </w:p>
    <w:p w14:paraId="2A8DBE14" w14:textId="77777777" w:rsidR="00112EE0" w:rsidRPr="00821EFF" w:rsidRDefault="00112EE0" w:rsidP="00952248">
      <w:pPr>
        <w:pStyle w:val="Telobesedila"/>
        <w:tabs>
          <w:tab w:val="clear" w:pos="-1440"/>
        </w:tabs>
        <w:rPr>
          <w:rFonts w:ascii="Arial" w:hAnsi="Arial" w:cs="Arial"/>
          <w:sz w:val="20"/>
        </w:rPr>
      </w:pPr>
    </w:p>
    <w:p w14:paraId="1AC1D9DD" w14:textId="77777777" w:rsidR="00112EE0" w:rsidRPr="00821EFF" w:rsidRDefault="00112EE0" w:rsidP="00952248">
      <w:pPr>
        <w:pStyle w:val="Telobesedila"/>
        <w:tabs>
          <w:tab w:val="clear" w:pos="-1440"/>
        </w:tabs>
        <w:ind w:left="550" w:hanging="550"/>
        <w:rPr>
          <w:rFonts w:ascii="Arial" w:hAnsi="Arial" w:cs="Arial"/>
          <w:sz w:val="20"/>
        </w:rPr>
      </w:pPr>
      <w:r w:rsidRPr="00821EFF">
        <w:rPr>
          <w:rFonts w:ascii="Arial" w:hAnsi="Arial" w:cs="Arial"/>
          <w:sz w:val="20"/>
        </w:rPr>
        <w:t>3.</w:t>
      </w:r>
      <w:r w:rsidRPr="00821EFF">
        <w:rPr>
          <w:rFonts w:ascii="Arial" w:hAnsi="Arial" w:cs="Arial"/>
          <w:sz w:val="20"/>
        </w:rPr>
        <w:tab/>
        <w:t xml:space="preserve">Razlika med prihodki in odhodki se evidentira v poslovnih knjigah ožjega dela občine kot presežek prihodkov nad odhodki na kontu 9009. V poslovnih knjigah občinskega proračuna pa se ta razlika kaže v terjatvah do ožjega dela občine, ki je pravna oseba (141/). Ta način evidentiranja presežka prihodkov nad odhodki ožjega dela občine, ki je pravna oseba, je potrebno upoštevati tudi pri pripravi premoženjske bilance. </w:t>
      </w:r>
    </w:p>
    <w:p w14:paraId="19CFA989" w14:textId="77777777" w:rsidR="00112EE0" w:rsidRPr="00821EFF" w:rsidRDefault="00112EE0" w:rsidP="00952248">
      <w:pPr>
        <w:pStyle w:val="Telobesedila"/>
        <w:tabs>
          <w:tab w:val="clear" w:pos="-1440"/>
        </w:tabs>
        <w:rPr>
          <w:rFonts w:ascii="Arial" w:hAnsi="Arial" w:cs="Arial"/>
          <w:sz w:val="20"/>
        </w:rPr>
      </w:pPr>
    </w:p>
    <w:p w14:paraId="4EA7B3BA"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t xml:space="preserve">Zgoraj prikazani način knjiženja se upošteva od 1. 1. 2006 dalje. </w:t>
      </w:r>
    </w:p>
    <w:p w14:paraId="22446CEA" w14:textId="77777777" w:rsidR="00112EE0" w:rsidRPr="00821EFF" w:rsidRDefault="00112EE0" w:rsidP="00952248">
      <w:pPr>
        <w:pStyle w:val="Telobesedila"/>
        <w:tabs>
          <w:tab w:val="clear" w:pos="-1440"/>
        </w:tabs>
        <w:rPr>
          <w:rFonts w:ascii="Arial" w:hAnsi="Arial" w:cs="Arial"/>
          <w:sz w:val="20"/>
        </w:rPr>
      </w:pPr>
      <w:r w:rsidRPr="00821EFF">
        <w:rPr>
          <w:rFonts w:ascii="Arial" w:hAnsi="Arial" w:cs="Arial"/>
          <w:sz w:val="20"/>
        </w:rPr>
        <w:lastRenderedPageBreak/>
        <w:t xml:space="preserve">Na osnovi predhodno navedenega načina evidentiranja prihodkov in odhodkov ožjih delov občin v poslovnih knjigah občinskega proračuna, ožji deli občin, ki so pravne osebe, še vedno poslujejo preko svojega podračuna, s sredstvi v finančnem načrtu pa razpolaga ožji del občine in ne župan. Občinski proračun izkazuje vse prihodke in odhodke vseh neposrednih uporabnikov proračuna (tudi ožjih delov občin, ki so pravne osebe), zato so v poročilih za ministrstvo za finance o sprejetem proračunu in kasneje njegovi realizaciji zajeti vsi prihodki in odhodki proračuna, vključno s prihodki in odhodki ožjih delov občin, ki so pravne osebe. V letnem poročilu gre sicer za podvajanje prihodkov in odhodkov ožjih delov občin, ki so pravne osebe (enkrat so zajeti v letnem poročilu za občino in drugič v letnem poročilu za ožji del občine, ki je pravna oseba). V pojasnilih letnega poročila, ki so poleg računovodskih izkazov sestavni del računovodskega poročila, mora občina pojasniti, da so v letnem poročilu za občino zajeti tudi ožji deli občin, ki so pravne osebe. Tako se pri pripravi raznih poročil za namene statističnega in drugega poročanja to ve in podatki ožjih delov občin, ki so pravne osebe, se ne upoštevajo dvakrat. </w:t>
      </w:r>
    </w:p>
    <w:p w14:paraId="3613098D" w14:textId="77777777" w:rsidR="00112EE0" w:rsidRPr="00821EFF" w:rsidRDefault="00112EE0" w:rsidP="00952248">
      <w:pPr>
        <w:pStyle w:val="Telobesedila"/>
        <w:tabs>
          <w:tab w:val="clear" w:pos="-1440"/>
        </w:tabs>
        <w:rPr>
          <w:rFonts w:ascii="Arial" w:hAnsi="Arial" w:cs="Arial"/>
          <w:sz w:val="20"/>
        </w:rPr>
      </w:pPr>
    </w:p>
    <w:p w14:paraId="13623713" w14:textId="77777777" w:rsidR="00112EE0" w:rsidRPr="00821EFF" w:rsidRDefault="00112EE0" w:rsidP="00112EE0">
      <w:pPr>
        <w:pStyle w:val="Telobesedila"/>
        <w:tabs>
          <w:tab w:val="clear" w:pos="-1440"/>
        </w:tabs>
        <w:rPr>
          <w:rFonts w:ascii="Arial" w:hAnsi="Arial" w:cs="Arial"/>
          <w:b/>
          <w:bCs/>
          <w:sz w:val="20"/>
        </w:rPr>
      </w:pPr>
      <w:r w:rsidRPr="00821EFF">
        <w:rPr>
          <w:rFonts w:ascii="Arial" w:hAnsi="Arial" w:cs="Arial"/>
          <w:b/>
          <w:bCs/>
          <w:sz w:val="20"/>
        </w:rPr>
        <w:t>APPrA-O omogoča tudi pripravo finančnega načrta neposrednega uporabnika – ožjega dela občine, ki je pravna oseba (in ima svoj podračun), vendar morajo biti prihodki in odhodki ožjih delov občine, ki so pravne osebe, tudi računovodsko vključeni v občinski proračun na predhodno opisan način, kar omogoča tudi kasnejše izvrševanje finančnega načrta ožjega dela občine, ki je pravna oseba.</w:t>
      </w:r>
    </w:p>
    <w:p w14:paraId="39E78701" w14:textId="77777777" w:rsidR="00112EE0" w:rsidRPr="00821EFF" w:rsidRDefault="00112EE0" w:rsidP="00952248">
      <w:pPr>
        <w:pStyle w:val="Telobesedila"/>
        <w:tabs>
          <w:tab w:val="clear" w:pos="-1440"/>
        </w:tabs>
        <w:rPr>
          <w:rFonts w:ascii="Arial" w:hAnsi="Arial" w:cs="Arial"/>
          <w:sz w:val="20"/>
        </w:rPr>
      </w:pPr>
    </w:p>
    <w:p w14:paraId="02330690" w14:textId="3240E354" w:rsidR="00112EE0" w:rsidRPr="00821EFF" w:rsidRDefault="00112EE0" w:rsidP="00952248">
      <w:pPr>
        <w:pStyle w:val="Telobesedila-zamik3"/>
        <w:tabs>
          <w:tab w:val="clear" w:pos="-1080"/>
          <w:tab w:val="clear" w:pos="-720"/>
          <w:tab w:val="clear" w:pos="0"/>
          <w:tab w:val="clear" w:pos="810"/>
          <w:tab w:val="clear" w:pos="1080"/>
        </w:tabs>
        <w:ind w:left="0"/>
        <w:rPr>
          <w:rFonts w:ascii="Arial" w:hAnsi="Arial" w:cs="Arial"/>
          <w:b/>
          <w:bCs/>
          <w:sz w:val="20"/>
        </w:rPr>
      </w:pPr>
      <w:r w:rsidRPr="00821EFF">
        <w:rPr>
          <w:rFonts w:ascii="Arial" w:hAnsi="Arial" w:cs="Arial"/>
          <w:b/>
          <w:bCs/>
          <w:sz w:val="20"/>
        </w:rPr>
        <w:t xml:space="preserve">Vključitev ožjih delov občin, ne glede na to ali so pravne osebe ali ne, v občinski proračun je </w:t>
      </w:r>
      <w:r w:rsidR="00B076B8" w:rsidRPr="00821EFF">
        <w:rPr>
          <w:rFonts w:ascii="Arial" w:hAnsi="Arial" w:cs="Arial"/>
          <w:b/>
          <w:bCs/>
          <w:sz w:val="20"/>
        </w:rPr>
        <w:t>OBVEZNA</w:t>
      </w:r>
      <w:r w:rsidRPr="00821EFF">
        <w:rPr>
          <w:rFonts w:ascii="Arial" w:hAnsi="Arial" w:cs="Arial"/>
          <w:b/>
          <w:bCs/>
          <w:sz w:val="20"/>
        </w:rPr>
        <w:t>, ker so ožji deli občin neposredni uporabniki proračuna. Za vsak ožji del občine posebej mora biti pripravljen samostojen finančni načrt.</w:t>
      </w:r>
    </w:p>
    <w:p w14:paraId="7A8F6394" w14:textId="77777777" w:rsidR="00112EE0" w:rsidRPr="00821EFF" w:rsidRDefault="00112EE0" w:rsidP="00112EE0">
      <w:pPr>
        <w:pStyle w:val="Telobesedila"/>
        <w:tabs>
          <w:tab w:val="clear" w:pos="-1440"/>
        </w:tabs>
        <w:rPr>
          <w:rFonts w:ascii="Arial" w:hAnsi="Arial" w:cs="Arial"/>
          <w:b/>
          <w:bCs/>
          <w:sz w:val="20"/>
        </w:rPr>
      </w:pPr>
    </w:p>
    <w:p w14:paraId="69EC177B" w14:textId="77777777" w:rsidR="00112EE0" w:rsidRPr="00821EFF" w:rsidRDefault="00112EE0" w:rsidP="00112EE0">
      <w:pPr>
        <w:pStyle w:val="Telobesedila"/>
        <w:tabs>
          <w:tab w:val="clear" w:pos="-1440"/>
        </w:tabs>
        <w:rPr>
          <w:rFonts w:ascii="Arial" w:hAnsi="Arial" w:cs="Arial"/>
          <w:b/>
          <w:bCs/>
          <w:sz w:val="20"/>
        </w:rPr>
      </w:pPr>
    </w:p>
    <w:p w14:paraId="214DBE0D" w14:textId="77777777" w:rsidR="00112EE0" w:rsidRPr="00821EFF" w:rsidRDefault="00112EE0" w:rsidP="00112EE0">
      <w:pPr>
        <w:pStyle w:val="Telobesedila"/>
        <w:tabs>
          <w:tab w:val="clear" w:pos="-1440"/>
        </w:tabs>
        <w:rPr>
          <w:rFonts w:ascii="Arial" w:hAnsi="Arial" w:cs="Arial"/>
          <w:b/>
          <w:bCs/>
          <w:color w:val="1F497D"/>
          <w:sz w:val="20"/>
        </w:rPr>
      </w:pPr>
      <w:r w:rsidRPr="00821EFF">
        <w:rPr>
          <w:rFonts w:ascii="Arial" w:hAnsi="Arial" w:cs="Arial"/>
          <w:b/>
          <w:bCs/>
          <w:color w:val="1F497D"/>
          <w:sz w:val="20"/>
        </w:rPr>
        <w:t>Vzorec opredelitve »izvirnih« prihodkov krajevne skupnosti v občinskem proračunu in finančnega načrta krajevne skupnosti</w:t>
      </w:r>
    </w:p>
    <w:p w14:paraId="3E80AF92" w14:textId="77777777" w:rsidR="00112EE0" w:rsidRPr="00821EFF" w:rsidRDefault="00112EE0" w:rsidP="00112EE0">
      <w:pPr>
        <w:pStyle w:val="Telobesedila"/>
        <w:tabs>
          <w:tab w:val="clear" w:pos="-1440"/>
        </w:tabs>
        <w:rPr>
          <w:rFonts w:ascii="Arial" w:hAnsi="Arial" w:cs="Arial"/>
          <w:b/>
          <w:bCs/>
          <w:color w:val="1F497D"/>
          <w:sz w:val="20"/>
        </w:rPr>
      </w:pPr>
    </w:p>
    <w:p w14:paraId="69DC4C61" w14:textId="77777777" w:rsidR="00112EE0" w:rsidRPr="00821EFF" w:rsidRDefault="00112EE0" w:rsidP="00112EE0">
      <w:pPr>
        <w:pStyle w:val="Telobesedila"/>
        <w:tabs>
          <w:tab w:val="clear" w:pos="-1440"/>
        </w:tabs>
        <w:rPr>
          <w:rFonts w:ascii="Arial" w:hAnsi="Arial" w:cs="Arial"/>
          <w:b/>
          <w:bCs/>
          <w:i/>
          <w:iCs/>
          <w:color w:val="1F497D"/>
          <w:sz w:val="20"/>
          <w:u w:val="single"/>
        </w:rPr>
      </w:pPr>
      <w:r w:rsidRPr="00821EFF">
        <w:rPr>
          <w:rFonts w:ascii="Arial" w:hAnsi="Arial" w:cs="Arial"/>
          <w:b/>
          <w:bCs/>
          <w:i/>
          <w:iCs/>
          <w:color w:val="1F497D"/>
          <w:sz w:val="20"/>
          <w:u w:val="single"/>
        </w:rPr>
        <w:t>Odlok o proračunu</w:t>
      </w:r>
    </w:p>
    <w:p w14:paraId="436B04FF"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xx. člen</w:t>
      </w:r>
    </w:p>
    <w:p w14:paraId="7BAB89B8" w14:textId="77777777" w:rsidR="00112EE0" w:rsidRPr="00821EFF" w:rsidRDefault="00112EE0" w:rsidP="00952248">
      <w:pPr>
        <w:pStyle w:val="Telobesedila"/>
        <w:tabs>
          <w:tab w:val="clear" w:pos="-1440"/>
        </w:tabs>
        <w:rPr>
          <w:rFonts w:ascii="Arial" w:hAnsi="Arial" w:cs="Arial"/>
          <w:color w:val="1F497D"/>
          <w:sz w:val="20"/>
        </w:rPr>
      </w:pPr>
      <w:r w:rsidRPr="00821EFF">
        <w:rPr>
          <w:rFonts w:ascii="Arial" w:hAnsi="Arial" w:cs="Arial"/>
          <w:color w:val="1F497D"/>
          <w:sz w:val="20"/>
        </w:rPr>
        <w:t>Namenski prihodki proračuna so poleg prihodkov, določenih v prvem stavku prvega odstavka 43. člena ZJF, tudi naslednji prihodki:</w:t>
      </w:r>
    </w:p>
    <w:p w14:paraId="7ECF44F0" w14:textId="77777777" w:rsidR="00112EE0" w:rsidRPr="00821EFF" w:rsidRDefault="00112EE0" w:rsidP="00952248">
      <w:pPr>
        <w:pStyle w:val="Telobesedila"/>
        <w:numPr>
          <w:ilvl w:val="0"/>
          <w:numId w:val="1"/>
        </w:numPr>
        <w:tabs>
          <w:tab w:val="clear" w:pos="-1440"/>
          <w:tab w:val="clear" w:pos="1170"/>
        </w:tabs>
        <w:rPr>
          <w:rFonts w:ascii="Arial" w:hAnsi="Arial" w:cs="Arial"/>
          <w:b/>
          <w:bCs/>
          <w:color w:val="1F497D"/>
          <w:sz w:val="20"/>
        </w:rPr>
      </w:pPr>
      <w:r w:rsidRPr="00821EFF">
        <w:rPr>
          <w:rFonts w:ascii="Arial" w:hAnsi="Arial" w:cs="Arial"/>
          <w:b/>
          <w:bCs/>
          <w:color w:val="1F497D"/>
          <w:sz w:val="20"/>
        </w:rPr>
        <w:t xml:space="preserve">krajevni samoprispevek v krajevni skupnosti A, ki se uporabi za namene iz odloka o uvedbi samoprispevka, </w:t>
      </w:r>
    </w:p>
    <w:p w14:paraId="70949702" w14:textId="77777777" w:rsidR="00112EE0" w:rsidRPr="00952248" w:rsidRDefault="00112EE0" w:rsidP="00112EE0">
      <w:pPr>
        <w:pStyle w:val="Telobesedila"/>
        <w:tabs>
          <w:tab w:val="clear" w:pos="-1440"/>
        </w:tabs>
        <w:rPr>
          <w:rFonts w:ascii="Arial" w:hAnsi="Arial" w:cs="Arial"/>
          <w:color w:val="1F497D"/>
          <w:sz w:val="20"/>
        </w:rPr>
      </w:pPr>
    </w:p>
    <w:p w14:paraId="0F721041" w14:textId="77777777" w:rsidR="00112EE0" w:rsidRPr="00821EFF" w:rsidRDefault="00112EE0" w:rsidP="00112EE0">
      <w:pPr>
        <w:pStyle w:val="Telobesedila"/>
        <w:tabs>
          <w:tab w:val="clear" w:pos="-1440"/>
        </w:tabs>
        <w:rPr>
          <w:rFonts w:ascii="Arial" w:hAnsi="Arial" w:cs="Arial"/>
          <w:b/>
          <w:bCs/>
          <w:i/>
          <w:iCs/>
          <w:color w:val="1F497D"/>
          <w:sz w:val="20"/>
          <w:u w:val="single"/>
        </w:rPr>
      </w:pPr>
      <w:r w:rsidRPr="00821EFF">
        <w:rPr>
          <w:rFonts w:ascii="Arial" w:hAnsi="Arial" w:cs="Arial"/>
          <w:b/>
          <w:bCs/>
          <w:i/>
          <w:iCs/>
          <w:color w:val="1F497D"/>
          <w:sz w:val="20"/>
          <w:u w:val="single"/>
        </w:rPr>
        <w:t>Splošni del proračuna</w:t>
      </w:r>
    </w:p>
    <w:p w14:paraId="25E65014"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PRIHODKI</w:t>
      </w:r>
    </w:p>
    <w:p w14:paraId="0F9AC72A"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714109 Sredstva za investicije pridobljena, s krajevnimi samoprispevki</w:t>
      </w:r>
    </w:p>
    <w:p w14:paraId="3FD75D11" w14:textId="77777777" w:rsidR="00112EE0" w:rsidRPr="00821EFF" w:rsidRDefault="00112EE0" w:rsidP="00112EE0">
      <w:pPr>
        <w:pStyle w:val="Telobesedila"/>
        <w:tabs>
          <w:tab w:val="clear" w:pos="-1440"/>
        </w:tabs>
        <w:rPr>
          <w:rFonts w:ascii="Arial" w:hAnsi="Arial" w:cs="Arial"/>
          <w:b/>
          <w:bCs/>
          <w:i/>
          <w:iCs/>
          <w:color w:val="1F497D"/>
          <w:sz w:val="20"/>
          <w:u w:val="single"/>
        </w:rPr>
      </w:pPr>
    </w:p>
    <w:p w14:paraId="441A219A" w14:textId="77777777" w:rsidR="00112EE0" w:rsidRPr="00821EFF" w:rsidRDefault="00112EE0" w:rsidP="00112EE0">
      <w:pPr>
        <w:pStyle w:val="Telobesedila"/>
        <w:tabs>
          <w:tab w:val="clear" w:pos="-1440"/>
        </w:tabs>
        <w:rPr>
          <w:rFonts w:ascii="Arial" w:hAnsi="Arial" w:cs="Arial"/>
          <w:b/>
          <w:bCs/>
          <w:i/>
          <w:iCs/>
          <w:color w:val="1F497D"/>
          <w:sz w:val="20"/>
          <w:u w:val="single"/>
        </w:rPr>
      </w:pPr>
      <w:r w:rsidRPr="00821EFF">
        <w:rPr>
          <w:rFonts w:ascii="Arial" w:hAnsi="Arial" w:cs="Arial"/>
          <w:b/>
          <w:bCs/>
          <w:i/>
          <w:iCs/>
          <w:color w:val="1F497D"/>
          <w:sz w:val="20"/>
          <w:u w:val="single"/>
        </w:rPr>
        <w:t>Posebni del proračuna – finančni načrt neposrednega uporabnika</w:t>
      </w:r>
    </w:p>
    <w:p w14:paraId="3987F546"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___________________________________________________________________________</w:t>
      </w:r>
    </w:p>
    <w:p w14:paraId="2FD96096" w14:textId="77777777" w:rsidR="00112EE0" w:rsidRPr="00821EFF" w:rsidRDefault="00112EE0" w:rsidP="00112EE0">
      <w:pPr>
        <w:pStyle w:val="Telobesedila"/>
        <w:tabs>
          <w:tab w:val="clear" w:pos="-1440"/>
        </w:tabs>
        <w:rPr>
          <w:rFonts w:ascii="Arial" w:hAnsi="Arial" w:cs="Arial"/>
          <w:b/>
          <w:bCs/>
          <w:color w:val="1F497D"/>
          <w:sz w:val="20"/>
        </w:rPr>
      </w:pPr>
      <w:r w:rsidRPr="00821EFF">
        <w:rPr>
          <w:rFonts w:ascii="Arial" w:hAnsi="Arial" w:cs="Arial"/>
          <w:color w:val="1F497D"/>
          <w:sz w:val="20"/>
        </w:rPr>
        <w:t xml:space="preserve">Krajevna skupnost </w:t>
      </w:r>
      <w:r w:rsidRPr="00821EFF">
        <w:rPr>
          <w:rFonts w:ascii="Arial" w:hAnsi="Arial" w:cs="Arial"/>
          <w:b/>
          <w:bCs/>
          <w:color w:val="1F497D"/>
          <w:sz w:val="20"/>
        </w:rPr>
        <w:t>A</w:t>
      </w:r>
    </w:p>
    <w:p w14:paraId="415B3262"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13 PROMET, PROMETNA INFRASTRUKTURA IN KOMUNIKACIJE</w:t>
      </w:r>
    </w:p>
    <w:p w14:paraId="62A8B5E9"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1302 Cestni promet in infrastruktura</w:t>
      </w:r>
    </w:p>
    <w:p w14:paraId="7D57A374"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13029002 Investicijsko vzdrževanje in gradnja občinskih cest</w:t>
      </w:r>
    </w:p>
    <w:p w14:paraId="262683FE" w14:textId="77777777" w:rsidR="00112EE0" w:rsidRPr="00821EFF" w:rsidRDefault="00112EE0" w:rsidP="00112EE0">
      <w:pPr>
        <w:pStyle w:val="Telobesedila"/>
        <w:tabs>
          <w:tab w:val="clear" w:pos="-1440"/>
        </w:tabs>
        <w:ind w:left="2160" w:hanging="720"/>
        <w:rPr>
          <w:rFonts w:ascii="Arial" w:hAnsi="Arial" w:cs="Arial"/>
          <w:color w:val="1F497D"/>
          <w:sz w:val="20"/>
        </w:rPr>
      </w:pPr>
      <w:proofErr w:type="spellStart"/>
      <w:r w:rsidRPr="00821EFF">
        <w:rPr>
          <w:rFonts w:ascii="Arial" w:hAnsi="Arial" w:cs="Arial"/>
          <w:color w:val="1F497D"/>
          <w:sz w:val="20"/>
        </w:rPr>
        <w:t>xxxx</w:t>
      </w:r>
      <w:proofErr w:type="spellEnd"/>
      <w:r w:rsidRPr="00821EFF">
        <w:rPr>
          <w:rFonts w:ascii="Arial" w:hAnsi="Arial" w:cs="Arial"/>
          <w:color w:val="1F497D"/>
          <w:sz w:val="20"/>
        </w:rPr>
        <w:tab/>
        <w:t xml:space="preserve">Investicije in investicijsko vzdrževanje javnih poti v </w:t>
      </w:r>
      <w:r w:rsidRPr="00821EFF">
        <w:rPr>
          <w:rFonts w:ascii="Arial" w:hAnsi="Arial" w:cs="Arial"/>
          <w:b/>
          <w:bCs/>
          <w:color w:val="1F497D"/>
          <w:sz w:val="20"/>
        </w:rPr>
        <w:t>vasi A</w:t>
      </w:r>
      <w:r w:rsidRPr="00821EFF">
        <w:rPr>
          <w:rFonts w:ascii="Arial" w:hAnsi="Arial" w:cs="Arial"/>
          <w:color w:val="1F497D"/>
          <w:sz w:val="20"/>
        </w:rPr>
        <w:t xml:space="preserve"> – </w:t>
      </w:r>
      <w:r w:rsidRPr="00821EFF">
        <w:rPr>
          <w:rFonts w:ascii="Arial" w:hAnsi="Arial" w:cs="Arial"/>
          <w:b/>
          <w:bCs/>
          <w:color w:val="1F497D"/>
          <w:sz w:val="20"/>
        </w:rPr>
        <w:t>sredstva krajevnega samoprispevka</w:t>
      </w:r>
    </w:p>
    <w:p w14:paraId="2EA25BA6" w14:textId="77777777" w:rsidR="00112EE0" w:rsidRPr="00821EFF" w:rsidRDefault="00112EE0" w:rsidP="00112EE0">
      <w:pPr>
        <w:pStyle w:val="Telobesedila"/>
        <w:tabs>
          <w:tab w:val="clear" w:pos="-1440"/>
        </w:tabs>
        <w:ind w:left="2160" w:firstLine="720"/>
        <w:rPr>
          <w:rFonts w:ascii="Arial" w:hAnsi="Arial" w:cs="Arial"/>
          <w:color w:val="1F497D"/>
          <w:sz w:val="20"/>
        </w:rPr>
      </w:pPr>
      <w:r w:rsidRPr="00821EFF">
        <w:rPr>
          <w:rFonts w:ascii="Arial" w:hAnsi="Arial" w:cs="Arial"/>
          <w:color w:val="1F497D"/>
          <w:sz w:val="20"/>
        </w:rPr>
        <w:t>Podkonto</w:t>
      </w:r>
    </w:p>
    <w:p w14:paraId="25A2C7DF" w14:textId="77777777" w:rsidR="00112EE0" w:rsidRPr="00821EFF" w:rsidRDefault="00112EE0" w:rsidP="00112EE0">
      <w:pPr>
        <w:pStyle w:val="Telobesedila"/>
        <w:tabs>
          <w:tab w:val="clear" w:pos="-1440"/>
        </w:tabs>
        <w:ind w:left="2160" w:firstLine="720"/>
        <w:rPr>
          <w:rFonts w:ascii="Arial" w:hAnsi="Arial" w:cs="Arial"/>
          <w:color w:val="1F497D"/>
          <w:sz w:val="20"/>
        </w:rPr>
      </w:pPr>
      <w:r w:rsidRPr="00821EFF">
        <w:rPr>
          <w:rFonts w:ascii="Arial" w:hAnsi="Arial" w:cs="Arial"/>
          <w:color w:val="1F497D"/>
          <w:sz w:val="20"/>
        </w:rPr>
        <w:t>Podkonto</w:t>
      </w:r>
    </w:p>
    <w:p w14:paraId="70DA844F" w14:textId="77777777" w:rsidR="00112EE0" w:rsidRPr="00821EFF" w:rsidRDefault="00112EE0" w:rsidP="00112EE0">
      <w:pPr>
        <w:pStyle w:val="Telobesedila"/>
        <w:tabs>
          <w:tab w:val="clear" w:pos="-1440"/>
        </w:tabs>
        <w:ind w:left="2160" w:hanging="720"/>
        <w:rPr>
          <w:rFonts w:ascii="Arial" w:hAnsi="Arial" w:cs="Arial"/>
          <w:color w:val="1F497D"/>
          <w:sz w:val="20"/>
        </w:rPr>
      </w:pPr>
      <w:proofErr w:type="spellStart"/>
      <w:r w:rsidRPr="00821EFF">
        <w:rPr>
          <w:rFonts w:ascii="Arial" w:hAnsi="Arial" w:cs="Arial"/>
          <w:color w:val="1F497D"/>
          <w:sz w:val="20"/>
        </w:rPr>
        <w:t>xxxx</w:t>
      </w:r>
      <w:proofErr w:type="spellEnd"/>
      <w:r w:rsidRPr="00821EFF">
        <w:rPr>
          <w:rFonts w:ascii="Arial" w:hAnsi="Arial" w:cs="Arial"/>
          <w:color w:val="1F497D"/>
          <w:sz w:val="20"/>
        </w:rPr>
        <w:tab/>
        <w:t xml:space="preserve">Investicije in investicijsko vzdrževanje javnih poti v </w:t>
      </w:r>
      <w:r w:rsidRPr="00821EFF">
        <w:rPr>
          <w:rFonts w:ascii="Arial" w:hAnsi="Arial" w:cs="Arial"/>
          <w:b/>
          <w:bCs/>
          <w:color w:val="1F497D"/>
          <w:sz w:val="20"/>
        </w:rPr>
        <w:t>vasi A</w:t>
      </w:r>
      <w:r w:rsidRPr="00821EFF">
        <w:rPr>
          <w:rFonts w:ascii="Arial" w:hAnsi="Arial" w:cs="Arial"/>
          <w:color w:val="1F497D"/>
          <w:sz w:val="20"/>
        </w:rPr>
        <w:t xml:space="preserve"> – </w:t>
      </w:r>
      <w:r w:rsidRPr="00821EFF">
        <w:rPr>
          <w:rFonts w:ascii="Arial" w:hAnsi="Arial" w:cs="Arial"/>
          <w:b/>
          <w:bCs/>
          <w:color w:val="1F497D"/>
          <w:sz w:val="20"/>
        </w:rPr>
        <w:t>lastna udeležba</w:t>
      </w:r>
      <w:r w:rsidRPr="00821EFF">
        <w:rPr>
          <w:rFonts w:ascii="Arial" w:hAnsi="Arial" w:cs="Arial"/>
          <w:color w:val="1F497D"/>
          <w:sz w:val="20"/>
        </w:rPr>
        <w:t xml:space="preserve"> (proračunska sredstva)</w:t>
      </w:r>
    </w:p>
    <w:p w14:paraId="0A12C3C9" w14:textId="77777777" w:rsidR="00112EE0" w:rsidRPr="00821EFF" w:rsidRDefault="00112EE0" w:rsidP="00112EE0">
      <w:pPr>
        <w:pStyle w:val="Telobesedila"/>
        <w:tabs>
          <w:tab w:val="clear" w:pos="-1440"/>
        </w:tabs>
        <w:ind w:left="2160" w:firstLine="720"/>
        <w:rPr>
          <w:rFonts w:ascii="Arial" w:hAnsi="Arial" w:cs="Arial"/>
          <w:color w:val="1F497D"/>
          <w:sz w:val="20"/>
        </w:rPr>
      </w:pPr>
      <w:r w:rsidRPr="00821EFF">
        <w:rPr>
          <w:rFonts w:ascii="Arial" w:hAnsi="Arial" w:cs="Arial"/>
          <w:color w:val="1F497D"/>
          <w:sz w:val="20"/>
        </w:rPr>
        <w:t>Podkonto</w:t>
      </w:r>
    </w:p>
    <w:p w14:paraId="0CEDBDE1" w14:textId="77777777" w:rsidR="00112EE0" w:rsidRPr="00821EFF" w:rsidRDefault="00112EE0" w:rsidP="00112EE0">
      <w:pPr>
        <w:pStyle w:val="Telobesedila"/>
        <w:tabs>
          <w:tab w:val="clear" w:pos="-1440"/>
        </w:tabs>
        <w:ind w:left="2160" w:firstLine="720"/>
        <w:rPr>
          <w:rFonts w:ascii="Arial" w:hAnsi="Arial" w:cs="Arial"/>
          <w:color w:val="1F497D"/>
          <w:sz w:val="20"/>
        </w:rPr>
      </w:pPr>
      <w:r w:rsidRPr="00821EFF">
        <w:rPr>
          <w:rFonts w:ascii="Arial" w:hAnsi="Arial" w:cs="Arial"/>
          <w:color w:val="1F497D"/>
          <w:sz w:val="20"/>
        </w:rPr>
        <w:t>Podkonto</w:t>
      </w:r>
    </w:p>
    <w:p w14:paraId="179A1BA2" w14:textId="77777777" w:rsidR="00112EE0" w:rsidRPr="00821EFF" w:rsidRDefault="00112EE0" w:rsidP="00112EE0">
      <w:pPr>
        <w:pStyle w:val="Telobesedila"/>
        <w:tabs>
          <w:tab w:val="clear" w:pos="-1440"/>
        </w:tabs>
        <w:rPr>
          <w:rFonts w:ascii="Arial" w:hAnsi="Arial" w:cs="Arial"/>
          <w:color w:val="1F497D"/>
          <w:sz w:val="20"/>
        </w:rPr>
      </w:pPr>
      <w:r w:rsidRPr="00821EFF">
        <w:rPr>
          <w:rFonts w:ascii="Arial" w:hAnsi="Arial" w:cs="Arial"/>
          <w:color w:val="1F497D"/>
          <w:sz w:val="20"/>
        </w:rPr>
        <w:t>___________________________________________________________________________</w:t>
      </w:r>
    </w:p>
    <w:p w14:paraId="0E22E6DA" w14:textId="77777777" w:rsidR="00112EE0" w:rsidRPr="00821EFF" w:rsidRDefault="00112EE0" w:rsidP="00112EE0">
      <w:pPr>
        <w:pStyle w:val="Telobesedila"/>
        <w:tabs>
          <w:tab w:val="clear" w:pos="-1440"/>
        </w:tabs>
        <w:rPr>
          <w:rFonts w:ascii="Arial" w:hAnsi="Arial" w:cs="Arial"/>
          <w:color w:val="1F497D"/>
          <w:sz w:val="20"/>
        </w:rPr>
      </w:pPr>
    </w:p>
    <w:p w14:paraId="13AD604A" w14:textId="2BADFA90" w:rsidR="005A191E" w:rsidRPr="00933DE7" w:rsidRDefault="00821EFF" w:rsidP="00933DE7">
      <w:pPr>
        <w:pStyle w:val="Telobesedila"/>
        <w:tabs>
          <w:tab w:val="clear" w:pos="-1440"/>
        </w:tabs>
        <w:rPr>
          <w:rFonts w:ascii="Arial" w:hAnsi="Arial" w:cs="Arial"/>
          <w:b/>
          <w:bCs/>
          <w:i/>
          <w:iCs/>
          <w:color w:val="1F497D"/>
          <w:sz w:val="20"/>
          <w:u w:val="single"/>
        </w:rPr>
      </w:pPr>
      <w:r>
        <w:rPr>
          <w:rFonts w:ascii="Arial" w:hAnsi="Arial" w:cs="Arial"/>
          <w:b/>
          <w:bCs/>
          <w:i/>
          <w:iCs/>
          <w:color w:val="1F497D"/>
          <w:sz w:val="20"/>
          <w:u w:val="single"/>
        </w:rPr>
        <w:t xml:space="preserve">Ustrezna opredelitev s projektom/programom </w:t>
      </w:r>
      <w:r w:rsidR="00933DE7">
        <w:rPr>
          <w:rFonts w:ascii="Arial" w:hAnsi="Arial" w:cs="Arial"/>
          <w:b/>
          <w:bCs/>
          <w:i/>
          <w:iCs/>
          <w:color w:val="1F497D"/>
          <w:sz w:val="20"/>
          <w:u w:val="single"/>
        </w:rPr>
        <w:t xml:space="preserve">mora biti tudi </w:t>
      </w:r>
      <w:r>
        <w:rPr>
          <w:rFonts w:ascii="Arial" w:hAnsi="Arial" w:cs="Arial"/>
          <w:b/>
          <w:bCs/>
          <w:i/>
          <w:iCs/>
          <w:color w:val="1F497D"/>
          <w:sz w:val="20"/>
          <w:u w:val="single"/>
        </w:rPr>
        <w:t xml:space="preserve">v </w:t>
      </w:r>
      <w:r w:rsidR="00112EE0" w:rsidRPr="00821EFF">
        <w:rPr>
          <w:rFonts w:ascii="Arial" w:hAnsi="Arial" w:cs="Arial"/>
          <w:b/>
          <w:bCs/>
          <w:i/>
          <w:iCs/>
          <w:color w:val="1F497D"/>
          <w:sz w:val="20"/>
          <w:u w:val="single"/>
        </w:rPr>
        <w:t>Načrt</w:t>
      </w:r>
      <w:r>
        <w:rPr>
          <w:rFonts w:ascii="Arial" w:hAnsi="Arial" w:cs="Arial"/>
          <w:b/>
          <w:bCs/>
          <w:i/>
          <w:iCs/>
          <w:color w:val="1F497D"/>
          <w:sz w:val="20"/>
          <w:u w:val="single"/>
        </w:rPr>
        <w:t>u</w:t>
      </w:r>
      <w:r w:rsidR="00112EE0" w:rsidRPr="00821EFF">
        <w:rPr>
          <w:rFonts w:ascii="Arial" w:hAnsi="Arial" w:cs="Arial"/>
          <w:b/>
          <w:bCs/>
          <w:i/>
          <w:iCs/>
          <w:color w:val="1F497D"/>
          <w:sz w:val="20"/>
          <w:u w:val="single"/>
        </w:rPr>
        <w:t xml:space="preserve"> razvojnih programov</w:t>
      </w:r>
    </w:p>
    <w:sectPr w:rsidR="005A191E" w:rsidRPr="00933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4B55"/>
    <w:multiLevelType w:val="hybridMultilevel"/>
    <w:tmpl w:val="485AF800"/>
    <w:lvl w:ilvl="0" w:tplc="368C0B70">
      <w:start w:val="2"/>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47831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E0"/>
    <w:rsid w:val="00112EE0"/>
    <w:rsid w:val="005A191E"/>
    <w:rsid w:val="00821EFF"/>
    <w:rsid w:val="00933DE7"/>
    <w:rsid w:val="00952248"/>
    <w:rsid w:val="00B076B8"/>
    <w:rsid w:val="00C703B9"/>
    <w:rsid w:val="00ED30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C7DC"/>
  <w15:chartTrackingRefBased/>
  <w15:docId w15:val="{10896464-E4B5-4AE0-8ED1-2CDC736A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6">
    <w:name w:val="heading 6"/>
    <w:basedOn w:val="Navaden"/>
    <w:next w:val="Navaden"/>
    <w:link w:val="Naslov6Znak"/>
    <w:qFormat/>
    <w:rsid w:val="00112EE0"/>
    <w:pPr>
      <w:keepNext/>
      <w:tabs>
        <w:tab w:val="left" w:pos="-1080"/>
        <w:tab w:val="left" w:pos="-720"/>
        <w:tab w:val="left" w:pos="0"/>
        <w:tab w:val="left" w:pos="810"/>
        <w:tab w:val="left" w:pos="1080"/>
      </w:tabs>
      <w:spacing w:after="0" w:line="240" w:lineRule="auto"/>
      <w:jc w:val="both"/>
      <w:outlineLvl w:val="5"/>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112EE0"/>
    <w:rPr>
      <w:rFonts w:ascii="Times New Roman" w:eastAsia="Times New Roman" w:hAnsi="Times New Roman" w:cs="Times New Roman"/>
      <w:sz w:val="24"/>
      <w:szCs w:val="20"/>
    </w:rPr>
  </w:style>
  <w:style w:type="paragraph" w:styleId="Telobesedila-zamik3">
    <w:name w:val="Body Text Indent 3"/>
    <w:basedOn w:val="Navaden"/>
    <w:link w:val="Telobesedila-zamik3Znak"/>
    <w:rsid w:val="00112EE0"/>
    <w:pPr>
      <w:tabs>
        <w:tab w:val="left" w:pos="-1080"/>
        <w:tab w:val="left" w:pos="-720"/>
        <w:tab w:val="left" w:pos="0"/>
        <w:tab w:val="left" w:pos="810"/>
        <w:tab w:val="left" w:pos="1080"/>
      </w:tabs>
      <w:spacing w:after="0" w:line="240" w:lineRule="auto"/>
      <w:ind w:left="-22"/>
      <w:jc w:val="both"/>
    </w:pPr>
    <w:rPr>
      <w:rFonts w:ascii="Times New Roman" w:eastAsia="Times New Roman" w:hAnsi="Times New Roman" w:cs="Times New Roman"/>
      <w:sz w:val="24"/>
      <w:szCs w:val="20"/>
    </w:rPr>
  </w:style>
  <w:style w:type="character" w:customStyle="1" w:styleId="Telobesedila-zamik3Znak">
    <w:name w:val="Telo besedila - zamik 3 Znak"/>
    <w:basedOn w:val="Privzetapisavaodstavka"/>
    <w:link w:val="Telobesedila-zamik3"/>
    <w:rsid w:val="00112EE0"/>
    <w:rPr>
      <w:rFonts w:ascii="Times New Roman" w:eastAsia="Times New Roman" w:hAnsi="Times New Roman" w:cs="Times New Roman"/>
      <w:sz w:val="24"/>
      <w:szCs w:val="20"/>
    </w:rPr>
  </w:style>
  <w:style w:type="paragraph" w:styleId="Telobesedila">
    <w:name w:val="Body Text"/>
    <w:basedOn w:val="Navaden"/>
    <w:link w:val="TelobesedilaZnak"/>
    <w:rsid w:val="00112EE0"/>
    <w:pPr>
      <w:tabs>
        <w:tab w:val="left" w:pos="-1440"/>
      </w:tabs>
      <w:spacing w:after="0"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112E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Dolinšek</dc:creator>
  <cp:keywords/>
  <dc:description/>
  <cp:lastModifiedBy>Janez Klemenc</cp:lastModifiedBy>
  <cp:revision>7</cp:revision>
  <dcterms:created xsi:type="dcterms:W3CDTF">2021-08-25T13:10:00Z</dcterms:created>
  <dcterms:modified xsi:type="dcterms:W3CDTF">2024-10-02T09:04:00Z</dcterms:modified>
</cp:coreProperties>
</file>