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DE85" w14:textId="45B8F7A4" w:rsidR="00EA7793" w:rsidRPr="00F7708F" w:rsidRDefault="00EA7793" w:rsidP="00FF1629">
      <w:pPr>
        <w:pStyle w:val="Telobesedila"/>
        <w:tabs>
          <w:tab w:val="clear" w:pos="-1440"/>
        </w:tabs>
        <w:jc w:val="center"/>
        <w:rPr>
          <w:rFonts w:ascii="Arial" w:hAnsi="Arial" w:cs="Arial"/>
          <w:b/>
          <w:bCs/>
          <w:i/>
          <w:iCs/>
          <w:sz w:val="16"/>
          <w:szCs w:val="16"/>
        </w:rPr>
      </w:pPr>
      <w:bookmarkStart w:id="0" w:name="_Toc271637878"/>
      <w:bookmarkStart w:id="1" w:name="_Toc271638749"/>
      <w:bookmarkStart w:id="2" w:name="_Toc271702700"/>
      <w:bookmarkStart w:id="3" w:name="_Toc52454109"/>
      <w:r>
        <w:rPr>
          <w:rFonts w:ascii="Arial" w:hAnsi="Arial" w:cs="Arial"/>
          <w:b/>
          <w:bCs/>
          <w:i/>
          <w:iCs/>
          <w:sz w:val="16"/>
          <w:szCs w:val="16"/>
        </w:rPr>
        <w:tab/>
      </w:r>
      <w:r>
        <w:rPr>
          <w:rFonts w:ascii="Arial" w:hAnsi="Arial" w:cs="Arial"/>
          <w:b/>
          <w:bCs/>
          <w:i/>
          <w:iCs/>
          <w:sz w:val="16"/>
          <w:szCs w:val="16"/>
        </w:rPr>
        <w:tab/>
      </w:r>
      <w:r>
        <w:rPr>
          <w:rFonts w:ascii="Arial" w:hAnsi="Arial" w:cs="Arial"/>
          <w:b/>
          <w:bCs/>
          <w:i/>
          <w:iCs/>
          <w:sz w:val="16"/>
          <w:szCs w:val="16"/>
        </w:rPr>
        <w:tab/>
      </w:r>
      <w:r w:rsidRPr="00F7708F">
        <w:rPr>
          <w:rFonts w:ascii="Arial" w:hAnsi="Arial" w:cs="Arial"/>
          <w:b/>
          <w:bCs/>
          <w:i/>
          <w:iCs/>
          <w:sz w:val="16"/>
          <w:szCs w:val="16"/>
        </w:rPr>
        <w:t xml:space="preserve">PRILOGA </w:t>
      </w:r>
      <w:r>
        <w:rPr>
          <w:rFonts w:ascii="Arial" w:hAnsi="Arial" w:cs="Arial"/>
          <w:b/>
          <w:bCs/>
          <w:i/>
          <w:iCs/>
          <w:sz w:val="16"/>
          <w:szCs w:val="16"/>
        </w:rPr>
        <w:t>12</w:t>
      </w:r>
      <w:r w:rsidRPr="00F7708F">
        <w:rPr>
          <w:rFonts w:ascii="Arial" w:hAnsi="Arial" w:cs="Arial"/>
          <w:b/>
          <w:bCs/>
          <w:i/>
          <w:iCs/>
          <w:sz w:val="16"/>
          <w:szCs w:val="16"/>
        </w:rPr>
        <w:t xml:space="preserve"> </w:t>
      </w:r>
      <w:r>
        <w:rPr>
          <w:rFonts w:ascii="Arial" w:hAnsi="Arial" w:cs="Arial"/>
          <w:b/>
          <w:bCs/>
          <w:i/>
          <w:iCs/>
          <w:sz w:val="16"/>
          <w:szCs w:val="16"/>
        </w:rPr>
        <w:t>–</w:t>
      </w:r>
      <w:r w:rsidRPr="00F7708F">
        <w:rPr>
          <w:rFonts w:ascii="Arial" w:hAnsi="Arial" w:cs="Arial"/>
          <w:b/>
          <w:bCs/>
          <w:i/>
          <w:iCs/>
          <w:sz w:val="16"/>
          <w:szCs w:val="16"/>
        </w:rPr>
        <w:t xml:space="preserve"> </w:t>
      </w:r>
      <w:r>
        <w:rPr>
          <w:rFonts w:ascii="Arial" w:hAnsi="Arial" w:cs="Arial"/>
          <w:b/>
          <w:bCs/>
          <w:i/>
          <w:iCs/>
          <w:sz w:val="16"/>
          <w:szCs w:val="16"/>
        </w:rPr>
        <w:t>Vzorec strukture obrazložitve splošnega, posebnega dela proračuna in NRP</w:t>
      </w:r>
    </w:p>
    <w:p w14:paraId="0A0C5A75" w14:textId="50F1C4D7" w:rsidR="00290149" w:rsidRDefault="00290149" w:rsidP="00FF1629">
      <w:pPr>
        <w:pStyle w:val="Telobesedila"/>
        <w:tabs>
          <w:tab w:val="clear" w:pos="-1440"/>
        </w:tabs>
        <w:jc w:val="left"/>
        <w:rPr>
          <w:rStyle w:val="Naslov6Znak"/>
          <w:b/>
        </w:rPr>
      </w:pPr>
    </w:p>
    <w:p w14:paraId="7FDC1D05" w14:textId="77777777" w:rsidR="00290149" w:rsidRPr="00EA7793" w:rsidRDefault="00290149" w:rsidP="00FF1629">
      <w:pPr>
        <w:jc w:val="both"/>
        <w:rPr>
          <w:rFonts w:ascii="Arial" w:hAnsi="Arial" w:cs="Arial"/>
          <w:b/>
          <w:i/>
          <w:color w:val="1F497D"/>
          <w:sz w:val="20"/>
          <w:szCs w:val="20"/>
          <w:u w:val="single"/>
        </w:rPr>
      </w:pPr>
      <w:r w:rsidRPr="00EA7793">
        <w:rPr>
          <w:rFonts w:ascii="Arial" w:hAnsi="Arial" w:cs="Arial"/>
          <w:b/>
          <w:i/>
          <w:color w:val="1F497D"/>
          <w:sz w:val="20"/>
          <w:szCs w:val="20"/>
          <w:u w:val="single"/>
        </w:rPr>
        <w:t>I. SPLOŠNI DEL PRORAČUNA</w:t>
      </w:r>
    </w:p>
    <w:p w14:paraId="00104A6E" w14:textId="77777777" w:rsidR="00290149" w:rsidRPr="00EA7793" w:rsidRDefault="00290149" w:rsidP="00FF1629">
      <w:pPr>
        <w:jc w:val="both"/>
        <w:rPr>
          <w:rFonts w:ascii="Arial" w:hAnsi="Arial" w:cs="Arial"/>
          <w:b/>
          <w:bCs/>
          <w:i/>
          <w:color w:val="1F497D"/>
          <w:sz w:val="20"/>
          <w:szCs w:val="20"/>
        </w:rPr>
      </w:pPr>
      <w:r w:rsidRPr="00EA7793">
        <w:rPr>
          <w:rFonts w:ascii="Arial" w:hAnsi="Arial" w:cs="Arial"/>
          <w:b/>
          <w:bCs/>
          <w:i/>
          <w:color w:val="1F497D"/>
          <w:sz w:val="20"/>
          <w:szCs w:val="20"/>
        </w:rPr>
        <w:t>Uvod</w:t>
      </w:r>
    </w:p>
    <w:p w14:paraId="0C040946" w14:textId="77777777" w:rsidR="00290149" w:rsidRPr="00EA7793" w:rsidRDefault="00290149" w:rsidP="00FF1629">
      <w:pPr>
        <w:jc w:val="both"/>
        <w:rPr>
          <w:rFonts w:ascii="Arial" w:hAnsi="Arial" w:cs="Arial"/>
          <w:b/>
          <w:i/>
          <w:color w:val="1F497D"/>
          <w:sz w:val="20"/>
          <w:szCs w:val="20"/>
        </w:rPr>
      </w:pPr>
      <w:r w:rsidRPr="00EA7793">
        <w:rPr>
          <w:rFonts w:ascii="Arial" w:hAnsi="Arial" w:cs="Arial"/>
          <w:b/>
          <w:i/>
          <w:color w:val="1F497D"/>
          <w:sz w:val="20"/>
          <w:szCs w:val="20"/>
        </w:rPr>
        <w:t>1. Bilanca prihodkov in odhodkov</w:t>
      </w:r>
    </w:p>
    <w:p w14:paraId="11E47576" w14:textId="77777777" w:rsidR="00290149" w:rsidRPr="00A4799A" w:rsidRDefault="00290149" w:rsidP="00FF1629">
      <w:pPr>
        <w:jc w:val="both"/>
        <w:rPr>
          <w:rFonts w:ascii="Arial" w:hAnsi="Arial" w:cs="Arial"/>
          <w:b/>
          <w:i/>
          <w:sz w:val="20"/>
          <w:szCs w:val="20"/>
        </w:rPr>
      </w:pPr>
      <w:r w:rsidRPr="00A4799A">
        <w:rPr>
          <w:rFonts w:ascii="Arial" w:hAnsi="Arial" w:cs="Arial"/>
          <w:b/>
          <w:i/>
          <w:sz w:val="20"/>
          <w:szCs w:val="20"/>
        </w:rPr>
        <w:tab/>
        <w:t>1. Prihodki</w:t>
      </w:r>
    </w:p>
    <w:p w14:paraId="79BECD1D" w14:textId="426EF5BF" w:rsidR="00290149" w:rsidRPr="00480838" w:rsidRDefault="00290149" w:rsidP="00FF1629">
      <w:pPr>
        <w:jc w:val="both"/>
        <w:rPr>
          <w:rFonts w:ascii="Arial" w:hAnsi="Arial" w:cs="Arial"/>
          <w:bCs/>
          <w:i/>
          <w:sz w:val="20"/>
          <w:szCs w:val="20"/>
        </w:rPr>
      </w:pPr>
      <w:r w:rsidRPr="00480838">
        <w:rPr>
          <w:rFonts w:ascii="Arial" w:hAnsi="Arial" w:cs="Arial"/>
          <w:bCs/>
          <w:i/>
          <w:sz w:val="20"/>
          <w:szCs w:val="20"/>
        </w:rPr>
        <w:tab/>
      </w:r>
      <w:r w:rsidRPr="00480838">
        <w:rPr>
          <w:rFonts w:ascii="Arial" w:hAnsi="Arial" w:cs="Arial"/>
          <w:bCs/>
          <w:i/>
          <w:sz w:val="20"/>
          <w:szCs w:val="20"/>
        </w:rPr>
        <w:tab/>
        <w:t>Davčni prihodki</w:t>
      </w:r>
      <w:r w:rsidR="00480838" w:rsidRPr="00480838">
        <w:rPr>
          <w:rFonts w:ascii="Arial" w:hAnsi="Arial" w:cs="Arial"/>
          <w:bCs/>
          <w:i/>
          <w:sz w:val="20"/>
          <w:szCs w:val="20"/>
        </w:rPr>
        <w:t xml:space="preserve"> - </w:t>
      </w:r>
      <w:r w:rsidRPr="00480838">
        <w:rPr>
          <w:rFonts w:ascii="Arial" w:hAnsi="Arial" w:cs="Arial"/>
          <w:bCs/>
          <w:i/>
          <w:sz w:val="20"/>
          <w:szCs w:val="20"/>
        </w:rPr>
        <w:t>obrazložitev podskupin kontov (K3)</w:t>
      </w:r>
    </w:p>
    <w:p w14:paraId="6997F5E6" w14:textId="4CDFBD35" w:rsidR="00290149" w:rsidRPr="00480838" w:rsidRDefault="00290149" w:rsidP="00FF1629">
      <w:pPr>
        <w:jc w:val="both"/>
        <w:rPr>
          <w:rFonts w:ascii="Arial" w:hAnsi="Arial" w:cs="Arial"/>
          <w:bCs/>
          <w:i/>
          <w:sz w:val="20"/>
          <w:szCs w:val="20"/>
        </w:rPr>
      </w:pPr>
      <w:r w:rsidRPr="00480838">
        <w:rPr>
          <w:rFonts w:ascii="Arial" w:hAnsi="Arial" w:cs="Arial"/>
          <w:bCs/>
          <w:i/>
          <w:sz w:val="20"/>
          <w:szCs w:val="20"/>
        </w:rPr>
        <w:tab/>
      </w:r>
      <w:r w:rsidRPr="00480838">
        <w:rPr>
          <w:rFonts w:ascii="Arial" w:hAnsi="Arial" w:cs="Arial"/>
          <w:bCs/>
          <w:i/>
          <w:sz w:val="20"/>
          <w:szCs w:val="20"/>
        </w:rPr>
        <w:tab/>
        <w:t>Nedavčni prihodki</w:t>
      </w:r>
      <w:r w:rsidR="00480838" w:rsidRPr="00480838">
        <w:rPr>
          <w:rFonts w:ascii="Arial" w:hAnsi="Arial" w:cs="Arial"/>
          <w:bCs/>
          <w:i/>
          <w:sz w:val="20"/>
          <w:szCs w:val="20"/>
        </w:rPr>
        <w:t xml:space="preserve"> - </w:t>
      </w:r>
      <w:r w:rsidRPr="00480838">
        <w:rPr>
          <w:rFonts w:ascii="Arial" w:hAnsi="Arial" w:cs="Arial"/>
          <w:bCs/>
          <w:i/>
          <w:sz w:val="20"/>
          <w:szCs w:val="20"/>
        </w:rPr>
        <w:t>obrazložitev podskupin kontov(K3)</w:t>
      </w:r>
    </w:p>
    <w:p w14:paraId="677C7C17" w14:textId="594AEE8B" w:rsidR="00290149" w:rsidRPr="00480838" w:rsidRDefault="00290149" w:rsidP="00FF1629">
      <w:pPr>
        <w:jc w:val="both"/>
        <w:rPr>
          <w:rFonts w:ascii="Arial" w:hAnsi="Arial" w:cs="Arial"/>
          <w:bCs/>
          <w:i/>
          <w:sz w:val="20"/>
          <w:szCs w:val="20"/>
        </w:rPr>
      </w:pPr>
      <w:r w:rsidRPr="00480838">
        <w:rPr>
          <w:rFonts w:ascii="Arial" w:hAnsi="Arial" w:cs="Arial"/>
          <w:bCs/>
          <w:i/>
          <w:sz w:val="20"/>
          <w:szCs w:val="20"/>
        </w:rPr>
        <w:tab/>
      </w:r>
      <w:r w:rsidRPr="00480838">
        <w:rPr>
          <w:rFonts w:ascii="Arial" w:hAnsi="Arial" w:cs="Arial"/>
          <w:bCs/>
          <w:i/>
          <w:sz w:val="20"/>
          <w:szCs w:val="20"/>
        </w:rPr>
        <w:tab/>
        <w:t>Kapitalski prihodki</w:t>
      </w:r>
      <w:r w:rsidR="00480838" w:rsidRPr="00480838">
        <w:rPr>
          <w:rFonts w:ascii="Arial" w:hAnsi="Arial" w:cs="Arial"/>
          <w:bCs/>
          <w:i/>
          <w:sz w:val="20"/>
          <w:szCs w:val="20"/>
        </w:rPr>
        <w:t xml:space="preserve"> - </w:t>
      </w:r>
      <w:r w:rsidRPr="00480838">
        <w:rPr>
          <w:rFonts w:ascii="Arial" w:hAnsi="Arial" w:cs="Arial"/>
          <w:bCs/>
          <w:i/>
          <w:sz w:val="20"/>
          <w:szCs w:val="20"/>
        </w:rPr>
        <w:t>obrazložitev podskupin kontov(K3)</w:t>
      </w:r>
    </w:p>
    <w:p w14:paraId="0A90C54F" w14:textId="05003DBE" w:rsidR="00290149" w:rsidRPr="00480838" w:rsidRDefault="00290149" w:rsidP="00FF1629">
      <w:pPr>
        <w:jc w:val="both"/>
        <w:rPr>
          <w:rFonts w:ascii="Arial" w:hAnsi="Arial" w:cs="Arial"/>
          <w:bCs/>
          <w:i/>
          <w:sz w:val="20"/>
          <w:szCs w:val="20"/>
        </w:rPr>
      </w:pPr>
      <w:r w:rsidRPr="00480838">
        <w:rPr>
          <w:rFonts w:ascii="Arial" w:hAnsi="Arial" w:cs="Arial"/>
          <w:bCs/>
          <w:i/>
          <w:sz w:val="20"/>
          <w:szCs w:val="20"/>
        </w:rPr>
        <w:tab/>
      </w:r>
      <w:r w:rsidRPr="00480838">
        <w:rPr>
          <w:rFonts w:ascii="Arial" w:hAnsi="Arial" w:cs="Arial"/>
          <w:bCs/>
          <w:i/>
          <w:sz w:val="20"/>
          <w:szCs w:val="20"/>
        </w:rPr>
        <w:tab/>
        <w:t>Prejete donacije in darila</w:t>
      </w:r>
      <w:r w:rsidR="00480838" w:rsidRPr="00480838">
        <w:rPr>
          <w:rFonts w:ascii="Arial" w:hAnsi="Arial" w:cs="Arial"/>
          <w:bCs/>
          <w:i/>
          <w:sz w:val="20"/>
          <w:szCs w:val="20"/>
        </w:rPr>
        <w:t xml:space="preserve"> - </w:t>
      </w:r>
      <w:r w:rsidRPr="00480838">
        <w:rPr>
          <w:rFonts w:ascii="Arial" w:hAnsi="Arial" w:cs="Arial"/>
          <w:bCs/>
          <w:i/>
          <w:sz w:val="20"/>
          <w:szCs w:val="20"/>
        </w:rPr>
        <w:t>obrazložitev podskupin kontov(K3)</w:t>
      </w:r>
    </w:p>
    <w:p w14:paraId="4158AAB7" w14:textId="79113F95" w:rsidR="00290149" w:rsidRPr="00480838" w:rsidRDefault="00290149" w:rsidP="00FF1629">
      <w:pPr>
        <w:jc w:val="both"/>
        <w:rPr>
          <w:rFonts w:ascii="Arial" w:hAnsi="Arial" w:cs="Arial"/>
          <w:bCs/>
          <w:i/>
          <w:sz w:val="20"/>
          <w:szCs w:val="20"/>
        </w:rPr>
      </w:pPr>
      <w:r w:rsidRPr="00480838">
        <w:rPr>
          <w:rFonts w:ascii="Arial" w:hAnsi="Arial" w:cs="Arial"/>
          <w:bCs/>
          <w:i/>
          <w:sz w:val="20"/>
          <w:szCs w:val="20"/>
        </w:rPr>
        <w:tab/>
      </w:r>
      <w:r w:rsidRPr="00480838">
        <w:rPr>
          <w:rFonts w:ascii="Arial" w:hAnsi="Arial" w:cs="Arial"/>
          <w:bCs/>
          <w:i/>
          <w:sz w:val="20"/>
          <w:szCs w:val="20"/>
        </w:rPr>
        <w:tab/>
        <w:t>Transferni prihodki</w:t>
      </w:r>
      <w:r w:rsidR="00480838" w:rsidRPr="00480838">
        <w:rPr>
          <w:rFonts w:ascii="Arial" w:hAnsi="Arial" w:cs="Arial"/>
          <w:bCs/>
          <w:i/>
          <w:sz w:val="20"/>
          <w:szCs w:val="20"/>
        </w:rPr>
        <w:t xml:space="preserve"> - </w:t>
      </w:r>
      <w:r w:rsidRPr="00480838">
        <w:rPr>
          <w:rFonts w:ascii="Arial" w:hAnsi="Arial" w:cs="Arial"/>
          <w:bCs/>
          <w:i/>
          <w:sz w:val="20"/>
          <w:szCs w:val="20"/>
        </w:rPr>
        <w:t>obrazložitev podskupin kontov(K3)</w:t>
      </w:r>
    </w:p>
    <w:p w14:paraId="0DF5FB30" w14:textId="2E1B57E1" w:rsidR="00290149" w:rsidRPr="00480838" w:rsidRDefault="00290149" w:rsidP="00FF1629">
      <w:pPr>
        <w:jc w:val="both"/>
        <w:rPr>
          <w:rFonts w:ascii="Arial" w:hAnsi="Arial" w:cs="Arial"/>
          <w:bCs/>
          <w:i/>
          <w:sz w:val="20"/>
          <w:szCs w:val="20"/>
        </w:rPr>
      </w:pPr>
      <w:r w:rsidRPr="00480838">
        <w:rPr>
          <w:rFonts w:ascii="Arial" w:hAnsi="Arial" w:cs="Arial"/>
          <w:bCs/>
          <w:i/>
          <w:sz w:val="20"/>
          <w:szCs w:val="20"/>
        </w:rPr>
        <w:tab/>
      </w:r>
      <w:r w:rsidRPr="00480838">
        <w:rPr>
          <w:rFonts w:ascii="Arial" w:hAnsi="Arial" w:cs="Arial"/>
          <w:bCs/>
          <w:i/>
          <w:sz w:val="20"/>
          <w:szCs w:val="20"/>
        </w:rPr>
        <w:tab/>
        <w:t>Prejeta sredstva iz Evropske unije</w:t>
      </w:r>
      <w:r w:rsidR="00480838" w:rsidRPr="00480838">
        <w:rPr>
          <w:rFonts w:ascii="Arial" w:hAnsi="Arial" w:cs="Arial"/>
          <w:bCs/>
          <w:i/>
          <w:sz w:val="20"/>
          <w:szCs w:val="20"/>
        </w:rPr>
        <w:t xml:space="preserve"> - </w:t>
      </w:r>
      <w:r w:rsidRPr="00480838">
        <w:rPr>
          <w:rFonts w:ascii="Arial" w:hAnsi="Arial" w:cs="Arial"/>
          <w:bCs/>
          <w:i/>
          <w:sz w:val="20"/>
          <w:szCs w:val="20"/>
        </w:rPr>
        <w:t>obrazložitev podskupin kontov(K3)</w:t>
      </w:r>
    </w:p>
    <w:p w14:paraId="30B21843" w14:textId="77777777" w:rsidR="00290149" w:rsidRPr="00A4799A" w:rsidRDefault="00290149" w:rsidP="00FF1629">
      <w:pPr>
        <w:jc w:val="both"/>
        <w:rPr>
          <w:rFonts w:ascii="Arial" w:hAnsi="Arial" w:cs="Arial"/>
          <w:b/>
          <w:i/>
          <w:sz w:val="20"/>
          <w:szCs w:val="20"/>
        </w:rPr>
      </w:pPr>
      <w:r w:rsidRPr="00A4799A">
        <w:rPr>
          <w:rFonts w:ascii="Arial" w:hAnsi="Arial" w:cs="Arial"/>
          <w:b/>
          <w:i/>
          <w:sz w:val="20"/>
          <w:szCs w:val="20"/>
        </w:rPr>
        <w:tab/>
        <w:t>2. Odhodki</w:t>
      </w:r>
    </w:p>
    <w:p w14:paraId="3B598DAE" w14:textId="77777777" w:rsidR="00290149" w:rsidRPr="00A4799A" w:rsidRDefault="00290149" w:rsidP="00FF1629">
      <w:pPr>
        <w:jc w:val="both"/>
        <w:rPr>
          <w:rFonts w:ascii="Arial" w:hAnsi="Arial" w:cs="Arial"/>
          <w:b/>
          <w:i/>
          <w:sz w:val="20"/>
          <w:szCs w:val="20"/>
        </w:rPr>
      </w:pPr>
      <w:r w:rsidRPr="00A4799A">
        <w:rPr>
          <w:rFonts w:ascii="Arial" w:hAnsi="Arial" w:cs="Arial"/>
          <w:b/>
          <w:i/>
          <w:sz w:val="20"/>
          <w:szCs w:val="20"/>
        </w:rPr>
        <w:tab/>
      </w:r>
      <w:r w:rsidRPr="00A4799A">
        <w:rPr>
          <w:rFonts w:ascii="Arial" w:hAnsi="Arial" w:cs="Arial"/>
          <w:b/>
          <w:i/>
          <w:sz w:val="20"/>
          <w:szCs w:val="20"/>
        </w:rPr>
        <w:tab/>
        <w:t>2.1. Odhodki po ekonomski klasifikaciji</w:t>
      </w:r>
    </w:p>
    <w:p w14:paraId="29971930" w14:textId="61CFCD3B" w:rsidR="00290149" w:rsidRPr="00480838" w:rsidRDefault="00290149" w:rsidP="00FF1629">
      <w:pPr>
        <w:jc w:val="both"/>
        <w:rPr>
          <w:rFonts w:ascii="Arial" w:hAnsi="Arial" w:cs="Arial"/>
          <w:bCs/>
          <w:i/>
          <w:sz w:val="20"/>
          <w:szCs w:val="20"/>
        </w:rPr>
      </w:pPr>
      <w:r w:rsidRPr="00480838">
        <w:rPr>
          <w:rFonts w:ascii="Arial" w:hAnsi="Arial" w:cs="Arial"/>
          <w:bCs/>
          <w:i/>
          <w:sz w:val="20"/>
          <w:szCs w:val="20"/>
        </w:rPr>
        <w:tab/>
      </w:r>
      <w:r w:rsidRPr="00480838">
        <w:rPr>
          <w:rFonts w:ascii="Arial" w:hAnsi="Arial" w:cs="Arial"/>
          <w:bCs/>
          <w:i/>
          <w:sz w:val="20"/>
          <w:szCs w:val="20"/>
        </w:rPr>
        <w:tab/>
        <w:t>Skupina kontov (K2)</w:t>
      </w:r>
      <w:r w:rsidR="00480838" w:rsidRPr="00480838">
        <w:rPr>
          <w:rFonts w:ascii="Arial" w:hAnsi="Arial" w:cs="Arial"/>
          <w:bCs/>
          <w:i/>
          <w:sz w:val="20"/>
          <w:szCs w:val="20"/>
        </w:rPr>
        <w:t xml:space="preserve"> - </w:t>
      </w:r>
      <w:r w:rsidRPr="00480838">
        <w:rPr>
          <w:rFonts w:ascii="Arial" w:hAnsi="Arial" w:cs="Arial"/>
          <w:bCs/>
          <w:i/>
          <w:sz w:val="20"/>
          <w:szCs w:val="20"/>
        </w:rPr>
        <w:t>obrazložitev podskupin kontov(K3)</w:t>
      </w:r>
    </w:p>
    <w:p w14:paraId="0419F404" w14:textId="77777777" w:rsidR="00480838" w:rsidRDefault="00290149" w:rsidP="00FF1629">
      <w:pPr>
        <w:ind w:left="1080"/>
        <w:jc w:val="both"/>
        <w:rPr>
          <w:rFonts w:ascii="Arial" w:hAnsi="Arial" w:cs="Arial"/>
          <w:b/>
          <w:bCs/>
          <w:i/>
          <w:sz w:val="20"/>
          <w:szCs w:val="20"/>
        </w:rPr>
      </w:pPr>
      <w:r w:rsidRPr="00A4799A">
        <w:rPr>
          <w:rFonts w:ascii="Arial" w:hAnsi="Arial" w:cs="Arial"/>
          <w:b/>
          <w:bCs/>
          <w:i/>
          <w:sz w:val="20"/>
          <w:szCs w:val="20"/>
        </w:rPr>
        <w:t>2.2. Odhodki po programski klasifikaciji</w:t>
      </w:r>
      <w:r w:rsidR="00480838">
        <w:rPr>
          <w:rFonts w:ascii="Arial" w:hAnsi="Arial" w:cs="Arial"/>
          <w:b/>
          <w:bCs/>
          <w:i/>
          <w:sz w:val="20"/>
          <w:szCs w:val="20"/>
        </w:rPr>
        <w:t xml:space="preserve"> </w:t>
      </w:r>
    </w:p>
    <w:p w14:paraId="43A3BD4C" w14:textId="5414202D" w:rsidR="00290149" w:rsidRPr="00480838" w:rsidRDefault="00480838" w:rsidP="00FF1629">
      <w:pPr>
        <w:ind w:left="1080"/>
        <w:jc w:val="both"/>
        <w:rPr>
          <w:rFonts w:ascii="Arial" w:hAnsi="Arial" w:cs="Arial"/>
          <w:i/>
          <w:sz w:val="20"/>
          <w:szCs w:val="20"/>
        </w:rPr>
      </w:pPr>
      <w:r w:rsidRPr="00480838">
        <w:rPr>
          <w:rFonts w:ascii="Arial" w:hAnsi="Arial" w:cs="Arial"/>
          <w:i/>
          <w:sz w:val="20"/>
          <w:szCs w:val="20"/>
        </w:rPr>
        <w:t>O</w:t>
      </w:r>
      <w:r w:rsidR="00290149" w:rsidRPr="00480838">
        <w:rPr>
          <w:rFonts w:ascii="Arial" w:hAnsi="Arial" w:cs="Arial"/>
          <w:i/>
          <w:sz w:val="20"/>
          <w:szCs w:val="20"/>
        </w:rPr>
        <w:t>brazložitev odhodkov po področjih proračunske porabe in glavnih programih</w:t>
      </w:r>
    </w:p>
    <w:p w14:paraId="7BA1E94B" w14:textId="77777777" w:rsidR="00290149" w:rsidRDefault="00290149" w:rsidP="00FF1629">
      <w:pPr>
        <w:jc w:val="both"/>
        <w:rPr>
          <w:rFonts w:ascii="Arial" w:hAnsi="Arial" w:cs="Arial"/>
          <w:b/>
          <w:i/>
          <w:color w:val="1F497D"/>
          <w:sz w:val="20"/>
          <w:szCs w:val="20"/>
        </w:rPr>
      </w:pPr>
      <w:r w:rsidRPr="00EA7793">
        <w:rPr>
          <w:rFonts w:ascii="Arial" w:hAnsi="Arial" w:cs="Arial"/>
          <w:b/>
          <w:i/>
          <w:color w:val="1F497D"/>
          <w:sz w:val="20"/>
          <w:szCs w:val="20"/>
        </w:rPr>
        <w:t>2. Račun finančnih terjatev in naložb</w:t>
      </w:r>
    </w:p>
    <w:p w14:paraId="65DFF2C1" w14:textId="5594B37B" w:rsidR="00FE5318" w:rsidRDefault="00FE5318" w:rsidP="00FF1629">
      <w:pPr>
        <w:jc w:val="both"/>
        <w:rPr>
          <w:rFonts w:ascii="Arial" w:hAnsi="Arial" w:cs="Arial"/>
          <w:bCs/>
          <w:i/>
          <w:sz w:val="20"/>
          <w:szCs w:val="20"/>
        </w:rPr>
      </w:pPr>
      <w:r w:rsidRPr="00FE5318">
        <w:rPr>
          <w:rFonts w:ascii="Arial" w:hAnsi="Arial" w:cs="Arial"/>
          <w:bCs/>
          <w:i/>
          <w:sz w:val="20"/>
          <w:szCs w:val="20"/>
        </w:rPr>
        <w:tab/>
        <w:t>Prejeta vračila danih posojil in prodaja kapitalskih deležev – obrazložitev podskupin K3</w:t>
      </w:r>
    </w:p>
    <w:p w14:paraId="22578ADF" w14:textId="522F7A4C" w:rsidR="00FE5318" w:rsidRPr="00FE5318" w:rsidRDefault="00FE5318" w:rsidP="00FF1629">
      <w:pPr>
        <w:jc w:val="both"/>
        <w:rPr>
          <w:rFonts w:ascii="Arial" w:hAnsi="Arial" w:cs="Arial"/>
          <w:bCs/>
          <w:i/>
          <w:sz w:val="20"/>
          <w:szCs w:val="20"/>
        </w:rPr>
      </w:pPr>
      <w:r>
        <w:rPr>
          <w:rFonts w:ascii="Arial" w:hAnsi="Arial" w:cs="Arial"/>
          <w:bCs/>
          <w:i/>
          <w:sz w:val="20"/>
          <w:szCs w:val="20"/>
        </w:rPr>
        <w:tab/>
        <w:t xml:space="preserve">Dana posojila in povečanje kapitalskih deležev – obrazložitev podskupin K3 </w:t>
      </w:r>
    </w:p>
    <w:p w14:paraId="0D7FD68A" w14:textId="77777777" w:rsidR="00290149" w:rsidRDefault="00290149" w:rsidP="00FF1629">
      <w:pPr>
        <w:jc w:val="both"/>
        <w:rPr>
          <w:rFonts w:ascii="Arial" w:hAnsi="Arial" w:cs="Arial"/>
          <w:b/>
          <w:i/>
          <w:color w:val="1F497D"/>
          <w:sz w:val="20"/>
          <w:szCs w:val="20"/>
        </w:rPr>
      </w:pPr>
      <w:r w:rsidRPr="00EA7793">
        <w:rPr>
          <w:rFonts w:ascii="Arial" w:hAnsi="Arial" w:cs="Arial"/>
          <w:b/>
          <w:i/>
          <w:color w:val="1F497D"/>
          <w:sz w:val="20"/>
          <w:szCs w:val="20"/>
        </w:rPr>
        <w:t>3. Račun financiranja</w:t>
      </w:r>
    </w:p>
    <w:p w14:paraId="2A103563" w14:textId="2EEB298E" w:rsidR="00FE5318" w:rsidRPr="00FE5318" w:rsidRDefault="00FE5318" w:rsidP="00FF1629">
      <w:pPr>
        <w:jc w:val="both"/>
        <w:rPr>
          <w:rFonts w:ascii="Arial" w:hAnsi="Arial" w:cs="Arial"/>
          <w:bCs/>
          <w:i/>
          <w:sz w:val="20"/>
          <w:szCs w:val="20"/>
        </w:rPr>
      </w:pPr>
      <w:r w:rsidRPr="00FE5318">
        <w:rPr>
          <w:rFonts w:ascii="Arial" w:hAnsi="Arial" w:cs="Arial"/>
          <w:b/>
          <w:i/>
          <w:sz w:val="20"/>
          <w:szCs w:val="20"/>
        </w:rPr>
        <w:tab/>
      </w:r>
      <w:r w:rsidRPr="00FE5318">
        <w:rPr>
          <w:rFonts w:ascii="Arial" w:hAnsi="Arial" w:cs="Arial"/>
          <w:bCs/>
          <w:i/>
          <w:sz w:val="20"/>
          <w:szCs w:val="20"/>
        </w:rPr>
        <w:t xml:space="preserve">Zadolževanje – obrazložitev podskupin K3 </w:t>
      </w:r>
    </w:p>
    <w:p w14:paraId="10040FC9" w14:textId="55DB1B0D" w:rsidR="00FE5318" w:rsidRPr="00FE5318" w:rsidRDefault="00FE5318" w:rsidP="00FF1629">
      <w:pPr>
        <w:jc w:val="both"/>
        <w:rPr>
          <w:rFonts w:ascii="Arial" w:hAnsi="Arial" w:cs="Arial"/>
          <w:bCs/>
          <w:i/>
          <w:sz w:val="20"/>
          <w:szCs w:val="20"/>
        </w:rPr>
      </w:pPr>
      <w:r w:rsidRPr="00FE5318">
        <w:rPr>
          <w:rFonts w:ascii="Arial" w:hAnsi="Arial" w:cs="Arial"/>
          <w:bCs/>
          <w:i/>
          <w:sz w:val="20"/>
          <w:szCs w:val="20"/>
        </w:rPr>
        <w:tab/>
        <w:t xml:space="preserve">Odplačila dolga – obrazložitev podskupin K3 </w:t>
      </w:r>
    </w:p>
    <w:p w14:paraId="66193C20" w14:textId="7C561C02" w:rsidR="00290149" w:rsidRPr="00EA7793" w:rsidRDefault="00290149" w:rsidP="00FF1629">
      <w:pPr>
        <w:pStyle w:val="Telobesedila"/>
        <w:tabs>
          <w:tab w:val="clear" w:pos="-1440"/>
        </w:tabs>
        <w:rPr>
          <w:rStyle w:val="Naslov6Znak"/>
          <w:rFonts w:ascii="Arial" w:hAnsi="Arial" w:cs="Arial"/>
          <w:b/>
          <w:sz w:val="20"/>
        </w:rPr>
      </w:pPr>
    </w:p>
    <w:p w14:paraId="4EEDB210" w14:textId="77777777" w:rsidR="00290149" w:rsidRPr="00EA7793" w:rsidRDefault="00290149" w:rsidP="00FF1629">
      <w:pPr>
        <w:jc w:val="both"/>
        <w:rPr>
          <w:rFonts w:ascii="Arial" w:hAnsi="Arial" w:cs="Arial"/>
          <w:b/>
          <w:color w:val="1F497D"/>
          <w:sz w:val="20"/>
          <w:szCs w:val="20"/>
        </w:rPr>
      </w:pPr>
    </w:p>
    <w:p w14:paraId="0FD4F259" w14:textId="77777777" w:rsidR="00290149" w:rsidRPr="00EA7793" w:rsidRDefault="00290149" w:rsidP="00FF1629">
      <w:pPr>
        <w:jc w:val="both"/>
        <w:rPr>
          <w:rFonts w:ascii="Arial" w:hAnsi="Arial" w:cs="Arial"/>
          <w:b/>
          <w:i/>
          <w:color w:val="1F497D"/>
          <w:sz w:val="20"/>
          <w:szCs w:val="20"/>
          <w:u w:val="single"/>
        </w:rPr>
      </w:pPr>
      <w:r w:rsidRPr="00EA7793">
        <w:rPr>
          <w:rFonts w:ascii="Arial" w:hAnsi="Arial" w:cs="Arial"/>
          <w:b/>
          <w:i/>
          <w:color w:val="1F497D"/>
          <w:sz w:val="20"/>
          <w:szCs w:val="20"/>
          <w:u w:val="single"/>
        </w:rPr>
        <w:t>II. POSEBNI DEL PRORAČUNA</w:t>
      </w:r>
    </w:p>
    <w:p w14:paraId="7761EE56" w14:textId="77777777" w:rsidR="00290149" w:rsidRPr="00EA7793" w:rsidRDefault="00290149" w:rsidP="00FF1629">
      <w:pPr>
        <w:pStyle w:val="Telobesedila-zamik3"/>
        <w:tabs>
          <w:tab w:val="clear" w:pos="-1080"/>
          <w:tab w:val="clear" w:pos="-720"/>
          <w:tab w:val="clear" w:pos="0"/>
          <w:tab w:val="clear" w:pos="810"/>
          <w:tab w:val="clear" w:pos="1080"/>
        </w:tabs>
        <w:ind w:left="0"/>
        <w:rPr>
          <w:rFonts w:ascii="Arial" w:hAnsi="Arial" w:cs="Arial"/>
          <w:bCs/>
          <w:i/>
          <w:color w:val="1F497D"/>
          <w:sz w:val="20"/>
        </w:rPr>
      </w:pPr>
    </w:p>
    <w:p w14:paraId="03014751" w14:textId="77777777" w:rsidR="00290149" w:rsidRPr="00EA7793" w:rsidRDefault="00290149" w:rsidP="00FF1629">
      <w:pPr>
        <w:pStyle w:val="Telobesedila-zamik3"/>
        <w:tabs>
          <w:tab w:val="clear" w:pos="-1080"/>
          <w:tab w:val="clear" w:pos="-720"/>
          <w:tab w:val="clear" w:pos="0"/>
          <w:tab w:val="clear" w:pos="810"/>
          <w:tab w:val="clear" w:pos="1080"/>
        </w:tabs>
        <w:ind w:left="0"/>
        <w:rPr>
          <w:rFonts w:ascii="Arial" w:hAnsi="Arial" w:cs="Arial"/>
          <w:b/>
          <w:i/>
          <w:color w:val="1F497D"/>
          <w:sz w:val="20"/>
        </w:rPr>
      </w:pPr>
      <w:r w:rsidRPr="00EA7793">
        <w:rPr>
          <w:rFonts w:ascii="Arial" w:hAnsi="Arial" w:cs="Arial"/>
          <w:b/>
          <w:i/>
          <w:color w:val="1F497D"/>
          <w:sz w:val="20"/>
        </w:rPr>
        <w:t>Uvod</w:t>
      </w:r>
    </w:p>
    <w:p w14:paraId="63199B75" w14:textId="77777777" w:rsidR="00290149" w:rsidRPr="00EA7793" w:rsidRDefault="00290149" w:rsidP="00FF1629">
      <w:pPr>
        <w:rPr>
          <w:rFonts w:ascii="Arial" w:hAnsi="Arial" w:cs="Arial"/>
          <w:b/>
          <w:i/>
          <w:color w:val="1F497D"/>
          <w:sz w:val="20"/>
          <w:szCs w:val="20"/>
          <w:lang w:eastAsia="sl-SI"/>
        </w:rPr>
      </w:pPr>
    </w:p>
    <w:p w14:paraId="686DB7B6" w14:textId="77777777" w:rsidR="00290149" w:rsidRPr="00EA7793" w:rsidRDefault="00290149" w:rsidP="00FF1629">
      <w:pPr>
        <w:rPr>
          <w:rFonts w:ascii="Arial" w:hAnsi="Arial" w:cs="Arial"/>
          <w:b/>
          <w:i/>
          <w:color w:val="1F497D"/>
          <w:sz w:val="20"/>
          <w:szCs w:val="20"/>
          <w:lang w:eastAsia="sl-SI"/>
        </w:rPr>
      </w:pPr>
      <w:r w:rsidRPr="00EA7793">
        <w:rPr>
          <w:rFonts w:ascii="Arial" w:hAnsi="Arial" w:cs="Arial"/>
          <w:b/>
          <w:i/>
          <w:color w:val="1F497D"/>
          <w:sz w:val="20"/>
          <w:szCs w:val="20"/>
          <w:lang w:eastAsia="sl-SI"/>
        </w:rPr>
        <w:t xml:space="preserve">1. Bilanca prihodkov in odhodkov </w:t>
      </w:r>
    </w:p>
    <w:p w14:paraId="542DBAA6" w14:textId="77777777" w:rsidR="00290149" w:rsidRPr="00A4799A" w:rsidRDefault="00290149" w:rsidP="00FF1629">
      <w:pPr>
        <w:rPr>
          <w:rFonts w:ascii="Arial" w:hAnsi="Arial" w:cs="Arial"/>
          <w:b/>
          <w:i/>
          <w:sz w:val="20"/>
          <w:szCs w:val="20"/>
          <w:lang w:eastAsia="sl-SI"/>
        </w:rPr>
      </w:pPr>
      <w:r w:rsidRPr="00A4799A">
        <w:rPr>
          <w:rFonts w:ascii="Arial" w:hAnsi="Arial" w:cs="Arial"/>
          <w:b/>
          <w:i/>
          <w:sz w:val="20"/>
          <w:szCs w:val="20"/>
          <w:lang w:eastAsia="sl-SI"/>
        </w:rPr>
        <w:t>PPP - Področje proračunske porabe</w:t>
      </w:r>
    </w:p>
    <w:p w14:paraId="795E63F8"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Opis področja proračunske porabe, poslanstva občine znotraj področja proračunske porabe</w:t>
      </w:r>
    </w:p>
    <w:p w14:paraId="352E0FFD"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Dokumenti dolgoročnega razvojnega načrtovanja</w:t>
      </w:r>
    </w:p>
    <w:p w14:paraId="43283028"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Dolgoročni cilji področja proračunske porabe (Splošni cilj iz proračuna države)*</w:t>
      </w:r>
    </w:p>
    <w:p w14:paraId="77CC40CD"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Oznaka in nazivi glavnih programov v pristojnosti občine</w:t>
      </w:r>
    </w:p>
    <w:p w14:paraId="5C74A55F" w14:textId="77777777" w:rsidR="001764DD" w:rsidRDefault="001764DD" w:rsidP="00FF1629">
      <w:pPr>
        <w:spacing w:before="120"/>
        <w:rPr>
          <w:rFonts w:ascii="Arial" w:hAnsi="Arial" w:cs="Arial"/>
          <w:b/>
          <w:i/>
          <w:sz w:val="20"/>
          <w:szCs w:val="20"/>
          <w:lang w:eastAsia="sl-SI"/>
        </w:rPr>
      </w:pPr>
    </w:p>
    <w:p w14:paraId="71DEE33E" w14:textId="45294CD0" w:rsidR="00290149" w:rsidRPr="00A4799A" w:rsidRDefault="00290149" w:rsidP="00FF1629">
      <w:pPr>
        <w:spacing w:before="120"/>
        <w:rPr>
          <w:rFonts w:ascii="Arial" w:hAnsi="Arial" w:cs="Arial"/>
          <w:b/>
          <w:i/>
          <w:sz w:val="20"/>
          <w:szCs w:val="20"/>
          <w:lang w:eastAsia="sl-SI"/>
        </w:rPr>
      </w:pPr>
      <w:r w:rsidRPr="00A4799A">
        <w:rPr>
          <w:rFonts w:ascii="Arial" w:hAnsi="Arial" w:cs="Arial"/>
          <w:b/>
          <w:i/>
          <w:sz w:val="20"/>
          <w:szCs w:val="20"/>
          <w:lang w:eastAsia="sl-SI"/>
        </w:rPr>
        <w:lastRenderedPageBreak/>
        <w:t>GPR - Glavni programi</w:t>
      </w:r>
    </w:p>
    <w:p w14:paraId="0EC0BB96"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Opis glavnega programa</w:t>
      </w:r>
    </w:p>
    <w:p w14:paraId="12E918ED"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Dolgoročni cilji glavnega programa (Specifični cilj in kazalniki)**</w:t>
      </w:r>
    </w:p>
    <w:p w14:paraId="136DEEC1"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Glavni letni izvedbeni cilji in kazalci, s katerimi se bo merilo doseganje zastavljenih ciljev</w:t>
      </w:r>
    </w:p>
    <w:p w14:paraId="7B6D0D7E"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Podprogrami in proračunski uporabniki znotraj glavnega programa</w:t>
      </w:r>
    </w:p>
    <w:p w14:paraId="4BFD3DF3" w14:textId="77777777" w:rsidR="001764DD" w:rsidRDefault="001764DD" w:rsidP="00FF1629">
      <w:pPr>
        <w:spacing w:before="120"/>
        <w:rPr>
          <w:rFonts w:ascii="Arial" w:hAnsi="Arial" w:cs="Arial"/>
          <w:b/>
          <w:i/>
          <w:sz w:val="20"/>
          <w:szCs w:val="20"/>
          <w:lang w:eastAsia="sl-SI"/>
        </w:rPr>
      </w:pPr>
    </w:p>
    <w:p w14:paraId="21ABA17F" w14:textId="01F9173D" w:rsidR="00290149" w:rsidRPr="00A4799A" w:rsidRDefault="00290149" w:rsidP="00FF1629">
      <w:pPr>
        <w:spacing w:before="120"/>
        <w:rPr>
          <w:rFonts w:ascii="Arial" w:hAnsi="Arial" w:cs="Arial"/>
          <w:b/>
          <w:i/>
          <w:sz w:val="20"/>
          <w:szCs w:val="20"/>
          <w:lang w:eastAsia="sl-SI"/>
        </w:rPr>
      </w:pPr>
      <w:r w:rsidRPr="00A4799A">
        <w:rPr>
          <w:rFonts w:ascii="Arial" w:hAnsi="Arial" w:cs="Arial"/>
          <w:b/>
          <w:i/>
          <w:sz w:val="20"/>
          <w:szCs w:val="20"/>
          <w:lang w:eastAsia="sl-SI"/>
        </w:rPr>
        <w:t xml:space="preserve">PPR – Podprogram </w:t>
      </w:r>
    </w:p>
    <w:p w14:paraId="505F4F64"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Opis podprograma</w:t>
      </w:r>
    </w:p>
    <w:p w14:paraId="73758964"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Zakonske in druge pravne podlage</w:t>
      </w:r>
    </w:p>
    <w:p w14:paraId="7F24A7E7"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Dolgoročni cilji podprograma in kazalci, s katerimi se bo merilo doseganje zastavljenih ciljev (Rezultat in kazalniki)**</w:t>
      </w:r>
    </w:p>
    <w:p w14:paraId="3C4A3C62"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Letni izvedbeni cilji podprograma in kazalci, s katerimi se bo merilo doseganje zastavljenih ciljev (Neposredni učinek in kazalnik)***</w:t>
      </w:r>
    </w:p>
    <w:p w14:paraId="70293258" w14:textId="77777777" w:rsidR="001764DD" w:rsidRDefault="001764DD" w:rsidP="00FF1629">
      <w:pPr>
        <w:spacing w:before="120"/>
        <w:rPr>
          <w:rFonts w:ascii="Arial" w:hAnsi="Arial" w:cs="Arial"/>
          <w:b/>
          <w:i/>
          <w:sz w:val="20"/>
          <w:szCs w:val="20"/>
          <w:lang w:eastAsia="sl-SI"/>
        </w:rPr>
      </w:pPr>
    </w:p>
    <w:p w14:paraId="728567AB" w14:textId="4D3E755C" w:rsidR="00290149" w:rsidRPr="00A4799A" w:rsidRDefault="00290149" w:rsidP="00FF1629">
      <w:pPr>
        <w:spacing w:before="120"/>
        <w:rPr>
          <w:rFonts w:ascii="Arial" w:hAnsi="Arial" w:cs="Arial"/>
          <w:b/>
          <w:i/>
          <w:sz w:val="20"/>
          <w:szCs w:val="20"/>
          <w:lang w:eastAsia="sl-SI"/>
        </w:rPr>
      </w:pPr>
      <w:r w:rsidRPr="00A4799A">
        <w:rPr>
          <w:rFonts w:ascii="Arial" w:hAnsi="Arial" w:cs="Arial"/>
          <w:b/>
          <w:i/>
          <w:sz w:val="20"/>
          <w:szCs w:val="20"/>
          <w:lang w:eastAsia="sl-SI"/>
        </w:rPr>
        <w:t>PU - Proračunski uporabnik</w:t>
      </w:r>
    </w:p>
    <w:p w14:paraId="02E708A1"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 xml:space="preserve">PP - Proračunska postavka </w:t>
      </w:r>
    </w:p>
    <w:p w14:paraId="7442C58D"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Obrazložitev dejavnosti v okviru proračunske postavke</w:t>
      </w:r>
    </w:p>
    <w:p w14:paraId="40A1B3DA"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Navezava na projekte v okviru proračunske postavke</w:t>
      </w:r>
    </w:p>
    <w:p w14:paraId="167D85E5" w14:textId="77777777" w:rsidR="00290149" w:rsidRPr="001764DD" w:rsidRDefault="00290149" w:rsidP="00FF1629">
      <w:pPr>
        <w:rPr>
          <w:rFonts w:ascii="Arial" w:hAnsi="Arial" w:cs="Arial"/>
          <w:bCs/>
          <w:i/>
          <w:sz w:val="20"/>
          <w:szCs w:val="20"/>
          <w:lang w:eastAsia="sl-SI"/>
        </w:rPr>
      </w:pPr>
      <w:r w:rsidRPr="001764DD">
        <w:rPr>
          <w:rFonts w:ascii="Arial" w:hAnsi="Arial" w:cs="Arial"/>
          <w:bCs/>
          <w:i/>
          <w:sz w:val="20"/>
          <w:szCs w:val="20"/>
          <w:lang w:eastAsia="sl-SI"/>
        </w:rPr>
        <w:t>Izhodišča, na katerih temeljijo izračuni predlogov pravic porabe za del, ki se ne izvršuje preko NRP (Neposredni učinek in kazalnik)***</w:t>
      </w:r>
    </w:p>
    <w:p w14:paraId="1E9A4014" w14:textId="77777777" w:rsidR="001764DD" w:rsidRDefault="001764DD" w:rsidP="00FF1629">
      <w:pPr>
        <w:rPr>
          <w:rFonts w:ascii="Arial" w:hAnsi="Arial" w:cs="Arial"/>
          <w:b/>
          <w:i/>
          <w:color w:val="1F497D"/>
          <w:sz w:val="20"/>
          <w:szCs w:val="20"/>
          <w:lang w:eastAsia="sl-SI"/>
        </w:rPr>
      </w:pPr>
    </w:p>
    <w:p w14:paraId="6C0FBB6B" w14:textId="65FD02EF" w:rsidR="001764DD" w:rsidRDefault="001764DD" w:rsidP="00FF1629">
      <w:pPr>
        <w:rPr>
          <w:rFonts w:ascii="Arial" w:hAnsi="Arial" w:cs="Arial"/>
          <w:b/>
          <w:i/>
          <w:color w:val="1F497D"/>
          <w:sz w:val="20"/>
          <w:szCs w:val="20"/>
          <w:lang w:eastAsia="sl-SI"/>
        </w:rPr>
      </w:pPr>
      <w:r>
        <w:rPr>
          <w:rFonts w:ascii="Arial" w:hAnsi="Arial" w:cs="Arial"/>
          <w:b/>
          <w:i/>
          <w:color w:val="1F497D"/>
          <w:sz w:val="20"/>
          <w:szCs w:val="20"/>
          <w:lang w:eastAsia="sl-SI"/>
        </w:rPr>
        <w:t>Predlagana struktura tudi enaka tudi za bilanci B (</w:t>
      </w:r>
      <w:r w:rsidRPr="00EA7793">
        <w:rPr>
          <w:rFonts w:ascii="Arial" w:hAnsi="Arial" w:cs="Arial"/>
          <w:b/>
          <w:i/>
          <w:color w:val="1F497D"/>
          <w:sz w:val="20"/>
          <w:szCs w:val="20"/>
          <w:lang w:eastAsia="sl-SI"/>
        </w:rPr>
        <w:t>Račun finančnih terjatev in naložb</w:t>
      </w:r>
      <w:r>
        <w:rPr>
          <w:rFonts w:ascii="Arial" w:hAnsi="Arial" w:cs="Arial"/>
          <w:b/>
          <w:i/>
          <w:color w:val="1F497D"/>
          <w:sz w:val="20"/>
          <w:szCs w:val="20"/>
          <w:lang w:eastAsia="sl-SI"/>
        </w:rPr>
        <w:t xml:space="preserve">) in C (Račun financiranja) </w:t>
      </w:r>
    </w:p>
    <w:p w14:paraId="7A42A354" w14:textId="77777777" w:rsidR="001764DD" w:rsidRDefault="001764DD" w:rsidP="00FF1629">
      <w:pPr>
        <w:jc w:val="both"/>
        <w:rPr>
          <w:rFonts w:ascii="Arial" w:hAnsi="Arial" w:cs="Arial"/>
          <w:b/>
          <w:i/>
          <w:sz w:val="20"/>
          <w:szCs w:val="20"/>
          <w:lang w:eastAsia="sl-SI"/>
        </w:rPr>
      </w:pPr>
    </w:p>
    <w:p w14:paraId="6078D584" w14:textId="7126D83D" w:rsidR="00290149" w:rsidRPr="00A4799A" w:rsidRDefault="00290149" w:rsidP="001764DD">
      <w:pPr>
        <w:jc w:val="both"/>
        <w:rPr>
          <w:rFonts w:ascii="Arial" w:hAnsi="Arial" w:cs="Arial"/>
          <w:b/>
          <w:i/>
          <w:sz w:val="20"/>
          <w:szCs w:val="20"/>
          <w:lang w:eastAsia="sl-SI"/>
        </w:rPr>
      </w:pPr>
      <w:r w:rsidRPr="00A4799A">
        <w:rPr>
          <w:rFonts w:ascii="Arial" w:hAnsi="Arial" w:cs="Arial"/>
          <w:b/>
          <w:i/>
          <w:sz w:val="20"/>
          <w:szCs w:val="20"/>
          <w:lang w:eastAsia="sl-SI"/>
        </w:rPr>
        <w:t>Opomba:</w:t>
      </w:r>
    </w:p>
    <w:p w14:paraId="16A40E55" w14:textId="77777777" w:rsidR="00290149" w:rsidRPr="001764DD" w:rsidRDefault="00290149" w:rsidP="001764DD">
      <w:pPr>
        <w:jc w:val="both"/>
        <w:rPr>
          <w:rFonts w:ascii="Arial" w:hAnsi="Arial" w:cs="Arial"/>
          <w:bCs/>
          <w:i/>
          <w:sz w:val="20"/>
          <w:szCs w:val="20"/>
          <w:lang w:eastAsia="sl-SI"/>
        </w:rPr>
      </w:pPr>
      <w:r w:rsidRPr="001764DD">
        <w:rPr>
          <w:rFonts w:ascii="Arial" w:hAnsi="Arial" w:cs="Arial"/>
          <w:bCs/>
          <w:i/>
          <w:sz w:val="20"/>
          <w:szCs w:val="20"/>
          <w:lang w:eastAsia="sl-SI"/>
        </w:rPr>
        <w:t xml:space="preserve">* </w:t>
      </w:r>
      <w:r w:rsidRPr="001764DD">
        <w:rPr>
          <w:rFonts w:ascii="Arial" w:hAnsi="Arial" w:cs="Arial"/>
          <w:b/>
          <w:i/>
          <w:sz w:val="20"/>
          <w:szCs w:val="20"/>
          <w:lang w:eastAsia="sl-SI"/>
        </w:rPr>
        <w:t>Splošni cilji</w:t>
      </w:r>
      <w:r w:rsidRPr="001764DD">
        <w:rPr>
          <w:rFonts w:ascii="Arial" w:hAnsi="Arial" w:cs="Arial"/>
          <w:bCs/>
          <w:i/>
          <w:sz w:val="20"/>
          <w:szCs w:val="20"/>
          <w:lang w:eastAsia="sl-SI"/>
        </w:rPr>
        <w:t xml:space="preserve"> se povzamejo iz programske klasifikacije za državni proračun na nivoju politik. </w:t>
      </w:r>
    </w:p>
    <w:p w14:paraId="2EC6A381" w14:textId="77777777" w:rsidR="00290149" w:rsidRPr="001764DD" w:rsidRDefault="00290149" w:rsidP="001764DD">
      <w:pPr>
        <w:jc w:val="both"/>
        <w:rPr>
          <w:rFonts w:ascii="Arial" w:hAnsi="Arial" w:cs="Arial"/>
          <w:bCs/>
          <w:i/>
          <w:sz w:val="20"/>
          <w:szCs w:val="20"/>
          <w:lang w:eastAsia="sl-SI"/>
        </w:rPr>
      </w:pPr>
      <w:r w:rsidRPr="001764DD">
        <w:rPr>
          <w:rFonts w:ascii="Arial" w:hAnsi="Arial" w:cs="Arial"/>
          <w:bCs/>
          <w:i/>
          <w:sz w:val="20"/>
          <w:szCs w:val="20"/>
          <w:lang w:eastAsia="sl-SI"/>
        </w:rPr>
        <w:t xml:space="preserve">** </w:t>
      </w:r>
      <w:r w:rsidRPr="001764DD">
        <w:rPr>
          <w:rFonts w:ascii="Arial" w:hAnsi="Arial" w:cs="Arial"/>
          <w:b/>
          <w:i/>
          <w:sz w:val="20"/>
          <w:szCs w:val="20"/>
          <w:lang w:eastAsia="sl-SI"/>
        </w:rPr>
        <w:t>Specifični cilji</w:t>
      </w:r>
      <w:r w:rsidRPr="001764DD">
        <w:rPr>
          <w:rFonts w:ascii="Arial" w:hAnsi="Arial" w:cs="Arial"/>
          <w:bCs/>
          <w:i/>
          <w:sz w:val="20"/>
          <w:szCs w:val="20"/>
          <w:lang w:eastAsia="sl-SI"/>
        </w:rPr>
        <w:t xml:space="preserve"> in rezultati se praviloma nanašajo na neko srednjeročno obdobje, ki naj ne bi bilo daljše od štirih let, lahko pa je tudi krajše. Letni cilji in kazalniki se na nivoju glavnega program oziroma podprograma ne določajo, razen izjemoma (pojasnilo v naslednji opombi).</w:t>
      </w:r>
    </w:p>
    <w:p w14:paraId="157B506D" w14:textId="77777777" w:rsidR="00290149" w:rsidRPr="001764DD" w:rsidRDefault="00290149" w:rsidP="001764DD">
      <w:pPr>
        <w:jc w:val="both"/>
        <w:rPr>
          <w:rFonts w:ascii="Arial" w:hAnsi="Arial" w:cs="Arial"/>
          <w:bCs/>
          <w:i/>
          <w:sz w:val="20"/>
          <w:szCs w:val="20"/>
          <w:lang w:eastAsia="sl-SI"/>
        </w:rPr>
      </w:pPr>
      <w:r w:rsidRPr="001764DD">
        <w:rPr>
          <w:rFonts w:ascii="Arial" w:hAnsi="Arial" w:cs="Arial"/>
          <w:bCs/>
          <w:i/>
          <w:sz w:val="20"/>
          <w:szCs w:val="20"/>
          <w:lang w:eastAsia="sl-SI"/>
        </w:rPr>
        <w:t>*** Za tisti del proračuna, ki se ne izvršuje preko projektov v načrtu razvojnih programov, se neposredni učinki določijo kot nadomestilo za letne izvedbene cilje na nivoju proračunske postavke, če pa bilo to prepodrobno pa se neposredni učinki določijo na nivoju podprograma.</w:t>
      </w:r>
    </w:p>
    <w:p w14:paraId="36C920CB" w14:textId="77777777" w:rsidR="00290149" w:rsidRPr="00EA7793" w:rsidRDefault="00290149" w:rsidP="00290149">
      <w:pPr>
        <w:ind w:left="760"/>
        <w:rPr>
          <w:rFonts w:ascii="Arial" w:hAnsi="Arial" w:cs="Arial"/>
          <w:b/>
          <w:i/>
          <w:sz w:val="20"/>
          <w:szCs w:val="20"/>
          <w:lang w:eastAsia="sl-SI"/>
        </w:rPr>
      </w:pPr>
    </w:p>
    <w:p w14:paraId="0B8972CE" w14:textId="77777777" w:rsidR="001764DD" w:rsidRDefault="001764DD">
      <w:pPr>
        <w:rPr>
          <w:rFonts w:ascii="Arial" w:hAnsi="Arial" w:cs="Arial"/>
          <w:b/>
          <w:i/>
          <w:color w:val="1F497D"/>
          <w:sz w:val="20"/>
          <w:szCs w:val="20"/>
          <w:u w:val="single"/>
        </w:rPr>
      </w:pPr>
      <w:r>
        <w:rPr>
          <w:rFonts w:ascii="Arial" w:hAnsi="Arial" w:cs="Arial"/>
          <w:b/>
          <w:i/>
          <w:color w:val="1F497D"/>
          <w:sz w:val="20"/>
          <w:szCs w:val="20"/>
          <w:u w:val="single"/>
        </w:rPr>
        <w:br w:type="page"/>
      </w:r>
    </w:p>
    <w:p w14:paraId="2E6B3F8B" w14:textId="6980C16D" w:rsidR="00290149" w:rsidRPr="00EA7793" w:rsidRDefault="00290149" w:rsidP="00290149">
      <w:pPr>
        <w:rPr>
          <w:rFonts w:ascii="Arial" w:hAnsi="Arial" w:cs="Arial"/>
          <w:b/>
          <w:i/>
          <w:color w:val="1F497D"/>
          <w:sz w:val="20"/>
          <w:szCs w:val="20"/>
          <w:u w:val="single"/>
        </w:rPr>
      </w:pPr>
      <w:r w:rsidRPr="00EA7793">
        <w:rPr>
          <w:rFonts w:ascii="Arial" w:hAnsi="Arial" w:cs="Arial"/>
          <w:b/>
          <w:i/>
          <w:color w:val="1F497D"/>
          <w:sz w:val="20"/>
          <w:szCs w:val="20"/>
          <w:u w:val="single"/>
        </w:rPr>
        <w:lastRenderedPageBreak/>
        <w:t>III. NAČRT RAZVOJNIH PROGRAMOV</w:t>
      </w:r>
    </w:p>
    <w:p w14:paraId="1283343A" w14:textId="77777777" w:rsidR="00290149" w:rsidRPr="00EA7793" w:rsidRDefault="00290149" w:rsidP="00290149">
      <w:pPr>
        <w:rPr>
          <w:rFonts w:ascii="Arial" w:hAnsi="Arial" w:cs="Arial"/>
          <w:b/>
          <w:bCs/>
          <w:i/>
          <w:color w:val="1F497D"/>
          <w:sz w:val="20"/>
          <w:szCs w:val="20"/>
        </w:rPr>
      </w:pPr>
      <w:r w:rsidRPr="00EA7793">
        <w:rPr>
          <w:rFonts w:ascii="Arial" w:hAnsi="Arial" w:cs="Arial"/>
          <w:b/>
          <w:bCs/>
          <w:i/>
          <w:color w:val="1F497D"/>
          <w:sz w:val="20"/>
          <w:szCs w:val="20"/>
        </w:rPr>
        <w:t>Uvod</w:t>
      </w:r>
    </w:p>
    <w:p w14:paraId="4FDC6367" w14:textId="77777777" w:rsidR="00290149" w:rsidRPr="00EA7793" w:rsidRDefault="00290149" w:rsidP="001764DD">
      <w:pPr>
        <w:rPr>
          <w:rFonts w:ascii="Arial" w:hAnsi="Arial" w:cs="Arial"/>
          <w:b/>
          <w:i/>
          <w:color w:val="1F497D"/>
          <w:sz w:val="20"/>
          <w:szCs w:val="20"/>
          <w:lang w:eastAsia="sl-SI"/>
        </w:rPr>
      </w:pPr>
      <w:r w:rsidRPr="00EA7793">
        <w:rPr>
          <w:rFonts w:ascii="Arial" w:hAnsi="Arial" w:cs="Arial"/>
          <w:b/>
          <w:i/>
          <w:color w:val="1F497D"/>
          <w:sz w:val="20"/>
          <w:szCs w:val="20"/>
          <w:lang w:eastAsia="sl-SI"/>
        </w:rPr>
        <w:t>PU-S - Proračunski uporabnik – skrbnik projekta</w:t>
      </w:r>
    </w:p>
    <w:p w14:paraId="54DE4D5E" w14:textId="77777777" w:rsidR="00290149" w:rsidRPr="00EA7793" w:rsidRDefault="00290149" w:rsidP="001764DD">
      <w:pPr>
        <w:rPr>
          <w:rFonts w:ascii="Arial" w:hAnsi="Arial" w:cs="Arial"/>
          <w:b/>
          <w:i/>
          <w:color w:val="1F497D"/>
          <w:sz w:val="20"/>
          <w:szCs w:val="20"/>
          <w:lang w:eastAsia="sl-SI"/>
        </w:rPr>
      </w:pPr>
      <w:r w:rsidRPr="00EA7793">
        <w:rPr>
          <w:rFonts w:ascii="Arial" w:hAnsi="Arial" w:cs="Arial"/>
          <w:b/>
          <w:i/>
          <w:color w:val="1F497D"/>
          <w:sz w:val="20"/>
          <w:szCs w:val="20"/>
          <w:lang w:eastAsia="sl-SI"/>
        </w:rPr>
        <w:t>1. Bilanca prihodkov in odhodkov</w:t>
      </w:r>
    </w:p>
    <w:p w14:paraId="6F4AFF04" w14:textId="77777777" w:rsidR="00290149" w:rsidRPr="001764DD" w:rsidRDefault="00290149" w:rsidP="001764DD">
      <w:pPr>
        <w:rPr>
          <w:rFonts w:ascii="Arial" w:hAnsi="Arial" w:cs="Arial"/>
          <w:bCs/>
          <w:i/>
          <w:sz w:val="20"/>
          <w:szCs w:val="20"/>
          <w:lang w:eastAsia="sl-SI"/>
        </w:rPr>
      </w:pPr>
      <w:r w:rsidRPr="001764DD">
        <w:rPr>
          <w:rFonts w:ascii="Arial" w:hAnsi="Arial" w:cs="Arial"/>
          <w:bCs/>
          <w:i/>
          <w:sz w:val="20"/>
          <w:szCs w:val="20"/>
          <w:lang w:eastAsia="sl-SI"/>
        </w:rPr>
        <w:t>NPPR - Nosilni podprogram</w:t>
      </w:r>
    </w:p>
    <w:p w14:paraId="2B261D90" w14:textId="77777777" w:rsidR="00290149" w:rsidRPr="001764DD" w:rsidRDefault="00290149" w:rsidP="001764DD">
      <w:pPr>
        <w:rPr>
          <w:rFonts w:ascii="Arial" w:hAnsi="Arial" w:cs="Arial"/>
          <w:bCs/>
          <w:i/>
          <w:sz w:val="20"/>
          <w:szCs w:val="20"/>
          <w:lang w:eastAsia="sl-SI"/>
        </w:rPr>
      </w:pPr>
      <w:r w:rsidRPr="001764DD">
        <w:rPr>
          <w:rFonts w:ascii="Arial" w:hAnsi="Arial" w:cs="Arial"/>
          <w:bCs/>
          <w:i/>
          <w:sz w:val="20"/>
          <w:szCs w:val="20"/>
          <w:lang w:eastAsia="sl-SI"/>
        </w:rPr>
        <w:t xml:space="preserve">PRJ – Projekt </w:t>
      </w:r>
    </w:p>
    <w:p w14:paraId="7048E05F" w14:textId="77777777" w:rsidR="00290149" w:rsidRPr="001764DD" w:rsidRDefault="00290149" w:rsidP="001764DD">
      <w:pPr>
        <w:spacing w:after="200" w:line="276" w:lineRule="auto"/>
        <w:rPr>
          <w:rFonts w:ascii="Arial" w:hAnsi="Arial" w:cs="Arial"/>
          <w:bCs/>
          <w:i/>
          <w:sz w:val="20"/>
          <w:szCs w:val="20"/>
          <w:lang w:eastAsia="sl-SI"/>
        </w:rPr>
      </w:pPr>
      <w:r w:rsidRPr="001764DD">
        <w:rPr>
          <w:rFonts w:ascii="Arial" w:hAnsi="Arial" w:cs="Arial"/>
          <w:bCs/>
          <w:i/>
          <w:sz w:val="20"/>
          <w:szCs w:val="20"/>
          <w:lang w:eastAsia="sl-SI"/>
        </w:rPr>
        <w:t>Namen in cilj projekta (Neposredni učinek in kazalnik)*</w:t>
      </w:r>
    </w:p>
    <w:p w14:paraId="36D48C28" w14:textId="6DD52AC1" w:rsidR="00290149" w:rsidRPr="001764DD" w:rsidRDefault="00290149" w:rsidP="001764DD">
      <w:pPr>
        <w:spacing w:after="200" w:line="276" w:lineRule="auto"/>
        <w:rPr>
          <w:rFonts w:ascii="Arial" w:hAnsi="Arial" w:cs="Arial"/>
          <w:bCs/>
          <w:i/>
          <w:sz w:val="20"/>
          <w:szCs w:val="20"/>
          <w:lang w:eastAsia="sl-SI"/>
        </w:rPr>
      </w:pPr>
      <w:r w:rsidRPr="001764DD">
        <w:rPr>
          <w:rFonts w:ascii="Arial" w:hAnsi="Arial" w:cs="Arial"/>
          <w:bCs/>
          <w:i/>
          <w:sz w:val="20"/>
          <w:szCs w:val="20"/>
          <w:lang w:eastAsia="sl-SI"/>
        </w:rPr>
        <w:t>Stanje projekta</w:t>
      </w:r>
      <w:r w:rsidR="001764DD" w:rsidRPr="001764DD">
        <w:rPr>
          <w:rFonts w:ascii="Arial" w:hAnsi="Arial" w:cs="Arial"/>
          <w:bCs/>
          <w:i/>
          <w:sz w:val="20"/>
          <w:szCs w:val="20"/>
          <w:lang w:eastAsia="sl-SI"/>
        </w:rPr>
        <w:t xml:space="preserve"> </w:t>
      </w:r>
    </w:p>
    <w:p w14:paraId="141E8025" w14:textId="77777777" w:rsidR="001764DD" w:rsidRDefault="001764DD" w:rsidP="001764DD">
      <w:pPr>
        <w:rPr>
          <w:rFonts w:ascii="Arial" w:hAnsi="Arial" w:cs="Arial"/>
          <w:b/>
          <w:i/>
          <w:color w:val="1F497D"/>
          <w:sz w:val="20"/>
          <w:szCs w:val="20"/>
          <w:lang w:eastAsia="sl-SI"/>
        </w:rPr>
      </w:pPr>
      <w:r>
        <w:rPr>
          <w:rFonts w:ascii="Arial" w:hAnsi="Arial" w:cs="Arial"/>
          <w:b/>
          <w:i/>
          <w:color w:val="1F497D"/>
          <w:sz w:val="20"/>
          <w:szCs w:val="20"/>
          <w:lang w:eastAsia="sl-SI"/>
        </w:rPr>
        <w:t>Predlagana struktura tudi enaka tudi za bilanci B (</w:t>
      </w:r>
      <w:r w:rsidRPr="00EA7793">
        <w:rPr>
          <w:rFonts w:ascii="Arial" w:hAnsi="Arial" w:cs="Arial"/>
          <w:b/>
          <w:i/>
          <w:color w:val="1F497D"/>
          <w:sz w:val="20"/>
          <w:szCs w:val="20"/>
          <w:lang w:eastAsia="sl-SI"/>
        </w:rPr>
        <w:t>Račun finančnih terjatev in naložb</w:t>
      </w:r>
      <w:r>
        <w:rPr>
          <w:rFonts w:ascii="Arial" w:hAnsi="Arial" w:cs="Arial"/>
          <w:b/>
          <w:i/>
          <w:color w:val="1F497D"/>
          <w:sz w:val="20"/>
          <w:szCs w:val="20"/>
          <w:lang w:eastAsia="sl-SI"/>
        </w:rPr>
        <w:t xml:space="preserve">) in C (Račun financiranja) </w:t>
      </w:r>
    </w:p>
    <w:p w14:paraId="215D51F9" w14:textId="77777777" w:rsidR="001764DD" w:rsidRPr="00A4799A" w:rsidRDefault="001764DD" w:rsidP="00290149">
      <w:pPr>
        <w:spacing w:after="200" w:line="276" w:lineRule="auto"/>
        <w:ind w:left="2127"/>
        <w:rPr>
          <w:rFonts w:ascii="Arial" w:hAnsi="Arial" w:cs="Arial"/>
          <w:b/>
          <w:i/>
          <w:sz w:val="20"/>
          <w:szCs w:val="20"/>
          <w:lang w:eastAsia="sl-SI"/>
        </w:rPr>
      </w:pPr>
    </w:p>
    <w:p w14:paraId="6E69E93B" w14:textId="77777777" w:rsidR="00290149" w:rsidRPr="001764DD" w:rsidRDefault="00290149" w:rsidP="001764DD">
      <w:pPr>
        <w:jc w:val="both"/>
        <w:rPr>
          <w:rFonts w:ascii="Arial" w:hAnsi="Arial" w:cs="Arial"/>
          <w:b/>
          <w:i/>
          <w:sz w:val="20"/>
          <w:szCs w:val="20"/>
          <w:lang w:eastAsia="sl-SI"/>
        </w:rPr>
      </w:pPr>
      <w:r w:rsidRPr="001764DD">
        <w:rPr>
          <w:rFonts w:ascii="Arial" w:hAnsi="Arial" w:cs="Arial"/>
          <w:b/>
          <w:i/>
          <w:sz w:val="20"/>
          <w:szCs w:val="20"/>
          <w:lang w:eastAsia="sl-SI"/>
        </w:rPr>
        <w:t>Opomba:</w:t>
      </w:r>
    </w:p>
    <w:p w14:paraId="0E7D7B8E" w14:textId="5D8602D6" w:rsidR="00290149" w:rsidRPr="00FF1629" w:rsidRDefault="00290149" w:rsidP="00FF1629">
      <w:pPr>
        <w:jc w:val="both"/>
        <w:rPr>
          <w:rStyle w:val="Naslov6Znak"/>
          <w:rFonts w:ascii="Arial" w:eastAsiaTheme="minorHAnsi" w:hAnsi="Arial" w:cs="Arial"/>
          <w:bCs/>
          <w:i/>
          <w:sz w:val="20"/>
          <w:lang w:eastAsia="sl-SI"/>
        </w:rPr>
      </w:pPr>
      <w:r w:rsidRPr="001764DD">
        <w:rPr>
          <w:rFonts w:ascii="Arial" w:hAnsi="Arial" w:cs="Arial"/>
          <w:bCs/>
          <w:i/>
          <w:sz w:val="20"/>
          <w:szCs w:val="20"/>
          <w:lang w:eastAsia="sl-SI"/>
        </w:rPr>
        <w:t>* Neposredni učinki se določijo na letni ravni (so nadomestilo za letne izvedbene cilje), to je za leto, za katerega se sprejema proračun. Določijo se na nivoju projekta.</w:t>
      </w:r>
    </w:p>
    <w:bookmarkEnd w:id="0"/>
    <w:bookmarkEnd w:id="1"/>
    <w:bookmarkEnd w:id="2"/>
    <w:bookmarkEnd w:id="3"/>
    <w:sectPr w:rsidR="00290149" w:rsidRPr="00FF16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4B55"/>
    <w:multiLevelType w:val="hybridMultilevel"/>
    <w:tmpl w:val="485AF800"/>
    <w:lvl w:ilvl="0" w:tplc="368C0B70">
      <w:start w:val="2"/>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16cid:durableId="203306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EE0"/>
    <w:rsid w:val="000368CF"/>
    <w:rsid w:val="00112EE0"/>
    <w:rsid w:val="001764DD"/>
    <w:rsid w:val="00290149"/>
    <w:rsid w:val="00480838"/>
    <w:rsid w:val="004E13B2"/>
    <w:rsid w:val="005A191E"/>
    <w:rsid w:val="00A4799A"/>
    <w:rsid w:val="00EA7793"/>
    <w:rsid w:val="00EB2F9A"/>
    <w:rsid w:val="00FE5318"/>
    <w:rsid w:val="00FF16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FC7DC"/>
  <w15:chartTrackingRefBased/>
  <w15:docId w15:val="{10896464-E4B5-4AE0-8ED1-2CDC736A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6">
    <w:name w:val="heading 6"/>
    <w:basedOn w:val="Navaden"/>
    <w:next w:val="Navaden"/>
    <w:link w:val="Naslov6Znak"/>
    <w:qFormat/>
    <w:rsid w:val="00112EE0"/>
    <w:pPr>
      <w:keepNext/>
      <w:tabs>
        <w:tab w:val="left" w:pos="-1080"/>
        <w:tab w:val="left" w:pos="-720"/>
        <w:tab w:val="left" w:pos="0"/>
        <w:tab w:val="left" w:pos="810"/>
        <w:tab w:val="left" w:pos="1080"/>
      </w:tabs>
      <w:spacing w:after="0" w:line="240" w:lineRule="auto"/>
      <w:jc w:val="both"/>
      <w:outlineLvl w:val="5"/>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6Znak">
    <w:name w:val="Naslov 6 Znak"/>
    <w:basedOn w:val="Privzetapisavaodstavka"/>
    <w:link w:val="Naslov6"/>
    <w:rsid w:val="00112EE0"/>
    <w:rPr>
      <w:rFonts w:ascii="Times New Roman" w:eastAsia="Times New Roman" w:hAnsi="Times New Roman" w:cs="Times New Roman"/>
      <w:sz w:val="24"/>
      <w:szCs w:val="20"/>
    </w:rPr>
  </w:style>
  <w:style w:type="paragraph" w:styleId="Telobesedila-zamik3">
    <w:name w:val="Body Text Indent 3"/>
    <w:basedOn w:val="Navaden"/>
    <w:link w:val="Telobesedila-zamik3Znak"/>
    <w:rsid w:val="00112EE0"/>
    <w:pPr>
      <w:tabs>
        <w:tab w:val="left" w:pos="-1080"/>
        <w:tab w:val="left" w:pos="-720"/>
        <w:tab w:val="left" w:pos="0"/>
        <w:tab w:val="left" w:pos="810"/>
        <w:tab w:val="left" w:pos="1080"/>
      </w:tabs>
      <w:spacing w:after="0" w:line="240" w:lineRule="auto"/>
      <w:ind w:left="-22"/>
      <w:jc w:val="both"/>
    </w:pPr>
    <w:rPr>
      <w:rFonts w:ascii="Times New Roman" w:eastAsia="Times New Roman" w:hAnsi="Times New Roman" w:cs="Times New Roman"/>
      <w:sz w:val="24"/>
      <w:szCs w:val="20"/>
    </w:rPr>
  </w:style>
  <w:style w:type="character" w:customStyle="1" w:styleId="Telobesedila-zamik3Znak">
    <w:name w:val="Telo besedila - zamik 3 Znak"/>
    <w:basedOn w:val="Privzetapisavaodstavka"/>
    <w:link w:val="Telobesedila-zamik3"/>
    <w:rsid w:val="00112EE0"/>
    <w:rPr>
      <w:rFonts w:ascii="Times New Roman" w:eastAsia="Times New Roman" w:hAnsi="Times New Roman" w:cs="Times New Roman"/>
      <w:sz w:val="24"/>
      <w:szCs w:val="20"/>
    </w:rPr>
  </w:style>
  <w:style w:type="paragraph" w:styleId="Telobesedila">
    <w:name w:val="Body Text"/>
    <w:basedOn w:val="Navaden"/>
    <w:link w:val="TelobesedilaZnak"/>
    <w:rsid w:val="00112EE0"/>
    <w:pPr>
      <w:tabs>
        <w:tab w:val="left" w:pos="-1440"/>
      </w:tabs>
      <w:spacing w:after="0" w:line="240" w:lineRule="auto"/>
      <w:jc w:val="both"/>
    </w:pPr>
    <w:rPr>
      <w:rFonts w:ascii="Times New Roman" w:eastAsia="Times New Roman" w:hAnsi="Times New Roman" w:cs="Times New Roman"/>
      <w:sz w:val="24"/>
      <w:szCs w:val="20"/>
    </w:rPr>
  </w:style>
  <w:style w:type="character" w:customStyle="1" w:styleId="TelobesedilaZnak">
    <w:name w:val="Telo besedila Znak"/>
    <w:basedOn w:val="Privzetapisavaodstavka"/>
    <w:link w:val="Telobesedila"/>
    <w:rsid w:val="00112E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 Dolinšek</dc:creator>
  <cp:keywords/>
  <dc:description/>
  <cp:lastModifiedBy>Janez Klemenc</cp:lastModifiedBy>
  <cp:revision>9</cp:revision>
  <dcterms:created xsi:type="dcterms:W3CDTF">2021-08-30T07:19:00Z</dcterms:created>
  <dcterms:modified xsi:type="dcterms:W3CDTF">2024-10-02T09:14:00Z</dcterms:modified>
</cp:coreProperties>
</file>