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18B6EBAE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D330FB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1</w:t>
      </w:r>
      <w:r w:rsidR="007F1C9C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2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78641C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4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13B69164" w14:textId="154F9B7A" w:rsidR="004B5615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84640639" w:history="1">
        <w:r w:rsidR="004B5615" w:rsidRPr="0018776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4B5615" w:rsidRPr="0018776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_Toc184640639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2</w:t>
        </w:r>
        <w:r w:rsidR="004B5615">
          <w:rPr>
            <w:noProof/>
            <w:webHidden/>
          </w:rPr>
          <w:fldChar w:fldCharType="end"/>
        </w:r>
      </w:hyperlink>
    </w:p>
    <w:p w14:paraId="5DF46532" w14:textId="1222CFD6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0" w:history="1">
        <w:r w:rsidR="004B5615" w:rsidRPr="0018776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="004B5615" w:rsidRPr="0018776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_Toc184640640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7</w:t>
        </w:r>
        <w:r w:rsidR="004B5615">
          <w:rPr>
            <w:noProof/>
            <w:webHidden/>
          </w:rPr>
          <w:fldChar w:fldCharType="end"/>
        </w:r>
      </w:hyperlink>
    </w:p>
    <w:p w14:paraId="03DB0E07" w14:textId="006811E6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1" w:history="1">
        <w:r w:rsidR="004B5615" w:rsidRPr="0018776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="004B5615" w:rsidRPr="0018776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_Toc184640641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8</w:t>
        </w:r>
        <w:r w:rsidR="004B5615">
          <w:rPr>
            <w:noProof/>
            <w:webHidden/>
          </w:rPr>
          <w:fldChar w:fldCharType="end"/>
        </w:r>
      </w:hyperlink>
    </w:p>
    <w:p w14:paraId="05B5D460" w14:textId="6209A954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2" w:history="1">
        <w:r w:rsidR="004B5615" w:rsidRPr="0018776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="004B5615" w:rsidRPr="0018776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30. 11. 2024), EUR millions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_Toc184640642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9</w:t>
        </w:r>
        <w:r w:rsidR="004B5615">
          <w:rPr>
            <w:noProof/>
            <w:webHidden/>
          </w:rPr>
          <w:fldChar w:fldCharType="end"/>
        </w:r>
      </w:hyperlink>
    </w:p>
    <w:p w14:paraId="10BF004E" w14:textId="2BA11256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38CC0A8E" w14:textId="530238F5" w:rsidR="004B5615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84640643" w:history="1">
        <w:r w:rsidR="004B5615" w:rsidRPr="004565F3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_Toc184640643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2</w:t>
        </w:r>
        <w:r w:rsidR="004B5615">
          <w:rPr>
            <w:noProof/>
            <w:webHidden/>
          </w:rPr>
          <w:fldChar w:fldCharType="end"/>
        </w:r>
      </w:hyperlink>
    </w:p>
    <w:p w14:paraId="06BDAC33" w14:textId="336657AB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4" w:history="1">
        <w:r w:rsidR="004B5615" w:rsidRPr="004565F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="004B5615" w:rsidRPr="004565F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_Toc184640644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3</w:t>
        </w:r>
        <w:r w:rsidR="004B5615">
          <w:rPr>
            <w:noProof/>
            <w:webHidden/>
          </w:rPr>
          <w:fldChar w:fldCharType="end"/>
        </w:r>
      </w:hyperlink>
    </w:p>
    <w:p w14:paraId="3583E65D" w14:textId="492BA4E9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5" w:history="1">
        <w:r w:rsidR="004B5615" w:rsidRPr="004565F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="004B5615" w:rsidRPr="004565F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_Toc184640645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5</w:t>
        </w:r>
        <w:r w:rsidR="004B5615">
          <w:rPr>
            <w:noProof/>
            <w:webHidden/>
          </w:rPr>
          <w:fldChar w:fldCharType="end"/>
        </w:r>
      </w:hyperlink>
    </w:p>
    <w:p w14:paraId="20293C5A" w14:textId="6A153E7A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6" w:history="1">
        <w:r w:rsidR="004B5615" w:rsidRPr="004565F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="004B5615" w:rsidRPr="004565F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_Toc184640646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6</w:t>
        </w:r>
        <w:r w:rsidR="004B5615">
          <w:rPr>
            <w:noProof/>
            <w:webHidden/>
          </w:rPr>
          <w:fldChar w:fldCharType="end"/>
        </w:r>
      </w:hyperlink>
    </w:p>
    <w:p w14:paraId="68FD15DF" w14:textId="46EDAA48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7" w:history="1">
        <w:r w:rsidR="004B5615" w:rsidRPr="004565F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="004B5615" w:rsidRPr="004565F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_Toc184640647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7</w:t>
        </w:r>
        <w:r w:rsidR="004B5615">
          <w:rPr>
            <w:noProof/>
            <w:webHidden/>
          </w:rPr>
          <w:fldChar w:fldCharType="end"/>
        </w:r>
      </w:hyperlink>
    </w:p>
    <w:p w14:paraId="503CE94C" w14:textId="2F04810E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8" w:history="1">
        <w:r w:rsidR="004B5615" w:rsidRPr="004565F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="004B5615" w:rsidRPr="004565F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_Toc184640648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8</w:t>
        </w:r>
        <w:r w:rsidR="004B5615">
          <w:rPr>
            <w:noProof/>
            <w:webHidden/>
          </w:rPr>
          <w:fldChar w:fldCharType="end"/>
        </w:r>
      </w:hyperlink>
    </w:p>
    <w:p w14:paraId="4BCEE7EB" w14:textId="0249E7A2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49" w:history="1">
        <w:r w:rsidR="004B5615" w:rsidRPr="004565F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="004B5615" w:rsidRPr="004565F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30. 11. 2024), EUR millions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_Toc184640649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9</w:t>
        </w:r>
        <w:r w:rsidR="004B5615">
          <w:rPr>
            <w:noProof/>
            <w:webHidden/>
          </w:rPr>
          <w:fldChar w:fldCharType="end"/>
        </w:r>
      </w:hyperlink>
    </w:p>
    <w:p w14:paraId="5BA3FE02" w14:textId="3F565D39" w:rsidR="004B5615" w:rsidRDefault="006F6353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lang w:eastAsia="sl-SI"/>
          <w14:ligatures w14:val="standardContextual"/>
        </w:rPr>
      </w:pPr>
      <w:hyperlink w:anchor="_Toc184640650" w:history="1">
        <w:r w:rsidR="004B5615" w:rsidRPr="004565F3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="004B5615" w:rsidRPr="004565F3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30. 11. 2024), in %</w:t>
        </w:r>
        <w:r w:rsidR="004B5615">
          <w:rPr>
            <w:noProof/>
            <w:webHidden/>
          </w:rPr>
          <w:tab/>
        </w:r>
        <w:r w:rsidR="004B5615">
          <w:rPr>
            <w:noProof/>
            <w:webHidden/>
          </w:rPr>
          <w:fldChar w:fldCharType="begin"/>
        </w:r>
        <w:r w:rsidR="004B5615">
          <w:rPr>
            <w:noProof/>
            <w:webHidden/>
          </w:rPr>
          <w:instrText xml:space="preserve"> PAGEREF _Toc184640650 \h </w:instrText>
        </w:r>
        <w:r w:rsidR="004B5615">
          <w:rPr>
            <w:noProof/>
            <w:webHidden/>
          </w:rPr>
        </w:r>
        <w:r w:rsidR="004B5615">
          <w:rPr>
            <w:noProof/>
            <w:webHidden/>
          </w:rPr>
          <w:fldChar w:fldCharType="separate"/>
        </w:r>
        <w:r w:rsidR="004B5615">
          <w:rPr>
            <w:noProof/>
            <w:webHidden/>
          </w:rPr>
          <w:t>10</w:t>
        </w:r>
        <w:r w:rsidR="004B5615">
          <w:rPr>
            <w:noProof/>
            <w:webHidden/>
          </w:rPr>
          <w:fldChar w:fldCharType="end"/>
        </w:r>
      </w:hyperlink>
    </w:p>
    <w:p w14:paraId="04892498" w14:textId="3D547230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2A6298C6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18464063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3467DF36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2ABC3DB4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184640643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</w:t>
            </w:r>
            <w:proofErr w:type="gramStart"/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</w:t>
            </w:r>
            <w:proofErr w:type="gramEnd"/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4D6" w14:textId="2414E9DA" w:rsidR="00AE1CD3" w:rsidRPr="00F53882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7F1C9C">
              <w:rPr>
                <w:rFonts w:ascii="Book Antiqua" w:hAnsi="Book Antiqua" w:cs="Arial"/>
                <w:sz w:val="16"/>
                <w:szCs w:val="16"/>
              </w:rPr>
              <w:t>0</w:t>
            </w:r>
            <w:r>
              <w:rPr>
                <w:rFonts w:ascii="Book Antiqua" w:hAnsi="Book Antiqua" w:cs="Arial"/>
                <w:sz w:val="16"/>
                <w:szCs w:val="16"/>
              </w:rPr>
              <w:t>. 1</w:t>
            </w:r>
            <w:r w:rsidR="007F1C9C">
              <w:rPr>
                <w:rFonts w:ascii="Book Antiqua" w:hAnsi="Book Antiqua" w:cs="Arial"/>
                <w:sz w:val="16"/>
                <w:szCs w:val="16"/>
              </w:rPr>
              <w:t>1</w:t>
            </w:r>
            <w:r>
              <w:rPr>
                <w:rFonts w:ascii="Book Antiqua" w:hAnsi="Book Antiqua" w:cs="Arial"/>
                <w:sz w:val="16"/>
                <w:szCs w:val="16"/>
              </w:rPr>
              <w:t>. 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B67C" w14:textId="391BF6B1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7F1C9C">
              <w:rPr>
                <w:rFonts w:ascii="Book Antiqua" w:hAnsi="Book Antiqua" w:cs="Arial"/>
                <w:sz w:val="16"/>
                <w:szCs w:val="16"/>
              </w:rPr>
              <w:t>302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B58" w14:textId="2121E093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61,8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4937BCA4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184640644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Other domestic </w:t>
            </w:r>
            <w:proofErr w:type="gramStart"/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</w:t>
            </w:r>
            <w:proofErr w:type="gramEnd"/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F3E0F8B" w14:textId="77777777" w:rsidTr="00A23020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24E999" w14:textId="74AE52E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D22471C" w14:textId="71BA5A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16.703.175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0EBD50" w14:textId="7D292B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13.921.917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B816C1F" w14:textId="0840D8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1DB4BC" w14:textId="0CD6F6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29.332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51AB511C" w14:textId="60C0D1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537D95" w14:textId="55804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020591E0" w14:textId="4E39EFE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2ABA0290" w14:textId="7147F76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13.109.167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010D08" w14:textId="142344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623.408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5DB7A8" w14:textId="58E945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12.485.759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25B9A5F" w14:textId="4FCB33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00F807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AE729F4" w14:textId="19968E1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414331" w14:textId="45B624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19.361.173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BB8890" w14:textId="38AB66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13.895.324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872ED61" w14:textId="532E5A4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097FC0" w14:textId="0926D0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76B69A" w14:textId="5088F2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699.240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480138" w14:textId="0E7D61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699.240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163A1EE" w14:textId="2518C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47E02F" w14:textId="1CF89325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13.166.818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7031CF" w14:textId="169A3B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496.880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13397A9" w14:textId="677AEF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12.669.938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34DF07B" w14:textId="18E686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6D260E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C03C24" w14:textId="0C927B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2D0309B" w14:textId="29A2E3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19.367.622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E58A25" w14:textId="6B9E4C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13.754.512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BF16D21" w14:textId="19C173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F473F6" w14:textId="0322FE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29.116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8119090" w14:textId="7ADA39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E3C93E" w14:textId="01E033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1AC1CB4" w14:textId="49DF25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2D5DC50" w14:textId="7CDD268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13.060.334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71C85F" w14:textId="683D36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391.638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20C026" w14:textId="561368E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12.668.696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4785144" w14:textId="1A27D7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2AFBC553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4B5615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4B5615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4B5615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4B5615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5A017EDF" w14:textId="77777777" w:rsidTr="00A23020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BB9347" w14:textId="73D0E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DED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2.781.258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5EFD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34.229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21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1096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667E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6793AA4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6D0469" w14:textId="52811A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4EE9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5.465.849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737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32.092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3D0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CEF86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8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5.413.644</w:t>
            </w:r>
          </w:p>
        </w:tc>
      </w:tr>
      <w:tr w:rsidR="00DC3FEF" w:rsidRPr="003C5485" w14:paraId="69490FE7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F73FE7" w14:textId="260078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65B5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5.613.109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560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179.353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D9C5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98321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ABD6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5.413.644</w:t>
            </w:r>
          </w:p>
        </w:tc>
      </w:tr>
      <w:tr w:rsidR="00DC3FEF" w:rsidRPr="003C5485" w14:paraId="32BF92B8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3F140E1A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184640645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8"/>
        <w:gridCol w:w="985"/>
        <w:gridCol w:w="1126"/>
        <w:gridCol w:w="1144"/>
        <w:gridCol w:w="1457"/>
        <w:gridCol w:w="1545"/>
        <w:gridCol w:w="1238"/>
        <w:gridCol w:w="1405"/>
      </w:tblGrid>
      <w:tr w:rsidR="0038682E" w:rsidRPr="003C5485" w14:paraId="6442705A" w14:textId="77777777" w:rsidTr="0075169E">
        <w:trPr>
          <w:trHeight w:val="195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75169E">
        <w:trPr>
          <w:trHeight w:val="20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6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0AB8CB4" w14:textId="77777777" w:rsidTr="0075169E">
        <w:trPr>
          <w:trHeight w:val="207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7F2CC5A" w14:textId="151A08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63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16.703.175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1AB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13.921.917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497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367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13.138.500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836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2.781.258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6FAA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54.341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E05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52A57B9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41AF88" w14:textId="31A68F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F7BB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19.361.173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E45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13.895.324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2E0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699.240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878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13.196.085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8D8E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5.465.849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9715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52.204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2575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5.413.644</w:t>
            </w:r>
          </w:p>
        </w:tc>
      </w:tr>
      <w:tr w:rsidR="00DC3FEF" w:rsidRPr="003C5485" w14:paraId="0AE89E60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741E63" w14:textId="787617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BE8F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19.367.622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831D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13.754.512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0207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E4E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13.089.450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B66C6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5.613.109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E626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199.465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6E4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5.413.644</w:t>
            </w:r>
          </w:p>
        </w:tc>
      </w:tr>
      <w:tr w:rsidR="00DC3FEF" w:rsidRPr="003C5485" w14:paraId="1C708FF4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6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75169E">
        <w:trPr>
          <w:trHeight w:val="207"/>
        </w:trPr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0E0EA9F0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184640646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6FDC51A0" w14:textId="77777777" w:rsidTr="00A23020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7CE78C" w14:textId="58F843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BC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16.703.175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2C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13.921.917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D635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623.408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BEF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13.298.508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1DA0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2.781.258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990A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2CB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2.781.258</w:t>
            </w:r>
          </w:p>
        </w:tc>
      </w:tr>
      <w:tr w:rsidR="00DC3FEF" w:rsidRPr="003C5485" w14:paraId="1E7A4BF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2346C45" w14:textId="4C60C7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A8A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19.361.173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8DE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13.895.324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ED7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496.880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9B6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13.398.444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723B52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5.465.849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EA0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A52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5.465.849</w:t>
            </w:r>
          </w:p>
        </w:tc>
      </w:tr>
      <w:tr w:rsidR="00DC3FEF" w:rsidRPr="003C5485" w14:paraId="5DD54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C1F2CA" w14:textId="0BC908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8C0C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19.367.622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A5A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13.754.512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DE8E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391.638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09B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13.362.875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67D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5.613.109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D6C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A8C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5.613.109</w:t>
            </w:r>
          </w:p>
        </w:tc>
      </w:tr>
      <w:tr w:rsidR="00DC3FEF" w:rsidRPr="003C5485" w14:paraId="359BE29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</w:tbl>
    <w:p w14:paraId="5BB26E9C" w14:textId="575DF715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184640640"/>
      <w:bookmarkStart w:id="7" w:name="_Toc50446853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6"/>
    </w:p>
    <w:bookmarkEnd w:id="7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29EBD87F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702CF260" w:rsidR="00D05C75" w:rsidRPr="00D05C75" w:rsidRDefault="00D05C75" w:rsidP="00D05C7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rates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</w:t>
      </w:r>
      <w:proofErr w:type="gramStart"/>
      <w:r w:rsidRPr="00D05C75">
        <w:rPr>
          <w:rFonts w:ascii="Book Antiqua" w:hAnsi="Book Antiqua" w:cs="Arial"/>
          <w:sz w:val="20"/>
          <w:szCs w:val="20"/>
          <w:lang w:val="en-US"/>
        </w:rPr>
        <w:t>take into account</w:t>
      </w:r>
      <w:proofErr w:type="gram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interest</w:t>
      </w:r>
      <w:proofErr w:type="spellEnd"/>
      <w:r w:rsidRPr="00D05C75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D05C75">
        <w:rPr>
          <w:rFonts w:ascii="Book Antiqua" w:hAnsi="Book Antiqua" w:cs="Arial"/>
          <w:sz w:val="20"/>
          <w:szCs w:val="20"/>
        </w:rPr>
        <w:t>rate</w:t>
      </w:r>
      <w:proofErr w:type="spellEnd"/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0F5E6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0F5E6C">
        <w:rPr>
          <w:rFonts w:ascii="Book Antiqua" w:hAnsi="Book Antiqua" w:cs="Arial"/>
          <w:sz w:val="20"/>
          <w:szCs w:val="20"/>
        </w:rPr>
        <w:t>and</w:t>
      </w:r>
      <w:proofErr w:type="spellEnd"/>
      <w:r w:rsidR="000F5E6C">
        <w:rPr>
          <w:rFonts w:ascii="Book Antiqua" w:hAnsi="Book Antiqua" w:cs="Arial"/>
          <w:sz w:val="20"/>
          <w:szCs w:val="20"/>
        </w:rPr>
        <w:t xml:space="preserve">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2024.</w:t>
      </w:r>
      <w:r w:rsidR="00314FBC">
        <w:rPr>
          <w:rFonts w:ascii="Book Antiqua" w:hAnsi="Book Antiqua" w:cs="Arial"/>
          <w:sz w:val="20"/>
          <w:szCs w:val="20"/>
        </w:rPr>
        <w:t xml:space="preserve"> Sum </w:t>
      </w:r>
      <w:proofErr w:type="spellStart"/>
      <w:r w:rsidR="00314FBC">
        <w:rPr>
          <w:rFonts w:ascii="Book Antiqua" w:hAnsi="Book Antiqua" w:cs="Arial"/>
          <w:sz w:val="20"/>
          <w:szCs w:val="20"/>
        </w:rPr>
        <w:t>can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differ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314FBC">
        <w:rPr>
          <w:rFonts w:ascii="Book Antiqua" w:hAnsi="Book Antiqua" w:cs="Arial"/>
          <w:sz w:val="20"/>
          <w:szCs w:val="20"/>
        </w:rPr>
        <w:t>from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100 % </w:t>
      </w:r>
      <w:proofErr w:type="spellStart"/>
      <w:r w:rsidR="00314FBC">
        <w:rPr>
          <w:rFonts w:ascii="Book Antiqua" w:hAnsi="Book Antiqua" w:cs="Arial"/>
          <w:sz w:val="20"/>
          <w:szCs w:val="20"/>
        </w:rPr>
        <w:t>due</w:t>
      </w:r>
      <w:proofErr w:type="spellEnd"/>
      <w:r w:rsidR="00314FBC">
        <w:rPr>
          <w:rFonts w:ascii="Book Antiqua" w:hAnsi="Book Antiqua" w:cs="Arial"/>
          <w:sz w:val="20"/>
          <w:szCs w:val="20"/>
        </w:rPr>
        <w:t xml:space="preserve"> to </w:t>
      </w:r>
      <w:proofErr w:type="spellStart"/>
      <w:r w:rsidR="00314FBC">
        <w:rPr>
          <w:rFonts w:ascii="Book Antiqua" w:hAnsi="Book Antiqua" w:cs="Arial"/>
          <w:sz w:val="20"/>
          <w:szCs w:val="20"/>
        </w:rPr>
        <w:t>rounding</w:t>
      </w:r>
      <w:proofErr w:type="spellEnd"/>
      <w:r w:rsidR="00314FBC">
        <w:rPr>
          <w:rFonts w:ascii="Book Antiqua" w:hAnsi="Book Antiqua" w:cs="Arial"/>
          <w:sz w:val="20"/>
          <w:szCs w:val="20"/>
        </w:rPr>
        <w:t>.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048D776F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184640647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2E0CB2BD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350DB8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 xml:space="preserve">. 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 w:rsidR="00350DB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. 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459CC2E2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184640641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0C6B3FF4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38C6B137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184640648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B80791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B80791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B80791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3D14A3D7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30. 11. 2024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751A2E9B" w14:textId="457A0D43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6F635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4924FF" w14:textId="6708F882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28,4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D3230" w14:textId="757A8FE1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62,1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1DFB917E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184640642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4B5615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4B5615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98306E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6926F7CE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737C2F67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184640649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4B5615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4B5615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E2D1D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4B5615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3ECB0F25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58D70B0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1.078,3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245A379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49AACF0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351,4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47B8E79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07219BC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64C55E9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323,0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65AEB0F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585,6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31D3321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557,2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2EB76AE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28,4</w:t>
            </w:r>
          </w:p>
        </w:tc>
      </w:tr>
      <w:tr w:rsidR="004B5615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534EBDF2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 xml:space="preserve">4 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1011BAE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241,8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5317BD7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39E579C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1ACBBAB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0FD790D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1D1CB39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75C5148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2DBD98E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5FF8F7F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1,7</w:t>
            </w:r>
          </w:p>
        </w:tc>
      </w:tr>
      <w:tr w:rsidR="004B5615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38531609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3C76E3F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1.731,7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2ADEBD4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1.511,4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35F34AD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220,3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7C9AD68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1.705,4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3FFFF2F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1.506,1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09AC2BC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199,3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7DEBF5B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434ADBD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1E64D60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21,0</w:t>
            </w:r>
          </w:p>
        </w:tc>
      </w:tr>
      <w:tr w:rsidR="004B5615" w:rsidRPr="003C5485" w14:paraId="42EA5986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02FB6B3B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59C056F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1A5526F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2E3A4E9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6AAE76C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4BA8404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511F38C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61522FA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25BCCF8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3CBC807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</w:t>
            </w:r>
          </w:p>
        </w:tc>
      </w:tr>
      <w:tr w:rsidR="004B5615" w:rsidRPr="003C5485" w14:paraId="73026F69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6E5527C8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68DBB68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3.211,6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3962F0B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2.454,2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0D6FCC9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757,4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72F4B25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2.575,5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2F6EBDA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1.873,7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1368796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701,8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60103B0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636,1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5222331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580,6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2B94089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55,6</w:t>
            </w:r>
          </w:p>
        </w:tc>
      </w:tr>
      <w:tr w:rsidR="004B5615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03F573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3A05F64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46D650B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565F98F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770,8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4CD95FB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3.154,0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237D5C8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697C3E3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701,3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4DC0D73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70846AD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3C96DE7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69,5</w:t>
            </w:r>
          </w:p>
        </w:tc>
      </w:tr>
      <w:tr w:rsidR="004B5615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2E62158E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47F76E7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3.291,4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2A83826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2.595,4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10E65CF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6E59B99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3.201,9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35E0459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2.572,0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1B32FA8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629,9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66FC0D2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53B31A4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253AF10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4B5615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04885CD2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331DD70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4.280,8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18EC93C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3.664,5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3CC7474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6CB6BED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3.911,8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349D9C3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3.361,0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358CAD4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47B5FAA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242E2C2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6D4D1EF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4B5615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66D3748A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77B76B7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3.449,8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2144E9E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2.893,4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42AF617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556,4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58C48C8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2.849,8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22544EB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448CDAC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499,8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479A6DE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75E9D7C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09B891D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4B5615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562834B6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5784A1C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3.036,3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1B1DB02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4000F02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5F0464B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2.776,3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50E490A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27EA78D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476,3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3F2F4A6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705E7A3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2EABB61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4B5615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58E2F873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6E2FD12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3.399,9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7F14C5A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2E4FC07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497,8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2B7A08C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3.326,5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20602E2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527C27F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447,8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0FBA34E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2AAADB9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68A21D3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4B5615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53652B10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0F0DD1A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3.852,4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045855D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1B9B31D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6AF42A2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3.779,5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6C84B4A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25B8A96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1DA1EA3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7C1605E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1714F64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4B5615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76B2963F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09C609D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4.348,9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18D7FBA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3.904,3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5FCFA11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444,6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78D7D22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4.276,4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0538B98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3.880,9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7368788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395,5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2AD3A64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21A222F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062B6D4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4B5615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3A272BCC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181242B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2.562,4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26EB8C9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2D8933B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063A711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1.558,2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58355F1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7A82AEC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6A8A863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5E90C1C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447F38D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4B5615" w:rsidRPr="003C5485" w14:paraId="2DBFB48C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10A72880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23186B3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3.142,6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79D8911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13797D4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276,5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4AAEFB1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48D0447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1DB74A3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4975387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17FC987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316331D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4BACBF0A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184640650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4B5615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376667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4B5615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D63250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4B5615">
        <w:rPr>
          <w:rFonts w:ascii="Book Antiqua" w:hAnsi="Book Antiqua" w:cs="Arial"/>
          <w:bCs/>
          <w:sz w:val="20"/>
          <w:szCs w:val="20"/>
          <w:lang w:val="en-US"/>
        </w:rPr>
        <w:t>1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E2D1D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4B5615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12942B7E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57B440C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7441605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23,35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1C6B088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245FB4E2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679EE04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63A7F7B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5CF841E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70CEAB7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7,40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459FEA6B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0CD69F1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0,09</w:t>
            </w:r>
          </w:p>
        </w:tc>
      </w:tr>
      <w:tr w:rsidR="004B5615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34D94BE3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562734F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2484687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5F2774C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48EE0EB5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5C906F6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2A2DB3F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4B1C467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038362D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242C4DFC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0A4C553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0,32</w:t>
            </w:r>
          </w:p>
        </w:tc>
      </w:tr>
      <w:tr w:rsidR="004B5615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50CBC279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032B38E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47F9B51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42E6F51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5F99CA50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74E3102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3BBB84F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322D68B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6B4A132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726857F9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39D91FB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0,14</w:t>
            </w:r>
          </w:p>
        </w:tc>
      </w:tr>
      <w:tr w:rsidR="004B5615" w:rsidRPr="003C5485" w14:paraId="0974697C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2A4E6B82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26A3A8C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532810E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76CCADC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270ACEB6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3CAF1AB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2095B48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5488874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56FDF3A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26872D20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2D1C1B8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4B5615" w:rsidRPr="003C5485" w14:paraId="54B695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318A9E0B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1EA6C50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13B764B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77,30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1B0551B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22,70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18C74B44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65741D9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560D143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5685312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94,12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2D51AAC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22EF4424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6F77B3B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</w:tr>
      <w:tr w:rsidR="004B5615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315D3BBB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5706ECE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6D58293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3636B9A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12C0AFA8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22C7521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7C5A6FF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2E41051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164BA3E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61CAF12D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46FA9D9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4B5615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3D4AB24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3788F8D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4E061C2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702392F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1D80F7E9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3B6DF26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6E857B4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32F8D85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3B93518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56F334A9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441638A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4B5615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5C977090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31C339F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765A5EA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44D1372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62AF7271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7380F0A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7C1E2C4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6D45678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2DD3CC5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3AF579F2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1229AA3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0,19</w:t>
            </w:r>
          </w:p>
        </w:tc>
      </w:tr>
      <w:tr w:rsidR="004B5615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2573B957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16E44D6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0ADA66A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005BB39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5A1E548C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4E36574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509EF79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4E8880C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515F0FD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0B1A780D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6437958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0,22</w:t>
            </w:r>
          </w:p>
        </w:tc>
      </w:tr>
      <w:tr w:rsidR="004B5615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259DCDA5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5FCDE2D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166DC48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6CD85F6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3C780EE1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7210173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51F01D9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57169CE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2C7DB81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71BEB817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41CCCDA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4B5615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7CA63839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7C844D5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33D8FA9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0A9B624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432F48DC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2A94E31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66D26104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5C5BE1F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03E2727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694AC97B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73FD175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4B5615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00143085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564CDBD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3350C02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5AEF9C0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067E04BD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2F40B13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54C1A140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68517DF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3577D60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3E38FAFF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0115629C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4B5615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1474D316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1404911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05EDEBA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55522A3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228C36A1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5E31D2E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5610C57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2318D7DA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09C25442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18BCD52E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1BAAE813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4B5615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0F655772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40D872A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04EC4ED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319430C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21358C11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44EECAA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1611CAE1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0C6337D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2DB9F009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9,72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463E4EC3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0DEACBED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4B5615" w:rsidRPr="003C5485" w14:paraId="13A429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32D3041C" w:rsidR="004B5615" w:rsidRPr="003C5485" w:rsidRDefault="004B5615" w:rsidP="004B561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5CB60655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6AE1EC8B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43745836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0E8C594E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00D4E9EE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58C33738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767121B7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1D41C28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4F353D5E" w:rsidR="004B5615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73B905AF" w:rsidR="004B5615" w:rsidRPr="00350DD3" w:rsidRDefault="004B5615" w:rsidP="004B5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216E7130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023696CE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IMAD Autumn Forecast 2024, SORS August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6.8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6BB6"/>
    <w:rsid w:val="0003077F"/>
    <w:rsid w:val="00031F20"/>
    <w:rsid w:val="00034493"/>
    <w:rsid w:val="000406DD"/>
    <w:rsid w:val="0004108C"/>
    <w:rsid w:val="000412DC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4D69"/>
    <w:rsid w:val="00070B43"/>
    <w:rsid w:val="000715E6"/>
    <w:rsid w:val="00071B08"/>
    <w:rsid w:val="000720B0"/>
    <w:rsid w:val="00072AC9"/>
    <w:rsid w:val="000807F3"/>
    <w:rsid w:val="00081AA4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2103"/>
    <w:rsid w:val="00123C94"/>
    <w:rsid w:val="0012423E"/>
    <w:rsid w:val="00124960"/>
    <w:rsid w:val="0012692E"/>
    <w:rsid w:val="00127204"/>
    <w:rsid w:val="001272BC"/>
    <w:rsid w:val="00132D07"/>
    <w:rsid w:val="0013346A"/>
    <w:rsid w:val="00133C43"/>
    <w:rsid w:val="00137DF4"/>
    <w:rsid w:val="00142077"/>
    <w:rsid w:val="00142475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2190"/>
    <w:rsid w:val="0026277A"/>
    <w:rsid w:val="00262A21"/>
    <w:rsid w:val="00263FEE"/>
    <w:rsid w:val="00265320"/>
    <w:rsid w:val="00265AB5"/>
    <w:rsid w:val="00265C2E"/>
    <w:rsid w:val="00266317"/>
    <w:rsid w:val="0026686A"/>
    <w:rsid w:val="00266FFE"/>
    <w:rsid w:val="00271263"/>
    <w:rsid w:val="002720BD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385A"/>
    <w:rsid w:val="0050752C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30568"/>
    <w:rsid w:val="005320FB"/>
    <w:rsid w:val="00535900"/>
    <w:rsid w:val="00536489"/>
    <w:rsid w:val="0054114E"/>
    <w:rsid w:val="00541609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69FE"/>
    <w:rsid w:val="005A045A"/>
    <w:rsid w:val="005A1C54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7A4"/>
    <w:rsid w:val="005C09A9"/>
    <w:rsid w:val="005C17F2"/>
    <w:rsid w:val="005C24B6"/>
    <w:rsid w:val="005C2ADC"/>
    <w:rsid w:val="005C3D12"/>
    <w:rsid w:val="005C4A10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4BDE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6535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3D90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9F9"/>
    <w:rsid w:val="00A53009"/>
    <w:rsid w:val="00A54660"/>
    <w:rsid w:val="00A561DE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238E"/>
    <w:rsid w:val="00AA3BCE"/>
    <w:rsid w:val="00AA3D58"/>
    <w:rsid w:val="00AA4CC2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30BC7"/>
    <w:rsid w:val="00C3199D"/>
    <w:rsid w:val="00C34BE7"/>
    <w:rsid w:val="00C35D9D"/>
    <w:rsid w:val="00C367AC"/>
    <w:rsid w:val="00C36BB6"/>
    <w:rsid w:val="00C36D20"/>
    <w:rsid w:val="00C37E01"/>
    <w:rsid w:val="00C40C5A"/>
    <w:rsid w:val="00C427D8"/>
    <w:rsid w:val="00C43D5B"/>
    <w:rsid w:val="00C44D1D"/>
    <w:rsid w:val="00C4611D"/>
    <w:rsid w:val="00C46471"/>
    <w:rsid w:val="00C4702C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7A8"/>
    <w:rsid w:val="00CD420A"/>
    <w:rsid w:val="00CD47E7"/>
    <w:rsid w:val="00CD54B6"/>
    <w:rsid w:val="00CD5519"/>
    <w:rsid w:val="00CE0BDB"/>
    <w:rsid w:val="00CE148E"/>
    <w:rsid w:val="00CE19A6"/>
    <w:rsid w:val="00CE26F2"/>
    <w:rsid w:val="00CE3AA9"/>
    <w:rsid w:val="00CE638B"/>
    <w:rsid w:val="00CF11E5"/>
    <w:rsid w:val="00CF157B"/>
    <w:rsid w:val="00CF2D83"/>
    <w:rsid w:val="00CF3847"/>
    <w:rsid w:val="00CF3E8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7D24"/>
    <w:rsid w:val="00D21431"/>
    <w:rsid w:val="00D23563"/>
    <w:rsid w:val="00D235CD"/>
    <w:rsid w:val="00D27999"/>
    <w:rsid w:val="00D30AE8"/>
    <w:rsid w:val="00D31146"/>
    <w:rsid w:val="00D31832"/>
    <w:rsid w:val="00D32C5E"/>
    <w:rsid w:val="00D330FB"/>
    <w:rsid w:val="00D34584"/>
    <w:rsid w:val="00D34D50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E80"/>
    <w:rsid w:val="00DD6156"/>
    <w:rsid w:val="00DE49D3"/>
    <w:rsid w:val="00DE4D47"/>
    <w:rsid w:val="00DE77C9"/>
    <w:rsid w:val="00DE781A"/>
    <w:rsid w:val="00DE7999"/>
    <w:rsid w:val="00DF092B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418BB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D56"/>
    <w:rsid w:val="00F03228"/>
    <w:rsid w:val="00F048AB"/>
    <w:rsid w:val="00F04A51"/>
    <w:rsid w:val="00F0541E"/>
    <w:rsid w:val="00F05A55"/>
    <w:rsid w:val="00F101B8"/>
    <w:rsid w:val="00F11FF3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7F60"/>
    <w:rsid w:val="00F725AE"/>
    <w:rsid w:val="00F74001"/>
    <w:rsid w:val="00F750C7"/>
    <w:rsid w:val="00F7631F"/>
    <w:rsid w:val="00F7742A"/>
    <w:rsid w:val="00F7790D"/>
    <w:rsid w:val="00F77C05"/>
    <w:rsid w:val="00F82AAE"/>
    <w:rsid w:val="00F84989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527A"/>
    <w:rsid w:val="00FE03A6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21995.515698710005</c:v>
                </c:pt>
                <c:pt idx="1">
                  <c:v>26015.11037735</c:v>
                </c:pt>
                <c:pt idx="2">
                  <c:v>27279.078930480013</c:v>
                </c:pt>
                <c:pt idx="3">
                  <c:v>27129.007711599999</c:v>
                </c:pt>
                <c:pt idx="4">
                  <c:v>28739.723633995702</c:v>
                </c:pt>
                <c:pt idx="5">
                  <c:v>29180.991442140999</c:v>
                </c:pt>
                <c:pt idx="6">
                  <c:v>28560.185428984001</c:v>
                </c:pt>
                <c:pt idx="7">
                  <c:v>34319.441016589997</c:v>
                </c:pt>
                <c:pt idx="8">
                  <c:v>35874.122421346299</c:v>
                </c:pt>
                <c:pt idx="9">
                  <c:v>37844.872649340003</c:v>
                </c:pt>
                <c:pt idx="10">
                  <c:v>39827.45827884</c:v>
                </c:pt>
                <c:pt idx="11">
                  <c:v>41301.521490970001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4.0704916429523716E-2"/>
                  <c:y val="-4.5666435847830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000635346692270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18195900943025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61.029149298604381</c:v>
                </c:pt>
                <c:pt idx="1">
                  <c:v>69.799872225993397</c:v>
                </c:pt>
                <c:pt idx="2">
                  <c:v>70.865794488699578</c:v>
                </c:pt>
                <c:pt idx="3">
                  <c:v>67.80048412166046</c:v>
                </c:pt>
                <c:pt idx="4">
                  <c:v>67.424571575356481</c:v>
                </c:pt>
                <c:pt idx="5">
                  <c:v>64.187654397389025</c:v>
                </c:pt>
                <c:pt idx="6">
                  <c:v>59.307636491785033</c:v>
                </c:pt>
                <c:pt idx="7">
                  <c:v>73.427846159716708</c:v>
                </c:pt>
                <c:pt idx="8">
                  <c:v>68.958196223490191</c:v>
                </c:pt>
                <c:pt idx="9">
                  <c:v>66.500681174049802</c:v>
                </c:pt>
                <c:pt idx="10">
                  <c:v>62.278085219683824</c:v>
                </c:pt>
                <c:pt idx="11">
                  <c:v>61.811044000912915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1.2999999999999999E-3</c:v>
                </c:pt>
                <c:pt idx="1">
                  <c:v>1.0971744761402588E-3</c:v>
                </c:pt>
                <c:pt idx="2">
                  <c:v>1.1999999999999999E-3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3.0000000000000001E-3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0.96860000000000002</c:v>
                </c:pt>
                <c:pt idx="1">
                  <c:v>0.97634527843265351</c:v>
                </c:pt>
                <c:pt idx="2">
                  <c:v>0.98070000000000002</c:v>
                </c:pt>
                <c:pt idx="3">
                  <c:v>0.98666140000000002</c:v>
                </c:pt>
                <c:pt idx="4">
                  <c:v>0.98550000000000004</c:v>
                </c:pt>
                <c:pt idx="5">
                  <c:v>0.99</c:v>
                </c:pt>
                <c:pt idx="6">
                  <c:v>0.99099999999999999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0.99251511215468535</c:v>
                </c:pt>
                <c:pt idx="10">
                  <c:v>0.98399999999999999</c:v>
                </c:pt>
                <c:pt idx="11">
                  <c:v>0.98099999999999998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3.0099999999999998E-2</c:v>
                </c:pt>
                <c:pt idx="1">
                  <c:v>2.255754709120621E-2</c:v>
                </c:pt>
                <c:pt idx="2">
                  <c:v>1.7999999999999999E-2</c:v>
                </c:pt>
                <c:pt idx="3">
                  <c:v>1.3338600000000001E-2</c:v>
                </c:pt>
                <c:pt idx="4">
                  <c:v>1.4489999999999999E-2</c:v>
                </c:pt>
                <c:pt idx="5">
                  <c:v>0.01</c:v>
                </c:pt>
                <c:pt idx="6">
                  <c:v>8.9999999999999993E-3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7.4848878453146247E-3</c:v>
                </c:pt>
                <c:pt idx="10">
                  <c:v>1.2999999999999999E-2</c:v>
                </c:pt>
                <c:pt idx="11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20.100000000000001</c:v>
                </c:pt>
                <c:pt idx="1">
                  <c:v>26.8</c:v>
                </c:pt>
                <c:pt idx="2">
                  <c:v>25.6</c:v>
                </c:pt>
                <c:pt idx="3">
                  <c:v>18.399999999999999</c:v>
                </c:pt>
                <c:pt idx="4">
                  <c:v>12.2</c:v>
                </c:pt>
                <c:pt idx="5">
                  <c:v>8.1999999999999993</c:v>
                </c:pt>
                <c:pt idx="6">
                  <c:v>4.5</c:v>
                </c:pt>
                <c:pt idx="7" formatCode="0.0">
                  <c:v>3.7630557881047899</c:v>
                </c:pt>
                <c:pt idx="8" formatCode="0.0">
                  <c:v>3.6</c:v>
                </c:pt>
                <c:pt idx="9" formatCode="0.0">
                  <c:v>1.7</c:v>
                </c:pt>
                <c:pt idx="10" formatCode="0.0">
                  <c:v>3.7</c:v>
                </c:pt>
                <c:pt idx="11" formatCode="0.0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79.8</c:v>
                </c:pt>
                <c:pt idx="1">
                  <c:v>73</c:v>
                </c:pt>
                <c:pt idx="2">
                  <c:v>74.3</c:v>
                </c:pt>
                <c:pt idx="3">
                  <c:v>81.5</c:v>
                </c:pt>
                <c:pt idx="4">
                  <c:v>87.7</c:v>
                </c:pt>
                <c:pt idx="5">
                  <c:v>91.7</c:v>
                </c:pt>
                <c:pt idx="6">
                  <c:v>95.4</c:v>
                </c:pt>
                <c:pt idx="7" formatCode="0.0">
                  <c:v>96.148488146059705</c:v>
                </c:pt>
                <c:pt idx="8" formatCode="0.0">
                  <c:v>96.3</c:v>
                </c:pt>
                <c:pt idx="9" formatCode="0.0">
                  <c:v>98.2</c:v>
                </c:pt>
                <c:pt idx="10" formatCode="0.0">
                  <c:v>96.2</c:v>
                </c:pt>
                <c:pt idx="11" formatCode="0.0">
                  <c:v>96.9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1"/>
              <c:layout>
                <c:manualLayout>
                  <c:x val="4.6296296296294602E-3"/>
                  <c:y val="5.8114298212723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30.11. 2024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 formatCode="0.0">
                  <c:v>8.8456065835469597E-2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023009623797025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2575.5</c:v>
                </c:pt>
                <c:pt idx="1">
                  <c:v>3154</c:v>
                </c:pt>
                <c:pt idx="2">
                  <c:v>3201.9</c:v>
                </c:pt>
                <c:pt idx="3">
                  <c:v>3911.8</c:v>
                </c:pt>
                <c:pt idx="4">
                  <c:v>2849.8</c:v>
                </c:pt>
                <c:pt idx="5">
                  <c:v>2776.3</c:v>
                </c:pt>
                <c:pt idx="6">
                  <c:v>3326.5</c:v>
                </c:pt>
                <c:pt idx="7">
                  <c:v>3779.5</c:v>
                </c:pt>
                <c:pt idx="8">
                  <c:v>4276.3999999999996</c:v>
                </c:pt>
                <c:pt idx="9">
                  <c:v>1558.2</c:v>
                </c:pt>
                <c:pt idx="10">
                  <c:v>3112.9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636.1</c:v>
                </c:pt>
                <c:pt idx="1">
                  <c:v>292.89999999999998</c:v>
                </c:pt>
                <c:pt idx="2">
                  <c:v>89.4</c:v>
                </c:pt>
                <c:pt idx="3">
                  <c:v>369</c:v>
                </c:pt>
                <c:pt idx="4">
                  <c:v>600</c:v>
                </c:pt>
                <c:pt idx="5">
                  <c:v>260</c:v>
                </c:pt>
                <c:pt idx="6">
                  <c:v>73.400000000000006</c:v>
                </c:pt>
                <c:pt idx="7">
                  <c:v>72.900000000000006</c:v>
                </c:pt>
                <c:pt idx="8">
                  <c:v>72.5</c:v>
                </c:pt>
                <c:pt idx="9">
                  <c:v>1004.3</c:v>
                </c:pt>
                <c:pt idx="10">
                  <c:v>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10</Pages>
  <Words>4513</Words>
  <Characters>25725</Characters>
  <Application>Microsoft Office Word</Application>
  <DocSecurity>0</DocSecurity>
  <Lines>214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30178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Ivana Šprah</cp:lastModifiedBy>
  <cp:revision>439</cp:revision>
  <cp:lastPrinted>2020-09-23T10:43:00Z</cp:lastPrinted>
  <dcterms:created xsi:type="dcterms:W3CDTF">2021-02-25T10:56:00Z</dcterms:created>
  <dcterms:modified xsi:type="dcterms:W3CDTF">2024-12-12T05:57:00Z</dcterms:modified>
</cp:coreProperties>
</file>