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6B743" w14:textId="022565B3" w:rsidR="007D75CF" w:rsidRPr="00157CB6" w:rsidRDefault="007D75CF" w:rsidP="00AB16AE">
      <w:pPr>
        <w:pStyle w:val="datumtevilka"/>
        <w:jc w:val="both"/>
        <w:rPr>
          <w:rFonts w:cs="Arial"/>
        </w:rPr>
      </w:pPr>
      <w:r w:rsidRPr="00157CB6">
        <w:rPr>
          <w:rFonts w:cs="Arial"/>
        </w:rPr>
        <w:t xml:space="preserve">Številka: </w:t>
      </w:r>
      <w:r w:rsidRPr="00157CB6">
        <w:rPr>
          <w:rFonts w:cs="Arial"/>
        </w:rPr>
        <w:tab/>
      </w:r>
      <w:r w:rsidR="004100F3" w:rsidRPr="003B03A8">
        <w:rPr>
          <w:rFonts w:cs="Arial"/>
        </w:rPr>
        <w:t>3002-</w:t>
      </w:r>
      <w:r w:rsidR="00E20622">
        <w:rPr>
          <w:rFonts w:cs="Arial"/>
        </w:rPr>
        <w:t>2</w:t>
      </w:r>
      <w:r w:rsidR="00395A5E" w:rsidRPr="003B03A8">
        <w:rPr>
          <w:rFonts w:cs="Arial"/>
        </w:rPr>
        <w:t>/202</w:t>
      </w:r>
      <w:r w:rsidR="00B86808" w:rsidRPr="003B03A8">
        <w:rPr>
          <w:rFonts w:cs="Arial"/>
        </w:rPr>
        <w:t>4</w:t>
      </w:r>
      <w:r w:rsidR="00771846">
        <w:rPr>
          <w:rFonts w:cs="Arial"/>
        </w:rPr>
        <w:t>-</w:t>
      </w:r>
      <w:r w:rsidR="00E20622">
        <w:rPr>
          <w:rFonts w:cs="Arial"/>
        </w:rPr>
        <w:t>37</w:t>
      </w:r>
    </w:p>
    <w:p w14:paraId="410160D4" w14:textId="41FFDA75" w:rsidR="007D75CF" w:rsidRPr="00157CB6" w:rsidRDefault="00C250D5" w:rsidP="00E7772F">
      <w:pPr>
        <w:pStyle w:val="datumtevilka"/>
        <w:ind w:right="-7"/>
        <w:jc w:val="both"/>
        <w:rPr>
          <w:rFonts w:cs="Arial"/>
        </w:rPr>
      </w:pPr>
      <w:r w:rsidRPr="00157CB6">
        <w:rPr>
          <w:rFonts w:cs="Arial"/>
        </w:rPr>
        <w:t xml:space="preserve">Datum: </w:t>
      </w:r>
      <w:r w:rsidRPr="00157CB6">
        <w:rPr>
          <w:rFonts w:cs="Arial"/>
        </w:rPr>
        <w:tab/>
      </w:r>
      <w:r w:rsidR="00CE6A11">
        <w:rPr>
          <w:rFonts w:cs="Arial"/>
        </w:rPr>
        <w:t>1</w:t>
      </w:r>
      <w:r w:rsidR="00611371">
        <w:rPr>
          <w:rFonts w:cs="Arial"/>
        </w:rPr>
        <w:t>8</w:t>
      </w:r>
      <w:r w:rsidR="00EF2F99" w:rsidRPr="00157CB6">
        <w:rPr>
          <w:rFonts w:cs="Arial"/>
        </w:rPr>
        <w:t>.</w:t>
      </w:r>
      <w:r w:rsidR="00CF74A5" w:rsidRPr="00157CB6">
        <w:rPr>
          <w:rFonts w:cs="Arial"/>
        </w:rPr>
        <w:t xml:space="preserve"> </w:t>
      </w:r>
      <w:r w:rsidR="00FC42CC">
        <w:rPr>
          <w:rFonts w:cs="Arial"/>
        </w:rPr>
        <w:t>10</w:t>
      </w:r>
      <w:r w:rsidR="004100F3" w:rsidRPr="00157CB6">
        <w:rPr>
          <w:rFonts w:cs="Arial"/>
        </w:rPr>
        <w:t>.</w:t>
      </w:r>
      <w:r w:rsidR="00025123" w:rsidRPr="00157CB6">
        <w:rPr>
          <w:rFonts w:cs="Arial"/>
        </w:rPr>
        <w:t xml:space="preserve"> </w:t>
      </w:r>
      <w:r w:rsidR="00157CB6">
        <w:rPr>
          <w:rFonts w:cs="Arial"/>
        </w:rPr>
        <w:t>202</w:t>
      </w:r>
      <w:r w:rsidR="00B86808">
        <w:rPr>
          <w:rFonts w:cs="Arial"/>
        </w:rPr>
        <w:t>4</w:t>
      </w:r>
    </w:p>
    <w:p w14:paraId="6CEC7689" w14:textId="77777777" w:rsidR="004100F3" w:rsidRPr="00157CB6" w:rsidRDefault="004100F3" w:rsidP="00AB16AE">
      <w:pPr>
        <w:pStyle w:val="Telobesedila"/>
        <w:jc w:val="both"/>
        <w:rPr>
          <w:rFonts w:ascii="Arial" w:hAnsi="Arial" w:cs="Arial"/>
          <w:sz w:val="20"/>
          <w:szCs w:val="20"/>
        </w:rPr>
      </w:pPr>
    </w:p>
    <w:p w14:paraId="468C5796" w14:textId="77777777" w:rsidR="00B106CF" w:rsidRPr="00157CB6" w:rsidRDefault="00B106CF" w:rsidP="00AB16AE">
      <w:pPr>
        <w:pStyle w:val="Telobesedila"/>
        <w:jc w:val="both"/>
        <w:rPr>
          <w:rFonts w:ascii="Arial" w:hAnsi="Arial" w:cs="Arial"/>
          <w:sz w:val="20"/>
          <w:szCs w:val="20"/>
        </w:rPr>
      </w:pPr>
    </w:p>
    <w:p w14:paraId="1108EC0A" w14:textId="3D074528" w:rsidR="00AB16AE" w:rsidRPr="00157CB6" w:rsidRDefault="008A6768" w:rsidP="006913AA">
      <w:pPr>
        <w:jc w:val="both"/>
        <w:rPr>
          <w:rFonts w:cs="Arial"/>
          <w:szCs w:val="20"/>
          <w:lang w:val="sl-SI"/>
        </w:rPr>
      </w:pPr>
      <w:r w:rsidRPr="00157CB6">
        <w:rPr>
          <w:rFonts w:cs="Arial"/>
          <w:szCs w:val="20"/>
          <w:lang w:val="sl-SI"/>
        </w:rPr>
        <w:t xml:space="preserve">Ministrstvo za </w:t>
      </w:r>
      <w:r w:rsidR="00157CB6">
        <w:rPr>
          <w:rFonts w:cs="Arial"/>
          <w:szCs w:val="20"/>
          <w:lang w:val="sl-SI"/>
        </w:rPr>
        <w:t>gospodarstvo, turizem in šport</w:t>
      </w:r>
      <w:r w:rsidRPr="00157CB6">
        <w:rPr>
          <w:rFonts w:cs="Arial"/>
          <w:szCs w:val="20"/>
          <w:lang w:val="sl-SI"/>
        </w:rPr>
        <w:t xml:space="preserve">, </w:t>
      </w:r>
      <w:r w:rsidR="004905D3">
        <w:rPr>
          <w:rFonts w:cs="Arial"/>
          <w:szCs w:val="20"/>
          <w:lang w:val="sl-SI"/>
        </w:rPr>
        <w:t xml:space="preserve">na podlagi </w:t>
      </w:r>
      <w:r w:rsidR="00CE6A11">
        <w:rPr>
          <w:rFonts w:cs="Arial"/>
          <w:szCs w:val="20"/>
          <w:lang w:val="sl-SI"/>
        </w:rPr>
        <w:t>16. člena Zakona o državni upravi (</w:t>
      </w:r>
      <w:r w:rsidR="00CE6A11" w:rsidRPr="00CE6A11">
        <w:rPr>
          <w:rFonts w:cs="Arial"/>
          <w:szCs w:val="20"/>
          <w:lang w:val="sl-SI"/>
        </w:rPr>
        <w:t xml:space="preserve">Uradni list RS, št. 113/05 – uradno prečiščeno besedilo, 89/07 – </w:t>
      </w:r>
      <w:proofErr w:type="spellStart"/>
      <w:r w:rsidR="00CE6A11" w:rsidRPr="00CE6A11">
        <w:rPr>
          <w:rFonts w:cs="Arial"/>
          <w:szCs w:val="20"/>
          <w:lang w:val="sl-SI"/>
        </w:rPr>
        <w:t>odl</w:t>
      </w:r>
      <w:proofErr w:type="spellEnd"/>
      <w:r w:rsidR="00CE6A11" w:rsidRPr="00CE6A11">
        <w:rPr>
          <w:rFonts w:cs="Arial"/>
          <w:szCs w:val="20"/>
          <w:lang w:val="sl-SI"/>
        </w:rPr>
        <w:t>. US, 126/07 – ZUP-E, 48/09, 8/10 – ZUP-G, 8/12 – ZVRS-F, 21/12, 47/13, 12/14, 90/14, 51/16, 36/21, 82/21, 189/21, 153/22 in 18/23</w:t>
      </w:r>
      <w:r w:rsidR="00CE6A11">
        <w:rPr>
          <w:rFonts w:cs="Arial"/>
          <w:szCs w:val="20"/>
          <w:lang w:val="sl-SI"/>
        </w:rPr>
        <w:t xml:space="preserve">), </w:t>
      </w:r>
      <w:r w:rsidR="004905D3">
        <w:rPr>
          <w:rFonts w:cs="Arial"/>
          <w:szCs w:val="20"/>
          <w:lang w:val="sl-SI"/>
        </w:rPr>
        <w:t>10.</w:t>
      </w:r>
      <w:r w:rsidR="00CE6A11">
        <w:rPr>
          <w:rFonts w:cs="Arial"/>
          <w:szCs w:val="20"/>
          <w:lang w:val="sl-SI"/>
        </w:rPr>
        <w:t xml:space="preserve"> </w:t>
      </w:r>
      <w:r w:rsidR="004905D3">
        <w:rPr>
          <w:rFonts w:cs="Arial"/>
          <w:szCs w:val="20"/>
          <w:lang w:val="sl-SI"/>
        </w:rPr>
        <w:t xml:space="preserve">člena </w:t>
      </w:r>
      <w:r w:rsidR="004905D3" w:rsidRPr="006913AA">
        <w:rPr>
          <w:rFonts w:cs="Arial"/>
          <w:szCs w:val="20"/>
          <w:lang w:val="sl-SI"/>
        </w:rPr>
        <w:t>Uredbe (EU) 2021/821 Evropskega parlamenta in Sveta z dne 20. maja 2021 o vzpostavitvi režima Unije za nadzor izvoza, posredovanja, tehnične pomoči, tranzita in prenosa blaga z dvojno rabo</w:t>
      </w:r>
      <w:r w:rsidRPr="00157CB6">
        <w:rPr>
          <w:rFonts w:cs="Arial"/>
          <w:szCs w:val="20"/>
          <w:lang w:val="sl-SI"/>
        </w:rPr>
        <w:t xml:space="preserve"> </w:t>
      </w:r>
      <w:r w:rsidR="004905D3">
        <w:rPr>
          <w:rFonts w:cs="Arial"/>
          <w:szCs w:val="20"/>
          <w:lang w:val="sl-SI"/>
        </w:rPr>
        <w:t>(</w:t>
      </w:r>
      <w:r w:rsidR="004905D3" w:rsidRPr="004905D3">
        <w:rPr>
          <w:rFonts w:cs="Arial"/>
          <w:szCs w:val="20"/>
          <w:lang w:val="sl-SI"/>
        </w:rPr>
        <w:t xml:space="preserve">UL L </w:t>
      </w:r>
      <w:r w:rsidR="00CE6A11">
        <w:rPr>
          <w:rFonts w:cs="Arial"/>
          <w:szCs w:val="20"/>
          <w:lang w:val="sl-SI"/>
        </w:rPr>
        <w:t xml:space="preserve">št. </w:t>
      </w:r>
      <w:r w:rsidR="004905D3" w:rsidRPr="004905D3">
        <w:rPr>
          <w:rFonts w:cs="Arial"/>
          <w:szCs w:val="20"/>
          <w:lang w:val="sl-SI"/>
        </w:rPr>
        <w:t xml:space="preserve">206 </w:t>
      </w:r>
      <w:r w:rsidR="004905D3">
        <w:rPr>
          <w:rFonts w:cs="Arial"/>
          <w:szCs w:val="20"/>
          <w:lang w:val="sl-SI"/>
        </w:rPr>
        <w:t xml:space="preserve">z dne </w:t>
      </w:r>
      <w:r w:rsidR="004905D3" w:rsidRPr="004905D3">
        <w:rPr>
          <w:rFonts w:cs="Arial"/>
          <w:szCs w:val="20"/>
          <w:lang w:val="sl-SI"/>
        </w:rPr>
        <w:t>1</w:t>
      </w:r>
      <w:r w:rsidR="00CE6A11">
        <w:rPr>
          <w:rFonts w:cs="Arial"/>
          <w:szCs w:val="20"/>
          <w:lang w:val="sl-SI"/>
        </w:rPr>
        <w:t>1</w:t>
      </w:r>
      <w:r w:rsidR="004905D3" w:rsidRPr="004905D3">
        <w:rPr>
          <w:rFonts w:cs="Arial"/>
          <w:szCs w:val="20"/>
          <w:lang w:val="sl-SI"/>
        </w:rPr>
        <w:t>. 6. 2021, str.1</w:t>
      </w:r>
      <w:r w:rsidR="004905D3">
        <w:rPr>
          <w:rFonts w:cs="Arial"/>
          <w:szCs w:val="20"/>
          <w:lang w:val="sl-SI"/>
        </w:rPr>
        <w:t xml:space="preserve">) in </w:t>
      </w:r>
      <w:r w:rsidRPr="00157CB6">
        <w:rPr>
          <w:rFonts w:cs="Arial"/>
          <w:szCs w:val="20"/>
          <w:lang w:val="sl-SI"/>
        </w:rPr>
        <w:t xml:space="preserve">v zvezi s </w:t>
      </w:r>
      <w:r w:rsidR="00FC42CC">
        <w:rPr>
          <w:rFonts w:cs="Arial"/>
          <w:szCs w:val="20"/>
          <w:lang w:val="sl-SI"/>
        </w:rPr>
        <w:t xml:space="preserve">tretjim odstavkom </w:t>
      </w:r>
      <w:r w:rsidRPr="00157CB6">
        <w:rPr>
          <w:rFonts w:cs="Arial"/>
          <w:szCs w:val="20"/>
          <w:lang w:val="sl-SI"/>
        </w:rPr>
        <w:t>4. člen</w:t>
      </w:r>
      <w:r w:rsidR="00FC42CC">
        <w:rPr>
          <w:rFonts w:cs="Arial"/>
          <w:szCs w:val="20"/>
          <w:lang w:val="sl-SI"/>
        </w:rPr>
        <w:t>a</w:t>
      </w:r>
      <w:r w:rsidRPr="00157CB6">
        <w:rPr>
          <w:rFonts w:cs="Arial"/>
          <w:szCs w:val="20"/>
          <w:lang w:val="sl-SI"/>
        </w:rPr>
        <w:t xml:space="preserve"> Zakona o nadzoru izvoza blaga z dvoj</w:t>
      </w:r>
      <w:r w:rsidR="009032F6" w:rsidRPr="00157CB6">
        <w:rPr>
          <w:rFonts w:cs="Arial"/>
          <w:szCs w:val="20"/>
          <w:lang w:val="sl-SI"/>
        </w:rPr>
        <w:t>no rabo (</w:t>
      </w:r>
      <w:r w:rsidR="00B86808" w:rsidRPr="00B86808">
        <w:rPr>
          <w:rFonts w:cs="Arial"/>
          <w:szCs w:val="20"/>
          <w:lang w:val="sl-SI"/>
        </w:rPr>
        <w:t>Uradni list RS, št. 37/04, 8/10 in 29/23</w:t>
      </w:r>
      <w:r w:rsidR="00351803">
        <w:rPr>
          <w:rFonts w:cs="Arial"/>
          <w:szCs w:val="20"/>
          <w:lang w:val="sl-SI"/>
        </w:rPr>
        <w:t>, v nadaljevanju: zakon</w:t>
      </w:r>
      <w:r w:rsidRPr="00157CB6">
        <w:rPr>
          <w:rFonts w:cs="Arial"/>
          <w:szCs w:val="20"/>
          <w:lang w:val="sl-SI"/>
        </w:rPr>
        <w:t>)</w:t>
      </w:r>
      <w:r w:rsidR="00BE2B2B">
        <w:rPr>
          <w:rFonts w:cs="Arial"/>
          <w:szCs w:val="20"/>
          <w:lang w:val="sl-SI"/>
        </w:rPr>
        <w:t>,</w:t>
      </w:r>
      <w:r w:rsidR="00FC42CC">
        <w:rPr>
          <w:rFonts w:cs="Arial"/>
          <w:szCs w:val="20"/>
          <w:lang w:val="sl-SI"/>
        </w:rPr>
        <w:t xml:space="preserve"> </w:t>
      </w:r>
      <w:r w:rsidR="00CE6A11">
        <w:rPr>
          <w:rFonts w:cs="Arial"/>
          <w:szCs w:val="20"/>
          <w:lang w:val="sl-SI"/>
        </w:rPr>
        <w:t xml:space="preserve">prvim </w:t>
      </w:r>
      <w:r w:rsidR="00FC42CC">
        <w:rPr>
          <w:rFonts w:cs="Arial"/>
          <w:szCs w:val="20"/>
          <w:lang w:val="sl-SI"/>
        </w:rPr>
        <w:t>odstavkom 4.</w:t>
      </w:r>
      <w:r w:rsidR="00CE6A11">
        <w:rPr>
          <w:rFonts w:cs="Arial"/>
          <w:szCs w:val="20"/>
          <w:lang w:val="sl-SI"/>
        </w:rPr>
        <w:t xml:space="preserve"> </w:t>
      </w:r>
      <w:r w:rsidR="00FC42CC">
        <w:rPr>
          <w:rFonts w:cs="Arial"/>
          <w:szCs w:val="20"/>
          <w:lang w:val="sl-SI"/>
        </w:rPr>
        <w:t>člena Uredbe o postopkih na področju nadzora izvoza blaga z dvojno rabo (Uradni list RS, št. 132/23, v nadaljevanju: uredba)</w:t>
      </w:r>
      <w:r w:rsidR="00BE2B2B">
        <w:rPr>
          <w:rFonts w:cs="Arial"/>
          <w:szCs w:val="20"/>
          <w:lang w:val="sl-SI"/>
        </w:rPr>
        <w:t xml:space="preserve"> in objav</w:t>
      </w:r>
      <w:r w:rsidR="00CE6A11">
        <w:rPr>
          <w:rFonts w:cs="Arial"/>
          <w:szCs w:val="20"/>
          <w:lang w:val="sl-SI"/>
        </w:rPr>
        <w:t>o</w:t>
      </w:r>
      <w:r w:rsidR="00974474">
        <w:rPr>
          <w:rFonts w:cs="Arial"/>
          <w:szCs w:val="20"/>
          <w:lang w:val="sl-SI"/>
        </w:rPr>
        <w:t xml:space="preserve"> </w:t>
      </w:r>
      <w:r w:rsidR="00D20573">
        <w:rPr>
          <w:rFonts w:cs="Arial"/>
          <w:szCs w:val="20"/>
          <w:lang w:val="sl-SI"/>
        </w:rPr>
        <w:t xml:space="preserve">v </w:t>
      </w:r>
      <w:r w:rsidR="00BE2B2B">
        <w:rPr>
          <w:rFonts w:cs="Arial"/>
          <w:szCs w:val="20"/>
          <w:lang w:val="sl-SI"/>
        </w:rPr>
        <w:t xml:space="preserve">Zbirki </w:t>
      </w:r>
      <w:r w:rsidR="006913AA" w:rsidRPr="006913AA">
        <w:rPr>
          <w:rFonts w:cs="Arial"/>
          <w:szCs w:val="20"/>
          <w:lang w:val="sl-SI"/>
        </w:rPr>
        <w:t xml:space="preserve">nacionalnih seznamov za nadzor na podlagi </w:t>
      </w:r>
      <w:r w:rsidR="00CE6A11">
        <w:rPr>
          <w:rFonts w:cs="Arial"/>
          <w:szCs w:val="20"/>
          <w:lang w:val="sl-SI"/>
        </w:rPr>
        <w:t xml:space="preserve">četrtega odstavka 9. </w:t>
      </w:r>
      <w:r w:rsidR="006913AA" w:rsidRPr="006913AA">
        <w:rPr>
          <w:rFonts w:cs="Arial"/>
          <w:szCs w:val="20"/>
          <w:lang w:val="sl-SI"/>
        </w:rPr>
        <w:t xml:space="preserve">člena Uredbe (EU) 2021/821 Evropskega parlamenta in Sveta z dne 20. maja 2021 o vzpostavitvi režima Unije za nadzor izvoza, posredovanja, tehnične pomoči, tranzita in prenosa blaga z dvojno rabo </w:t>
      </w:r>
      <w:r w:rsidR="006913AA">
        <w:rPr>
          <w:rFonts w:cs="Arial"/>
          <w:szCs w:val="20"/>
          <w:lang w:val="sl-SI"/>
        </w:rPr>
        <w:t>(</w:t>
      </w:r>
      <w:r w:rsidR="00DE7016">
        <w:rPr>
          <w:rFonts w:cs="Arial"/>
          <w:szCs w:val="20"/>
          <w:lang w:val="sl-SI"/>
        </w:rPr>
        <w:t xml:space="preserve">UL </w:t>
      </w:r>
      <w:r w:rsidR="006913AA">
        <w:rPr>
          <w:rFonts w:cs="Arial"/>
          <w:szCs w:val="20"/>
          <w:lang w:val="sl-SI"/>
        </w:rPr>
        <w:t xml:space="preserve">C št. </w:t>
      </w:r>
      <w:r w:rsidR="006913AA">
        <w:t>C/2024/5880</w:t>
      </w:r>
      <w:r w:rsidR="00DE7016">
        <w:t xml:space="preserve"> z </w:t>
      </w:r>
      <w:proofErr w:type="spellStart"/>
      <w:r w:rsidR="00DE7016">
        <w:t>dne</w:t>
      </w:r>
      <w:proofErr w:type="spellEnd"/>
      <w:r w:rsidR="00DE7016">
        <w:t xml:space="preserve"> 27. 9. 2024</w:t>
      </w:r>
      <w:r w:rsidR="000D4CA6">
        <w:t xml:space="preserve">) </w:t>
      </w:r>
      <w:proofErr w:type="spellStart"/>
      <w:r w:rsidR="004905D3">
        <w:t>objavlja</w:t>
      </w:r>
      <w:proofErr w:type="spellEnd"/>
      <w:r w:rsidR="004905D3">
        <w:t xml:space="preserve"> </w:t>
      </w:r>
      <w:r w:rsidR="00AB16AE" w:rsidRPr="00157CB6">
        <w:rPr>
          <w:rFonts w:cs="Arial"/>
          <w:szCs w:val="20"/>
          <w:lang w:val="sl-SI"/>
        </w:rPr>
        <w:t>naslednj</w:t>
      </w:r>
      <w:r w:rsidR="006420CE">
        <w:rPr>
          <w:rFonts w:cs="Arial"/>
          <w:szCs w:val="20"/>
          <w:lang w:val="sl-SI"/>
        </w:rPr>
        <w:t>e</w:t>
      </w:r>
      <w:r w:rsidR="00FC42CC">
        <w:rPr>
          <w:rFonts w:cs="Arial"/>
          <w:szCs w:val="20"/>
          <w:lang w:val="sl-SI"/>
        </w:rPr>
        <w:t xml:space="preserve"> </w:t>
      </w:r>
    </w:p>
    <w:p w14:paraId="13DB046D" w14:textId="77777777" w:rsidR="008A6768" w:rsidRPr="00157CB6" w:rsidRDefault="008A6768" w:rsidP="00466B5E">
      <w:pPr>
        <w:jc w:val="both"/>
        <w:rPr>
          <w:rFonts w:cs="Arial"/>
          <w:szCs w:val="20"/>
          <w:lang w:val="sl-SI"/>
        </w:rPr>
      </w:pPr>
    </w:p>
    <w:p w14:paraId="54458756" w14:textId="5B2A0F72" w:rsidR="008A6768" w:rsidRPr="00157CB6" w:rsidRDefault="006420CE" w:rsidP="008122EA">
      <w:pPr>
        <w:pStyle w:val="Naslov2"/>
        <w:numPr>
          <w:ilvl w:val="1"/>
          <w:numId w:val="6"/>
        </w:numPr>
        <w:ind w:left="-180"/>
        <w:jc w:val="center"/>
        <w:rPr>
          <w:i w:val="0"/>
          <w:sz w:val="20"/>
          <w:szCs w:val="20"/>
        </w:rPr>
      </w:pPr>
      <w:r>
        <w:rPr>
          <w:i w:val="0"/>
          <w:sz w:val="20"/>
          <w:szCs w:val="20"/>
        </w:rPr>
        <w:t>OBVESTILO</w:t>
      </w:r>
    </w:p>
    <w:p w14:paraId="0A65E1DC" w14:textId="77777777" w:rsidR="008A6768" w:rsidRPr="00157CB6" w:rsidRDefault="008A6768" w:rsidP="00AB16AE">
      <w:pPr>
        <w:ind w:left="-180" w:right="473"/>
        <w:jc w:val="both"/>
        <w:rPr>
          <w:rFonts w:cs="Arial"/>
          <w:szCs w:val="20"/>
          <w:lang w:val="sl-SI"/>
        </w:rPr>
      </w:pPr>
    </w:p>
    <w:p w14:paraId="019672D1" w14:textId="2A62421F" w:rsidR="004100F3" w:rsidRDefault="007459AB" w:rsidP="006420CE">
      <w:pPr>
        <w:pStyle w:val="Odstavekseznama"/>
        <w:numPr>
          <w:ilvl w:val="0"/>
          <w:numId w:val="8"/>
        </w:numPr>
        <w:ind w:left="568" w:hanging="284"/>
        <w:jc w:val="both"/>
        <w:rPr>
          <w:rFonts w:cs="Arial"/>
          <w:szCs w:val="20"/>
          <w:lang w:val="sl-SI"/>
        </w:rPr>
      </w:pPr>
      <w:r>
        <w:rPr>
          <w:rFonts w:cs="Arial"/>
          <w:szCs w:val="20"/>
          <w:lang w:val="sl-SI"/>
        </w:rPr>
        <w:t xml:space="preserve">Fizične in pravne osebe, ki izvažajo blago, določeno </w:t>
      </w:r>
      <w:r w:rsidR="00D51C7B">
        <w:rPr>
          <w:rFonts w:cs="Arial"/>
          <w:szCs w:val="20"/>
          <w:lang w:val="sl-SI"/>
        </w:rPr>
        <w:t xml:space="preserve">v 2. točki tega obvestila, </w:t>
      </w:r>
      <w:r>
        <w:rPr>
          <w:rFonts w:cs="Arial"/>
          <w:szCs w:val="20"/>
          <w:lang w:val="sl-SI"/>
        </w:rPr>
        <w:t xml:space="preserve">morajo </w:t>
      </w:r>
      <w:r w:rsidR="00A01328">
        <w:rPr>
          <w:rFonts w:cs="Arial"/>
          <w:szCs w:val="20"/>
          <w:lang w:val="sl-SI"/>
        </w:rPr>
        <w:t xml:space="preserve">iz </w:t>
      </w:r>
      <w:r w:rsidR="00C22289">
        <w:rPr>
          <w:rFonts w:cs="Arial"/>
          <w:szCs w:val="20"/>
          <w:lang w:val="sl-SI"/>
        </w:rPr>
        <w:t xml:space="preserve">razlogov </w:t>
      </w:r>
      <w:r w:rsidR="00A01328">
        <w:rPr>
          <w:rFonts w:cs="Arial"/>
          <w:szCs w:val="20"/>
          <w:lang w:val="sl-SI"/>
        </w:rPr>
        <w:t xml:space="preserve">po tretjem odstavku </w:t>
      </w:r>
      <w:r w:rsidR="00C22289">
        <w:rPr>
          <w:rFonts w:cs="Arial"/>
          <w:szCs w:val="20"/>
          <w:lang w:val="sl-SI"/>
        </w:rPr>
        <w:t>4.</w:t>
      </w:r>
      <w:r w:rsidR="00D51C7B">
        <w:rPr>
          <w:rFonts w:cs="Arial"/>
          <w:szCs w:val="20"/>
          <w:lang w:val="sl-SI"/>
        </w:rPr>
        <w:t xml:space="preserve"> </w:t>
      </w:r>
      <w:r w:rsidR="00C22289">
        <w:rPr>
          <w:rFonts w:cs="Arial"/>
          <w:szCs w:val="20"/>
          <w:lang w:val="sl-SI"/>
        </w:rPr>
        <w:t xml:space="preserve">člena zakona </w:t>
      </w:r>
      <w:r w:rsidR="00575B04">
        <w:rPr>
          <w:rFonts w:cs="Arial"/>
          <w:szCs w:val="20"/>
          <w:lang w:val="sl-SI"/>
        </w:rPr>
        <w:t xml:space="preserve">predhodno </w:t>
      </w:r>
      <w:r w:rsidR="00CB36A1">
        <w:rPr>
          <w:rFonts w:cs="Arial"/>
          <w:szCs w:val="20"/>
          <w:lang w:val="sl-SI"/>
        </w:rPr>
        <w:t xml:space="preserve">pridobiti </w:t>
      </w:r>
      <w:r w:rsidR="00FC42CC">
        <w:rPr>
          <w:rFonts w:cs="Arial"/>
          <w:szCs w:val="20"/>
          <w:lang w:val="sl-SI"/>
        </w:rPr>
        <w:t>dovoljenje.</w:t>
      </w:r>
    </w:p>
    <w:p w14:paraId="6AE4FE77" w14:textId="77777777" w:rsidR="00FC42CC" w:rsidRDefault="00FC42CC" w:rsidP="006420CE">
      <w:pPr>
        <w:pStyle w:val="Odstavekseznama"/>
        <w:ind w:left="568"/>
        <w:jc w:val="both"/>
        <w:rPr>
          <w:rFonts w:cs="Arial"/>
          <w:szCs w:val="20"/>
          <w:lang w:val="sl-SI"/>
        </w:rPr>
      </w:pPr>
    </w:p>
    <w:p w14:paraId="0543585D" w14:textId="1517FACF" w:rsidR="00FC42CC" w:rsidRDefault="002964B6" w:rsidP="006420CE">
      <w:pPr>
        <w:pStyle w:val="Odstavekseznama"/>
        <w:numPr>
          <w:ilvl w:val="0"/>
          <w:numId w:val="8"/>
        </w:numPr>
        <w:ind w:left="568" w:hanging="284"/>
        <w:jc w:val="both"/>
        <w:rPr>
          <w:rFonts w:cs="Arial"/>
          <w:szCs w:val="20"/>
          <w:lang w:val="sl-SI"/>
        </w:rPr>
      </w:pPr>
      <w:r>
        <w:rPr>
          <w:rFonts w:cs="Arial"/>
          <w:szCs w:val="20"/>
          <w:lang w:val="sl-SI"/>
        </w:rPr>
        <w:t xml:space="preserve"> </w:t>
      </w:r>
      <w:r w:rsidR="00AB193E">
        <w:rPr>
          <w:rFonts w:cs="Arial"/>
          <w:szCs w:val="20"/>
          <w:lang w:val="sl-SI"/>
        </w:rPr>
        <w:t xml:space="preserve">Obveznost pridobitve dovoljenja </w:t>
      </w:r>
      <w:r w:rsidR="009150C3">
        <w:rPr>
          <w:rFonts w:cs="Arial"/>
          <w:szCs w:val="20"/>
          <w:lang w:val="sl-SI"/>
        </w:rPr>
        <w:t xml:space="preserve">se določa </w:t>
      </w:r>
      <w:r w:rsidR="00AB193E">
        <w:rPr>
          <w:rFonts w:cs="Arial"/>
          <w:szCs w:val="20"/>
          <w:lang w:val="sl-SI"/>
        </w:rPr>
        <w:t xml:space="preserve">za naslednje blago: </w:t>
      </w:r>
      <w:r>
        <w:rPr>
          <w:rFonts w:cs="Arial"/>
          <w:szCs w:val="20"/>
          <w:lang w:val="sl-SI"/>
        </w:rPr>
        <w:t xml:space="preserve"> </w:t>
      </w:r>
    </w:p>
    <w:p w14:paraId="1A91DC86" w14:textId="77777777" w:rsidR="006420CE" w:rsidRPr="006420CE" w:rsidRDefault="006420CE" w:rsidP="006420CE">
      <w:pPr>
        <w:pStyle w:val="Odstavekseznama"/>
        <w:rPr>
          <w:rFonts w:cs="Arial"/>
          <w:szCs w:val="20"/>
          <w:lang w:val="sl-SI"/>
        </w:rPr>
      </w:pPr>
    </w:p>
    <w:p w14:paraId="3B0F797B" w14:textId="2D35E904" w:rsidR="0023673B" w:rsidRDefault="0023673B" w:rsidP="00EF10D7">
      <w:pPr>
        <w:ind w:left="568"/>
        <w:jc w:val="both"/>
        <w:rPr>
          <w:rFonts w:cs="Arial"/>
          <w:b/>
          <w:bCs/>
          <w:szCs w:val="20"/>
          <w:u w:val="single"/>
          <w:lang w:val="sl-SI"/>
        </w:rPr>
      </w:pPr>
      <w:r>
        <w:rPr>
          <w:rFonts w:cs="Arial"/>
          <w:b/>
          <w:bCs/>
          <w:szCs w:val="20"/>
          <w:u w:val="single"/>
          <w:lang w:val="sl-SI"/>
        </w:rPr>
        <w:t>Skupina 3 – Elektronika</w:t>
      </w:r>
    </w:p>
    <w:p w14:paraId="7927E39F" w14:textId="77777777" w:rsidR="00CC16D2" w:rsidRDefault="00CC16D2" w:rsidP="00EF10D7">
      <w:pPr>
        <w:ind w:left="568"/>
        <w:jc w:val="both"/>
        <w:rPr>
          <w:rFonts w:cs="Arial"/>
          <w:b/>
          <w:bCs/>
          <w:szCs w:val="20"/>
          <w:u w:val="single"/>
          <w:lang w:val="sl-SI"/>
        </w:rPr>
      </w:pPr>
    </w:p>
    <w:p w14:paraId="31A862AD" w14:textId="155A0F73" w:rsidR="002A51B0" w:rsidRPr="00EF10D7" w:rsidRDefault="002A51B0" w:rsidP="00EF10D7">
      <w:pPr>
        <w:ind w:left="568"/>
        <w:jc w:val="both"/>
        <w:rPr>
          <w:rFonts w:cs="Arial"/>
          <w:b/>
          <w:bCs/>
          <w:szCs w:val="20"/>
          <w:u w:val="single"/>
          <w:lang w:val="sl-SI"/>
        </w:rPr>
      </w:pPr>
      <w:r w:rsidRPr="00EF10D7">
        <w:rPr>
          <w:rFonts w:cs="Arial"/>
          <w:b/>
          <w:bCs/>
          <w:szCs w:val="20"/>
          <w:u w:val="single"/>
          <w:lang w:val="sl-SI"/>
        </w:rPr>
        <w:t>3A Sistemi, oprema in komponente</w:t>
      </w:r>
    </w:p>
    <w:p w14:paraId="2D993D67" w14:textId="67D6005C" w:rsidR="002A51B0" w:rsidRPr="004707C2" w:rsidRDefault="002A51B0" w:rsidP="00EF10D7">
      <w:pPr>
        <w:ind w:left="568"/>
        <w:jc w:val="both"/>
        <w:rPr>
          <w:rFonts w:cs="Arial"/>
          <w:szCs w:val="20"/>
          <w:lang w:val="sl-SI"/>
        </w:rPr>
      </w:pPr>
      <w:r w:rsidRPr="004707C2">
        <w:rPr>
          <w:rFonts w:cs="Arial"/>
          <w:b/>
          <w:bCs/>
          <w:szCs w:val="20"/>
          <w:lang w:val="sl-SI"/>
        </w:rPr>
        <w:t>3A1901.a.15</w:t>
      </w:r>
      <w:r w:rsidRPr="004707C2">
        <w:rPr>
          <w:rFonts w:cs="Arial"/>
          <w:szCs w:val="20"/>
          <w:lang w:val="sl-SI"/>
        </w:rPr>
        <w:t xml:space="preserve">  integrirana vezja dopolnilnih kovinsko-oksidnih polprevodnikov (CMOS), ki niso navedena v točki 3A001.a.2 Uredbe, zasnovana za delovanje pri temperaturah okolja 4,5 </w:t>
      </w:r>
      <w:r w:rsidR="002355B1">
        <w:rPr>
          <w:rFonts w:cs="Arial"/>
          <w:szCs w:val="20"/>
          <w:lang w:val="sl-SI"/>
        </w:rPr>
        <w:sym w:font="Symbol" w:char="F0B0"/>
      </w:r>
      <w:r w:rsidRPr="004707C2">
        <w:rPr>
          <w:rFonts w:cs="Arial"/>
          <w:szCs w:val="20"/>
          <w:lang w:val="sl-SI"/>
        </w:rPr>
        <w:t xml:space="preserve">K (– 268,65 </w:t>
      </w:r>
      <w:r w:rsidR="002355B1">
        <w:rPr>
          <w:rFonts w:cs="Arial"/>
          <w:szCs w:val="20"/>
          <w:lang w:val="sl-SI"/>
        </w:rPr>
        <w:sym w:font="Symbol" w:char="F0B0"/>
      </w:r>
      <w:r w:rsidRPr="004707C2">
        <w:rPr>
          <w:rFonts w:cs="Arial"/>
          <w:szCs w:val="20"/>
          <w:lang w:val="sl-SI"/>
        </w:rPr>
        <w:t>C) ali manj (bolje).</w:t>
      </w:r>
    </w:p>
    <w:p w14:paraId="6AD574BA" w14:textId="77777777" w:rsidR="002A51B0" w:rsidRPr="002A51B0" w:rsidRDefault="002A51B0" w:rsidP="00EF10D7">
      <w:pPr>
        <w:pStyle w:val="Odstavekseznama"/>
        <w:ind w:left="2062"/>
        <w:jc w:val="both"/>
        <w:rPr>
          <w:rFonts w:cs="Arial"/>
          <w:szCs w:val="20"/>
          <w:lang w:val="sl-SI"/>
        </w:rPr>
      </w:pPr>
    </w:p>
    <w:p w14:paraId="19EBFB62" w14:textId="77777777" w:rsidR="002A51B0" w:rsidRPr="004707C2" w:rsidRDefault="002A51B0" w:rsidP="00EF10D7">
      <w:pPr>
        <w:ind w:left="568"/>
        <w:jc w:val="both"/>
        <w:rPr>
          <w:rFonts w:cs="Arial"/>
          <w:i/>
          <w:iCs/>
          <w:szCs w:val="20"/>
          <w:lang w:val="sl-SI"/>
        </w:rPr>
      </w:pPr>
      <w:r w:rsidRPr="004707C2">
        <w:rPr>
          <w:rFonts w:cs="Arial"/>
          <w:i/>
          <w:iCs/>
          <w:szCs w:val="20"/>
          <w:lang w:val="sl-SI"/>
        </w:rPr>
        <w:t>Tehnična opomba</w:t>
      </w:r>
    </w:p>
    <w:p w14:paraId="4934D7A5" w14:textId="5EDB3D73" w:rsidR="002A51B0" w:rsidRPr="004707C2" w:rsidRDefault="002A51B0" w:rsidP="00EF10D7">
      <w:pPr>
        <w:ind w:left="568"/>
        <w:jc w:val="both"/>
        <w:rPr>
          <w:rFonts w:cs="Arial"/>
          <w:szCs w:val="20"/>
          <w:lang w:val="sl-SI"/>
        </w:rPr>
      </w:pPr>
      <w:r w:rsidRPr="004707C2">
        <w:rPr>
          <w:rFonts w:cs="Arial"/>
          <w:i/>
          <w:iCs/>
          <w:szCs w:val="20"/>
          <w:lang w:val="sl-SI"/>
        </w:rPr>
        <w:t xml:space="preserve">Za namene 3A1901.a.15 se integrirana vezja CMOS imenujejo tudi </w:t>
      </w:r>
      <w:proofErr w:type="spellStart"/>
      <w:r w:rsidRPr="004707C2">
        <w:rPr>
          <w:rFonts w:cs="Arial"/>
          <w:i/>
          <w:iCs/>
          <w:szCs w:val="20"/>
          <w:lang w:val="sl-SI"/>
        </w:rPr>
        <w:t>kriogeni</w:t>
      </w:r>
      <w:proofErr w:type="spellEnd"/>
      <w:r w:rsidRPr="004707C2">
        <w:rPr>
          <w:rFonts w:cs="Arial"/>
          <w:i/>
          <w:iCs/>
          <w:szCs w:val="20"/>
          <w:lang w:val="sl-SI"/>
        </w:rPr>
        <w:t xml:space="preserve"> CMOS</w:t>
      </w:r>
      <w:r w:rsidRPr="004707C2">
        <w:rPr>
          <w:rFonts w:cs="Arial"/>
          <w:szCs w:val="20"/>
          <w:lang w:val="sl-SI"/>
        </w:rPr>
        <w:t>.</w:t>
      </w:r>
    </w:p>
    <w:p w14:paraId="3C0E53EC" w14:textId="77777777" w:rsidR="002A51B0" w:rsidRDefault="002A51B0" w:rsidP="00EF10D7">
      <w:pPr>
        <w:pStyle w:val="Odstavekseznama"/>
        <w:ind w:left="2062"/>
        <w:jc w:val="both"/>
        <w:rPr>
          <w:rFonts w:cs="Arial"/>
          <w:szCs w:val="20"/>
          <w:lang w:val="sl-SI"/>
        </w:rPr>
      </w:pPr>
    </w:p>
    <w:p w14:paraId="418AC4C2" w14:textId="0F7337FB" w:rsidR="00EF10D7" w:rsidRPr="00EF10D7" w:rsidRDefault="00EF10D7" w:rsidP="00EF10D7">
      <w:pPr>
        <w:ind w:left="568"/>
        <w:jc w:val="both"/>
        <w:rPr>
          <w:rFonts w:cs="Arial"/>
          <w:b/>
          <w:bCs/>
          <w:szCs w:val="20"/>
          <w:u w:val="single"/>
          <w:lang w:val="sl-SI"/>
        </w:rPr>
      </w:pPr>
      <w:r w:rsidRPr="00EF10D7">
        <w:rPr>
          <w:b/>
          <w:bCs/>
          <w:color w:val="000000"/>
          <w:u w:val="single"/>
          <w:shd w:val="clear" w:color="auto" w:fill="FFFFFF"/>
        </w:rPr>
        <w:t xml:space="preserve">3B </w:t>
      </w:r>
      <w:proofErr w:type="spellStart"/>
      <w:r w:rsidRPr="00EF10D7">
        <w:rPr>
          <w:b/>
          <w:bCs/>
          <w:color w:val="000000"/>
          <w:u w:val="single"/>
          <w:shd w:val="clear" w:color="auto" w:fill="FFFFFF"/>
        </w:rPr>
        <w:t>Oprema</w:t>
      </w:r>
      <w:proofErr w:type="spellEnd"/>
      <w:r w:rsidRPr="00EF10D7">
        <w:rPr>
          <w:b/>
          <w:bCs/>
          <w:color w:val="000000"/>
          <w:u w:val="single"/>
          <w:shd w:val="clear" w:color="auto" w:fill="FFFFFF"/>
        </w:rPr>
        <w:t xml:space="preserve"> za </w:t>
      </w:r>
      <w:proofErr w:type="spellStart"/>
      <w:r w:rsidRPr="00EF10D7">
        <w:rPr>
          <w:b/>
          <w:bCs/>
          <w:color w:val="000000"/>
          <w:u w:val="single"/>
          <w:shd w:val="clear" w:color="auto" w:fill="FFFFFF"/>
        </w:rPr>
        <w:t>testiranje</w:t>
      </w:r>
      <w:proofErr w:type="spellEnd"/>
      <w:r w:rsidRPr="00EF10D7">
        <w:rPr>
          <w:b/>
          <w:bCs/>
          <w:color w:val="000000"/>
          <w:u w:val="single"/>
          <w:shd w:val="clear" w:color="auto" w:fill="FFFFFF"/>
        </w:rPr>
        <w:t xml:space="preserve">, </w:t>
      </w:r>
      <w:proofErr w:type="spellStart"/>
      <w:r w:rsidRPr="00EF10D7">
        <w:rPr>
          <w:b/>
          <w:bCs/>
          <w:color w:val="000000"/>
          <w:u w:val="single"/>
          <w:shd w:val="clear" w:color="auto" w:fill="FFFFFF"/>
        </w:rPr>
        <w:t>pregledovanje</w:t>
      </w:r>
      <w:proofErr w:type="spellEnd"/>
      <w:r w:rsidRPr="00EF10D7">
        <w:rPr>
          <w:b/>
          <w:bCs/>
          <w:color w:val="000000"/>
          <w:u w:val="single"/>
          <w:shd w:val="clear" w:color="auto" w:fill="FFFFFF"/>
        </w:rPr>
        <w:t xml:space="preserve"> in </w:t>
      </w:r>
      <w:proofErr w:type="spellStart"/>
      <w:r w:rsidRPr="00EF10D7">
        <w:rPr>
          <w:b/>
          <w:bCs/>
          <w:color w:val="000000"/>
          <w:u w:val="single"/>
          <w:shd w:val="clear" w:color="auto" w:fill="FFFFFF"/>
        </w:rPr>
        <w:t>proizvodnjo</w:t>
      </w:r>
      <w:proofErr w:type="spellEnd"/>
    </w:p>
    <w:p w14:paraId="25A56A1B" w14:textId="75A7CDB0" w:rsidR="002A51B0" w:rsidRPr="00D20573" w:rsidRDefault="002A51B0" w:rsidP="00EF10D7">
      <w:pPr>
        <w:ind w:left="568"/>
        <w:jc w:val="both"/>
        <w:rPr>
          <w:rFonts w:cs="Arial"/>
          <w:b/>
          <w:bCs/>
          <w:szCs w:val="20"/>
          <w:lang w:val="sl-SI"/>
        </w:rPr>
      </w:pPr>
      <w:r w:rsidRPr="004707C2">
        <w:rPr>
          <w:rFonts w:cs="Arial"/>
          <w:b/>
          <w:bCs/>
          <w:szCs w:val="20"/>
          <w:lang w:val="sl-SI"/>
        </w:rPr>
        <w:t xml:space="preserve">3B1903 </w:t>
      </w:r>
      <w:r w:rsidRPr="002A51B0">
        <w:rPr>
          <w:rFonts w:cs="Arial"/>
          <w:szCs w:val="20"/>
          <w:lang w:val="sl-SI"/>
        </w:rPr>
        <w:t>Vrstični elektronski mikroskop (SEM), zasnovan za slikanje polprevodniških naprav ali integriranih vezij, ki ima vse naslednje značilnosti:</w:t>
      </w:r>
    </w:p>
    <w:p w14:paraId="55E466C0" w14:textId="77777777" w:rsidR="002A51B0" w:rsidRPr="002A51B0" w:rsidRDefault="002A51B0" w:rsidP="00EF10D7">
      <w:pPr>
        <w:pStyle w:val="Odstavekseznama"/>
        <w:ind w:left="568"/>
        <w:jc w:val="both"/>
        <w:rPr>
          <w:rFonts w:cs="Arial"/>
          <w:szCs w:val="20"/>
          <w:lang w:val="sl-SI"/>
        </w:rPr>
      </w:pPr>
    </w:p>
    <w:p w14:paraId="3646B588" w14:textId="77777777" w:rsidR="002A51B0" w:rsidRPr="002A51B0" w:rsidRDefault="002A51B0" w:rsidP="00EF10D7">
      <w:pPr>
        <w:pStyle w:val="Odstavekseznama"/>
        <w:ind w:left="568"/>
        <w:jc w:val="both"/>
        <w:rPr>
          <w:rFonts w:cs="Arial"/>
          <w:szCs w:val="20"/>
          <w:lang w:val="sl-SI"/>
        </w:rPr>
      </w:pPr>
      <w:r w:rsidRPr="002A51B0">
        <w:rPr>
          <w:rFonts w:cs="Arial"/>
          <w:szCs w:val="20"/>
          <w:lang w:val="sl-SI"/>
        </w:rPr>
        <w:t>a.</w:t>
      </w:r>
      <w:r w:rsidRPr="002A51B0">
        <w:rPr>
          <w:rFonts w:cs="Arial"/>
          <w:szCs w:val="20"/>
          <w:lang w:val="sl-SI"/>
        </w:rPr>
        <w:tab/>
        <w:t xml:space="preserve">točnost </w:t>
      </w:r>
      <w:proofErr w:type="spellStart"/>
      <w:r w:rsidRPr="002A51B0">
        <w:rPr>
          <w:rFonts w:cs="Arial"/>
          <w:szCs w:val="20"/>
          <w:lang w:val="sl-SI"/>
        </w:rPr>
        <w:t>pozicioniranja</w:t>
      </w:r>
      <w:proofErr w:type="spellEnd"/>
      <w:r w:rsidRPr="002A51B0">
        <w:rPr>
          <w:rFonts w:cs="Arial"/>
          <w:szCs w:val="20"/>
          <w:lang w:val="sl-SI"/>
        </w:rPr>
        <w:t xml:space="preserve"> mikroskopske mizice je manjša (boljša) od 30 </w:t>
      </w:r>
      <w:proofErr w:type="spellStart"/>
      <w:r w:rsidRPr="002A51B0">
        <w:rPr>
          <w:rFonts w:cs="Arial"/>
          <w:szCs w:val="20"/>
          <w:lang w:val="sl-SI"/>
        </w:rPr>
        <w:t>nm</w:t>
      </w:r>
      <w:proofErr w:type="spellEnd"/>
      <w:r w:rsidRPr="002A51B0">
        <w:rPr>
          <w:rFonts w:cs="Arial"/>
          <w:szCs w:val="20"/>
          <w:lang w:val="sl-SI"/>
        </w:rPr>
        <w:t>;</w:t>
      </w:r>
    </w:p>
    <w:p w14:paraId="414C2BD8" w14:textId="77777777" w:rsidR="002A51B0" w:rsidRPr="002A51B0" w:rsidRDefault="002A51B0" w:rsidP="00EF10D7">
      <w:pPr>
        <w:pStyle w:val="Odstavekseznama"/>
        <w:ind w:left="568"/>
        <w:jc w:val="both"/>
        <w:rPr>
          <w:rFonts w:cs="Arial"/>
          <w:szCs w:val="20"/>
          <w:lang w:val="sl-SI"/>
        </w:rPr>
      </w:pPr>
      <w:r w:rsidRPr="002A51B0">
        <w:rPr>
          <w:rFonts w:cs="Arial"/>
          <w:szCs w:val="20"/>
          <w:lang w:val="sl-SI"/>
        </w:rPr>
        <w:t>b.</w:t>
      </w:r>
      <w:r w:rsidRPr="002A51B0">
        <w:rPr>
          <w:rFonts w:cs="Arial"/>
          <w:szCs w:val="20"/>
          <w:lang w:val="sl-SI"/>
        </w:rPr>
        <w:tab/>
        <w:t xml:space="preserve">merjenje </w:t>
      </w:r>
      <w:proofErr w:type="spellStart"/>
      <w:r w:rsidRPr="002A51B0">
        <w:rPr>
          <w:rFonts w:cs="Arial"/>
          <w:szCs w:val="20"/>
          <w:lang w:val="sl-SI"/>
        </w:rPr>
        <w:t>pozicioniranja</w:t>
      </w:r>
      <w:proofErr w:type="spellEnd"/>
      <w:r w:rsidRPr="002A51B0">
        <w:rPr>
          <w:rFonts w:cs="Arial"/>
          <w:szCs w:val="20"/>
          <w:lang w:val="sl-SI"/>
        </w:rPr>
        <w:t xml:space="preserve"> mikroskopske mizice se izvaja z lasersko </w:t>
      </w:r>
      <w:proofErr w:type="spellStart"/>
      <w:r w:rsidRPr="002A51B0">
        <w:rPr>
          <w:rFonts w:cs="Arial"/>
          <w:szCs w:val="20"/>
          <w:lang w:val="sl-SI"/>
        </w:rPr>
        <w:t>interferometrijo</w:t>
      </w:r>
      <w:proofErr w:type="spellEnd"/>
      <w:r w:rsidRPr="002A51B0">
        <w:rPr>
          <w:rFonts w:cs="Arial"/>
          <w:szCs w:val="20"/>
          <w:lang w:val="sl-SI"/>
        </w:rPr>
        <w:t>;</w:t>
      </w:r>
    </w:p>
    <w:p w14:paraId="44D8F517" w14:textId="77777777" w:rsidR="002A51B0" w:rsidRPr="002A51B0" w:rsidRDefault="002A51B0" w:rsidP="00A90C03">
      <w:pPr>
        <w:pStyle w:val="Odstavekseznama"/>
        <w:ind w:left="1438" w:hanging="870"/>
        <w:jc w:val="both"/>
        <w:rPr>
          <w:rFonts w:cs="Arial"/>
          <w:szCs w:val="20"/>
          <w:lang w:val="sl-SI"/>
        </w:rPr>
      </w:pPr>
      <w:r w:rsidRPr="002A51B0">
        <w:rPr>
          <w:rFonts w:cs="Arial"/>
          <w:szCs w:val="20"/>
          <w:lang w:val="sl-SI"/>
        </w:rPr>
        <w:t>c.</w:t>
      </w:r>
      <w:r w:rsidRPr="002A51B0">
        <w:rPr>
          <w:rFonts w:cs="Arial"/>
          <w:szCs w:val="20"/>
          <w:lang w:val="sl-SI"/>
        </w:rPr>
        <w:tab/>
        <w:t>umerjanje položaja znotraj vidnega polja na podlagi meritve dolžinske skale z laserskim interferometrom;</w:t>
      </w:r>
    </w:p>
    <w:p w14:paraId="5FCF3C5D" w14:textId="77777777" w:rsidR="002A51B0" w:rsidRPr="002A51B0" w:rsidRDefault="002A51B0" w:rsidP="00EF10D7">
      <w:pPr>
        <w:pStyle w:val="Odstavekseznama"/>
        <w:ind w:left="568"/>
        <w:jc w:val="both"/>
        <w:rPr>
          <w:rFonts w:cs="Arial"/>
          <w:szCs w:val="20"/>
          <w:lang w:val="sl-SI"/>
        </w:rPr>
      </w:pPr>
      <w:r w:rsidRPr="002A51B0">
        <w:rPr>
          <w:rFonts w:cs="Arial"/>
          <w:szCs w:val="20"/>
          <w:lang w:val="sl-SI"/>
        </w:rPr>
        <w:t>d.</w:t>
      </w:r>
      <w:r w:rsidRPr="002A51B0">
        <w:rPr>
          <w:rFonts w:cs="Arial"/>
          <w:szCs w:val="20"/>
          <w:lang w:val="sl-SI"/>
        </w:rPr>
        <w:tab/>
        <w:t>zajem in shranjevanje slik, ki imajo več kot 2x10</w:t>
      </w:r>
      <w:r w:rsidRPr="00A90C03">
        <w:rPr>
          <w:rFonts w:cs="Arial"/>
          <w:szCs w:val="20"/>
          <w:vertAlign w:val="superscript"/>
          <w:lang w:val="sl-SI"/>
        </w:rPr>
        <w:t>8</w:t>
      </w:r>
      <w:r w:rsidRPr="002A51B0">
        <w:rPr>
          <w:rFonts w:cs="Arial"/>
          <w:szCs w:val="20"/>
          <w:lang w:val="sl-SI"/>
        </w:rPr>
        <w:t xml:space="preserve"> slikovnih pik;</w:t>
      </w:r>
    </w:p>
    <w:p w14:paraId="6BEB7EF5" w14:textId="77777777" w:rsidR="002A51B0" w:rsidRPr="002A51B0" w:rsidRDefault="002A51B0" w:rsidP="00EF10D7">
      <w:pPr>
        <w:pStyle w:val="Odstavekseznama"/>
        <w:ind w:left="568"/>
        <w:jc w:val="both"/>
        <w:rPr>
          <w:rFonts w:cs="Arial"/>
          <w:szCs w:val="20"/>
          <w:lang w:val="sl-SI"/>
        </w:rPr>
      </w:pPr>
      <w:r w:rsidRPr="002A51B0">
        <w:rPr>
          <w:rFonts w:cs="Arial"/>
          <w:szCs w:val="20"/>
          <w:lang w:val="sl-SI"/>
        </w:rPr>
        <w:t>e.</w:t>
      </w:r>
      <w:r w:rsidRPr="002A51B0">
        <w:rPr>
          <w:rFonts w:cs="Arial"/>
          <w:szCs w:val="20"/>
          <w:lang w:val="sl-SI"/>
        </w:rPr>
        <w:tab/>
        <w:t>prekrivanje vidnega polja manjše od 5 % navpično in vodoravno;</w:t>
      </w:r>
    </w:p>
    <w:p w14:paraId="7451AD6B" w14:textId="70968E81" w:rsidR="002A51B0" w:rsidRPr="002A51B0" w:rsidRDefault="002A51B0" w:rsidP="00EF10D7">
      <w:pPr>
        <w:pStyle w:val="Odstavekseznama"/>
        <w:ind w:left="568"/>
        <w:jc w:val="both"/>
        <w:rPr>
          <w:rFonts w:cs="Arial"/>
          <w:szCs w:val="20"/>
          <w:lang w:val="sl-SI"/>
        </w:rPr>
      </w:pPr>
      <w:proofErr w:type="spellStart"/>
      <w:r w:rsidRPr="002A51B0">
        <w:rPr>
          <w:rFonts w:cs="Arial"/>
          <w:szCs w:val="20"/>
          <w:lang w:val="sl-SI"/>
        </w:rPr>
        <w:t>f.</w:t>
      </w:r>
      <w:proofErr w:type="spellEnd"/>
      <w:r w:rsidRPr="002A51B0">
        <w:rPr>
          <w:rFonts w:cs="Arial"/>
          <w:szCs w:val="20"/>
          <w:lang w:val="sl-SI"/>
        </w:rPr>
        <w:tab/>
      </w:r>
      <w:r w:rsidR="002355B1">
        <w:rPr>
          <w:rFonts w:cs="Arial"/>
          <w:szCs w:val="20"/>
          <w:lang w:val="sl-SI"/>
        </w:rPr>
        <w:tab/>
      </w:r>
      <w:r w:rsidRPr="002A51B0">
        <w:rPr>
          <w:rFonts w:cs="Arial"/>
          <w:szCs w:val="20"/>
          <w:lang w:val="sl-SI"/>
        </w:rPr>
        <w:t xml:space="preserve">prekrivanje vidnega polja manjše od 50 </w:t>
      </w:r>
      <w:proofErr w:type="spellStart"/>
      <w:r w:rsidRPr="002A51B0">
        <w:rPr>
          <w:rFonts w:cs="Arial"/>
          <w:szCs w:val="20"/>
          <w:lang w:val="sl-SI"/>
        </w:rPr>
        <w:t>nm</w:t>
      </w:r>
      <w:proofErr w:type="spellEnd"/>
      <w:r w:rsidRPr="002A51B0">
        <w:rPr>
          <w:rFonts w:cs="Arial"/>
          <w:szCs w:val="20"/>
          <w:lang w:val="sl-SI"/>
        </w:rPr>
        <w:t xml:space="preserve"> ter</w:t>
      </w:r>
    </w:p>
    <w:p w14:paraId="76B4F144" w14:textId="77777777" w:rsidR="002A51B0" w:rsidRPr="002A51B0" w:rsidRDefault="002A51B0" w:rsidP="00EF10D7">
      <w:pPr>
        <w:pStyle w:val="Odstavekseznama"/>
        <w:ind w:left="568"/>
        <w:jc w:val="both"/>
        <w:rPr>
          <w:rFonts w:cs="Arial"/>
          <w:szCs w:val="20"/>
          <w:lang w:val="sl-SI"/>
        </w:rPr>
      </w:pPr>
      <w:r w:rsidRPr="002A51B0">
        <w:rPr>
          <w:rFonts w:cs="Arial"/>
          <w:szCs w:val="20"/>
          <w:lang w:val="sl-SI"/>
        </w:rPr>
        <w:t>g.</w:t>
      </w:r>
      <w:r w:rsidRPr="002A51B0">
        <w:rPr>
          <w:rFonts w:cs="Arial"/>
          <w:szCs w:val="20"/>
          <w:lang w:val="sl-SI"/>
        </w:rPr>
        <w:tab/>
        <w:t>pospeševalna napetost je večja od 21 kV.</w:t>
      </w:r>
    </w:p>
    <w:p w14:paraId="1698B537" w14:textId="77777777" w:rsidR="002A51B0" w:rsidRPr="002A51B0" w:rsidRDefault="002A51B0" w:rsidP="00EF10D7">
      <w:pPr>
        <w:pStyle w:val="Odstavekseznama"/>
        <w:ind w:left="568"/>
        <w:jc w:val="both"/>
        <w:rPr>
          <w:rFonts w:cs="Arial"/>
          <w:szCs w:val="20"/>
          <w:lang w:val="sl-SI"/>
        </w:rPr>
      </w:pPr>
    </w:p>
    <w:p w14:paraId="7B6CCE07" w14:textId="77777777" w:rsidR="002A51B0" w:rsidRPr="009754FD" w:rsidRDefault="002A51B0" w:rsidP="00EF10D7">
      <w:pPr>
        <w:pStyle w:val="Odstavekseznama"/>
        <w:ind w:left="568"/>
        <w:jc w:val="both"/>
        <w:rPr>
          <w:rFonts w:cs="Arial"/>
          <w:i/>
          <w:iCs/>
          <w:szCs w:val="20"/>
          <w:lang w:val="sl-SI"/>
        </w:rPr>
      </w:pPr>
      <w:r w:rsidRPr="009754FD">
        <w:rPr>
          <w:rFonts w:cs="Arial"/>
          <w:i/>
          <w:iCs/>
          <w:szCs w:val="20"/>
          <w:lang w:val="sl-SI"/>
        </w:rPr>
        <w:lastRenderedPageBreak/>
        <w:t>Opomba 1:</w:t>
      </w:r>
    </w:p>
    <w:p w14:paraId="717043A6" w14:textId="77777777" w:rsidR="002A51B0" w:rsidRPr="009754FD" w:rsidRDefault="002A51B0" w:rsidP="00EF10D7">
      <w:pPr>
        <w:pStyle w:val="Odstavekseznama"/>
        <w:ind w:left="568"/>
        <w:jc w:val="both"/>
        <w:rPr>
          <w:rFonts w:cs="Arial"/>
          <w:i/>
          <w:iCs/>
          <w:szCs w:val="20"/>
          <w:lang w:val="sl-SI"/>
        </w:rPr>
      </w:pPr>
      <w:r w:rsidRPr="009754FD">
        <w:rPr>
          <w:rFonts w:cs="Arial"/>
          <w:i/>
          <w:iCs/>
          <w:szCs w:val="20"/>
          <w:lang w:val="sl-SI"/>
        </w:rPr>
        <w:t>3B1903 vključuje opremo SEM, zasnovano za obnovitev zasnove čipov.</w:t>
      </w:r>
    </w:p>
    <w:p w14:paraId="04C17EF1" w14:textId="77777777" w:rsidR="002A51B0" w:rsidRPr="009754FD" w:rsidRDefault="002A51B0" w:rsidP="00EF10D7">
      <w:pPr>
        <w:pStyle w:val="Odstavekseznama"/>
        <w:ind w:left="568"/>
        <w:jc w:val="both"/>
        <w:rPr>
          <w:rFonts w:cs="Arial"/>
          <w:i/>
          <w:iCs/>
          <w:szCs w:val="20"/>
          <w:lang w:val="sl-SI"/>
        </w:rPr>
      </w:pPr>
      <w:r w:rsidRPr="009754FD">
        <w:rPr>
          <w:rFonts w:cs="Arial"/>
          <w:i/>
          <w:iCs/>
          <w:szCs w:val="20"/>
          <w:lang w:val="sl-SI"/>
        </w:rPr>
        <w:t>Opomba 2:</w:t>
      </w:r>
    </w:p>
    <w:p w14:paraId="411299B5" w14:textId="54DE20E7" w:rsidR="002A51B0" w:rsidRPr="009754FD" w:rsidRDefault="002A51B0" w:rsidP="00EF10D7">
      <w:pPr>
        <w:pStyle w:val="Odstavekseznama"/>
        <w:ind w:left="568"/>
        <w:jc w:val="both"/>
        <w:rPr>
          <w:rFonts w:cs="Arial"/>
          <w:i/>
          <w:iCs/>
          <w:szCs w:val="20"/>
          <w:lang w:val="sl-SI"/>
        </w:rPr>
      </w:pPr>
      <w:r w:rsidRPr="009754FD">
        <w:rPr>
          <w:rFonts w:cs="Arial"/>
          <w:i/>
          <w:iCs/>
          <w:szCs w:val="20"/>
          <w:lang w:val="sl-SI"/>
        </w:rPr>
        <w:t>3B1903 se ne uporablja za opremo SEM, zasnovano za namestitev nosilcev za standardne SEMI rezine, na primer enotno kapsulo z odprtino na sprednji strani (FOUP) velikosti 200 mm ali več.</w:t>
      </w:r>
    </w:p>
    <w:p w14:paraId="4B2DDEC3" w14:textId="77777777" w:rsidR="002A51B0" w:rsidRDefault="002A51B0" w:rsidP="00EF10D7">
      <w:pPr>
        <w:pStyle w:val="Odstavekseznama"/>
        <w:ind w:left="2062"/>
        <w:jc w:val="both"/>
        <w:rPr>
          <w:rFonts w:cs="Arial"/>
          <w:szCs w:val="20"/>
          <w:lang w:val="sl-SI"/>
        </w:rPr>
      </w:pPr>
    </w:p>
    <w:p w14:paraId="43A06A86" w14:textId="575D6BFF" w:rsidR="002A51B0" w:rsidRPr="002A51B0" w:rsidRDefault="002A51B0" w:rsidP="00EF10D7">
      <w:pPr>
        <w:pStyle w:val="oj-normal"/>
        <w:shd w:val="clear" w:color="auto" w:fill="FFFFFF"/>
        <w:spacing w:before="120" w:beforeAutospacing="0" w:after="0" w:afterAutospacing="0"/>
        <w:ind w:left="568"/>
        <w:jc w:val="both"/>
        <w:rPr>
          <w:rFonts w:ascii="Arial" w:hAnsi="Arial" w:cs="Arial"/>
          <w:color w:val="000000"/>
          <w:sz w:val="20"/>
          <w:szCs w:val="20"/>
        </w:rPr>
      </w:pPr>
      <w:r w:rsidRPr="002A51B0">
        <w:rPr>
          <w:rStyle w:val="oj-bold"/>
          <w:rFonts w:ascii="Arial" w:hAnsi="Arial" w:cs="Arial"/>
          <w:b/>
          <w:bCs/>
          <w:color w:val="000000"/>
          <w:sz w:val="20"/>
          <w:szCs w:val="20"/>
        </w:rPr>
        <w:t>3B1904</w:t>
      </w:r>
      <w:r w:rsidRPr="002A51B0">
        <w:rPr>
          <w:rFonts w:ascii="Arial" w:hAnsi="Arial" w:cs="Arial"/>
          <w:color w:val="000000"/>
          <w:sz w:val="20"/>
          <w:szCs w:val="20"/>
        </w:rPr>
        <w:t>  oprema, zasnovana za suho jedkanje, ki ima vse naslednje značilnosti:</w:t>
      </w:r>
    </w:p>
    <w:tbl>
      <w:tblPr>
        <w:tblW w:w="5000" w:type="pct"/>
        <w:tblCellSpacing w:w="0" w:type="dxa"/>
        <w:tblInd w:w="568" w:type="dxa"/>
        <w:shd w:val="clear" w:color="auto" w:fill="FFFFFF"/>
        <w:tblCellMar>
          <w:left w:w="0" w:type="dxa"/>
          <w:right w:w="0" w:type="dxa"/>
        </w:tblCellMar>
        <w:tblLook w:val="04A0" w:firstRow="1" w:lastRow="0" w:firstColumn="1" w:lastColumn="0" w:noHBand="0" w:noVBand="1"/>
      </w:tblPr>
      <w:tblGrid>
        <w:gridCol w:w="167"/>
        <w:gridCol w:w="9465"/>
      </w:tblGrid>
      <w:tr w:rsidR="002A51B0" w:rsidRPr="002A51B0" w14:paraId="7C3A6902" w14:textId="77777777" w:rsidTr="00EF10D7">
        <w:trPr>
          <w:tblCellSpacing w:w="0" w:type="dxa"/>
        </w:trPr>
        <w:tc>
          <w:tcPr>
            <w:tcW w:w="0" w:type="auto"/>
            <w:shd w:val="clear" w:color="auto" w:fill="FFFFFF"/>
            <w:hideMark/>
          </w:tcPr>
          <w:p w14:paraId="7C236A99" w14:textId="77777777" w:rsidR="002A51B0" w:rsidRPr="002A51B0" w:rsidRDefault="002A51B0">
            <w:pPr>
              <w:pStyle w:val="oj-normal"/>
              <w:spacing w:before="120" w:beforeAutospacing="0" w:after="0" w:afterAutospacing="0"/>
              <w:jc w:val="both"/>
              <w:rPr>
                <w:rFonts w:ascii="Arial" w:hAnsi="Arial" w:cs="Arial"/>
                <w:color w:val="000000"/>
                <w:sz w:val="20"/>
                <w:szCs w:val="20"/>
              </w:rPr>
            </w:pPr>
            <w:r w:rsidRPr="002A51B0">
              <w:rPr>
                <w:rFonts w:ascii="Arial" w:hAnsi="Arial" w:cs="Arial"/>
                <w:color w:val="000000"/>
                <w:sz w:val="20"/>
                <w:szCs w:val="20"/>
              </w:rPr>
              <w:t>1.</w:t>
            </w:r>
          </w:p>
        </w:tc>
        <w:tc>
          <w:tcPr>
            <w:tcW w:w="0" w:type="auto"/>
            <w:shd w:val="clear" w:color="auto" w:fill="FFFFFF"/>
            <w:hideMark/>
          </w:tcPr>
          <w:p w14:paraId="75BD5A34" w14:textId="77777777" w:rsidR="002A51B0" w:rsidRPr="002A51B0" w:rsidRDefault="002A51B0">
            <w:pPr>
              <w:pStyle w:val="oj-normal"/>
              <w:spacing w:before="120" w:beforeAutospacing="0" w:after="0" w:afterAutospacing="0"/>
              <w:jc w:val="both"/>
              <w:rPr>
                <w:rFonts w:ascii="Arial" w:hAnsi="Arial" w:cs="Arial"/>
                <w:color w:val="000000"/>
                <w:sz w:val="20"/>
                <w:szCs w:val="20"/>
              </w:rPr>
            </w:pPr>
            <w:r w:rsidRPr="002A51B0">
              <w:rPr>
                <w:rFonts w:ascii="Arial" w:hAnsi="Arial" w:cs="Arial"/>
                <w:color w:val="000000"/>
                <w:sz w:val="20"/>
                <w:szCs w:val="20"/>
              </w:rPr>
              <w:t>oprema, zasnovana ali prirejena za izotropno suho jedkanje, pri katerem je „največja selektivnost jedkanja silicijevega germanija v primerjavi s silicijem (</w:t>
            </w:r>
            <w:proofErr w:type="spellStart"/>
            <w:r w:rsidRPr="002A51B0">
              <w:rPr>
                <w:rFonts w:ascii="Arial" w:hAnsi="Arial" w:cs="Arial"/>
                <w:color w:val="000000"/>
                <w:sz w:val="20"/>
                <w:szCs w:val="20"/>
              </w:rPr>
              <w:t>SiGe:Si</w:t>
            </w:r>
            <w:proofErr w:type="spellEnd"/>
            <w:r w:rsidRPr="002A51B0">
              <w:rPr>
                <w:rFonts w:ascii="Arial" w:hAnsi="Arial" w:cs="Arial"/>
                <w:color w:val="000000"/>
                <w:sz w:val="20"/>
                <w:szCs w:val="20"/>
              </w:rPr>
              <w:t>)“ enaka ali večja od 100:1, ali</w:t>
            </w:r>
          </w:p>
        </w:tc>
      </w:tr>
    </w:tbl>
    <w:p w14:paraId="67DB761F" w14:textId="77777777" w:rsidR="002A51B0" w:rsidRPr="002A51B0" w:rsidRDefault="002A51B0" w:rsidP="00EF10D7">
      <w:pPr>
        <w:ind w:left="568"/>
        <w:rPr>
          <w:rFonts w:cs="Arial"/>
          <w:vanish/>
          <w:szCs w:val="20"/>
        </w:rPr>
      </w:pPr>
    </w:p>
    <w:tbl>
      <w:tblPr>
        <w:tblW w:w="5000" w:type="pct"/>
        <w:tblCellSpacing w:w="0" w:type="dxa"/>
        <w:tblInd w:w="568" w:type="dxa"/>
        <w:shd w:val="clear" w:color="auto" w:fill="FFFFFF"/>
        <w:tblCellMar>
          <w:left w:w="0" w:type="dxa"/>
          <w:right w:w="0" w:type="dxa"/>
        </w:tblCellMar>
        <w:tblLook w:val="04A0" w:firstRow="1" w:lastRow="0" w:firstColumn="1" w:lastColumn="0" w:noHBand="0" w:noVBand="1"/>
      </w:tblPr>
      <w:tblGrid>
        <w:gridCol w:w="170"/>
        <w:gridCol w:w="9462"/>
      </w:tblGrid>
      <w:tr w:rsidR="002A51B0" w:rsidRPr="002A51B0" w14:paraId="7DF97EDA" w14:textId="77777777" w:rsidTr="00EF10D7">
        <w:trPr>
          <w:tblCellSpacing w:w="0" w:type="dxa"/>
        </w:trPr>
        <w:tc>
          <w:tcPr>
            <w:tcW w:w="0" w:type="auto"/>
            <w:shd w:val="clear" w:color="auto" w:fill="FFFFFF"/>
            <w:hideMark/>
          </w:tcPr>
          <w:p w14:paraId="694F81F7" w14:textId="77777777" w:rsidR="002A51B0" w:rsidRPr="002A51B0" w:rsidRDefault="002A51B0">
            <w:pPr>
              <w:pStyle w:val="oj-normal"/>
              <w:spacing w:before="120" w:beforeAutospacing="0" w:after="0" w:afterAutospacing="0"/>
              <w:jc w:val="both"/>
              <w:rPr>
                <w:rFonts w:ascii="Arial" w:hAnsi="Arial" w:cs="Arial"/>
                <w:color w:val="000000"/>
                <w:sz w:val="20"/>
                <w:szCs w:val="20"/>
              </w:rPr>
            </w:pPr>
            <w:r w:rsidRPr="002A51B0">
              <w:rPr>
                <w:rFonts w:ascii="Arial" w:hAnsi="Arial" w:cs="Arial"/>
                <w:color w:val="000000"/>
                <w:sz w:val="20"/>
                <w:szCs w:val="20"/>
              </w:rPr>
              <w:t>2.</w:t>
            </w:r>
          </w:p>
        </w:tc>
        <w:tc>
          <w:tcPr>
            <w:tcW w:w="0" w:type="auto"/>
            <w:shd w:val="clear" w:color="auto" w:fill="FFFFFF"/>
            <w:hideMark/>
          </w:tcPr>
          <w:p w14:paraId="2A39C07E" w14:textId="77777777" w:rsidR="002A51B0" w:rsidRPr="002A51B0" w:rsidRDefault="002A51B0">
            <w:pPr>
              <w:pStyle w:val="oj-normal"/>
              <w:spacing w:before="120" w:beforeAutospacing="0" w:after="0" w:afterAutospacing="0"/>
              <w:jc w:val="both"/>
              <w:rPr>
                <w:rFonts w:ascii="Arial" w:hAnsi="Arial" w:cs="Arial"/>
                <w:color w:val="000000"/>
                <w:sz w:val="20"/>
                <w:szCs w:val="20"/>
              </w:rPr>
            </w:pPr>
            <w:r w:rsidRPr="002A51B0">
              <w:rPr>
                <w:rFonts w:ascii="Arial" w:hAnsi="Arial" w:cs="Arial"/>
                <w:color w:val="000000"/>
                <w:sz w:val="20"/>
                <w:szCs w:val="20"/>
              </w:rPr>
              <w:t>oprema, zasnovana ali prirejena za anizotropno suho jedkanje, ki ima vse naslednje značilnosti:</w:t>
            </w:r>
          </w:p>
          <w:tbl>
            <w:tblPr>
              <w:tblW w:w="5000" w:type="pct"/>
              <w:tblCellSpacing w:w="0" w:type="dxa"/>
              <w:tblCellMar>
                <w:left w:w="0" w:type="dxa"/>
                <w:right w:w="0" w:type="dxa"/>
              </w:tblCellMar>
              <w:tblLook w:val="04A0" w:firstRow="1" w:lastRow="0" w:firstColumn="1" w:lastColumn="0" w:noHBand="0" w:noVBand="1"/>
            </w:tblPr>
            <w:tblGrid>
              <w:gridCol w:w="201"/>
              <w:gridCol w:w="9261"/>
            </w:tblGrid>
            <w:tr w:rsidR="002A51B0" w:rsidRPr="002A51B0" w14:paraId="65F2B078" w14:textId="77777777">
              <w:trPr>
                <w:tblCellSpacing w:w="0" w:type="dxa"/>
              </w:trPr>
              <w:tc>
                <w:tcPr>
                  <w:tcW w:w="0" w:type="auto"/>
                  <w:hideMark/>
                </w:tcPr>
                <w:p w14:paraId="049A5A80" w14:textId="77777777" w:rsidR="002A51B0" w:rsidRPr="002A51B0" w:rsidRDefault="002A51B0">
                  <w:pPr>
                    <w:pStyle w:val="oj-normal"/>
                    <w:spacing w:before="120" w:beforeAutospacing="0" w:after="0" w:afterAutospacing="0"/>
                    <w:jc w:val="both"/>
                    <w:rPr>
                      <w:rFonts w:ascii="Arial" w:hAnsi="Arial" w:cs="Arial"/>
                      <w:sz w:val="20"/>
                      <w:szCs w:val="20"/>
                    </w:rPr>
                  </w:pPr>
                  <w:r w:rsidRPr="002A51B0">
                    <w:rPr>
                      <w:rFonts w:ascii="Arial" w:hAnsi="Arial" w:cs="Arial"/>
                      <w:sz w:val="20"/>
                      <w:szCs w:val="20"/>
                    </w:rPr>
                    <w:t>a.</w:t>
                  </w:r>
                </w:p>
              </w:tc>
              <w:tc>
                <w:tcPr>
                  <w:tcW w:w="0" w:type="auto"/>
                  <w:hideMark/>
                </w:tcPr>
                <w:p w14:paraId="308E80DF" w14:textId="77777777" w:rsidR="002A51B0" w:rsidRPr="002A51B0" w:rsidRDefault="002A51B0">
                  <w:pPr>
                    <w:pStyle w:val="oj-normal"/>
                    <w:spacing w:before="120" w:beforeAutospacing="0" w:after="0" w:afterAutospacing="0"/>
                    <w:jc w:val="both"/>
                    <w:rPr>
                      <w:rFonts w:ascii="Arial" w:hAnsi="Arial" w:cs="Arial"/>
                      <w:sz w:val="20"/>
                      <w:szCs w:val="20"/>
                    </w:rPr>
                  </w:pPr>
                  <w:r w:rsidRPr="002A51B0">
                    <w:rPr>
                      <w:rFonts w:ascii="Arial" w:hAnsi="Arial" w:cs="Arial"/>
                      <w:sz w:val="20"/>
                      <w:szCs w:val="20"/>
                    </w:rPr>
                    <w:t>viri energije za radijsko frekvenco (RF) z vsaj eno impulzno izhodno radijsko frekvenco;</w:t>
                  </w:r>
                </w:p>
              </w:tc>
            </w:tr>
          </w:tbl>
          <w:p w14:paraId="2A68D40C" w14:textId="77777777" w:rsidR="002A51B0" w:rsidRPr="002A51B0" w:rsidRDefault="002A51B0">
            <w:pPr>
              <w:rPr>
                <w:rFonts w:cs="Arial"/>
                <w:vanish/>
                <w:color w:val="000000"/>
                <w:szCs w:val="20"/>
              </w:rPr>
            </w:pPr>
          </w:p>
          <w:tbl>
            <w:tblPr>
              <w:tblW w:w="5000" w:type="pct"/>
              <w:tblCellSpacing w:w="0" w:type="dxa"/>
              <w:tblCellMar>
                <w:left w:w="0" w:type="dxa"/>
                <w:right w:w="0" w:type="dxa"/>
              </w:tblCellMar>
              <w:tblLook w:val="04A0" w:firstRow="1" w:lastRow="0" w:firstColumn="1" w:lastColumn="0" w:noHBand="0" w:noVBand="1"/>
            </w:tblPr>
            <w:tblGrid>
              <w:gridCol w:w="177"/>
              <w:gridCol w:w="9285"/>
            </w:tblGrid>
            <w:tr w:rsidR="002A51B0" w:rsidRPr="002A51B0" w14:paraId="7615E64E" w14:textId="77777777">
              <w:trPr>
                <w:tblCellSpacing w:w="0" w:type="dxa"/>
              </w:trPr>
              <w:tc>
                <w:tcPr>
                  <w:tcW w:w="0" w:type="auto"/>
                  <w:hideMark/>
                </w:tcPr>
                <w:p w14:paraId="129B8BC8" w14:textId="77777777" w:rsidR="002A51B0" w:rsidRPr="002A51B0" w:rsidRDefault="002A51B0">
                  <w:pPr>
                    <w:pStyle w:val="oj-normal"/>
                    <w:spacing w:before="120" w:beforeAutospacing="0" w:after="0" w:afterAutospacing="0"/>
                    <w:jc w:val="both"/>
                    <w:rPr>
                      <w:rFonts w:ascii="Arial" w:hAnsi="Arial" w:cs="Arial"/>
                      <w:sz w:val="20"/>
                      <w:szCs w:val="20"/>
                    </w:rPr>
                  </w:pPr>
                  <w:r w:rsidRPr="002A51B0">
                    <w:rPr>
                      <w:rFonts w:ascii="Arial" w:hAnsi="Arial" w:cs="Arial"/>
                      <w:sz w:val="20"/>
                      <w:szCs w:val="20"/>
                    </w:rPr>
                    <w:t>b.</w:t>
                  </w:r>
                </w:p>
              </w:tc>
              <w:tc>
                <w:tcPr>
                  <w:tcW w:w="0" w:type="auto"/>
                  <w:hideMark/>
                </w:tcPr>
                <w:p w14:paraId="744E2CB4" w14:textId="77777777" w:rsidR="002A51B0" w:rsidRPr="002A51B0" w:rsidRDefault="002A51B0">
                  <w:pPr>
                    <w:pStyle w:val="oj-normal"/>
                    <w:spacing w:before="120" w:beforeAutospacing="0" w:after="0" w:afterAutospacing="0"/>
                    <w:jc w:val="both"/>
                    <w:rPr>
                      <w:rFonts w:ascii="Arial" w:hAnsi="Arial" w:cs="Arial"/>
                      <w:sz w:val="20"/>
                      <w:szCs w:val="20"/>
                    </w:rPr>
                  </w:pPr>
                  <w:r w:rsidRPr="002A51B0">
                    <w:rPr>
                      <w:rFonts w:ascii="Arial" w:hAnsi="Arial" w:cs="Arial"/>
                      <w:sz w:val="20"/>
                      <w:szCs w:val="20"/>
                    </w:rPr>
                    <w:t>eden ali več ventilov za hitro preklapljanje plina s preklopnim časom, krajšim od 300 milisekund, ter</w:t>
                  </w:r>
                </w:p>
              </w:tc>
            </w:tr>
          </w:tbl>
          <w:p w14:paraId="41313459" w14:textId="77777777" w:rsidR="002A51B0" w:rsidRPr="002A51B0" w:rsidRDefault="002A51B0">
            <w:pPr>
              <w:rPr>
                <w:rFonts w:cs="Arial"/>
                <w:vanish/>
                <w:color w:val="000000"/>
                <w:szCs w:val="20"/>
              </w:rPr>
            </w:pPr>
          </w:p>
          <w:tbl>
            <w:tblPr>
              <w:tblW w:w="5000" w:type="pct"/>
              <w:tblCellSpacing w:w="0" w:type="dxa"/>
              <w:tblCellMar>
                <w:left w:w="0" w:type="dxa"/>
                <w:right w:w="0" w:type="dxa"/>
              </w:tblCellMar>
              <w:tblLook w:val="04A0" w:firstRow="1" w:lastRow="0" w:firstColumn="1" w:lastColumn="0" w:noHBand="0" w:noVBand="1"/>
            </w:tblPr>
            <w:tblGrid>
              <w:gridCol w:w="159"/>
              <w:gridCol w:w="9303"/>
            </w:tblGrid>
            <w:tr w:rsidR="002A51B0" w:rsidRPr="002A51B0" w14:paraId="4679129C" w14:textId="77777777">
              <w:trPr>
                <w:tblCellSpacing w:w="0" w:type="dxa"/>
              </w:trPr>
              <w:tc>
                <w:tcPr>
                  <w:tcW w:w="0" w:type="auto"/>
                  <w:hideMark/>
                </w:tcPr>
                <w:p w14:paraId="17B21778" w14:textId="77777777" w:rsidR="002A51B0" w:rsidRPr="002A51B0" w:rsidRDefault="002A51B0">
                  <w:pPr>
                    <w:pStyle w:val="oj-normal"/>
                    <w:spacing w:before="120" w:beforeAutospacing="0" w:after="0" w:afterAutospacing="0"/>
                    <w:jc w:val="both"/>
                    <w:rPr>
                      <w:rFonts w:ascii="Arial" w:hAnsi="Arial" w:cs="Arial"/>
                      <w:sz w:val="20"/>
                      <w:szCs w:val="20"/>
                    </w:rPr>
                  </w:pPr>
                  <w:r w:rsidRPr="002A51B0">
                    <w:rPr>
                      <w:rFonts w:ascii="Arial" w:hAnsi="Arial" w:cs="Arial"/>
                      <w:sz w:val="20"/>
                      <w:szCs w:val="20"/>
                    </w:rPr>
                    <w:t>c.</w:t>
                  </w:r>
                </w:p>
              </w:tc>
              <w:tc>
                <w:tcPr>
                  <w:tcW w:w="0" w:type="auto"/>
                  <w:hideMark/>
                </w:tcPr>
                <w:p w14:paraId="263B27F8" w14:textId="77777777" w:rsidR="002A51B0" w:rsidRPr="002A51B0" w:rsidRDefault="002A51B0">
                  <w:pPr>
                    <w:pStyle w:val="oj-normal"/>
                    <w:spacing w:before="120" w:beforeAutospacing="0" w:after="0" w:afterAutospacing="0"/>
                    <w:jc w:val="both"/>
                    <w:rPr>
                      <w:rFonts w:ascii="Arial" w:hAnsi="Arial" w:cs="Arial"/>
                      <w:sz w:val="20"/>
                      <w:szCs w:val="20"/>
                    </w:rPr>
                  </w:pPr>
                  <w:r w:rsidRPr="002A51B0">
                    <w:rPr>
                      <w:rFonts w:ascii="Arial" w:hAnsi="Arial" w:cs="Arial"/>
                      <w:sz w:val="20"/>
                      <w:szCs w:val="20"/>
                    </w:rPr>
                    <w:t>elektrostatična vpenjalna priprava z dvajsetimi ali več krmiljenimi elementi za spremenljivo temperaturo.</w:t>
                  </w:r>
                </w:p>
              </w:tc>
            </w:tr>
          </w:tbl>
          <w:p w14:paraId="2DCBC962" w14:textId="77777777" w:rsidR="002A51B0" w:rsidRPr="002A51B0" w:rsidRDefault="002A51B0">
            <w:pPr>
              <w:rPr>
                <w:rFonts w:cs="Arial"/>
                <w:color w:val="000000"/>
                <w:szCs w:val="20"/>
              </w:rPr>
            </w:pPr>
          </w:p>
        </w:tc>
      </w:tr>
    </w:tbl>
    <w:p w14:paraId="6784719F" w14:textId="77777777" w:rsidR="002A51B0" w:rsidRPr="002A51B0" w:rsidRDefault="002A51B0" w:rsidP="00EF10D7">
      <w:pPr>
        <w:pStyle w:val="oj-ti-annotation"/>
        <w:shd w:val="clear" w:color="auto" w:fill="FFFFFF"/>
        <w:spacing w:before="120" w:beforeAutospacing="0" w:after="0" w:afterAutospacing="0"/>
        <w:ind w:left="568"/>
        <w:rPr>
          <w:rFonts w:ascii="Arial" w:hAnsi="Arial" w:cs="Arial"/>
          <w:i/>
          <w:iCs/>
          <w:color w:val="000000"/>
          <w:sz w:val="20"/>
          <w:szCs w:val="20"/>
        </w:rPr>
      </w:pPr>
      <w:r w:rsidRPr="002A51B0">
        <w:rPr>
          <w:rStyle w:val="oj-underline"/>
          <w:rFonts w:ascii="Arial" w:hAnsi="Arial" w:cs="Arial"/>
          <w:i/>
          <w:iCs/>
          <w:color w:val="000000"/>
          <w:sz w:val="20"/>
          <w:szCs w:val="20"/>
          <w:u w:val="single"/>
        </w:rPr>
        <w:t>Opomba 1:</w:t>
      </w:r>
    </w:p>
    <w:p w14:paraId="5F07C77D" w14:textId="77777777" w:rsidR="002A51B0" w:rsidRPr="002A51B0" w:rsidRDefault="002A51B0" w:rsidP="00EF10D7">
      <w:pPr>
        <w:pStyle w:val="oj-normal"/>
        <w:shd w:val="clear" w:color="auto" w:fill="FFFFFF"/>
        <w:spacing w:before="120" w:beforeAutospacing="0" w:after="0" w:afterAutospacing="0"/>
        <w:ind w:left="568"/>
        <w:jc w:val="both"/>
        <w:rPr>
          <w:rFonts w:ascii="Arial" w:hAnsi="Arial" w:cs="Arial"/>
          <w:color w:val="000000"/>
          <w:sz w:val="20"/>
          <w:szCs w:val="20"/>
        </w:rPr>
      </w:pPr>
      <w:r w:rsidRPr="002A51B0">
        <w:rPr>
          <w:rStyle w:val="oj-italic"/>
          <w:rFonts w:ascii="Arial" w:hAnsi="Arial" w:cs="Arial"/>
          <w:i/>
          <w:iCs/>
          <w:color w:val="000000"/>
          <w:sz w:val="20"/>
          <w:szCs w:val="20"/>
        </w:rPr>
        <w:t xml:space="preserve">3B1904 vključuje jedkanje z „radikali“, ioni, zaporednimi reakcijami ali </w:t>
      </w:r>
      <w:proofErr w:type="spellStart"/>
      <w:r w:rsidRPr="002A51B0">
        <w:rPr>
          <w:rStyle w:val="oj-italic"/>
          <w:rFonts w:ascii="Arial" w:hAnsi="Arial" w:cs="Arial"/>
          <w:i/>
          <w:iCs/>
          <w:color w:val="000000"/>
          <w:sz w:val="20"/>
          <w:szCs w:val="20"/>
        </w:rPr>
        <w:t>nezaporednimi</w:t>
      </w:r>
      <w:proofErr w:type="spellEnd"/>
      <w:r w:rsidRPr="002A51B0">
        <w:rPr>
          <w:rStyle w:val="oj-italic"/>
          <w:rFonts w:ascii="Arial" w:hAnsi="Arial" w:cs="Arial"/>
          <w:i/>
          <w:iCs/>
          <w:color w:val="000000"/>
          <w:sz w:val="20"/>
          <w:szCs w:val="20"/>
        </w:rPr>
        <w:t xml:space="preserve"> reakcijami.</w:t>
      </w:r>
    </w:p>
    <w:p w14:paraId="487CE15F" w14:textId="77777777" w:rsidR="002A51B0" w:rsidRPr="002A51B0" w:rsidRDefault="002A51B0" w:rsidP="00EF10D7">
      <w:pPr>
        <w:pStyle w:val="oj-ti-annotation"/>
        <w:shd w:val="clear" w:color="auto" w:fill="FFFFFF"/>
        <w:spacing w:before="120" w:beforeAutospacing="0" w:after="0" w:afterAutospacing="0"/>
        <w:ind w:left="568"/>
        <w:rPr>
          <w:rFonts w:ascii="Arial" w:hAnsi="Arial" w:cs="Arial"/>
          <w:i/>
          <w:iCs/>
          <w:color w:val="000000"/>
          <w:sz w:val="20"/>
          <w:szCs w:val="20"/>
        </w:rPr>
      </w:pPr>
      <w:r w:rsidRPr="002A51B0">
        <w:rPr>
          <w:rStyle w:val="oj-underline"/>
          <w:rFonts w:ascii="Arial" w:hAnsi="Arial" w:cs="Arial"/>
          <w:i/>
          <w:iCs/>
          <w:color w:val="000000"/>
          <w:sz w:val="20"/>
          <w:szCs w:val="20"/>
          <w:u w:val="single"/>
        </w:rPr>
        <w:t>Opomba 2:</w:t>
      </w:r>
    </w:p>
    <w:p w14:paraId="79DEE6FB" w14:textId="77777777" w:rsidR="002A51B0" w:rsidRPr="002A51B0" w:rsidRDefault="002A51B0" w:rsidP="00EF10D7">
      <w:pPr>
        <w:pStyle w:val="oj-normal"/>
        <w:shd w:val="clear" w:color="auto" w:fill="FFFFFF"/>
        <w:spacing w:before="120" w:beforeAutospacing="0" w:after="0" w:afterAutospacing="0"/>
        <w:ind w:left="568"/>
        <w:jc w:val="both"/>
        <w:rPr>
          <w:rFonts w:ascii="Arial" w:hAnsi="Arial" w:cs="Arial"/>
          <w:color w:val="000000"/>
          <w:sz w:val="20"/>
          <w:szCs w:val="20"/>
        </w:rPr>
      </w:pPr>
      <w:r w:rsidRPr="002A51B0">
        <w:rPr>
          <w:rStyle w:val="oj-italic"/>
          <w:rFonts w:ascii="Arial" w:hAnsi="Arial" w:cs="Arial"/>
          <w:i/>
          <w:iCs/>
          <w:color w:val="000000"/>
          <w:sz w:val="20"/>
          <w:szCs w:val="20"/>
        </w:rPr>
        <w:t xml:space="preserve">3B1904 vključuje jedkanje s plazmo, vzbujeno z RF impulzi, plazmo, vzbujeno z impulznim obratovalnim ciklom, plazmo, modificirano z impulzno napetostjo na elektrodah, cikličnim vbrizgavanjem in odstranjevanjem plinov v kombinaciji s plazmo, jedkanje atomske plasti s plazmo ali jedkanje </w:t>
      </w:r>
      <w:proofErr w:type="spellStart"/>
      <w:r w:rsidRPr="002A51B0">
        <w:rPr>
          <w:rStyle w:val="oj-italic"/>
          <w:rFonts w:ascii="Arial" w:hAnsi="Arial" w:cs="Arial"/>
          <w:i/>
          <w:iCs/>
          <w:color w:val="000000"/>
          <w:sz w:val="20"/>
          <w:szCs w:val="20"/>
        </w:rPr>
        <w:t>kvaziatomske</w:t>
      </w:r>
      <w:proofErr w:type="spellEnd"/>
      <w:r w:rsidRPr="002A51B0">
        <w:rPr>
          <w:rStyle w:val="oj-italic"/>
          <w:rFonts w:ascii="Arial" w:hAnsi="Arial" w:cs="Arial"/>
          <w:i/>
          <w:iCs/>
          <w:color w:val="000000"/>
          <w:sz w:val="20"/>
          <w:szCs w:val="20"/>
        </w:rPr>
        <w:t xml:space="preserve"> plasti s plazmo.</w:t>
      </w:r>
    </w:p>
    <w:p w14:paraId="7750137B" w14:textId="77777777" w:rsidR="002A51B0" w:rsidRPr="002A51B0" w:rsidRDefault="002A51B0" w:rsidP="00EF10D7">
      <w:pPr>
        <w:pStyle w:val="oj-ti-annotation"/>
        <w:shd w:val="clear" w:color="auto" w:fill="FFFFFF"/>
        <w:spacing w:before="120" w:beforeAutospacing="0" w:after="0" w:afterAutospacing="0"/>
        <w:ind w:left="568"/>
        <w:rPr>
          <w:rFonts w:ascii="Arial" w:hAnsi="Arial" w:cs="Arial"/>
          <w:i/>
          <w:iCs/>
          <w:color w:val="000000"/>
          <w:sz w:val="20"/>
          <w:szCs w:val="20"/>
        </w:rPr>
      </w:pPr>
      <w:r w:rsidRPr="002A51B0">
        <w:rPr>
          <w:rStyle w:val="oj-underline"/>
          <w:rFonts w:ascii="Arial" w:hAnsi="Arial" w:cs="Arial"/>
          <w:i/>
          <w:iCs/>
          <w:color w:val="000000"/>
          <w:sz w:val="20"/>
          <w:szCs w:val="20"/>
          <w:u w:val="single"/>
        </w:rPr>
        <w:t>Tehnična opomba 1:</w:t>
      </w:r>
    </w:p>
    <w:p w14:paraId="56084FE4" w14:textId="77777777" w:rsidR="002A51B0" w:rsidRPr="002A51B0" w:rsidRDefault="002A51B0" w:rsidP="00EF10D7">
      <w:pPr>
        <w:pStyle w:val="oj-normal"/>
        <w:shd w:val="clear" w:color="auto" w:fill="FFFFFF"/>
        <w:spacing w:before="120" w:beforeAutospacing="0" w:after="0" w:afterAutospacing="0"/>
        <w:ind w:left="568"/>
        <w:jc w:val="both"/>
        <w:rPr>
          <w:rFonts w:ascii="Arial" w:hAnsi="Arial" w:cs="Arial"/>
          <w:color w:val="000000"/>
          <w:sz w:val="20"/>
          <w:szCs w:val="20"/>
        </w:rPr>
      </w:pPr>
      <w:r w:rsidRPr="002A51B0">
        <w:rPr>
          <w:rStyle w:val="oj-italic"/>
          <w:rFonts w:ascii="Arial" w:hAnsi="Arial" w:cs="Arial"/>
          <w:i/>
          <w:iCs/>
          <w:color w:val="000000"/>
          <w:sz w:val="20"/>
          <w:szCs w:val="20"/>
        </w:rPr>
        <w:t>Za namene 3B1904 se „selektivnost jedkanja silicijevega germanija v primerjavi s silicijem (</w:t>
      </w:r>
      <w:proofErr w:type="spellStart"/>
      <w:r w:rsidRPr="002A51B0">
        <w:rPr>
          <w:rStyle w:val="oj-italic"/>
          <w:rFonts w:ascii="Arial" w:hAnsi="Arial" w:cs="Arial"/>
          <w:i/>
          <w:iCs/>
          <w:color w:val="000000"/>
          <w:sz w:val="20"/>
          <w:szCs w:val="20"/>
        </w:rPr>
        <w:t>SiGe:Si</w:t>
      </w:r>
      <w:proofErr w:type="spellEnd"/>
      <w:r w:rsidRPr="002A51B0">
        <w:rPr>
          <w:rStyle w:val="oj-italic"/>
          <w:rFonts w:ascii="Arial" w:hAnsi="Arial" w:cs="Arial"/>
          <w:i/>
          <w:iCs/>
          <w:color w:val="000000"/>
          <w:sz w:val="20"/>
          <w:szCs w:val="20"/>
        </w:rPr>
        <w:t xml:space="preserve">)“ meri pri koncentraciji </w:t>
      </w:r>
      <w:proofErr w:type="spellStart"/>
      <w:r w:rsidRPr="002A51B0">
        <w:rPr>
          <w:rStyle w:val="oj-italic"/>
          <w:rFonts w:ascii="Arial" w:hAnsi="Arial" w:cs="Arial"/>
          <w:i/>
          <w:iCs/>
          <w:color w:val="000000"/>
          <w:sz w:val="20"/>
          <w:szCs w:val="20"/>
        </w:rPr>
        <w:t>Ge</w:t>
      </w:r>
      <w:proofErr w:type="spellEnd"/>
      <w:r w:rsidRPr="002A51B0">
        <w:rPr>
          <w:rStyle w:val="oj-italic"/>
          <w:rFonts w:ascii="Arial" w:hAnsi="Arial" w:cs="Arial"/>
          <w:i/>
          <w:iCs/>
          <w:color w:val="000000"/>
          <w:sz w:val="20"/>
          <w:szCs w:val="20"/>
        </w:rPr>
        <w:t>, ki je enaka ali večja od 30 % (Si0.70Ge0.30).</w:t>
      </w:r>
    </w:p>
    <w:p w14:paraId="17EDC18F" w14:textId="77777777" w:rsidR="002A51B0" w:rsidRPr="002A51B0" w:rsidRDefault="002A51B0" w:rsidP="00EF10D7">
      <w:pPr>
        <w:pStyle w:val="oj-ti-annotation"/>
        <w:shd w:val="clear" w:color="auto" w:fill="FFFFFF"/>
        <w:spacing w:before="120" w:beforeAutospacing="0" w:after="0" w:afterAutospacing="0"/>
        <w:ind w:left="568"/>
        <w:rPr>
          <w:rFonts w:ascii="Arial" w:hAnsi="Arial" w:cs="Arial"/>
          <w:i/>
          <w:iCs/>
          <w:color w:val="000000"/>
          <w:sz w:val="20"/>
          <w:szCs w:val="20"/>
        </w:rPr>
      </w:pPr>
      <w:r w:rsidRPr="002A51B0">
        <w:rPr>
          <w:rStyle w:val="oj-underline"/>
          <w:rFonts w:ascii="Arial" w:hAnsi="Arial" w:cs="Arial"/>
          <w:i/>
          <w:iCs/>
          <w:color w:val="000000"/>
          <w:sz w:val="20"/>
          <w:szCs w:val="20"/>
          <w:u w:val="single"/>
        </w:rPr>
        <w:t>Tehnična opomba 2:</w:t>
      </w:r>
    </w:p>
    <w:p w14:paraId="17275BBA" w14:textId="77777777" w:rsidR="002A51B0" w:rsidRPr="002A51B0" w:rsidRDefault="002A51B0" w:rsidP="00EF10D7">
      <w:pPr>
        <w:pStyle w:val="oj-normal"/>
        <w:shd w:val="clear" w:color="auto" w:fill="FFFFFF"/>
        <w:spacing w:before="120" w:beforeAutospacing="0" w:after="0" w:afterAutospacing="0"/>
        <w:ind w:left="568"/>
        <w:jc w:val="both"/>
        <w:rPr>
          <w:rFonts w:ascii="Arial" w:hAnsi="Arial" w:cs="Arial"/>
          <w:color w:val="000000"/>
          <w:sz w:val="20"/>
          <w:szCs w:val="20"/>
        </w:rPr>
      </w:pPr>
      <w:r w:rsidRPr="002A51B0">
        <w:rPr>
          <w:rStyle w:val="oj-italic"/>
          <w:rFonts w:ascii="Arial" w:hAnsi="Arial" w:cs="Arial"/>
          <w:i/>
          <w:iCs/>
          <w:color w:val="000000"/>
          <w:sz w:val="20"/>
          <w:szCs w:val="20"/>
        </w:rPr>
        <w:t>Za namene 3B1904 je „radikal“ opredeljen kot atom, molekula ali ion, ki ima neparni elektron v konfiguraciji odprte elektronske lupine.</w:t>
      </w:r>
    </w:p>
    <w:p w14:paraId="6C18C647" w14:textId="77777777" w:rsidR="004707C2" w:rsidRDefault="004707C2" w:rsidP="00EF10D7">
      <w:pPr>
        <w:ind w:left="568"/>
        <w:jc w:val="both"/>
        <w:rPr>
          <w:rFonts w:cs="Arial"/>
          <w:szCs w:val="20"/>
          <w:lang w:val="sl-SI"/>
        </w:rPr>
      </w:pPr>
    </w:p>
    <w:p w14:paraId="370652A3" w14:textId="77777777" w:rsidR="004707C2" w:rsidRPr="00EF10D7" w:rsidRDefault="004707C2" w:rsidP="00EF10D7">
      <w:pPr>
        <w:ind w:left="568"/>
        <w:jc w:val="both"/>
        <w:rPr>
          <w:b/>
          <w:bCs/>
          <w:color w:val="000000"/>
          <w:u w:val="single"/>
          <w:shd w:val="clear" w:color="auto" w:fill="FFFFFF"/>
        </w:rPr>
      </w:pPr>
      <w:r w:rsidRPr="00EF10D7">
        <w:rPr>
          <w:b/>
          <w:bCs/>
          <w:color w:val="000000"/>
          <w:u w:val="single"/>
          <w:shd w:val="clear" w:color="auto" w:fill="FFFFFF"/>
        </w:rPr>
        <w:t xml:space="preserve">3D </w:t>
      </w:r>
      <w:proofErr w:type="spellStart"/>
      <w:r w:rsidRPr="00EF10D7">
        <w:rPr>
          <w:b/>
          <w:bCs/>
          <w:color w:val="000000"/>
          <w:u w:val="single"/>
          <w:shd w:val="clear" w:color="auto" w:fill="FFFFFF"/>
        </w:rPr>
        <w:t>Programska</w:t>
      </w:r>
      <w:proofErr w:type="spellEnd"/>
      <w:r w:rsidRPr="00EF10D7">
        <w:rPr>
          <w:b/>
          <w:bCs/>
          <w:color w:val="000000"/>
          <w:u w:val="single"/>
          <w:shd w:val="clear" w:color="auto" w:fill="FFFFFF"/>
        </w:rPr>
        <w:t xml:space="preserve"> </w:t>
      </w:r>
      <w:proofErr w:type="spellStart"/>
      <w:r w:rsidRPr="00EF10D7">
        <w:rPr>
          <w:b/>
          <w:bCs/>
          <w:color w:val="000000"/>
          <w:u w:val="single"/>
          <w:shd w:val="clear" w:color="auto" w:fill="FFFFFF"/>
        </w:rPr>
        <w:t>oprema</w:t>
      </w:r>
      <w:proofErr w:type="spellEnd"/>
    </w:p>
    <w:p w14:paraId="4D6B7738" w14:textId="622FF1C2" w:rsidR="004707C2" w:rsidRPr="004707C2" w:rsidRDefault="004707C2" w:rsidP="00EF10D7">
      <w:pPr>
        <w:ind w:left="568"/>
        <w:jc w:val="both"/>
        <w:rPr>
          <w:rFonts w:cs="Arial"/>
          <w:szCs w:val="20"/>
          <w:lang w:val="sl-SI"/>
        </w:rPr>
      </w:pPr>
      <w:r w:rsidRPr="00EF10D7">
        <w:rPr>
          <w:rFonts w:cs="Arial"/>
          <w:b/>
          <w:bCs/>
          <w:szCs w:val="20"/>
          <w:lang w:val="sl-SI"/>
        </w:rPr>
        <w:t>3D1902</w:t>
      </w:r>
      <w:r w:rsidRPr="004707C2">
        <w:rPr>
          <w:rFonts w:cs="Arial"/>
          <w:szCs w:val="20"/>
          <w:lang w:val="sl-SI"/>
        </w:rPr>
        <w:t xml:space="preserve"> „programska oprema“, posebej zasnovana za „uporabo“ opreme iz točke 3B1904.</w:t>
      </w:r>
    </w:p>
    <w:p w14:paraId="2EC9748A" w14:textId="77777777" w:rsidR="004707C2" w:rsidRPr="004707C2" w:rsidRDefault="004707C2" w:rsidP="00EF10D7">
      <w:pPr>
        <w:ind w:left="568"/>
        <w:jc w:val="both"/>
        <w:rPr>
          <w:rFonts w:cs="Arial"/>
          <w:szCs w:val="20"/>
          <w:lang w:val="sl-SI"/>
        </w:rPr>
      </w:pPr>
    </w:p>
    <w:p w14:paraId="1DED4A51" w14:textId="645A7DF6" w:rsidR="004707C2" w:rsidRPr="004707C2" w:rsidRDefault="004707C2" w:rsidP="00EF10D7">
      <w:pPr>
        <w:ind w:left="568"/>
        <w:jc w:val="both"/>
        <w:rPr>
          <w:rFonts w:cs="Arial"/>
          <w:szCs w:val="20"/>
          <w:lang w:val="sl-SI"/>
        </w:rPr>
      </w:pPr>
      <w:r w:rsidRPr="00EF10D7">
        <w:rPr>
          <w:rFonts w:cs="Arial"/>
          <w:b/>
          <w:bCs/>
          <w:szCs w:val="20"/>
          <w:lang w:val="sl-SI"/>
        </w:rPr>
        <w:t>3D1907</w:t>
      </w:r>
      <w:r w:rsidRPr="004707C2">
        <w:rPr>
          <w:rFonts w:cs="Arial"/>
          <w:szCs w:val="20"/>
          <w:lang w:val="sl-SI"/>
        </w:rPr>
        <w:t xml:space="preserve">  programska oprema, zasnovana za pridobivanje GDSII ali podatkov po enakovrednem standardu o postavitvi in izvajanje </w:t>
      </w:r>
      <w:proofErr w:type="spellStart"/>
      <w:r w:rsidRPr="004707C2">
        <w:rPr>
          <w:rFonts w:cs="Arial"/>
          <w:szCs w:val="20"/>
          <w:lang w:val="sl-SI"/>
        </w:rPr>
        <w:t>medplastne</w:t>
      </w:r>
      <w:proofErr w:type="spellEnd"/>
      <w:r w:rsidRPr="004707C2">
        <w:rPr>
          <w:rFonts w:cs="Arial"/>
          <w:szCs w:val="20"/>
          <w:lang w:val="sl-SI"/>
        </w:rPr>
        <w:t xml:space="preserve"> poravnave slik, skeniranih z elektronskim mikroskopom, ter ustvarjanje večplastnih podatkov GDSII ali seznama povezav vezja.</w:t>
      </w:r>
    </w:p>
    <w:p w14:paraId="3348BFCC" w14:textId="77777777" w:rsidR="004707C2" w:rsidRPr="004707C2" w:rsidRDefault="004707C2" w:rsidP="00EF10D7">
      <w:pPr>
        <w:ind w:left="568"/>
        <w:jc w:val="both"/>
        <w:rPr>
          <w:rFonts w:cs="Arial"/>
          <w:szCs w:val="20"/>
          <w:lang w:val="sl-SI"/>
        </w:rPr>
      </w:pPr>
    </w:p>
    <w:p w14:paraId="08F2BBB2" w14:textId="77777777" w:rsidR="004707C2" w:rsidRPr="004707C2" w:rsidRDefault="004707C2" w:rsidP="00EF10D7">
      <w:pPr>
        <w:ind w:left="568"/>
        <w:jc w:val="both"/>
        <w:rPr>
          <w:rFonts w:cs="Arial"/>
          <w:i/>
          <w:iCs/>
          <w:szCs w:val="20"/>
          <w:lang w:val="sl-SI"/>
        </w:rPr>
      </w:pPr>
      <w:r w:rsidRPr="004707C2">
        <w:rPr>
          <w:rFonts w:cs="Arial"/>
          <w:i/>
          <w:iCs/>
          <w:szCs w:val="20"/>
          <w:lang w:val="sl-SI"/>
        </w:rPr>
        <w:t>Opomba:</w:t>
      </w:r>
    </w:p>
    <w:p w14:paraId="10DF22C5" w14:textId="77777777" w:rsidR="004707C2" w:rsidRPr="004707C2" w:rsidRDefault="004707C2" w:rsidP="00EF10D7">
      <w:pPr>
        <w:ind w:left="568"/>
        <w:jc w:val="both"/>
        <w:rPr>
          <w:rFonts w:cs="Arial"/>
          <w:i/>
          <w:iCs/>
          <w:szCs w:val="20"/>
          <w:lang w:val="sl-SI"/>
        </w:rPr>
      </w:pPr>
      <w:r w:rsidRPr="004707C2">
        <w:rPr>
          <w:rFonts w:cs="Arial"/>
          <w:i/>
          <w:iCs/>
          <w:szCs w:val="20"/>
          <w:lang w:val="sl-SI"/>
        </w:rPr>
        <w:t>Format „GDSII“ „(standard za geometrijske podatkovne zbirke II)“ je format datotek za podatkovne zbirke za izmenjavo podatkov o integriranih vezjih ali topologijah integriranih vezij.</w:t>
      </w:r>
    </w:p>
    <w:p w14:paraId="5B459A3C" w14:textId="77777777" w:rsidR="004707C2" w:rsidRPr="004707C2" w:rsidRDefault="004707C2" w:rsidP="00EF10D7">
      <w:pPr>
        <w:ind w:left="568"/>
        <w:jc w:val="both"/>
        <w:rPr>
          <w:rFonts w:cs="Arial"/>
          <w:szCs w:val="20"/>
          <w:lang w:val="sl-SI"/>
        </w:rPr>
      </w:pPr>
    </w:p>
    <w:p w14:paraId="42CFEC82" w14:textId="183AD241" w:rsidR="002A51B0" w:rsidRPr="00EF10D7" w:rsidRDefault="004707C2" w:rsidP="00EF10D7">
      <w:pPr>
        <w:ind w:left="568"/>
        <w:jc w:val="both"/>
        <w:rPr>
          <w:rFonts w:cs="Arial"/>
          <w:b/>
          <w:bCs/>
          <w:szCs w:val="20"/>
          <w:u w:val="single"/>
          <w:lang w:val="sl-SI"/>
        </w:rPr>
      </w:pPr>
      <w:r w:rsidRPr="00EF10D7">
        <w:rPr>
          <w:rFonts w:cs="Arial"/>
          <w:b/>
          <w:bCs/>
          <w:szCs w:val="20"/>
          <w:u w:val="single"/>
          <w:lang w:val="sl-SI"/>
        </w:rPr>
        <w:t>3E Tehnologija</w:t>
      </w:r>
    </w:p>
    <w:p w14:paraId="4E7DFA60" w14:textId="7E9F2213" w:rsidR="004707C2" w:rsidRPr="004707C2" w:rsidRDefault="004707C2" w:rsidP="00EF10D7">
      <w:pPr>
        <w:ind w:left="568"/>
        <w:jc w:val="both"/>
        <w:rPr>
          <w:rFonts w:cs="Arial"/>
          <w:szCs w:val="20"/>
          <w:lang w:val="sl-SI"/>
        </w:rPr>
      </w:pPr>
      <w:r w:rsidRPr="00EF10D7">
        <w:rPr>
          <w:rFonts w:cs="Arial"/>
          <w:b/>
          <w:bCs/>
          <w:szCs w:val="20"/>
          <w:lang w:val="sl-SI"/>
        </w:rPr>
        <w:t>3E1905</w:t>
      </w:r>
      <w:r w:rsidRPr="004707C2">
        <w:rPr>
          <w:rFonts w:cs="Arial"/>
          <w:szCs w:val="20"/>
          <w:lang w:val="sl-SI"/>
        </w:rPr>
        <w:t xml:space="preserve">  „tehnologija“ v smislu splošne opombe o tehnologiji v Prilogi I k Uredbi, namenjena za „razvoj“ ali „proizvodnjo“ integriranih vezij in naprav z uporabo struktur „tranzistorja na poljski učinek z gate-</w:t>
      </w:r>
      <w:proofErr w:type="spellStart"/>
      <w:r w:rsidRPr="004707C2">
        <w:rPr>
          <w:rFonts w:cs="Arial"/>
          <w:szCs w:val="20"/>
          <w:lang w:val="sl-SI"/>
        </w:rPr>
        <w:t>all</w:t>
      </w:r>
      <w:proofErr w:type="spellEnd"/>
      <w:r w:rsidRPr="004707C2">
        <w:rPr>
          <w:rFonts w:cs="Arial"/>
          <w:szCs w:val="20"/>
          <w:lang w:val="sl-SI"/>
        </w:rPr>
        <w:t>-</w:t>
      </w:r>
      <w:proofErr w:type="spellStart"/>
      <w:r w:rsidRPr="004707C2">
        <w:rPr>
          <w:rFonts w:cs="Arial"/>
          <w:szCs w:val="20"/>
          <w:lang w:val="sl-SI"/>
        </w:rPr>
        <w:t>around</w:t>
      </w:r>
      <w:proofErr w:type="spellEnd"/>
      <w:r w:rsidRPr="004707C2">
        <w:rPr>
          <w:rFonts w:cs="Arial"/>
          <w:szCs w:val="20"/>
          <w:lang w:val="sl-SI"/>
        </w:rPr>
        <w:t xml:space="preserve"> arhitekturo“ („GAAFET“).</w:t>
      </w:r>
    </w:p>
    <w:p w14:paraId="51FB1454" w14:textId="77777777" w:rsidR="004707C2" w:rsidRPr="004707C2" w:rsidRDefault="004707C2" w:rsidP="00EF10D7">
      <w:pPr>
        <w:ind w:left="568"/>
        <w:jc w:val="both"/>
        <w:rPr>
          <w:rFonts w:cs="Arial"/>
          <w:szCs w:val="20"/>
          <w:lang w:val="sl-SI"/>
        </w:rPr>
      </w:pPr>
    </w:p>
    <w:p w14:paraId="2847BC73" w14:textId="77777777" w:rsidR="004707C2" w:rsidRPr="004707C2" w:rsidRDefault="004707C2" w:rsidP="00EF10D7">
      <w:pPr>
        <w:ind w:left="568"/>
        <w:jc w:val="both"/>
        <w:rPr>
          <w:rFonts w:cs="Arial"/>
          <w:i/>
          <w:iCs/>
          <w:szCs w:val="20"/>
          <w:lang w:val="sl-SI"/>
        </w:rPr>
      </w:pPr>
      <w:r w:rsidRPr="004707C2">
        <w:rPr>
          <w:rFonts w:cs="Arial"/>
          <w:i/>
          <w:iCs/>
          <w:szCs w:val="20"/>
          <w:lang w:val="sl-SI"/>
        </w:rPr>
        <w:t>Opomba 1:</w:t>
      </w:r>
    </w:p>
    <w:p w14:paraId="42E20384" w14:textId="77777777" w:rsidR="004707C2" w:rsidRPr="004707C2" w:rsidRDefault="004707C2" w:rsidP="00EF10D7">
      <w:pPr>
        <w:ind w:left="568"/>
        <w:jc w:val="both"/>
        <w:rPr>
          <w:rFonts w:cs="Arial"/>
          <w:i/>
          <w:iCs/>
          <w:szCs w:val="20"/>
          <w:lang w:val="sl-SI"/>
        </w:rPr>
      </w:pPr>
      <w:r w:rsidRPr="004707C2">
        <w:rPr>
          <w:rFonts w:cs="Arial"/>
          <w:i/>
          <w:iCs/>
          <w:szCs w:val="20"/>
          <w:lang w:val="sl-SI"/>
        </w:rPr>
        <w:t>3E1905 vključuje „recepte postopka“.</w:t>
      </w:r>
    </w:p>
    <w:p w14:paraId="692A05D7" w14:textId="77777777" w:rsidR="004707C2" w:rsidRPr="004707C2" w:rsidRDefault="004707C2" w:rsidP="00EF10D7">
      <w:pPr>
        <w:ind w:left="568"/>
        <w:jc w:val="both"/>
        <w:rPr>
          <w:rFonts w:cs="Arial"/>
          <w:i/>
          <w:iCs/>
          <w:szCs w:val="20"/>
          <w:lang w:val="sl-SI"/>
        </w:rPr>
      </w:pPr>
      <w:r w:rsidRPr="004707C2">
        <w:rPr>
          <w:rFonts w:cs="Arial"/>
          <w:i/>
          <w:iCs/>
          <w:szCs w:val="20"/>
          <w:lang w:val="sl-SI"/>
        </w:rPr>
        <w:t>Opomba 2:</w:t>
      </w:r>
    </w:p>
    <w:p w14:paraId="016885B0" w14:textId="77777777" w:rsidR="004707C2" w:rsidRPr="004707C2" w:rsidRDefault="004707C2" w:rsidP="00EF10D7">
      <w:pPr>
        <w:ind w:left="568"/>
        <w:jc w:val="both"/>
        <w:rPr>
          <w:rFonts w:cs="Arial"/>
          <w:i/>
          <w:iCs/>
          <w:szCs w:val="20"/>
          <w:lang w:val="sl-SI"/>
        </w:rPr>
      </w:pPr>
      <w:r w:rsidRPr="004707C2">
        <w:rPr>
          <w:rFonts w:cs="Arial"/>
          <w:i/>
          <w:iCs/>
          <w:szCs w:val="20"/>
          <w:lang w:val="sl-SI"/>
        </w:rPr>
        <w:t>3E1905 se ne uporablja za določitev orodja ali vzdrževanje.</w:t>
      </w:r>
    </w:p>
    <w:p w14:paraId="46703C06" w14:textId="77777777" w:rsidR="004707C2" w:rsidRPr="004707C2" w:rsidRDefault="004707C2" w:rsidP="00EF10D7">
      <w:pPr>
        <w:ind w:left="568"/>
        <w:jc w:val="both"/>
        <w:rPr>
          <w:rFonts w:cs="Arial"/>
          <w:i/>
          <w:iCs/>
          <w:szCs w:val="20"/>
          <w:lang w:val="sl-SI"/>
        </w:rPr>
      </w:pPr>
      <w:r w:rsidRPr="004707C2">
        <w:rPr>
          <w:rFonts w:cs="Arial"/>
          <w:i/>
          <w:iCs/>
          <w:szCs w:val="20"/>
          <w:lang w:val="sl-SI"/>
        </w:rPr>
        <w:t>Opomba 3:</w:t>
      </w:r>
    </w:p>
    <w:p w14:paraId="690FB0EA" w14:textId="77777777" w:rsidR="004707C2" w:rsidRPr="004707C2" w:rsidRDefault="004707C2" w:rsidP="00EF10D7">
      <w:pPr>
        <w:ind w:left="568"/>
        <w:jc w:val="both"/>
        <w:rPr>
          <w:rFonts w:cs="Arial"/>
          <w:i/>
          <w:iCs/>
          <w:szCs w:val="20"/>
          <w:lang w:val="sl-SI"/>
        </w:rPr>
      </w:pPr>
      <w:r w:rsidRPr="004707C2">
        <w:rPr>
          <w:rFonts w:cs="Arial"/>
          <w:i/>
          <w:iCs/>
          <w:szCs w:val="20"/>
          <w:lang w:val="sl-SI"/>
        </w:rPr>
        <w:lastRenderedPageBreak/>
        <w:t>Predmet nadzora iz 3E1905 niso „pripomočki za načrtovanje procesa“, razen če vključujejo knjižnice, ki izvajajo funkcije ali tehnologije za naprave iz 3A001 v Prilogi I k Uredbi ali 3A1901.a.15.</w:t>
      </w:r>
    </w:p>
    <w:p w14:paraId="1A02F214" w14:textId="77777777" w:rsidR="004707C2" w:rsidRPr="004707C2" w:rsidRDefault="004707C2" w:rsidP="00EF10D7">
      <w:pPr>
        <w:ind w:left="568"/>
        <w:jc w:val="both"/>
        <w:rPr>
          <w:rFonts w:cs="Arial"/>
          <w:i/>
          <w:iCs/>
          <w:szCs w:val="20"/>
          <w:lang w:val="sl-SI"/>
        </w:rPr>
      </w:pPr>
    </w:p>
    <w:p w14:paraId="7E0DA069" w14:textId="77777777" w:rsidR="004707C2" w:rsidRPr="004707C2" w:rsidRDefault="004707C2" w:rsidP="00EF10D7">
      <w:pPr>
        <w:ind w:left="568"/>
        <w:jc w:val="both"/>
        <w:rPr>
          <w:rFonts w:cs="Arial"/>
          <w:i/>
          <w:iCs/>
          <w:szCs w:val="20"/>
          <w:lang w:val="sl-SI"/>
        </w:rPr>
      </w:pPr>
      <w:r w:rsidRPr="004707C2">
        <w:rPr>
          <w:rFonts w:cs="Arial"/>
          <w:i/>
          <w:iCs/>
          <w:szCs w:val="20"/>
          <w:lang w:val="sl-SI"/>
        </w:rPr>
        <w:t>Tehnični opombi:</w:t>
      </w:r>
    </w:p>
    <w:p w14:paraId="1E7928C6" w14:textId="77777777" w:rsidR="004707C2" w:rsidRPr="004707C2" w:rsidRDefault="004707C2" w:rsidP="00EF10D7">
      <w:pPr>
        <w:ind w:left="568"/>
        <w:jc w:val="both"/>
        <w:rPr>
          <w:rFonts w:cs="Arial"/>
          <w:i/>
          <w:iCs/>
          <w:szCs w:val="20"/>
          <w:lang w:val="sl-SI"/>
        </w:rPr>
      </w:pPr>
      <w:r w:rsidRPr="004707C2">
        <w:rPr>
          <w:rFonts w:cs="Arial"/>
          <w:i/>
          <w:iCs/>
          <w:szCs w:val="20"/>
          <w:lang w:val="sl-SI"/>
        </w:rPr>
        <w:t>Za namene točke 3E1905 je „recept postopka“ niz pogojev in parametrov za določen korak postopka. „Pripomoček za načrtovanje procesa“ je programsko orodje, ki ga zagotovi proizvajalec polprevodnikov, da se zagotovi upoštevanje potrebnih praks in pravil načrtovanja zaradi proizvodnje specifičnega integriranega vezja v specifičnem polprevodniškem procesu v skladu s tehnološkimi in proizvodnimi omejitvami (za vsak postopek proizvodnje polprevodnikov obstaja poseben „pripomoček za načrtovanje procesa“).</w:t>
      </w:r>
    </w:p>
    <w:p w14:paraId="291DF532" w14:textId="77777777" w:rsidR="004707C2" w:rsidRPr="004707C2" w:rsidRDefault="004707C2" w:rsidP="00EF10D7">
      <w:pPr>
        <w:ind w:left="568"/>
        <w:jc w:val="both"/>
        <w:rPr>
          <w:rFonts w:cs="Arial"/>
          <w:i/>
          <w:iCs/>
          <w:szCs w:val="20"/>
          <w:lang w:val="sl-SI"/>
        </w:rPr>
      </w:pPr>
    </w:p>
    <w:p w14:paraId="6BA5CA16" w14:textId="39EB3FB1" w:rsidR="004707C2" w:rsidRPr="004707C2" w:rsidRDefault="004707C2" w:rsidP="00EF10D7">
      <w:pPr>
        <w:ind w:left="568"/>
        <w:jc w:val="both"/>
        <w:rPr>
          <w:rFonts w:cs="Arial"/>
          <w:szCs w:val="20"/>
          <w:lang w:val="sl-SI"/>
        </w:rPr>
      </w:pPr>
      <w:r w:rsidRPr="00EF10D7">
        <w:rPr>
          <w:rFonts w:cs="Arial"/>
          <w:b/>
          <w:bCs/>
          <w:szCs w:val="20"/>
          <w:lang w:val="sl-SI"/>
        </w:rPr>
        <w:t>3E1906</w:t>
      </w:r>
      <w:r w:rsidRPr="004707C2">
        <w:rPr>
          <w:rFonts w:cs="Arial"/>
          <w:szCs w:val="20"/>
          <w:lang w:val="sl-SI"/>
        </w:rPr>
        <w:t xml:space="preserve">  „tehnologija“ v smislu splošne opombe o tehnologiji v Prilogi I k Uredbi, namenjena za „razvoj“ ali „proizvodnjo“ opreme ali materialov iz 3A1901.a.15, 3B1904 in 3B1903.</w:t>
      </w:r>
    </w:p>
    <w:p w14:paraId="5246928C" w14:textId="77777777" w:rsidR="004707C2" w:rsidRPr="004707C2" w:rsidRDefault="004707C2" w:rsidP="00EF10D7">
      <w:pPr>
        <w:ind w:left="568"/>
        <w:jc w:val="both"/>
        <w:rPr>
          <w:rFonts w:cs="Arial"/>
          <w:szCs w:val="20"/>
          <w:lang w:val="sl-SI"/>
        </w:rPr>
      </w:pPr>
    </w:p>
    <w:p w14:paraId="7870D5B4" w14:textId="77777777" w:rsidR="004707C2" w:rsidRPr="004707C2" w:rsidRDefault="004707C2" w:rsidP="00EF10D7">
      <w:pPr>
        <w:ind w:left="568"/>
        <w:jc w:val="both"/>
        <w:rPr>
          <w:rFonts w:cs="Arial"/>
          <w:i/>
          <w:iCs/>
          <w:szCs w:val="20"/>
          <w:lang w:val="sl-SI"/>
        </w:rPr>
      </w:pPr>
      <w:r w:rsidRPr="004707C2">
        <w:rPr>
          <w:rFonts w:cs="Arial"/>
          <w:i/>
          <w:iCs/>
          <w:szCs w:val="20"/>
          <w:lang w:val="sl-SI"/>
        </w:rPr>
        <w:t>Opomba:</w:t>
      </w:r>
    </w:p>
    <w:p w14:paraId="3068EBB0" w14:textId="77777777" w:rsidR="004707C2" w:rsidRPr="004707C2" w:rsidRDefault="004707C2" w:rsidP="00EF10D7">
      <w:pPr>
        <w:ind w:left="568"/>
        <w:jc w:val="both"/>
        <w:rPr>
          <w:rFonts w:cs="Arial"/>
          <w:i/>
          <w:iCs/>
          <w:szCs w:val="20"/>
          <w:lang w:val="sl-SI"/>
        </w:rPr>
      </w:pPr>
      <w:r w:rsidRPr="004707C2">
        <w:rPr>
          <w:rFonts w:cs="Arial"/>
          <w:i/>
          <w:iCs/>
          <w:szCs w:val="20"/>
          <w:lang w:val="sl-SI"/>
        </w:rPr>
        <w:t>Predmet nadzora iz 3E1906 niso „pripomočki za načrtovanje procesa“, razen če vključujejo knjižnice, ki izvajajo funkcije ali tehnologije za naprave iz 3A001 v Prilogi I k Uredbi ali 3A1901.a.15.</w:t>
      </w:r>
    </w:p>
    <w:p w14:paraId="171C0357" w14:textId="77777777" w:rsidR="004707C2" w:rsidRPr="004707C2" w:rsidRDefault="004707C2" w:rsidP="00EF10D7">
      <w:pPr>
        <w:ind w:left="568"/>
        <w:jc w:val="both"/>
        <w:rPr>
          <w:rFonts w:cs="Arial"/>
          <w:i/>
          <w:iCs/>
          <w:szCs w:val="20"/>
          <w:lang w:val="sl-SI"/>
        </w:rPr>
      </w:pPr>
      <w:r w:rsidRPr="004707C2">
        <w:rPr>
          <w:rFonts w:cs="Arial"/>
          <w:i/>
          <w:iCs/>
          <w:szCs w:val="20"/>
          <w:lang w:val="sl-SI"/>
        </w:rPr>
        <w:t>Tehnična opomba:</w:t>
      </w:r>
    </w:p>
    <w:p w14:paraId="735ECB6B" w14:textId="5650D3EE" w:rsidR="004707C2" w:rsidRDefault="004707C2" w:rsidP="00EF10D7">
      <w:pPr>
        <w:ind w:left="568"/>
        <w:jc w:val="both"/>
        <w:rPr>
          <w:rFonts w:cs="Arial"/>
          <w:i/>
          <w:iCs/>
          <w:szCs w:val="20"/>
          <w:lang w:val="sl-SI"/>
        </w:rPr>
      </w:pPr>
      <w:r w:rsidRPr="004707C2">
        <w:rPr>
          <w:rFonts w:cs="Arial"/>
          <w:i/>
          <w:iCs/>
          <w:szCs w:val="20"/>
          <w:lang w:val="sl-SI"/>
        </w:rPr>
        <w:t>„Pripomoček za načrtovanje procesa“ je programsko orodje, ki ga zagotovi proizvajalec polprevodnikov, da se zagotovi upoštevanje potrebnih praks in pravil načrtovanja zaradi proizvodnje specifičnega integriranega vezja v specifičnem polprevodniškem procesu v skladu s tehnološkimi in proizvodnimi omejitvami (za vsak postopek proizvodnje polprevodnikov obstaja poseben „pripomoček za načrtovanje procesa“).</w:t>
      </w:r>
    </w:p>
    <w:p w14:paraId="780E5F03" w14:textId="77777777" w:rsidR="004707C2" w:rsidRDefault="004707C2" w:rsidP="00EF10D7">
      <w:pPr>
        <w:ind w:left="568"/>
        <w:jc w:val="both"/>
        <w:rPr>
          <w:rFonts w:cs="Arial"/>
          <w:i/>
          <w:iCs/>
          <w:szCs w:val="20"/>
          <w:lang w:val="sl-SI"/>
        </w:rPr>
      </w:pPr>
    </w:p>
    <w:p w14:paraId="03329326" w14:textId="30C4860F" w:rsidR="0023673B" w:rsidRDefault="0023673B" w:rsidP="00EF10D7">
      <w:pPr>
        <w:ind w:left="568"/>
        <w:jc w:val="both"/>
        <w:rPr>
          <w:b/>
          <w:bCs/>
          <w:color w:val="000000"/>
          <w:u w:val="single"/>
          <w:shd w:val="clear" w:color="auto" w:fill="FFFFFF"/>
        </w:rPr>
      </w:pPr>
      <w:proofErr w:type="spellStart"/>
      <w:r>
        <w:rPr>
          <w:b/>
          <w:bCs/>
          <w:color w:val="000000"/>
          <w:u w:val="single"/>
          <w:shd w:val="clear" w:color="auto" w:fill="FFFFFF"/>
        </w:rPr>
        <w:t>Skupina</w:t>
      </w:r>
      <w:proofErr w:type="spellEnd"/>
      <w:r>
        <w:rPr>
          <w:b/>
          <w:bCs/>
          <w:color w:val="000000"/>
          <w:u w:val="single"/>
          <w:shd w:val="clear" w:color="auto" w:fill="FFFFFF"/>
        </w:rPr>
        <w:t xml:space="preserve"> 4 – </w:t>
      </w:r>
      <w:proofErr w:type="spellStart"/>
      <w:r>
        <w:rPr>
          <w:b/>
          <w:bCs/>
          <w:color w:val="000000"/>
          <w:u w:val="single"/>
          <w:shd w:val="clear" w:color="auto" w:fill="FFFFFF"/>
        </w:rPr>
        <w:t>Računalniki</w:t>
      </w:r>
      <w:proofErr w:type="spellEnd"/>
    </w:p>
    <w:p w14:paraId="28A153D0" w14:textId="77777777" w:rsidR="00CC16D2" w:rsidRDefault="00CC16D2" w:rsidP="00EF10D7">
      <w:pPr>
        <w:ind w:left="568"/>
        <w:jc w:val="both"/>
        <w:rPr>
          <w:b/>
          <w:bCs/>
          <w:color w:val="000000"/>
          <w:u w:val="single"/>
          <w:shd w:val="clear" w:color="auto" w:fill="FFFFFF"/>
        </w:rPr>
      </w:pPr>
    </w:p>
    <w:p w14:paraId="2CD4BFE0" w14:textId="4176BCB7" w:rsidR="004707C2" w:rsidRPr="00EF10D7" w:rsidRDefault="004707C2" w:rsidP="00EF10D7">
      <w:pPr>
        <w:ind w:left="568"/>
        <w:jc w:val="both"/>
        <w:rPr>
          <w:b/>
          <w:bCs/>
          <w:color w:val="000000"/>
          <w:u w:val="single"/>
          <w:shd w:val="clear" w:color="auto" w:fill="FFFFFF"/>
        </w:rPr>
      </w:pPr>
      <w:r w:rsidRPr="00EF10D7">
        <w:rPr>
          <w:b/>
          <w:bCs/>
          <w:color w:val="000000"/>
          <w:u w:val="single"/>
          <w:shd w:val="clear" w:color="auto" w:fill="FFFFFF"/>
        </w:rPr>
        <w:t xml:space="preserve">4A </w:t>
      </w:r>
      <w:proofErr w:type="spellStart"/>
      <w:r w:rsidRPr="00EF10D7">
        <w:rPr>
          <w:b/>
          <w:bCs/>
          <w:color w:val="000000"/>
          <w:u w:val="single"/>
          <w:shd w:val="clear" w:color="auto" w:fill="FFFFFF"/>
        </w:rPr>
        <w:t>Sistemi</w:t>
      </w:r>
      <w:proofErr w:type="spellEnd"/>
      <w:r w:rsidRPr="00EF10D7">
        <w:rPr>
          <w:b/>
          <w:bCs/>
          <w:color w:val="000000"/>
          <w:u w:val="single"/>
          <w:shd w:val="clear" w:color="auto" w:fill="FFFFFF"/>
        </w:rPr>
        <w:t xml:space="preserve">, </w:t>
      </w:r>
      <w:proofErr w:type="spellStart"/>
      <w:r w:rsidRPr="00EF10D7">
        <w:rPr>
          <w:b/>
          <w:bCs/>
          <w:color w:val="000000"/>
          <w:u w:val="single"/>
          <w:shd w:val="clear" w:color="auto" w:fill="FFFFFF"/>
        </w:rPr>
        <w:t>oprema</w:t>
      </w:r>
      <w:proofErr w:type="spellEnd"/>
      <w:r w:rsidRPr="00EF10D7">
        <w:rPr>
          <w:b/>
          <w:bCs/>
          <w:color w:val="000000"/>
          <w:u w:val="single"/>
          <w:shd w:val="clear" w:color="auto" w:fill="FFFFFF"/>
        </w:rPr>
        <w:t xml:space="preserve"> in </w:t>
      </w:r>
      <w:proofErr w:type="spellStart"/>
      <w:r w:rsidRPr="00EF10D7">
        <w:rPr>
          <w:b/>
          <w:bCs/>
          <w:color w:val="000000"/>
          <w:u w:val="single"/>
          <w:shd w:val="clear" w:color="auto" w:fill="FFFFFF"/>
        </w:rPr>
        <w:t>komponente</w:t>
      </w:r>
      <w:proofErr w:type="spellEnd"/>
    </w:p>
    <w:p w14:paraId="5B535318" w14:textId="1BE27C94" w:rsidR="00D20573" w:rsidRPr="00D20573" w:rsidRDefault="00D20573" w:rsidP="00EF10D7">
      <w:pPr>
        <w:shd w:val="clear" w:color="auto" w:fill="FFFFFF"/>
        <w:spacing w:before="120" w:line="240" w:lineRule="auto"/>
        <w:ind w:left="568"/>
        <w:jc w:val="both"/>
        <w:rPr>
          <w:rFonts w:cs="Arial"/>
          <w:color w:val="000000"/>
          <w:szCs w:val="20"/>
          <w:lang w:val="sl-SI" w:eastAsia="sl-SI"/>
        </w:rPr>
      </w:pPr>
      <w:r w:rsidRPr="00D20573">
        <w:rPr>
          <w:rFonts w:cs="Arial"/>
          <w:b/>
          <w:bCs/>
          <w:color w:val="000000"/>
          <w:szCs w:val="20"/>
          <w:lang w:val="sl-SI" w:eastAsia="sl-SI"/>
        </w:rPr>
        <w:t>4A1906</w:t>
      </w:r>
      <w:r w:rsidRPr="00D20573">
        <w:rPr>
          <w:rFonts w:cs="Arial"/>
          <w:color w:val="000000"/>
          <w:szCs w:val="20"/>
          <w:lang w:val="sl-SI" w:eastAsia="sl-SI"/>
        </w:rPr>
        <w:t>  kvantni računalniki in sorodni „elektronski sestavi“ ter komponente zanje, kot sledi:</w:t>
      </w:r>
    </w:p>
    <w:tbl>
      <w:tblPr>
        <w:tblW w:w="5000" w:type="pct"/>
        <w:tblCellSpacing w:w="0" w:type="dxa"/>
        <w:tblInd w:w="568" w:type="dxa"/>
        <w:shd w:val="clear" w:color="auto" w:fill="FFFFFF"/>
        <w:tblCellMar>
          <w:left w:w="0" w:type="dxa"/>
          <w:right w:w="0" w:type="dxa"/>
        </w:tblCellMar>
        <w:tblLook w:val="04A0" w:firstRow="1" w:lastRow="0" w:firstColumn="1" w:lastColumn="0" w:noHBand="0" w:noVBand="1"/>
      </w:tblPr>
      <w:tblGrid>
        <w:gridCol w:w="167"/>
        <w:gridCol w:w="9465"/>
      </w:tblGrid>
      <w:tr w:rsidR="00D20573" w:rsidRPr="00D20573" w14:paraId="1A847F8D" w14:textId="77777777" w:rsidTr="00EF10D7">
        <w:trPr>
          <w:tblCellSpacing w:w="0" w:type="dxa"/>
        </w:trPr>
        <w:tc>
          <w:tcPr>
            <w:tcW w:w="0" w:type="auto"/>
            <w:shd w:val="clear" w:color="auto" w:fill="FFFFFF"/>
            <w:hideMark/>
          </w:tcPr>
          <w:p w14:paraId="26A79537" w14:textId="77777777" w:rsidR="00D20573" w:rsidRPr="00D20573" w:rsidRDefault="00D20573" w:rsidP="00D20573">
            <w:pPr>
              <w:spacing w:before="120" w:line="240" w:lineRule="auto"/>
              <w:jc w:val="both"/>
              <w:rPr>
                <w:rFonts w:cs="Arial"/>
                <w:color w:val="000000"/>
                <w:szCs w:val="20"/>
                <w:lang w:val="sl-SI" w:eastAsia="sl-SI"/>
              </w:rPr>
            </w:pPr>
            <w:r w:rsidRPr="00D20573">
              <w:rPr>
                <w:rFonts w:cs="Arial"/>
                <w:color w:val="000000"/>
                <w:szCs w:val="20"/>
                <w:lang w:val="sl-SI" w:eastAsia="sl-SI"/>
              </w:rPr>
              <w:t>a.</w:t>
            </w:r>
          </w:p>
        </w:tc>
        <w:tc>
          <w:tcPr>
            <w:tcW w:w="0" w:type="auto"/>
            <w:shd w:val="clear" w:color="auto" w:fill="FFFFFF"/>
            <w:hideMark/>
          </w:tcPr>
          <w:p w14:paraId="06142797" w14:textId="77777777" w:rsidR="00D20573" w:rsidRPr="00D20573" w:rsidRDefault="00D20573" w:rsidP="00D20573">
            <w:pPr>
              <w:spacing w:before="120" w:line="240" w:lineRule="auto"/>
              <w:jc w:val="both"/>
              <w:rPr>
                <w:rFonts w:cs="Arial"/>
                <w:color w:val="000000"/>
                <w:szCs w:val="20"/>
                <w:lang w:val="sl-SI" w:eastAsia="sl-SI"/>
              </w:rPr>
            </w:pPr>
            <w:r w:rsidRPr="00D20573">
              <w:rPr>
                <w:rFonts w:cs="Arial"/>
                <w:color w:val="000000"/>
                <w:szCs w:val="20"/>
                <w:lang w:val="sl-SI" w:eastAsia="sl-SI"/>
              </w:rPr>
              <w:t>kvantni računalniki, kot sledi:</w:t>
            </w:r>
          </w:p>
          <w:tbl>
            <w:tblPr>
              <w:tblW w:w="5000" w:type="pct"/>
              <w:tblCellSpacing w:w="0" w:type="dxa"/>
              <w:tblCellMar>
                <w:left w:w="0" w:type="dxa"/>
                <w:right w:w="0" w:type="dxa"/>
              </w:tblCellMar>
              <w:tblLook w:val="04A0" w:firstRow="1" w:lastRow="0" w:firstColumn="1" w:lastColumn="0" w:noHBand="0" w:noVBand="1"/>
            </w:tblPr>
            <w:tblGrid>
              <w:gridCol w:w="167"/>
              <w:gridCol w:w="9298"/>
            </w:tblGrid>
            <w:tr w:rsidR="00D20573" w:rsidRPr="00D20573" w14:paraId="777C5910" w14:textId="77777777">
              <w:trPr>
                <w:tblCellSpacing w:w="0" w:type="dxa"/>
              </w:trPr>
              <w:tc>
                <w:tcPr>
                  <w:tcW w:w="0" w:type="auto"/>
                  <w:hideMark/>
                </w:tcPr>
                <w:p w14:paraId="4E3F7FB5" w14:textId="77777777" w:rsidR="00D20573" w:rsidRPr="00D20573" w:rsidRDefault="00D20573" w:rsidP="00D20573">
                  <w:pPr>
                    <w:spacing w:before="120" w:line="240" w:lineRule="auto"/>
                    <w:jc w:val="both"/>
                    <w:rPr>
                      <w:rFonts w:cs="Arial"/>
                      <w:szCs w:val="20"/>
                      <w:lang w:val="sl-SI" w:eastAsia="sl-SI"/>
                    </w:rPr>
                  </w:pPr>
                  <w:r w:rsidRPr="00D20573">
                    <w:rPr>
                      <w:rFonts w:cs="Arial"/>
                      <w:szCs w:val="20"/>
                      <w:lang w:val="sl-SI" w:eastAsia="sl-SI"/>
                    </w:rPr>
                    <w:t>1.</w:t>
                  </w:r>
                </w:p>
              </w:tc>
              <w:tc>
                <w:tcPr>
                  <w:tcW w:w="0" w:type="auto"/>
                  <w:hideMark/>
                </w:tcPr>
                <w:p w14:paraId="751310E7" w14:textId="6FBB3E52" w:rsidR="00D20573" w:rsidRPr="00D20573" w:rsidRDefault="00D20573" w:rsidP="00D20573">
                  <w:pPr>
                    <w:spacing w:before="120" w:line="240" w:lineRule="auto"/>
                    <w:jc w:val="both"/>
                    <w:rPr>
                      <w:rFonts w:cs="Arial"/>
                      <w:szCs w:val="20"/>
                      <w:lang w:val="sl-SI" w:eastAsia="sl-SI"/>
                    </w:rPr>
                  </w:pPr>
                  <w:r w:rsidRPr="00D20573">
                    <w:rPr>
                      <w:rFonts w:cs="Arial"/>
                      <w:szCs w:val="20"/>
                      <w:lang w:val="sl-SI" w:eastAsia="sl-SI"/>
                    </w:rPr>
                    <w:t>kvantni računalniki, ki podpirajo 34 ali več, vendar manj kot 100, „popolnoma krmiljenih“, „povezanih“ in „delujočih“</w:t>
                  </w:r>
                  <w:r w:rsidR="00E20622">
                    <w:rPr>
                      <w:rFonts w:cs="Arial"/>
                      <w:szCs w:val="20"/>
                      <w:lang w:val="sl-SI" w:eastAsia="sl-SI"/>
                    </w:rPr>
                    <w:t xml:space="preserve"> </w:t>
                  </w:r>
                  <w:r w:rsidRPr="00D20573">
                    <w:rPr>
                      <w:rFonts w:cs="Arial"/>
                      <w:szCs w:val="20"/>
                      <w:lang w:val="sl-SI" w:eastAsia="sl-SI"/>
                    </w:rPr>
                    <w:t xml:space="preserve">„fizičnih </w:t>
                  </w:r>
                  <w:proofErr w:type="spellStart"/>
                  <w:r w:rsidRPr="00D20573">
                    <w:rPr>
                      <w:rFonts w:cs="Arial"/>
                      <w:szCs w:val="20"/>
                      <w:lang w:val="sl-SI" w:eastAsia="sl-SI"/>
                    </w:rPr>
                    <w:t>kubitov</w:t>
                  </w:r>
                  <w:proofErr w:type="spellEnd"/>
                  <w:r w:rsidRPr="00D20573">
                    <w:rPr>
                      <w:rFonts w:cs="Arial"/>
                      <w:szCs w:val="20"/>
                      <w:lang w:val="sl-SI" w:eastAsia="sl-SI"/>
                    </w:rPr>
                    <w:t>“, z „napako C-NOT“ 10</w:t>
                  </w:r>
                  <w:r w:rsidRPr="00D20573">
                    <w:rPr>
                      <w:rFonts w:cs="Arial"/>
                      <w:szCs w:val="20"/>
                      <w:vertAlign w:val="superscript"/>
                      <w:lang w:val="sl-SI" w:eastAsia="sl-SI"/>
                    </w:rPr>
                    <w:t>–4</w:t>
                  </w:r>
                  <w:r w:rsidRPr="00D20573">
                    <w:rPr>
                      <w:rFonts w:cs="Arial"/>
                      <w:szCs w:val="20"/>
                      <w:lang w:val="sl-SI" w:eastAsia="sl-SI"/>
                    </w:rPr>
                    <w:t> ali manj;</w:t>
                  </w:r>
                </w:p>
              </w:tc>
            </w:tr>
          </w:tbl>
          <w:p w14:paraId="7871B16C" w14:textId="77777777" w:rsidR="00D20573" w:rsidRPr="00D20573" w:rsidRDefault="00D20573" w:rsidP="00D20573">
            <w:pPr>
              <w:spacing w:line="240" w:lineRule="auto"/>
              <w:rPr>
                <w:rFonts w:cs="Arial"/>
                <w:vanish/>
                <w:color w:val="000000"/>
                <w:szCs w:val="20"/>
                <w:lang w:val="sl-SI" w:eastAsia="sl-SI"/>
              </w:rPr>
            </w:pPr>
          </w:p>
          <w:tbl>
            <w:tblPr>
              <w:tblW w:w="5000" w:type="pct"/>
              <w:tblCellSpacing w:w="0" w:type="dxa"/>
              <w:tblCellMar>
                <w:left w:w="0" w:type="dxa"/>
                <w:right w:w="0" w:type="dxa"/>
              </w:tblCellMar>
              <w:tblLook w:val="04A0" w:firstRow="1" w:lastRow="0" w:firstColumn="1" w:lastColumn="0" w:noHBand="0" w:noVBand="1"/>
            </w:tblPr>
            <w:tblGrid>
              <w:gridCol w:w="167"/>
              <w:gridCol w:w="9298"/>
            </w:tblGrid>
            <w:tr w:rsidR="00D20573" w:rsidRPr="00D20573" w14:paraId="26EE327D" w14:textId="77777777">
              <w:trPr>
                <w:tblCellSpacing w:w="0" w:type="dxa"/>
              </w:trPr>
              <w:tc>
                <w:tcPr>
                  <w:tcW w:w="0" w:type="auto"/>
                  <w:hideMark/>
                </w:tcPr>
                <w:p w14:paraId="3CB06AC1" w14:textId="77777777" w:rsidR="00D20573" w:rsidRPr="00D20573" w:rsidRDefault="00D20573" w:rsidP="00D20573">
                  <w:pPr>
                    <w:spacing w:before="120" w:line="240" w:lineRule="auto"/>
                    <w:jc w:val="both"/>
                    <w:rPr>
                      <w:rFonts w:cs="Arial"/>
                      <w:szCs w:val="20"/>
                      <w:lang w:val="sl-SI" w:eastAsia="sl-SI"/>
                    </w:rPr>
                  </w:pPr>
                  <w:r w:rsidRPr="00D20573">
                    <w:rPr>
                      <w:rFonts w:cs="Arial"/>
                      <w:szCs w:val="20"/>
                      <w:lang w:val="sl-SI" w:eastAsia="sl-SI"/>
                    </w:rPr>
                    <w:t>2.</w:t>
                  </w:r>
                </w:p>
              </w:tc>
              <w:tc>
                <w:tcPr>
                  <w:tcW w:w="0" w:type="auto"/>
                  <w:hideMark/>
                </w:tcPr>
                <w:p w14:paraId="56FC44F4" w14:textId="7D52B5C4" w:rsidR="00D20573" w:rsidRPr="00D20573" w:rsidRDefault="00D20573" w:rsidP="00D20573">
                  <w:pPr>
                    <w:spacing w:before="120" w:line="240" w:lineRule="auto"/>
                    <w:jc w:val="both"/>
                    <w:rPr>
                      <w:rFonts w:cs="Arial"/>
                      <w:szCs w:val="20"/>
                      <w:lang w:val="sl-SI" w:eastAsia="sl-SI"/>
                    </w:rPr>
                  </w:pPr>
                  <w:r w:rsidRPr="00D20573">
                    <w:rPr>
                      <w:rFonts w:cs="Arial"/>
                      <w:szCs w:val="20"/>
                      <w:lang w:val="sl-SI" w:eastAsia="sl-SI"/>
                    </w:rPr>
                    <w:t>kvantni računalniki, ki podpirajo 100 ali več, vendar manj kot 200, „popolnoma krmiljenih“, „povezanih“ in „delujočih“</w:t>
                  </w:r>
                  <w:r w:rsidR="00E20622">
                    <w:rPr>
                      <w:rFonts w:cs="Arial"/>
                      <w:szCs w:val="20"/>
                      <w:lang w:val="sl-SI" w:eastAsia="sl-SI"/>
                    </w:rPr>
                    <w:t xml:space="preserve"> </w:t>
                  </w:r>
                  <w:r w:rsidRPr="00D20573">
                    <w:rPr>
                      <w:rFonts w:cs="Arial"/>
                      <w:szCs w:val="20"/>
                      <w:lang w:val="sl-SI" w:eastAsia="sl-SI"/>
                    </w:rPr>
                    <w:t xml:space="preserve">„fizičnih </w:t>
                  </w:r>
                  <w:proofErr w:type="spellStart"/>
                  <w:r w:rsidRPr="00D20573">
                    <w:rPr>
                      <w:rFonts w:cs="Arial"/>
                      <w:szCs w:val="20"/>
                      <w:lang w:val="sl-SI" w:eastAsia="sl-SI"/>
                    </w:rPr>
                    <w:t>kubitov</w:t>
                  </w:r>
                  <w:proofErr w:type="spellEnd"/>
                  <w:r w:rsidRPr="00D20573">
                    <w:rPr>
                      <w:rFonts w:cs="Arial"/>
                      <w:szCs w:val="20"/>
                      <w:lang w:val="sl-SI" w:eastAsia="sl-SI"/>
                    </w:rPr>
                    <w:t>“, z „napako C-NOT“ 10</w:t>
                  </w:r>
                  <w:r w:rsidRPr="00D20573">
                    <w:rPr>
                      <w:rFonts w:cs="Arial"/>
                      <w:szCs w:val="20"/>
                      <w:vertAlign w:val="superscript"/>
                      <w:lang w:val="sl-SI" w:eastAsia="sl-SI"/>
                    </w:rPr>
                    <w:t>–3</w:t>
                  </w:r>
                  <w:r w:rsidRPr="00D20573">
                    <w:rPr>
                      <w:rFonts w:cs="Arial"/>
                      <w:szCs w:val="20"/>
                      <w:lang w:val="sl-SI" w:eastAsia="sl-SI"/>
                    </w:rPr>
                    <w:t> ali manj;</w:t>
                  </w:r>
                </w:p>
              </w:tc>
            </w:tr>
          </w:tbl>
          <w:p w14:paraId="1B13A3D4" w14:textId="77777777" w:rsidR="00D20573" w:rsidRPr="00D20573" w:rsidRDefault="00D20573" w:rsidP="00D20573">
            <w:pPr>
              <w:spacing w:line="240" w:lineRule="auto"/>
              <w:rPr>
                <w:rFonts w:cs="Arial"/>
                <w:vanish/>
                <w:color w:val="000000"/>
                <w:szCs w:val="20"/>
                <w:lang w:val="sl-SI" w:eastAsia="sl-SI"/>
              </w:rPr>
            </w:pPr>
          </w:p>
          <w:tbl>
            <w:tblPr>
              <w:tblW w:w="5000" w:type="pct"/>
              <w:tblCellSpacing w:w="0" w:type="dxa"/>
              <w:tblCellMar>
                <w:left w:w="0" w:type="dxa"/>
                <w:right w:w="0" w:type="dxa"/>
              </w:tblCellMar>
              <w:tblLook w:val="04A0" w:firstRow="1" w:lastRow="0" w:firstColumn="1" w:lastColumn="0" w:noHBand="0" w:noVBand="1"/>
            </w:tblPr>
            <w:tblGrid>
              <w:gridCol w:w="167"/>
              <w:gridCol w:w="9298"/>
            </w:tblGrid>
            <w:tr w:rsidR="00D20573" w:rsidRPr="00D20573" w14:paraId="359F4DA3" w14:textId="77777777">
              <w:trPr>
                <w:tblCellSpacing w:w="0" w:type="dxa"/>
              </w:trPr>
              <w:tc>
                <w:tcPr>
                  <w:tcW w:w="0" w:type="auto"/>
                  <w:hideMark/>
                </w:tcPr>
                <w:p w14:paraId="5B80BB41" w14:textId="77777777" w:rsidR="00D20573" w:rsidRPr="00D20573" w:rsidRDefault="00D20573" w:rsidP="00D20573">
                  <w:pPr>
                    <w:spacing w:before="120" w:line="240" w:lineRule="auto"/>
                    <w:jc w:val="both"/>
                    <w:rPr>
                      <w:rFonts w:cs="Arial"/>
                      <w:szCs w:val="20"/>
                      <w:lang w:val="sl-SI" w:eastAsia="sl-SI"/>
                    </w:rPr>
                  </w:pPr>
                  <w:r w:rsidRPr="00D20573">
                    <w:rPr>
                      <w:rFonts w:cs="Arial"/>
                      <w:szCs w:val="20"/>
                      <w:lang w:val="sl-SI" w:eastAsia="sl-SI"/>
                    </w:rPr>
                    <w:t>3.</w:t>
                  </w:r>
                </w:p>
              </w:tc>
              <w:tc>
                <w:tcPr>
                  <w:tcW w:w="0" w:type="auto"/>
                  <w:hideMark/>
                </w:tcPr>
                <w:p w14:paraId="749C9223" w14:textId="69141936" w:rsidR="00D20573" w:rsidRPr="00D20573" w:rsidRDefault="00D20573" w:rsidP="00D20573">
                  <w:pPr>
                    <w:spacing w:before="120" w:line="240" w:lineRule="auto"/>
                    <w:jc w:val="both"/>
                    <w:rPr>
                      <w:rFonts w:cs="Arial"/>
                      <w:szCs w:val="20"/>
                      <w:lang w:val="sl-SI" w:eastAsia="sl-SI"/>
                    </w:rPr>
                  </w:pPr>
                  <w:r w:rsidRPr="00D20573">
                    <w:rPr>
                      <w:rFonts w:cs="Arial"/>
                      <w:szCs w:val="20"/>
                      <w:lang w:val="sl-SI" w:eastAsia="sl-SI"/>
                    </w:rPr>
                    <w:t>kvantni računalniki, ki podpirajo 200 ali več, vendar manj kot 350, „popolnoma krmiljenih“, „povezanih“ in „delujočih“</w:t>
                  </w:r>
                  <w:r w:rsidR="00E20622">
                    <w:rPr>
                      <w:rFonts w:cs="Arial"/>
                      <w:szCs w:val="20"/>
                      <w:lang w:val="sl-SI" w:eastAsia="sl-SI"/>
                    </w:rPr>
                    <w:t xml:space="preserve"> </w:t>
                  </w:r>
                  <w:r w:rsidRPr="00D20573">
                    <w:rPr>
                      <w:rFonts w:cs="Arial"/>
                      <w:szCs w:val="20"/>
                      <w:lang w:val="sl-SI" w:eastAsia="sl-SI"/>
                    </w:rPr>
                    <w:t xml:space="preserve">„fizičnih </w:t>
                  </w:r>
                  <w:proofErr w:type="spellStart"/>
                  <w:r w:rsidRPr="00D20573">
                    <w:rPr>
                      <w:rFonts w:cs="Arial"/>
                      <w:szCs w:val="20"/>
                      <w:lang w:val="sl-SI" w:eastAsia="sl-SI"/>
                    </w:rPr>
                    <w:t>kubitov</w:t>
                  </w:r>
                  <w:proofErr w:type="spellEnd"/>
                  <w:r w:rsidRPr="00D20573">
                    <w:rPr>
                      <w:rFonts w:cs="Arial"/>
                      <w:szCs w:val="20"/>
                      <w:lang w:val="sl-SI" w:eastAsia="sl-SI"/>
                    </w:rPr>
                    <w:t>“, z „napako C-NOT“ 2×10</w:t>
                  </w:r>
                  <w:r w:rsidRPr="00D20573">
                    <w:rPr>
                      <w:rFonts w:cs="Arial"/>
                      <w:szCs w:val="20"/>
                      <w:vertAlign w:val="superscript"/>
                      <w:lang w:val="sl-SI" w:eastAsia="sl-SI"/>
                    </w:rPr>
                    <w:t>–3</w:t>
                  </w:r>
                  <w:r w:rsidRPr="00D20573">
                    <w:rPr>
                      <w:rFonts w:cs="Arial"/>
                      <w:szCs w:val="20"/>
                      <w:lang w:val="sl-SI" w:eastAsia="sl-SI"/>
                    </w:rPr>
                    <w:t> ali manj;</w:t>
                  </w:r>
                </w:p>
              </w:tc>
            </w:tr>
          </w:tbl>
          <w:p w14:paraId="3B72490C" w14:textId="77777777" w:rsidR="00D20573" w:rsidRPr="00D20573" w:rsidRDefault="00D20573" w:rsidP="00D20573">
            <w:pPr>
              <w:spacing w:line="240" w:lineRule="auto"/>
              <w:rPr>
                <w:rFonts w:cs="Arial"/>
                <w:vanish/>
                <w:color w:val="000000"/>
                <w:szCs w:val="20"/>
                <w:lang w:val="sl-SI" w:eastAsia="sl-SI"/>
              </w:rPr>
            </w:pPr>
          </w:p>
          <w:tbl>
            <w:tblPr>
              <w:tblW w:w="5000" w:type="pct"/>
              <w:tblCellSpacing w:w="0" w:type="dxa"/>
              <w:tblCellMar>
                <w:left w:w="0" w:type="dxa"/>
                <w:right w:w="0" w:type="dxa"/>
              </w:tblCellMar>
              <w:tblLook w:val="04A0" w:firstRow="1" w:lastRow="0" w:firstColumn="1" w:lastColumn="0" w:noHBand="0" w:noVBand="1"/>
            </w:tblPr>
            <w:tblGrid>
              <w:gridCol w:w="167"/>
              <w:gridCol w:w="9298"/>
            </w:tblGrid>
            <w:tr w:rsidR="00D20573" w:rsidRPr="00D20573" w14:paraId="40C30435" w14:textId="77777777">
              <w:trPr>
                <w:tblCellSpacing w:w="0" w:type="dxa"/>
              </w:trPr>
              <w:tc>
                <w:tcPr>
                  <w:tcW w:w="0" w:type="auto"/>
                  <w:hideMark/>
                </w:tcPr>
                <w:p w14:paraId="2A691B3E" w14:textId="77777777" w:rsidR="00D20573" w:rsidRPr="00D20573" w:rsidRDefault="00D20573" w:rsidP="00D20573">
                  <w:pPr>
                    <w:spacing w:before="120" w:line="240" w:lineRule="auto"/>
                    <w:jc w:val="both"/>
                    <w:rPr>
                      <w:rFonts w:cs="Arial"/>
                      <w:szCs w:val="20"/>
                      <w:lang w:val="sl-SI" w:eastAsia="sl-SI"/>
                    </w:rPr>
                  </w:pPr>
                  <w:r w:rsidRPr="00D20573">
                    <w:rPr>
                      <w:rFonts w:cs="Arial"/>
                      <w:szCs w:val="20"/>
                      <w:lang w:val="sl-SI" w:eastAsia="sl-SI"/>
                    </w:rPr>
                    <w:t>4.</w:t>
                  </w:r>
                </w:p>
              </w:tc>
              <w:tc>
                <w:tcPr>
                  <w:tcW w:w="0" w:type="auto"/>
                  <w:hideMark/>
                </w:tcPr>
                <w:p w14:paraId="1D46D0BF" w14:textId="431813F2" w:rsidR="00D20573" w:rsidRPr="00D20573" w:rsidRDefault="00D20573" w:rsidP="00D20573">
                  <w:pPr>
                    <w:spacing w:before="120" w:line="240" w:lineRule="auto"/>
                    <w:jc w:val="both"/>
                    <w:rPr>
                      <w:rFonts w:cs="Arial"/>
                      <w:szCs w:val="20"/>
                      <w:lang w:val="sl-SI" w:eastAsia="sl-SI"/>
                    </w:rPr>
                  </w:pPr>
                  <w:r w:rsidRPr="00D20573">
                    <w:rPr>
                      <w:rFonts w:cs="Arial"/>
                      <w:szCs w:val="20"/>
                      <w:lang w:val="sl-SI" w:eastAsia="sl-SI"/>
                    </w:rPr>
                    <w:t>kvantni računalniki, ki podpirajo 350 ali več, vendar manj kot 500, „popolnoma krmiljenih“, „povezanih“ in „delujočih“</w:t>
                  </w:r>
                  <w:r w:rsidR="00E20622">
                    <w:rPr>
                      <w:rFonts w:cs="Arial"/>
                      <w:szCs w:val="20"/>
                      <w:lang w:val="sl-SI" w:eastAsia="sl-SI"/>
                    </w:rPr>
                    <w:t xml:space="preserve"> </w:t>
                  </w:r>
                  <w:r w:rsidRPr="00D20573">
                    <w:rPr>
                      <w:rFonts w:cs="Arial"/>
                      <w:szCs w:val="20"/>
                      <w:lang w:val="sl-SI" w:eastAsia="sl-SI"/>
                    </w:rPr>
                    <w:t xml:space="preserve">„fizičnih </w:t>
                  </w:r>
                  <w:proofErr w:type="spellStart"/>
                  <w:r w:rsidRPr="00D20573">
                    <w:rPr>
                      <w:rFonts w:cs="Arial"/>
                      <w:szCs w:val="20"/>
                      <w:lang w:val="sl-SI" w:eastAsia="sl-SI"/>
                    </w:rPr>
                    <w:t>kubitov</w:t>
                  </w:r>
                  <w:proofErr w:type="spellEnd"/>
                  <w:r w:rsidRPr="00D20573">
                    <w:rPr>
                      <w:rFonts w:cs="Arial"/>
                      <w:szCs w:val="20"/>
                      <w:lang w:val="sl-SI" w:eastAsia="sl-SI"/>
                    </w:rPr>
                    <w:t>“, z „napako C-NOT“ 3×10</w:t>
                  </w:r>
                  <w:r w:rsidRPr="00D20573">
                    <w:rPr>
                      <w:rFonts w:cs="Arial"/>
                      <w:szCs w:val="20"/>
                      <w:vertAlign w:val="superscript"/>
                      <w:lang w:val="sl-SI" w:eastAsia="sl-SI"/>
                    </w:rPr>
                    <w:t>–3</w:t>
                  </w:r>
                  <w:r w:rsidRPr="00D20573">
                    <w:rPr>
                      <w:rFonts w:cs="Arial"/>
                      <w:szCs w:val="20"/>
                      <w:lang w:val="sl-SI" w:eastAsia="sl-SI"/>
                    </w:rPr>
                    <w:t> ali manj;</w:t>
                  </w:r>
                </w:p>
              </w:tc>
            </w:tr>
          </w:tbl>
          <w:p w14:paraId="14853069" w14:textId="77777777" w:rsidR="00D20573" w:rsidRPr="00D20573" w:rsidRDefault="00D20573" w:rsidP="00D20573">
            <w:pPr>
              <w:spacing w:line="240" w:lineRule="auto"/>
              <w:rPr>
                <w:rFonts w:cs="Arial"/>
                <w:vanish/>
                <w:color w:val="000000"/>
                <w:szCs w:val="20"/>
                <w:lang w:val="sl-SI" w:eastAsia="sl-SI"/>
              </w:rPr>
            </w:pPr>
          </w:p>
          <w:tbl>
            <w:tblPr>
              <w:tblW w:w="5000" w:type="pct"/>
              <w:tblCellSpacing w:w="0" w:type="dxa"/>
              <w:tblCellMar>
                <w:left w:w="0" w:type="dxa"/>
                <w:right w:w="0" w:type="dxa"/>
              </w:tblCellMar>
              <w:tblLook w:val="04A0" w:firstRow="1" w:lastRow="0" w:firstColumn="1" w:lastColumn="0" w:noHBand="0" w:noVBand="1"/>
            </w:tblPr>
            <w:tblGrid>
              <w:gridCol w:w="167"/>
              <w:gridCol w:w="9298"/>
            </w:tblGrid>
            <w:tr w:rsidR="00D20573" w:rsidRPr="00D20573" w14:paraId="706CCF53" w14:textId="77777777">
              <w:trPr>
                <w:tblCellSpacing w:w="0" w:type="dxa"/>
              </w:trPr>
              <w:tc>
                <w:tcPr>
                  <w:tcW w:w="0" w:type="auto"/>
                  <w:hideMark/>
                </w:tcPr>
                <w:p w14:paraId="549EE6BD" w14:textId="77777777" w:rsidR="00D20573" w:rsidRPr="00D20573" w:rsidRDefault="00D20573" w:rsidP="00D20573">
                  <w:pPr>
                    <w:spacing w:before="120" w:line="240" w:lineRule="auto"/>
                    <w:jc w:val="both"/>
                    <w:rPr>
                      <w:rFonts w:cs="Arial"/>
                      <w:szCs w:val="20"/>
                      <w:lang w:val="sl-SI" w:eastAsia="sl-SI"/>
                    </w:rPr>
                  </w:pPr>
                  <w:r w:rsidRPr="00D20573">
                    <w:rPr>
                      <w:rFonts w:cs="Arial"/>
                      <w:szCs w:val="20"/>
                      <w:lang w:val="sl-SI" w:eastAsia="sl-SI"/>
                    </w:rPr>
                    <w:t>5.</w:t>
                  </w:r>
                </w:p>
              </w:tc>
              <w:tc>
                <w:tcPr>
                  <w:tcW w:w="0" w:type="auto"/>
                  <w:hideMark/>
                </w:tcPr>
                <w:p w14:paraId="6F06BC25" w14:textId="0DC1F0E7" w:rsidR="00D20573" w:rsidRPr="00D20573" w:rsidRDefault="00D20573" w:rsidP="00D20573">
                  <w:pPr>
                    <w:spacing w:before="120" w:line="240" w:lineRule="auto"/>
                    <w:jc w:val="both"/>
                    <w:rPr>
                      <w:rFonts w:cs="Arial"/>
                      <w:szCs w:val="20"/>
                      <w:lang w:val="sl-SI" w:eastAsia="sl-SI"/>
                    </w:rPr>
                  </w:pPr>
                  <w:r w:rsidRPr="00D20573">
                    <w:rPr>
                      <w:rFonts w:cs="Arial"/>
                      <w:szCs w:val="20"/>
                      <w:lang w:val="sl-SI" w:eastAsia="sl-SI"/>
                    </w:rPr>
                    <w:t>kvantni računalniki, ki podpirajo 500 ali več, vendar manj kot 700, „popolnoma krmiljenih“, „povezanih“ in „delujočih“</w:t>
                  </w:r>
                  <w:r w:rsidR="00E20622">
                    <w:rPr>
                      <w:rFonts w:cs="Arial"/>
                      <w:szCs w:val="20"/>
                      <w:lang w:val="sl-SI" w:eastAsia="sl-SI"/>
                    </w:rPr>
                    <w:t xml:space="preserve"> </w:t>
                  </w:r>
                  <w:r w:rsidRPr="00D20573">
                    <w:rPr>
                      <w:rFonts w:cs="Arial"/>
                      <w:szCs w:val="20"/>
                      <w:lang w:val="sl-SI" w:eastAsia="sl-SI"/>
                    </w:rPr>
                    <w:t xml:space="preserve">„fizičnih </w:t>
                  </w:r>
                  <w:proofErr w:type="spellStart"/>
                  <w:r w:rsidRPr="00D20573">
                    <w:rPr>
                      <w:rFonts w:cs="Arial"/>
                      <w:szCs w:val="20"/>
                      <w:lang w:val="sl-SI" w:eastAsia="sl-SI"/>
                    </w:rPr>
                    <w:t>kubitov</w:t>
                  </w:r>
                  <w:proofErr w:type="spellEnd"/>
                  <w:r w:rsidRPr="00D20573">
                    <w:rPr>
                      <w:rFonts w:cs="Arial"/>
                      <w:szCs w:val="20"/>
                      <w:lang w:val="sl-SI" w:eastAsia="sl-SI"/>
                    </w:rPr>
                    <w:t>“, z „napako C-NOT“ 2×10</w:t>
                  </w:r>
                  <w:r w:rsidRPr="00D20573">
                    <w:rPr>
                      <w:rFonts w:cs="Arial"/>
                      <w:szCs w:val="20"/>
                      <w:vertAlign w:val="superscript"/>
                      <w:lang w:val="sl-SI" w:eastAsia="sl-SI"/>
                    </w:rPr>
                    <w:t>–3</w:t>
                  </w:r>
                  <w:r w:rsidRPr="00D20573">
                    <w:rPr>
                      <w:rFonts w:cs="Arial"/>
                      <w:szCs w:val="20"/>
                      <w:lang w:val="sl-SI" w:eastAsia="sl-SI"/>
                    </w:rPr>
                    <w:t> ali manj;</w:t>
                  </w:r>
                </w:p>
              </w:tc>
            </w:tr>
          </w:tbl>
          <w:p w14:paraId="195A94F9" w14:textId="77777777" w:rsidR="00D20573" w:rsidRPr="00D20573" w:rsidRDefault="00D20573" w:rsidP="00D20573">
            <w:pPr>
              <w:spacing w:line="240" w:lineRule="auto"/>
              <w:rPr>
                <w:rFonts w:cs="Arial"/>
                <w:vanish/>
                <w:color w:val="000000"/>
                <w:szCs w:val="20"/>
                <w:lang w:val="sl-SI" w:eastAsia="sl-SI"/>
              </w:rPr>
            </w:pPr>
          </w:p>
          <w:tbl>
            <w:tblPr>
              <w:tblW w:w="5000" w:type="pct"/>
              <w:tblCellSpacing w:w="0" w:type="dxa"/>
              <w:tblCellMar>
                <w:left w:w="0" w:type="dxa"/>
                <w:right w:w="0" w:type="dxa"/>
              </w:tblCellMar>
              <w:tblLook w:val="04A0" w:firstRow="1" w:lastRow="0" w:firstColumn="1" w:lastColumn="0" w:noHBand="0" w:noVBand="1"/>
            </w:tblPr>
            <w:tblGrid>
              <w:gridCol w:w="167"/>
              <w:gridCol w:w="9298"/>
            </w:tblGrid>
            <w:tr w:rsidR="00D20573" w:rsidRPr="00D20573" w14:paraId="019CC757" w14:textId="77777777">
              <w:trPr>
                <w:tblCellSpacing w:w="0" w:type="dxa"/>
              </w:trPr>
              <w:tc>
                <w:tcPr>
                  <w:tcW w:w="0" w:type="auto"/>
                  <w:hideMark/>
                </w:tcPr>
                <w:p w14:paraId="4311C4A3" w14:textId="77777777" w:rsidR="00D20573" w:rsidRPr="00D20573" w:rsidRDefault="00D20573" w:rsidP="00D20573">
                  <w:pPr>
                    <w:spacing w:before="120" w:line="240" w:lineRule="auto"/>
                    <w:jc w:val="both"/>
                    <w:rPr>
                      <w:rFonts w:cs="Arial"/>
                      <w:szCs w:val="20"/>
                      <w:lang w:val="sl-SI" w:eastAsia="sl-SI"/>
                    </w:rPr>
                  </w:pPr>
                  <w:r w:rsidRPr="00D20573">
                    <w:rPr>
                      <w:rFonts w:cs="Arial"/>
                      <w:szCs w:val="20"/>
                      <w:lang w:val="sl-SI" w:eastAsia="sl-SI"/>
                    </w:rPr>
                    <w:t>6.</w:t>
                  </w:r>
                </w:p>
              </w:tc>
              <w:tc>
                <w:tcPr>
                  <w:tcW w:w="0" w:type="auto"/>
                  <w:hideMark/>
                </w:tcPr>
                <w:p w14:paraId="1BB17330" w14:textId="6443740E" w:rsidR="00D20573" w:rsidRPr="00D20573" w:rsidRDefault="00D20573" w:rsidP="00D20573">
                  <w:pPr>
                    <w:spacing w:before="120" w:line="240" w:lineRule="auto"/>
                    <w:jc w:val="both"/>
                    <w:rPr>
                      <w:rFonts w:cs="Arial"/>
                      <w:szCs w:val="20"/>
                      <w:lang w:val="sl-SI" w:eastAsia="sl-SI"/>
                    </w:rPr>
                  </w:pPr>
                  <w:r w:rsidRPr="00D20573">
                    <w:rPr>
                      <w:rFonts w:cs="Arial"/>
                      <w:szCs w:val="20"/>
                      <w:lang w:val="sl-SI" w:eastAsia="sl-SI"/>
                    </w:rPr>
                    <w:t>kvantni računalniki, ki podpirajo 700 ali več, vendar manj kot 1 100, „popolnoma krmiljenih“, „povezanih“ in „delujočih“</w:t>
                  </w:r>
                  <w:r w:rsidR="00E20622">
                    <w:rPr>
                      <w:rFonts w:cs="Arial"/>
                      <w:szCs w:val="20"/>
                      <w:lang w:val="sl-SI" w:eastAsia="sl-SI"/>
                    </w:rPr>
                    <w:t xml:space="preserve"> </w:t>
                  </w:r>
                  <w:r w:rsidRPr="00D20573">
                    <w:rPr>
                      <w:rFonts w:cs="Arial"/>
                      <w:szCs w:val="20"/>
                      <w:lang w:val="sl-SI" w:eastAsia="sl-SI"/>
                    </w:rPr>
                    <w:t xml:space="preserve">„fizičnih </w:t>
                  </w:r>
                  <w:proofErr w:type="spellStart"/>
                  <w:r w:rsidRPr="00D20573">
                    <w:rPr>
                      <w:rFonts w:cs="Arial"/>
                      <w:szCs w:val="20"/>
                      <w:lang w:val="sl-SI" w:eastAsia="sl-SI"/>
                    </w:rPr>
                    <w:t>kubitov</w:t>
                  </w:r>
                  <w:proofErr w:type="spellEnd"/>
                  <w:r w:rsidRPr="00D20573">
                    <w:rPr>
                      <w:rFonts w:cs="Arial"/>
                      <w:szCs w:val="20"/>
                      <w:lang w:val="sl-SI" w:eastAsia="sl-SI"/>
                    </w:rPr>
                    <w:t>“, z „napako C-NOT“ 5×10</w:t>
                  </w:r>
                  <w:r w:rsidRPr="00D20573">
                    <w:rPr>
                      <w:rFonts w:cs="Arial"/>
                      <w:szCs w:val="20"/>
                      <w:vertAlign w:val="superscript"/>
                      <w:lang w:val="sl-SI" w:eastAsia="sl-SI"/>
                    </w:rPr>
                    <w:t>–3</w:t>
                  </w:r>
                  <w:r w:rsidRPr="00D20573">
                    <w:rPr>
                      <w:rFonts w:cs="Arial"/>
                      <w:szCs w:val="20"/>
                      <w:lang w:val="sl-SI" w:eastAsia="sl-SI"/>
                    </w:rPr>
                    <w:t> ali manj;</w:t>
                  </w:r>
                </w:p>
              </w:tc>
            </w:tr>
          </w:tbl>
          <w:p w14:paraId="76981258" w14:textId="77777777" w:rsidR="00D20573" w:rsidRPr="00D20573" w:rsidRDefault="00D20573" w:rsidP="00D20573">
            <w:pPr>
              <w:spacing w:line="240" w:lineRule="auto"/>
              <w:rPr>
                <w:rFonts w:cs="Arial"/>
                <w:vanish/>
                <w:color w:val="000000"/>
                <w:szCs w:val="20"/>
                <w:lang w:val="sl-SI" w:eastAsia="sl-SI"/>
              </w:rPr>
            </w:pPr>
          </w:p>
          <w:tbl>
            <w:tblPr>
              <w:tblW w:w="5000" w:type="pct"/>
              <w:tblCellSpacing w:w="0" w:type="dxa"/>
              <w:tblCellMar>
                <w:left w:w="0" w:type="dxa"/>
                <w:right w:w="0" w:type="dxa"/>
              </w:tblCellMar>
              <w:tblLook w:val="04A0" w:firstRow="1" w:lastRow="0" w:firstColumn="1" w:lastColumn="0" w:noHBand="0" w:noVBand="1"/>
            </w:tblPr>
            <w:tblGrid>
              <w:gridCol w:w="167"/>
              <w:gridCol w:w="9298"/>
            </w:tblGrid>
            <w:tr w:rsidR="00D20573" w:rsidRPr="00D20573" w14:paraId="585943BE" w14:textId="77777777">
              <w:trPr>
                <w:tblCellSpacing w:w="0" w:type="dxa"/>
              </w:trPr>
              <w:tc>
                <w:tcPr>
                  <w:tcW w:w="0" w:type="auto"/>
                  <w:hideMark/>
                </w:tcPr>
                <w:p w14:paraId="4304AD96" w14:textId="77777777" w:rsidR="00D20573" w:rsidRPr="00D20573" w:rsidRDefault="00D20573" w:rsidP="00D20573">
                  <w:pPr>
                    <w:spacing w:before="120" w:line="240" w:lineRule="auto"/>
                    <w:jc w:val="both"/>
                    <w:rPr>
                      <w:rFonts w:cs="Arial"/>
                      <w:szCs w:val="20"/>
                      <w:lang w:val="sl-SI" w:eastAsia="sl-SI"/>
                    </w:rPr>
                  </w:pPr>
                  <w:r w:rsidRPr="00D20573">
                    <w:rPr>
                      <w:rFonts w:cs="Arial"/>
                      <w:szCs w:val="20"/>
                      <w:lang w:val="sl-SI" w:eastAsia="sl-SI"/>
                    </w:rPr>
                    <w:t>7.</w:t>
                  </w:r>
                </w:p>
              </w:tc>
              <w:tc>
                <w:tcPr>
                  <w:tcW w:w="0" w:type="auto"/>
                  <w:hideMark/>
                </w:tcPr>
                <w:p w14:paraId="25841D00" w14:textId="0AC82863" w:rsidR="00D20573" w:rsidRPr="00D20573" w:rsidRDefault="00D20573" w:rsidP="00D20573">
                  <w:pPr>
                    <w:spacing w:before="120" w:line="240" w:lineRule="auto"/>
                    <w:jc w:val="both"/>
                    <w:rPr>
                      <w:rFonts w:cs="Arial"/>
                      <w:szCs w:val="20"/>
                      <w:lang w:val="sl-SI" w:eastAsia="sl-SI"/>
                    </w:rPr>
                  </w:pPr>
                  <w:r w:rsidRPr="00D20573">
                    <w:rPr>
                      <w:rFonts w:cs="Arial"/>
                      <w:szCs w:val="20"/>
                      <w:lang w:val="sl-SI" w:eastAsia="sl-SI"/>
                    </w:rPr>
                    <w:t>kvantni računalniki, ki podpirajo 1 100 ali več, vendar manj kot 2 000, „popolnoma krmiljenih“, „povezanih“ in „delujočih“</w:t>
                  </w:r>
                  <w:r w:rsidR="00E20622">
                    <w:rPr>
                      <w:rFonts w:cs="Arial"/>
                      <w:szCs w:val="20"/>
                      <w:lang w:val="sl-SI" w:eastAsia="sl-SI"/>
                    </w:rPr>
                    <w:t xml:space="preserve"> </w:t>
                  </w:r>
                  <w:r w:rsidRPr="00D20573">
                    <w:rPr>
                      <w:rFonts w:cs="Arial"/>
                      <w:szCs w:val="20"/>
                      <w:lang w:val="sl-SI" w:eastAsia="sl-SI"/>
                    </w:rPr>
                    <w:t xml:space="preserve">„fizičnih </w:t>
                  </w:r>
                  <w:proofErr w:type="spellStart"/>
                  <w:r w:rsidRPr="00D20573">
                    <w:rPr>
                      <w:rFonts w:cs="Arial"/>
                      <w:szCs w:val="20"/>
                      <w:lang w:val="sl-SI" w:eastAsia="sl-SI"/>
                    </w:rPr>
                    <w:t>kubitov</w:t>
                  </w:r>
                  <w:proofErr w:type="spellEnd"/>
                  <w:r w:rsidRPr="00D20573">
                    <w:rPr>
                      <w:rFonts w:cs="Arial"/>
                      <w:szCs w:val="20"/>
                      <w:lang w:val="sl-SI" w:eastAsia="sl-SI"/>
                    </w:rPr>
                    <w:t>“, z „napako C-NOT“ 6×10</w:t>
                  </w:r>
                  <w:r w:rsidRPr="00D20573">
                    <w:rPr>
                      <w:rFonts w:cs="Arial"/>
                      <w:szCs w:val="20"/>
                      <w:vertAlign w:val="superscript"/>
                      <w:lang w:val="sl-SI" w:eastAsia="sl-SI"/>
                    </w:rPr>
                    <w:t>–3</w:t>
                  </w:r>
                  <w:r w:rsidRPr="00D20573">
                    <w:rPr>
                      <w:rFonts w:cs="Arial"/>
                      <w:szCs w:val="20"/>
                      <w:lang w:val="sl-SI" w:eastAsia="sl-SI"/>
                    </w:rPr>
                    <w:t> ali manj;</w:t>
                  </w:r>
                </w:p>
              </w:tc>
            </w:tr>
          </w:tbl>
          <w:p w14:paraId="7388B972" w14:textId="77777777" w:rsidR="00D20573" w:rsidRPr="00D20573" w:rsidRDefault="00D20573" w:rsidP="00D20573">
            <w:pPr>
              <w:spacing w:line="240" w:lineRule="auto"/>
              <w:rPr>
                <w:rFonts w:cs="Arial"/>
                <w:vanish/>
                <w:color w:val="000000"/>
                <w:szCs w:val="20"/>
                <w:lang w:val="sl-SI" w:eastAsia="sl-SI"/>
              </w:rPr>
            </w:pPr>
          </w:p>
          <w:tbl>
            <w:tblPr>
              <w:tblW w:w="5000" w:type="pct"/>
              <w:tblCellSpacing w:w="0" w:type="dxa"/>
              <w:tblCellMar>
                <w:left w:w="0" w:type="dxa"/>
                <w:right w:w="0" w:type="dxa"/>
              </w:tblCellMar>
              <w:tblLook w:val="04A0" w:firstRow="1" w:lastRow="0" w:firstColumn="1" w:lastColumn="0" w:noHBand="0" w:noVBand="1"/>
            </w:tblPr>
            <w:tblGrid>
              <w:gridCol w:w="167"/>
              <w:gridCol w:w="9298"/>
            </w:tblGrid>
            <w:tr w:rsidR="00D20573" w:rsidRPr="00D20573" w14:paraId="67BB1ED5" w14:textId="77777777" w:rsidTr="00D20573">
              <w:trPr>
                <w:trHeight w:val="709"/>
                <w:tblCellSpacing w:w="0" w:type="dxa"/>
              </w:trPr>
              <w:tc>
                <w:tcPr>
                  <w:tcW w:w="0" w:type="auto"/>
                  <w:hideMark/>
                </w:tcPr>
                <w:p w14:paraId="5F3F3A0E" w14:textId="77777777" w:rsidR="00D20573" w:rsidRPr="00D20573" w:rsidRDefault="00D20573" w:rsidP="00D20573">
                  <w:pPr>
                    <w:spacing w:before="120" w:line="240" w:lineRule="auto"/>
                    <w:jc w:val="both"/>
                    <w:rPr>
                      <w:rFonts w:cs="Arial"/>
                      <w:szCs w:val="20"/>
                      <w:lang w:val="sl-SI" w:eastAsia="sl-SI"/>
                    </w:rPr>
                  </w:pPr>
                  <w:r w:rsidRPr="00D20573">
                    <w:rPr>
                      <w:rFonts w:cs="Arial"/>
                      <w:szCs w:val="20"/>
                      <w:lang w:val="sl-SI" w:eastAsia="sl-SI"/>
                    </w:rPr>
                    <w:t>8.</w:t>
                  </w:r>
                </w:p>
              </w:tc>
              <w:tc>
                <w:tcPr>
                  <w:tcW w:w="0" w:type="auto"/>
                  <w:hideMark/>
                </w:tcPr>
                <w:p w14:paraId="17A31DCE" w14:textId="3BC215A3" w:rsidR="00D20573" w:rsidRPr="00D20573" w:rsidRDefault="00D20573" w:rsidP="00D20573">
                  <w:pPr>
                    <w:spacing w:before="120" w:line="240" w:lineRule="auto"/>
                    <w:jc w:val="both"/>
                    <w:rPr>
                      <w:rFonts w:cs="Arial"/>
                      <w:szCs w:val="20"/>
                      <w:lang w:val="sl-SI" w:eastAsia="sl-SI"/>
                    </w:rPr>
                  </w:pPr>
                  <w:r w:rsidRPr="00D20573">
                    <w:rPr>
                      <w:rFonts w:cs="Arial"/>
                      <w:szCs w:val="20"/>
                      <w:lang w:val="sl-SI" w:eastAsia="sl-SI"/>
                    </w:rPr>
                    <w:t>kvantni računalniki, ki podpirajo 2 000 ali več „popolnoma krmiljenih“, „povezanih“ in „delujočih“</w:t>
                  </w:r>
                  <w:r w:rsidR="00E20622">
                    <w:rPr>
                      <w:rFonts w:cs="Arial"/>
                      <w:szCs w:val="20"/>
                      <w:lang w:val="sl-SI" w:eastAsia="sl-SI"/>
                    </w:rPr>
                    <w:t xml:space="preserve"> </w:t>
                  </w:r>
                  <w:r w:rsidRPr="00D20573">
                    <w:rPr>
                      <w:rFonts w:cs="Arial"/>
                      <w:szCs w:val="20"/>
                      <w:lang w:val="sl-SI" w:eastAsia="sl-SI"/>
                    </w:rPr>
                    <w:t xml:space="preserve">„fizičnih </w:t>
                  </w:r>
                  <w:proofErr w:type="spellStart"/>
                  <w:r w:rsidRPr="00D20573">
                    <w:rPr>
                      <w:rFonts w:cs="Arial"/>
                      <w:szCs w:val="20"/>
                      <w:lang w:val="sl-SI" w:eastAsia="sl-SI"/>
                    </w:rPr>
                    <w:t>kubitov</w:t>
                  </w:r>
                  <w:proofErr w:type="spellEnd"/>
                  <w:r w:rsidRPr="00D20573">
                    <w:rPr>
                      <w:rFonts w:cs="Arial"/>
                      <w:szCs w:val="20"/>
                      <w:lang w:val="sl-SI" w:eastAsia="sl-SI"/>
                    </w:rPr>
                    <w:t>“;</w:t>
                  </w:r>
                </w:p>
              </w:tc>
            </w:tr>
          </w:tbl>
          <w:p w14:paraId="109AB7A9" w14:textId="77777777" w:rsidR="00D20573" w:rsidRPr="00D20573" w:rsidRDefault="00D20573" w:rsidP="00D20573">
            <w:pPr>
              <w:spacing w:line="240" w:lineRule="auto"/>
              <w:rPr>
                <w:rFonts w:cs="Arial"/>
                <w:color w:val="000000"/>
                <w:szCs w:val="20"/>
                <w:lang w:val="sl-SI" w:eastAsia="sl-SI"/>
              </w:rPr>
            </w:pPr>
          </w:p>
        </w:tc>
      </w:tr>
    </w:tbl>
    <w:p w14:paraId="681DFDB1" w14:textId="77777777" w:rsidR="00D20573" w:rsidRPr="00D20573" w:rsidRDefault="00D20573" w:rsidP="00EF10D7">
      <w:pPr>
        <w:spacing w:line="240" w:lineRule="auto"/>
        <w:ind w:left="568"/>
        <w:rPr>
          <w:rFonts w:ascii="Times New Roman" w:hAnsi="Times New Roman"/>
          <w:vanish/>
          <w:szCs w:val="20"/>
          <w:lang w:val="sl-SI" w:eastAsia="sl-SI"/>
        </w:rPr>
      </w:pPr>
    </w:p>
    <w:tbl>
      <w:tblPr>
        <w:tblW w:w="5000" w:type="pct"/>
        <w:tblCellSpacing w:w="0" w:type="dxa"/>
        <w:tblInd w:w="568" w:type="dxa"/>
        <w:shd w:val="clear" w:color="auto" w:fill="FFFFFF"/>
        <w:tblCellMar>
          <w:left w:w="0" w:type="dxa"/>
          <w:right w:w="0" w:type="dxa"/>
        </w:tblCellMar>
        <w:tblLook w:val="04A0" w:firstRow="1" w:lastRow="0" w:firstColumn="1" w:lastColumn="0" w:noHBand="0" w:noVBand="1"/>
      </w:tblPr>
      <w:tblGrid>
        <w:gridCol w:w="167"/>
        <w:gridCol w:w="9465"/>
      </w:tblGrid>
      <w:tr w:rsidR="00D20573" w:rsidRPr="00D20573" w14:paraId="5CA8FA51" w14:textId="77777777" w:rsidTr="00EF10D7">
        <w:trPr>
          <w:tblCellSpacing w:w="0" w:type="dxa"/>
        </w:trPr>
        <w:tc>
          <w:tcPr>
            <w:tcW w:w="0" w:type="auto"/>
            <w:shd w:val="clear" w:color="auto" w:fill="FFFFFF"/>
            <w:hideMark/>
          </w:tcPr>
          <w:p w14:paraId="619A555A" w14:textId="77777777" w:rsidR="00D20573" w:rsidRPr="00D20573" w:rsidRDefault="00D20573" w:rsidP="00D20573">
            <w:pPr>
              <w:spacing w:before="120" w:line="240" w:lineRule="auto"/>
              <w:jc w:val="both"/>
              <w:rPr>
                <w:rFonts w:cs="Arial"/>
                <w:color w:val="000000"/>
                <w:szCs w:val="20"/>
                <w:lang w:val="sl-SI" w:eastAsia="sl-SI"/>
              </w:rPr>
            </w:pPr>
            <w:r w:rsidRPr="00D20573">
              <w:rPr>
                <w:rFonts w:cs="Arial"/>
                <w:color w:val="000000"/>
                <w:szCs w:val="20"/>
                <w:lang w:val="sl-SI" w:eastAsia="sl-SI"/>
              </w:rPr>
              <w:t>b.</w:t>
            </w:r>
          </w:p>
        </w:tc>
        <w:tc>
          <w:tcPr>
            <w:tcW w:w="0" w:type="auto"/>
            <w:shd w:val="clear" w:color="auto" w:fill="FFFFFF"/>
            <w:hideMark/>
          </w:tcPr>
          <w:p w14:paraId="78C946AB" w14:textId="77777777" w:rsidR="00D20573" w:rsidRPr="00D20573" w:rsidRDefault="00D20573" w:rsidP="00D20573">
            <w:pPr>
              <w:spacing w:before="120" w:line="240" w:lineRule="auto"/>
              <w:jc w:val="both"/>
              <w:rPr>
                <w:rFonts w:cs="Arial"/>
                <w:color w:val="000000"/>
                <w:szCs w:val="20"/>
                <w:lang w:val="sl-SI" w:eastAsia="sl-SI"/>
              </w:rPr>
            </w:pPr>
            <w:proofErr w:type="spellStart"/>
            <w:r w:rsidRPr="00D20573">
              <w:rPr>
                <w:rFonts w:cs="Arial"/>
                <w:color w:val="000000"/>
                <w:szCs w:val="20"/>
                <w:lang w:val="sl-SI" w:eastAsia="sl-SI"/>
              </w:rPr>
              <w:t>kubitne</w:t>
            </w:r>
            <w:proofErr w:type="spellEnd"/>
            <w:r w:rsidRPr="00D20573">
              <w:rPr>
                <w:rFonts w:cs="Arial"/>
                <w:color w:val="000000"/>
                <w:szCs w:val="20"/>
                <w:lang w:val="sl-SI" w:eastAsia="sl-SI"/>
              </w:rPr>
              <w:t xml:space="preserve"> naprave in </w:t>
            </w:r>
            <w:proofErr w:type="spellStart"/>
            <w:r w:rsidRPr="00D20573">
              <w:rPr>
                <w:rFonts w:cs="Arial"/>
                <w:color w:val="000000"/>
                <w:szCs w:val="20"/>
                <w:lang w:val="sl-SI" w:eastAsia="sl-SI"/>
              </w:rPr>
              <w:t>kubitna</w:t>
            </w:r>
            <w:proofErr w:type="spellEnd"/>
            <w:r w:rsidRPr="00D20573">
              <w:rPr>
                <w:rFonts w:cs="Arial"/>
                <w:color w:val="000000"/>
                <w:szCs w:val="20"/>
                <w:lang w:val="sl-SI" w:eastAsia="sl-SI"/>
              </w:rPr>
              <w:t xml:space="preserve"> vezja, ki vsebujejo ali podpirajo nize „fizičnih </w:t>
            </w:r>
            <w:proofErr w:type="spellStart"/>
            <w:r w:rsidRPr="00D20573">
              <w:rPr>
                <w:rFonts w:cs="Arial"/>
                <w:color w:val="000000"/>
                <w:szCs w:val="20"/>
                <w:lang w:val="sl-SI" w:eastAsia="sl-SI"/>
              </w:rPr>
              <w:t>kubitov</w:t>
            </w:r>
            <w:proofErr w:type="spellEnd"/>
            <w:r w:rsidRPr="00D20573">
              <w:rPr>
                <w:rFonts w:cs="Arial"/>
                <w:color w:val="000000"/>
                <w:szCs w:val="20"/>
                <w:lang w:val="sl-SI" w:eastAsia="sl-SI"/>
              </w:rPr>
              <w:t>“ in so izdelani posebej za blago iz 4A1906.a;</w:t>
            </w:r>
          </w:p>
        </w:tc>
      </w:tr>
    </w:tbl>
    <w:p w14:paraId="5997DA5A" w14:textId="77777777" w:rsidR="00D20573" w:rsidRPr="00D20573" w:rsidRDefault="00D20573" w:rsidP="00EF10D7">
      <w:pPr>
        <w:spacing w:line="240" w:lineRule="auto"/>
        <w:ind w:left="568"/>
        <w:rPr>
          <w:rFonts w:cs="Arial"/>
          <w:vanish/>
          <w:szCs w:val="20"/>
          <w:lang w:val="sl-SI" w:eastAsia="sl-SI"/>
        </w:rPr>
      </w:pPr>
    </w:p>
    <w:tbl>
      <w:tblPr>
        <w:tblW w:w="5000" w:type="pct"/>
        <w:tblCellSpacing w:w="0" w:type="dxa"/>
        <w:tblInd w:w="568" w:type="dxa"/>
        <w:shd w:val="clear" w:color="auto" w:fill="FFFFFF"/>
        <w:tblCellMar>
          <w:left w:w="0" w:type="dxa"/>
          <w:right w:w="0" w:type="dxa"/>
        </w:tblCellMar>
        <w:tblLook w:val="04A0" w:firstRow="1" w:lastRow="0" w:firstColumn="1" w:lastColumn="0" w:noHBand="0" w:noVBand="1"/>
      </w:tblPr>
      <w:tblGrid>
        <w:gridCol w:w="156"/>
        <w:gridCol w:w="9476"/>
      </w:tblGrid>
      <w:tr w:rsidR="00D20573" w:rsidRPr="00D20573" w14:paraId="6C0983C7" w14:textId="77777777" w:rsidTr="00EF10D7">
        <w:trPr>
          <w:tblCellSpacing w:w="0" w:type="dxa"/>
        </w:trPr>
        <w:tc>
          <w:tcPr>
            <w:tcW w:w="0" w:type="auto"/>
            <w:shd w:val="clear" w:color="auto" w:fill="FFFFFF"/>
            <w:hideMark/>
          </w:tcPr>
          <w:p w14:paraId="31A0A23C" w14:textId="77777777" w:rsidR="00D20573" w:rsidRPr="00D20573" w:rsidRDefault="00D20573" w:rsidP="00D20573">
            <w:pPr>
              <w:spacing w:before="120" w:line="240" w:lineRule="auto"/>
              <w:jc w:val="both"/>
              <w:rPr>
                <w:rFonts w:cs="Arial"/>
                <w:color w:val="000000"/>
                <w:szCs w:val="20"/>
                <w:lang w:val="sl-SI" w:eastAsia="sl-SI"/>
              </w:rPr>
            </w:pPr>
            <w:r w:rsidRPr="00D20573">
              <w:rPr>
                <w:rFonts w:cs="Arial"/>
                <w:color w:val="000000"/>
                <w:szCs w:val="20"/>
                <w:lang w:val="sl-SI" w:eastAsia="sl-SI"/>
              </w:rPr>
              <w:t>c.</w:t>
            </w:r>
          </w:p>
        </w:tc>
        <w:tc>
          <w:tcPr>
            <w:tcW w:w="0" w:type="auto"/>
            <w:shd w:val="clear" w:color="auto" w:fill="FFFFFF"/>
            <w:hideMark/>
          </w:tcPr>
          <w:p w14:paraId="7A7CB514" w14:textId="77777777" w:rsidR="00D20573" w:rsidRPr="00D20573" w:rsidRDefault="00D20573" w:rsidP="00D20573">
            <w:pPr>
              <w:spacing w:before="120" w:line="240" w:lineRule="auto"/>
              <w:jc w:val="both"/>
              <w:rPr>
                <w:rFonts w:cs="Arial"/>
                <w:color w:val="000000"/>
                <w:szCs w:val="20"/>
                <w:lang w:val="sl-SI" w:eastAsia="sl-SI"/>
              </w:rPr>
            </w:pPr>
            <w:r w:rsidRPr="00D20573">
              <w:rPr>
                <w:rFonts w:cs="Arial"/>
                <w:color w:val="000000"/>
                <w:szCs w:val="20"/>
                <w:lang w:val="sl-SI" w:eastAsia="sl-SI"/>
              </w:rPr>
              <w:t>komponente za kvantno krmiljenje in kvantne merilne naprave, izdelane posebej za blago iz 4A1906.a.</w:t>
            </w:r>
          </w:p>
          <w:p w14:paraId="1D3BC5F1" w14:textId="77777777" w:rsidR="00D20573" w:rsidRPr="00D20573" w:rsidRDefault="00D20573" w:rsidP="00D20573">
            <w:pPr>
              <w:spacing w:before="120" w:line="240" w:lineRule="auto"/>
              <w:rPr>
                <w:rFonts w:cs="Arial"/>
                <w:i/>
                <w:iCs/>
                <w:color w:val="000000"/>
                <w:szCs w:val="20"/>
                <w:lang w:val="sl-SI" w:eastAsia="sl-SI"/>
              </w:rPr>
            </w:pPr>
            <w:r w:rsidRPr="00D20573">
              <w:rPr>
                <w:rFonts w:cs="Arial"/>
                <w:i/>
                <w:iCs/>
                <w:color w:val="000000"/>
                <w:szCs w:val="20"/>
                <w:u w:val="single"/>
                <w:lang w:val="sl-SI" w:eastAsia="sl-SI"/>
              </w:rPr>
              <w:t>Opombe:</w:t>
            </w:r>
          </w:p>
          <w:tbl>
            <w:tblPr>
              <w:tblW w:w="5000" w:type="pct"/>
              <w:tblCellSpacing w:w="0" w:type="dxa"/>
              <w:tblCellMar>
                <w:left w:w="0" w:type="dxa"/>
                <w:right w:w="0" w:type="dxa"/>
              </w:tblCellMar>
              <w:tblLook w:val="04A0" w:firstRow="1" w:lastRow="0" w:firstColumn="1" w:lastColumn="0" w:noHBand="0" w:noVBand="1"/>
            </w:tblPr>
            <w:tblGrid>
              <w:gridCol w:w="167"/>
              <w:gridCol w:w="9309"/>
            </w:tblGrid>
            <w:tr w:rsidR="00D20573" w:rsidRPr="00D20573" w14:paraId="4A609CBF" w14:textId="77777777">
              <w:trPr>
                <w:tblCellSpacing w:w="0" w:type="dxa"/>
              </w:trPr>
              <w:tc>
                <w:tcPr>
                  <w:tcW w:w="0" w:type="auto"/>
                  <w:hideMark/>
                </w:tcPr>
                <w:p w14:paraId="192563D4" w14:textId="77777777" w:rsidR="00D20573" w:rsidRPr="00D20573" w:rsidRDefault="00D20573" w:rsidP="00D20573">
                  <w:pPr>
                    <w:spacing w:before="100" w:beforeAutospacing="1" w:after="100" w:afterAutospacing="1" w:line="240" w:lineRule="auto"/>
                    <w:rPr>
                      <w:rFonts w:cs="Arial"/>
                      <w:szCs w:val="20"/>
                      <w:lang w:val="sl-SI" w:eastAsia="sl-SI"/>
                    </w:rPr>
                  </w:pPr>
                  <w:r w:rsidRPr="00D20573">
                    <w:rPr>
                      <w:rFonts w:cs="Arial"/>
                      <w:i/>
                      <w:iCs/>
                      <w:szCs w:val="20"/>
                      <w:lang w:val="sl-SI" w:eastAsia="sl-SI"/>
                    </w:rPr>
                    <w:lastRenderedPageBreak/>
                    <w:t>1.</w:t>
                  </w:r>
                </w:p>
              </w:tc>
              <w:tc>
                <w:tcPr>
                  <w:tcW w:w="0" w:type="auto"/>
                  <w:hideMark/>
                </w:tcPr>
                <w:p w14:paraId="4A73751C" w14:textId="77777777" w:rsidR="00D20573" w:rsidRPr="00D20573" w:rsidRDefault="00D20573" w:rsidP="00D20573">
                  <w:pPr>
                    <w:spacing w:line="240" w:lineRule="auto"/>
                    <w:rPr>
                      <w:rFonts w:cs="Arial"/>
                      <w:szCs w:val="20"/>
                      <w:lang w:val="sl-SI" w:eastAsia="sl-SI"/>
                    </w:rPr>
                  </w:pPr>
                  <w:r w:rsidRPr="00D20573">
                    <w:rPr>
                      <w:rFonts w:cs="Arial"/>
                      <w:i/>
                      <w:iCs/>
                      <w:szCs w:val="20"/>
                      <w:lang w:val="sl-SI" w:eastAsia="sl-SI"/>
                    </w:rPr>
                    <w:t>4A1906 se nanaša na kvantne računalnike, ki uporabljajo model vezja (kjer izračun temelji na vratih), in enosmerne kvantne računalnike (kjer izračun temelji na meritvah). Ta vnos ne velja za adiabatne kvantne računalnike (ali računalnike, ki uporabljajo kvantno žarjenje).</w:t>
                  </w:r>
                </w:p>
              </w:tc>
            </w:tr>
          </w:tbl>
          <w:p w14:paraId="776A229A" w14:textId="77777777" w:rsidR="00D20573" w:rsidRPr="00D20573" w:rsidRDefault="00D20573" w:rsidP="00D20573">
            <w:pPr>
              <w:spacing w:line="240" w:lineRule="auto"/>
              <w:rPr>
                <w:rFonts w:cs="Arial"/>
                <w:vanish/>
                <w:color w:val="000000"/>
                <w:szCs w:val="20"/>
                <w:lang w:val="sl-SI" w:eastAsia="sl-SI"/>
              </w:rPr>
            </w:pPr>
          </w:p>
          <w:tbl>
            <w:tblPr>
              <w:tblW w:w="5000" w:type="pct"/>
              <w:tblCellSpacing w:w="0" w:type="dxa"/>
              <w:tblCellMar>
                <w:left w:w="0" w:type="dxa"/>
                <w:right w:w="0" w:type="dxa"/>
              </w:tblCellMar>
              <w:tblLook w:val="04A0" w:firstRow="1" w:lastRow="0" w:firstColumn="1" w:lastColumn="0" w:noHBand="0" w:noVBand="1"/>
            </w:tblPr>
            <w:tblGrid>
              <w:gridCol w:w="167"/>
              <w:gridCol w:w="9309"/>
            </w:tblGrid>
            <w:tr w:rsidR="00D20573" w:rsidRPr="00D20573" w14:paraId="0BB72E83" w14:textId="77777777">
              <w:trPr>
                <w:tblCellSpacing w:w="0" w:type="dxa"/>
              </w:trPr>
              <w:tc>
                <w:tcPr>
                  <w:tcW w:w="0" w:type="auto"/>
                  <w:hideMark/>
                </w:tcPr>
                <w:p w14:paraId="3DBE5845" w14:textId="77777777" w:rsidR="00D20573" w:rsidRPr="00D20573" w:rsidRDefault="00D20573" w:rsidP="00D20573">
                  <w:pPr>
                    <w:spacing w:before="100" w:beforeAutospacing="1" w:after="100" w:afterAutospacing="1" w:line="240" w:lineRule="auto"/>
                    <w:rPr>
                      <w:rFonts w:cs="Arial"/>
                      <w:szCs w:val="20"/>
                      <w:lang w:val="sl-SI" w:eastAsia="sl-SI"/>
                    </w:rPr>
                  </w:pPr>
                  <w:r w:rsidRPr="00D20573">
                    <w:rPr>
                      <w:rFonts w:cs="Arial"/>
                      <w:i/>
                      <w:iCs/>
                      <w:szCs w:val="20"/>
                      <w:lang w:val="sl-SI" w:eastAsia="sl-SI"/>
                    </w:rPr>
                    <w:t>2.</w:t>
                  </w:r>
                </w:p>
              </w:tc>
              <w:tc>
                <w:tcPr>
                  <w:tcW w:w="0" w:type="auto"/>
                  <w:hideMark/>
                </w:tcPr>
                <w:p w14:paraId="4A4D1F50" w14:textId="77777777" w:rsidR="00D20573" w:rsidRPr="00D20573" w:rsidRDefault="00D20573" w:rsidP="00D20573">
                  <w:pPr>
                    <w:spacing w:line="240" w:lineRule="auto"/>
                    <w:rPr>
                      <w:rFonts w:cs="Arial"/>
                      <w:szCs w:val="20"/>
                      <w:lang w:val="sl-SI" w:eastAsia="sl-SI"/>
                    </w:rPr>
                  </w:pPr>
                  <w:r w:rsidRPr="00D20573">
                    <w:rPr>
                      <w:rFonts w:cs="Arial"/>
                      <w:i/>
                      <w:iCs/>
                      <w:szCs w:val="20"/>
                      <w:lang w:val="sl-SI" w:eastAsia="sl-SI"/>
                    </w:rPr>
                    <w:t xml:space="preserve">Ni nujno, da blago iz 4A1906 fizično vsebuje </w:t>
                  </w:r>
                  <w:proofErr w:type="spellStart"/>
                  <w:r w:rsidRPr="00D20573">
                    <w:rPr>
                      <w:rFonts w:cs="Arial"/>
                      <w:i/>
                      <w:iCs/>
                      <w:szCs w:val="20"/>
                      <w:lang w:val="sl-SI" w:eastAsia="sl-SI"/>
                    </w:rPr>
                    <w:t>kubite</w:t>
                  </w:r>
                  <w:proofErr w:type="spellEnd"/>
                  <w:r w:rsidRPr="00D20573">
                    <w:rPr>
                      <w:rFonts w:cs="Arial"/>
                      <w:i/>
                      <w:iCs/>
                      <w:szCs w:val="20"/>
                      <w:lang w:val="sl-SI" w:eastAsia="sl-SI"/>
                    </w:rPr>
                    <w:t xml:space="preserve">. Na primer kvantni računalniki, ki temeljijo na fotonskih sistemih, trajno ne vsebujejo fizičnega predmeta, ki bi ga bilo mogoče opredeliti kot </w:t>
                  </w:r>
                  <w:proofErr w:type="spellStart"/>
                  <w:r w:rsidRPr="00D20573">
                    <w:rPr>
                      <w:rFonts w:cs="Arial"/>
                      <w:i/>
                      <w:iCs/>
                      <w:szCs w:val="20"/>
                      <w:lang w:val="sl-SI" w:eastAsia="sl-SI"/>
                    </w:rPr>
                    <w:t>kubit</w:t>
                  </w:r>
                  <w:proofErr w:type="spellEnd"/>
                  <w:r w:rsidRPr="00D20573">
                    <w:rPr>
                      <w:rFonts w:cs="Arial"/>
                      <w:i/>
                      <w:iCs/>
                      <w:szCs w:val="20"/>
                      <w:lang w:val="sl-SI" w:eastAsia="sl-SI"/>
                    </w:rPr>
                    <w:t xml:space="preserve">. Fotonski </w:t>
                  </w:r>
                  <w:proofErr w:type="spellStart"/>
                  <w:r w:rsidRPr="00D20573">
                    <w:rPr>
                      <w:rFonts w:cs="Arial"/>
                      <w:i/>
                      <w:iCs/>
                      <w:szCs w:val="20"/>
                      <w:lang w:val="sl-SI" w:eastAsia="sl-SI"/>
                    </w:rPr>
                    <w:t>kubiti</w:t>
                  </w:r>
                  <w:proofErr w:type="spellEnd"/>
                  <w:r w:rsidRPr="00D20573">
                    <w:rPr>
                      <w:rFonts w:cs="Arial"/>
                      <w:i/>
                      <w:iCs/>
                      <w:szCs w:val="20"/>
                      <w:lang w:val="sl-SI" w:eastAsia="sl-SI"/>
                    </w:rPr>
                    <w:t xml:space="preserve"> se ustvarijo med delovanjem računalnika, nato pa se zavržejo.</w:t>
                  </w:r>
                </w:p>
              </w:tc>
            </w:tr>
          </w:tbl>
          <w:p w14:paraId="0D800107" w14:textId="77777777" w:rsidR="00D20573" w:rsidRPr="00D20573" w:rsidRDefault="00D20573" w:rsidP="00D20573">
            <w:pPr>
              <w:spacing w:line="240" w:lineRule="auto"/>
              <w:rPr>
                <w:rFonts w:cs="Arial"/>
                <w:vanish/>
                <w:color w:val="000000"/>
                <w:szCs w:val="20"/>
                <w:lang w:val="sl-SI" w:eastAsia="sl-SI"/>
              </w:rPr>
            </w:pPr>
          </w:p>
          <w:tbl>
            <w:tblPr>
              <w:tblW w:w="5000" w:type="pct"/>
              <w:tblCellSpacing w:w="0" w:type="dxa"/>
              <w:tblCellMar>
                <w:left w:w="0" w:type="dxa"/>
                <w:right w:w="0" w:type="dxa"/>
              </w:tblCellMar>
              <w:tblLook w:val="04A0" w:firstRow="1" w:lastRow="0" w:firstColumn="1" w:lastColumn="0" w:noHBand="0" w:noVBand="1"/>
            </w:tblPr>
            <w:tblGrid>
              <w:gridCol w:w="167"/>
              <w:gridCol w:w="9309"/>
            </w:tblGrid>
            <w:tr w:rsidR="00D20573" w:rsidRPr="00D20573" w14:paraId="5363BFC3" w14:textId="77777777">
              <w:trPr>
                <w:tblCellSpacing w:w="0" w:type="dxa"/>
              </w:trPr>
              <w:tc>
                <w:tcPr>
                  <w:tcW w:w="0" w:type="auto"/>
                  <w:hideMark/>
                </w:tcPr>
                <w:p w14:paraId="02B42E2E" w14:textId="77777777" w:rsidR="00D20573" w:rsidRPr="00D20573" w:rsidRDefault="00D20573" w:rsidP="00D20573">
                  <w:pPr>
                    <w:spacing w:before="100" w:beforeAutospacing="1" w:after="100" w:afterAutospacing="1" w:line="240" w:lineRule="auto"/>
                    <w:rPr>
                      <w:rFonts w:cs="Arial"/>
                      <w:szCs w:val="20"/>
                      <w:lang w:val="sl-SI" w:eastAsia="sl-SI"/>
                    </w:rPr>
                  </w:pPr>
                  <w:r w:rsidRPr="00D20573">
                    <w:rPr>
                      <w:rFonts w:cs="Arial"/>
                      <w:i/>
                      <w:iCs/>
                      <w:szCs w:val="20"/>
                      <w:lang w:val="sl-SI" w:eastAsia="sl-SI"/>
                    </w:rPr>
                    <w:t>3.</w:t>
                  </w:r>
                </w:p>
              </w:tc>
              <w:tc>
                <w:tcPr>
                  <w:tcW w:w="0" w:type="auto"/>
                  <w:hideMark/>
                </w:tcPr>
                <w:p w14:paraId="555C5CDF" w14:textId="77777777" w:rsidR="00D20573" w:rsidRPr="00D20573" w:rsidRDefault="00D20573" w:rsidP="00D20573">
                  <w:pPr>
                    <w:spacing w:line="240" w:lineRule="auto"/>
                    <w:rPr>
                      <w:rFonts w:cs="Arial"/>
                      <w:szCs w:val="20"/>
                      <w:lang w:val="sl-SI" w:eastAsia="sl-SI"/>
                    </w:rPr>
                  </w:pPr>
                  <w:r w:rsidRPr="00D20573">
                    <w:rPr>
                      <w:rFonts w:cs="Arial"/>
                      <w:i/>
                      <w:iCs/>
                      <w:szCs w:val="20"/>
                      <w:lang w:val="sl-SI" w:eastAsia="sl-SI"/>
                    </w:rPr>
                    <w:t xml:space="preserve">Blago iz 4A1906.b vključuje polprevodnike, superprevodnike ter fotonske </w:t>
                  </w:r>
                  <w:proofErr w:type="spellStart"/>
                  <w:r w:rsidRPr="00D20573">
                    <w:rPr>
                      <w:rFonts w:cs="Arial"/>
                      <w:i/>
                      <w:iCs/>
                      <w:szCs w:val="20"/>
                      <w:lang w:val="sl-SI" w:eastAsia="sl-SI"/>
                    </w:rPr>
                    <w:t>kubitne</w:t>
                  </w:r>
                  <w:proofErr w:type="spellEnd"/>
                  <w:r w:rsidRPr="00D20573">
                    <w:rPr>
                      <w:rFonts w:cs="Arial"/>
                      <w:i/>
                      <w:iCs/>
                      <w:szCs w:val="20"/>
                      <w:lang w:val="sl-SI" w:eastAsia="sl-SI"/>
                    </w:rPr>
                    <w:t xml:space="preserve"> čipe in nize čipov; površinske nize ionskih pasti; druge tehnologije za omejevanje </w:t>
                  </w:r>
                  <w:proofErr w:type="spellStart"/>
                  <w:r w:rsidRPr="00D20573">
                    <w:rPr>
                      <w:rFonts w:cs="Arial"/>
                      <w:i/>
                      <w:iCs/>
                      <w:szCs w:val="20"/>
                      <w:lang w:val="sl-SI" w:eastAsia="sl-SI"/>
                    </w:rPr>
                    <w:t>kubitov</w:t>
                  </w:r>
                  <w:proofErr w:type="spellEnd"/>
                  <w:r w:rsidRPr="00D20573">
                    <w:rPr>
                      <w:rFonts w:cs="Arial"/>
                      <w:i/>
                      <w:iCs/>
                      <w:szCs w:val="20"/>
                      <w:lang w:val="sl-SI" w:eastAsia="sl-SI"/>
                    </w:rPr>
                    <w:t xml:space="preserve"> ter skladne povezave med temi elementi.</w:t>
                  </w:r>
                </w:p>
              </w:tc>
            </w:tr>
          </w:tbl>
          <w:p w14:paraId="34C08A23" w14:textId="77777777" w:rsidR="00D20573" w:rsidRPr="00D20573" w:rsidRDefault="00D20573" w:rsidP="00D20573">
            <w:pPr>
              <w:spacing w:line="240" w:lineRule="auto"/>
              <w:rPr>
                <w:rFonts w:cs="Arial"/>
                <w:vanish/>
                <w:color w:val="000000"/>
                <w:szCs w:val="20"/>
                <w:lang w:val="sl-SI" w:eastAsia="sl-SI"/>
              </w:rPr>
            </w:pPr>
          </w:p>
          <w:tbl>
            <w:tblPr>
              <w:tblW w:w="5000" w:type="pct"/>
              <w:tblCellSpacing w:w="0" w:type="dxa"/>
              <w:tblCellMar>
                <w:left w:w="0" w:type="dxa"/>
                <w:right w:w="0" w:type="dxa"/>
              </w:tblCellMar>
              <w:tblLook w:val="04A0" w:firstRow="1" w:lastRow="0" w:firstColumn="1" w:lastColumn="0" w:noHBand="0" w:noVBand="1"/>
            </w:tblPr>
            <w:tblGrid>
              <w:gridCol w:w="167"/>
              <w:gridCol w:w="9309"/>
            </w:tblGrid>
            <w:tr w:rsidR="00D20573" w:rsidRPr="00D20573" w14:paraId="64AAFF5A" w14:textId="77777777">
              <w:trPr>
                <w:tblCellSpacing w:w="0" w:type="dxa"/>
              </w:trPr>
              <w:tc>
                <w:tcPr>
                  <w:tcW w:w="0" w:type="auto"/>
                  <w:hideMark/>
                </w:tcPr>
                <w:p w14:paraId="59802293" w14:textId="77777777" w:rsidR="00D20573" w:rsidRPr="00D20573" w:rsidRDefault="00D20573" w:rsidP="00D20573">
                  <w:pPr>
                    <w:spacing w:before="100" w:beforeAutospacing="1" w:after="100" w:afterAutospacing="1" w:line="240" w:lineRule="auto"/>
                    <w:rPr>
                      <w:rFonts w:cs="Arial"/>
                      <w:szCs w:val="20"/>
                      <w:lang w:val="sl-SI" w:eastAsia="sl-SI"/>
                    </w:rPr>
                  </w:pPr>
                  <w:r w:rsidRPr="00D20573">
                    <w:rPr>
                      <w:rFonts w:cs="Arial"/>
                      <w:i/>
                      <w:iCs/>
                      <w:szCs w:val="20"/>
                      <w:lang w:val="sl-SI" w:eastAsia="sl-SI"/>
                    </w:rPr>
                    <w:t>4.</w:t>
                  </w:r>
                </w:p>
              </w:tc>
              <w:tc>
                <w:tcPr>
                  <w:tcW w:w="0" w:type="auto"/>
                  <w:hideMark/>
                </w:tcPr>
                <w:p w14:paraId="23BB54A5" w14:textId="77777777" w:rsidR="00D20573" w:rsidRPr="00D20573" w:rsidRDefault="00D20573" w:rsidP="00D20573">
                  <w:pPr>
                    <w:spacing w:line="240" w:lineRule="auto"/>
                    <w:rPr>
                      <w:rFonts w:cs="Arial"/>
                      <w:szCs w:val="20"/>
                      <w:lang w:val="sl-SI" w:eastAsia="sl-SI"/>
                    </w:rPr>
                  </w:pPr>
                  <w:r w:rsidRPr="00D20573">
                    <w:rPr>
                      <w:rFonts w:cs="Arial"/>
                      <w:i/>
                      <w:iCs/>
                      <w:szCs w:val="20"/>
                      <w:lang w:val="sl-SI" w:eastAsia="sl-SI"/>
                    </w:rPr>
                    <w:t xml:space="preserve">4A1906.c se nanaša na blago, zasnovano za umerjanje, inicializacijo, manipulacijo ali merjenje </w:t>
                  </w:r>
                  <w:proofErr w:type="spellStart"/>
                  <w:r w:rsidRPr="00D20573">
                    <w:rPr>
                      <w:rFonts w:cs="Arial"/>
                      <w:i/>
                      <w:iCs/>
                      <w:szCs w:val="20"/>
                      <w:lang w:val="sl-SI" w:eastAsia="sl-SI"/>
                    </w:rPr>
                    <w:t>kubitov</w:t>
                  </w:r>
                  <w:proofErr w:type="spellEnd"/>
                  <w:r w:rsidRPr="00D20573">
                    <w:rPr>
                      <w:rFonts w:cs="Arial"/>
                      <w:i/>
                      <w:iCs/>
                      <w:szCs w:val="20"/>
                      <w:lang w:val="sl-SI" w:eastAsia="sl-SI"/>
                    </w:rPr>
                    <w:t xml:space="preserve"> kvantnega računalnika.</w:t>
                  </w:r>
                </w:p>
              </w:tc>
            </w:tr>
          </w:tbl>
          <w:p w14:paraId="0F130F7E" w14:textId="77777777" w:rsidR="00D20573" w:rsidRPr="00D20573" w:rsidRDefault="00D20573" w:rsidP="00D20573">
            <w:pPr>
              <w:spacing w:before="120" w:line="240" w:lineRule="auto"/>
              <w:rPr>
                <w:rFonts w:cs="Arial"/>
                <w:i/>
                <w:iCs/>
                <w:color w:val="000000"/>
                <w:szCs w:val="20"/>
                <w:lang w:val="sl-SI" w:eastAsia="sl-SI"/>
              </w:rPr>
            </w:pPr>
            <w:r w:rsidRPr="00D20573">
              <w:rPr>
                <w:rFonts w:cs="Arial"/>
                <w:i/>
                <w:iCs/>
                <w:color w:val="000000"/>
                <w:szCs w:val="20"/>
                <w:u w:val="single"/>
                <w:lang w:val="sl-SI" w:eastAsia="sl-SI"/>
              </w:rPr>
              <w:t>Tehnične opombe:</w:t>
            </w:r>
          </w:p>
          <w:tbl>
            <w:tblPr>
              <w:tblW w:w="5000" w:type="pct"/>
              <w:tblCellSpacing w:w="0" w:type="dxa"/>
              <w:tblCellMar>
                <w:left w:w="0" w:type="dxa"/>
                <w:right w:w="0" w:type="dxa"/>
              </w:tblCellMar>
              <w:tblLook w:val="04A0" w:firstRow="1" w:lastRow="0" w:firstColumn="1" w:lastColumn="0" w:noHBand="0" w:noVBand="1"/>
            </w:tblPr>
            <w:tblGrid>
              <w:gridCol w:w="167"/>
              <w:gridCol w:w="9309"/>
            </w:tblGrid>
            <w:tr w:rsidR="00D20573" w:rsidRPr="00D20573" w14:paraId="52C1EEB0" w14:textId="77777777">
              <w:trPr>
                <w:tblCellSpacing w:w="0" w:type="dxa"/>
              </w:trPr>
              <w:tc>
                <w:tcPr>
                  <w:tcW w:w="0" w:type="auto"/>
                  <w:hideMark/>
                </w:tcPr>
                <w:p w14:paraId="6946088C" w14:textId="77777777" w:rsidR="00D20573" w:rsidRPr="00D20573" w:rsidRDefault="00D20573" w:rsidP="00D20573">
                  <w:pPr>
                    <w:spacing w:before="100" w:beforeAutospacing="1" w:after="100" w:afterAutospacing="1" w:line="240" w:lineRule="auto"/>
                    <w:rPr>
                      <w:rFonts w:cs="Arial"/>
                      <w:szCs w:val="20"/>
                      <w:lang w:val="sl-SI" w:eastAsia="sl-SI"/>
                    </w:rPr>
                  </w:pPr>
                  <w:r w:rsidRPr="00D20573">
                    <w:rPr>
                      <w:rFonts w:cs="Arial"/>
                      <w:i/>
                      <w:iCs/>
                      <w:szCs w:val="20"/>
                      <w:lang w:val="sl-SI" w:eastAsia="sl-SI"/>
                    </w:rPr>
                    <w:t>1.</w:t>
                  </w:r>
                </w:p>
              </w:tc>
              <w:tc>
                <w:tcPr>
                  <w:tcW w:w="0" w:type="auto"/>
                  <w:hideMark/>
                </w:tcPr>
                <w:p w14:paraId="3EC2D068" w14:textId="77777777" w:rsidR="00D20573" w:rsidRPr="00D20573" w:rsidRDefault="00D20573" w:rsidP="00D20573">
                  <w:pPr>
                    <w:spacing w:line="240" w:lineRule="auto"/>
                    <w:rPr>
                      <w:rFonts w:cs="Arial"/>
                      <w:szCs w:val="20"/>
                      <w:lang w:val="sl-SI" w:eastAsia="sl-SI"/>
                    </w:rPr>
                  </w:pPr>
                  <w:r w:rsidRPr="00D20573">
                    <w:rPr>
                      <w:rFonts w:cs="Arial"/>
                      <w:i/>
                      <w:iCs/>
                      <w:szCs w:val="20"/>
                      <w:lang w:val="sl-SI" w:eastAsia="sl-SI"/>
                    </w:rPr>
                    <w:t xml:space="preserve">„Fizični </w:t>
                  </w:r>
                  <w:proofErr w:type="spellStart"/>
                  <w:r w:rsidRPr="00D20573">
                    <w:rPr>
                      <w:rFonts w:cs="Arial"/>
                      <w:i/>
                      <w:iCs/>
                      <w:szCs w:val="20"/>
                      <w:lang w:val="sl-SI" w:eastAsia="sl-SI"/>
                    </w:rPr>
                    <w:t>kubit</w:t>
                  </w:r>
                  <w:proofErr w:type="spellEnd"/>
                  <w:r w:rsidRPr="00D20573">
                    <w:rPr>
                      <w:rFonts w:cs="Arial"/>
                      <w:i/>
                      <w:iCs/>
                      <w:szCs w:val="20"/>
                      <w:lang w:val="sl-SI" w:eastAsia="sl-SI"/>
                    </w:rPr>
                    <w:t xml:space="preserve">“ je </w:t>
                  </w:r>
                  <w:proofErr w:type="spellStart"/>
                  <w:r w:rsidRPr="00D20573">
                    <w:rPr>
                      <w:rFonts w:cs="Arial"/>
                      <w:i/>
                      <w:iCs/>
                      <w:szCs w:val="20"/>
                      <w:lang w:val="sl-SI" w:eastAsia="sl-SI"/>
                    </w:rPr>
                    <w:t>dvonivojski</w:t>
                  </w:r>
                  <w:proofErr w:type="spellEnd"/>
                  <w:r w:rsidRPr="00D20573">
                    <w:rPr>
                      <w:rFonts w:cs="Arial"/>
                      <w:i/>
                      <w:iCs/>
                      <w:szCs w:val="20"/>
                      <w:lang w:val="sl-SI" w:eastAsia="sl-SI"/>
                    </w:rPr>
                    <w:t xml:space="preserve"> kvantni sistem, ki predstavlja osnovno enoto kvantne logike z manipulacijami in meritvami, pri katerih napake niso popravljene. „Fizični </w:t>
                  </w:r>
                  <w:proofErr w:type="spellStart"/>
                  <w:r w:rsidRPr="00D20573">
                    <w:rPr>
                      <w:rFonts w:cs="Arial"/>
                      <w:i/>
                      <w:iCs/>
                      <w:szCs w:val="20"/>
                      <w:lang w:val="sl-SI" w:eastAsia="sl-SI"/>
                    </w:rPr>
                    <w:t>kubiti</w:t>
                  </w:r>
                  <w:proofErr w:type="spellEnd"/>
                  <w:r w:rsidRPr="00D20573">
                    <w:rPr>
                      <w:rFonts w:cs="Arial"/>
                      <w:i/>
                      <w:iCs/>
                      <w:szCs w:val="20"/>
                      <w:lang w:val="sl-SI" w:eastAsia="sl-SI"/>
                    </w:rPr>
                    <w:t xml:space="preserve">“ in logični </w:t>
                  </w:r>
                  <w:proofErr w:type="spellStart"/>
                  <w:r w:rsidRPr="00D20573">
                    <w:rPr>
                      <w:rFonts w:cs="Arial"/>
                      <w:i/>
                      <w:iCs/>
                      <w:szCs w:val="20"/>
                      <w:lang w:val="sl-SI" w:eastAsia="sl-SI"/>
                    </w:rPr>
                    <w:t>kubiti</w:t>
                  </w:r>
                  <w:proofErr w:type="spellEnd"/>
                  <w:r w:rsidRPr="00D20573">
                    <w:rPr>
                      <w:rFonts w:cs="Arial"/>
                      <w:i/>
                      <w:iCs/>
                      <w:szCs w:val="20"/>
                      <w:lang w:val="sl-SI" w:eastAsia="sl-SI"/>
                    </w:rPr>
                    <w:t xml:space="preserve"> se razlikujejo po tem, da se pri logičnih </w:t>
                  </w:r>
                  <w:proofErr w:type="spellStart"/>
                  <w:r w:rsidRPr="00D20573">
                    <w:rPr>
                      <w:rFonts w:cs="Arial"/>
                      <w:i/>
                      <w:iCs/>
                      <w:szCs w:val="20"/>
                      <w:lang w:val="sl-SI" w:eastAsia="sl-SI"/>
                    </w:rPr>
                    <w:t>kubitih</w:t>
                  </w:r>
                  <w:proofErr w:type="spellEnd"/>
                  <w:r w:rsidRPr="00D20573">
                    <w:rPr>
                      <w:rFonts w:cs="Arial"/>
                      <w:i/>
                      <w:iCs/>
                      <w:szCs w:val="20"/>
                      <w:lang w:val="sl-SI" w:eastAsia="sl-SI"/>
                    </w:rPr>
                    <w:t xml:space="preserve">, ki so sestavljeni iz več fizičnih </w:t>
                  </w:r>
                  <w:proofErr w:type="spellStart"/>
                  <w:r w:rsidRPr="00D20573">
                    <w:rPr>
                      <w:rFonts w:cs="Arial"/>
                      <w:i/>
                      <w:iCs/>
                      <w:szCs w:val="20"/>
                      <w:lang w:val="sl-SI" w:eastAsia="sl-SI"/>
                    </w:rPr>
                    <w:t>kubitov</w:t>
                  </w:r>
                  <w:proofErr w:type="spellEnd"/>
                  <w:r w:rsidRPr="00D20573">
                    <w:rPr>
                      <w:rFonts w:cs="Arial"/>
                      <w:i/>
                      <w:iCs/>
                      <w:szCs w:val="20"/>
                      <w:lang w:val="sl-SI" w:eastAsia="sl-SI"/>
                    </w:rPr>
                    <w:t>, napake popravijo.</w:t>
                  </w:r>
                </w:p>
              </w:tc>
            </w:tr>
          </w:tbl>
          <w:p w14:paraId="74EEA5A9" w14:textId="77777777" w:rsidR="00D20573" w:rsidRPr="00D20573" w:rsidRDefault="00D20573" w:rsidP="00D20573">
            <w:pPr>
              <w:spacing w:line="240" w:lineRule="auto"/>
              <w:rPr>
                <w:rFonts w:cs="Arial"/>
                <w:vanish/>
                <w:color w:val="000000"/>
                <w:szCs w:val="20"/>
                <w:lang w:val="sl-SI" w:eastAsia="sl-SI"/>
              </w:rPr>
            </w:pPr>
          </w:p>
          <w:tbl>
            <w:tblPr>
              <w:tblW w:w="5000" w:type="pct"/>
              <w:tblCellSpacing w:w="0" w:type="dxa"/>
              <w:tblCellMar>
                <w:left w:w="0" w:type="dxa"/>
                <w:right w:w="0" w:type="dxa"/>
              </w:tblCellMar>
              <w:tblLook w:val="04A0" w:firstRow="1" w:lastRow="0" w:firstColumn="1" w:lastColumn="0" w:noHBand="0" w:noVBand="1"/>
            </w:tblPr>
            <w:tblGrid>
              <w:gridCol w:w="167"/>
              <w:gridCol w:w="9309"/>
            </w:tblGrid>
            <w:tr w:rsidR="00D20573" w:rsidRPr="00D20573" w14:paraId="0FF3B6FD" w14:textId="77777777">
              <w:trPr>
                <w:tblCellSpacing w:w="0" w:type="dxa"/>
              </w:trPr>
              <w:tc>
                <w:tcPr>
                  <w:tcW w:w="0" w:type="auto"/>
                  <w:hideMark/>
                </w:tcPr>
                <w:p w14:paraId="0256286E" w14:textId="77777777" w:rsidR="00D20573" w:rsidRPr="00D20573" w:rsidRDefault="00D20573" w:rsidP="00D20573">
                  <w:pPr>
                    <w:spacing w:before="100" w:beforeAutospacing="1" w:after="100" w:afterAutospacing="1" w:line="240" w:lineRule="auto"/>
                    <w:rPr>
                      <w:rFonts w:cs="Arial"/>
                      <w:szCs w:val="20"/>
                      <w:lang w:val="sl-SI" w:eastAsia="sl-SI"/>
                    </w:rPr>
                  </w:pPr>
                  <w:r w:rsidRPr="00D20573">
                    <w:rPr>
                      <w:rFonts w:cs="Arial"/>
                      <w:i/>
                      <w:iCs/>
                      <w:szCs w:val="20"/>
                      <w:lang w:val="sl-SI" w:eastAsia="sl-SI"/>
                    </w:rPr>
                    <w:t>2.</w:t>
                  </w:r>
                </w:p>
              </w:tc>
              <w:tc>
                <w:tcPr>
                  <w:tcW w:w="0" w:type="auto"/>
                  <w:hideMark/>
                </w:tcPr>
                <w:p w14:paraId="3E59A3F5" w14:textId="77777777" w:rsidR="00D20573" w:rsidRPr="00D20573" w:rsidRDefault="00D20573" w:rsidP="00D20573">
                  <w:pPr>
                    <w:spacing w:line="240" w:lineRule="auto"/>
                    <w:rPr>
                      <w:rFonts w:cs="Arial"/>
                      <w:szCs w:val="20"/>
                      <w:lang w:val="sl-SI" w:eastAsia="sl-SI"/>
                    </w:rPr>
                  </w:pPr>
                  <w:r w:rsidRPr="00D20573">
                    <w:rPr>
                      <w:rFonts w:cs="Arial"/>
                      <w:i/>
                      <w:iCs/>
                      <w:szCs w:val="20"/>
                      <w:lang w:val="sl-SI" w:eastAsia="sl-SI"/>
                    </w:rPr>
                    <w:t xml:space="preserve">„Popolnoma krmiljeni“ pomeni, da je mogoče „fizični </w:t>
                  </w:r>
                  <w:proofErr w:type="spellStart"/>
                  <w:r w:rsidRPr="00D20573">
                    <w:rPr>
                      <w:rFonts w:cs="Arial"/>
                      <w:i/>
                      <w:iCs/>
                      <w:szCs w:val="20"/>
                      <w:lang w:val="sl-SI" w:eastAsia="sl-SI"/>
                    </w:rPr>
                    <w:t>kubit</w:t>
                  </w:r>
                  <w:proofErr w:type="spellEnd"/>
                  <w:r w:rsidRPr="00D20573">
                    <w:rPr>
                      <w:rFonts w:cs="Arial"/>
                      <w:i/>
                      <w:iCs/>
                      <w:szCs w:val="20"/>
                      <w:lang w:val="sl-SI" w:eastAsia="sl-SI"/>
                    </w:rPr>
                    <w:t xml:space="preserve">“ po potrebi umeriti in </w:t>
                  </w:r>
                  <w:proofErr w:type="spellStart"/>
                  <w:r w:rsidRPr="00D20573">
                    <w:rPr>
                      <w:rFonts w:cs="Arial"/>
                      <w:i/>
                      <w:iCs/>
                      <w:szCs w:val="20"/>
                      <w:lang w:val="sl-SI" w:eastAsia="sl-SI"/>
                    </w:rPr>
                    <w:t>inicializirati</w:t>
                  </w:r>
                  <w:proofErr w:type="spellEnd"/>
                  <w:r w:rsidRPr="00D20573">
                    <w:rPr>
                      <w:rFonts w:cs="Arial"/>
                      <w:i/>
                      <w:iCs/>
                      <w:szCs w:val="20"/>
                      <w:lang w:val="sl-SI" w:eastAsia="sl-SI"/>
                    </w:rPr>
                    <w:t>, mu določiti vrata in ga prebrati.</w:t>
                  </w:r>
                </w:p>
              </w:tc>
            </w:tr>
          </w:tbl>
          <w:p w14:paraId="13BFCF3F" w14:textId="77777777" w:rsidR="00D20573" w:rsidRPr="00D20573" w:rsidRDefault="00D20573" w:rsidP="00D20573">
            <w:pPr>
              <w:spacing w:line="240" w:lineRule="auto"/>
              <w:rPr>
                <w:rFonts w:cs="Arial"/>
                <w:vanish/>
                <w:color w:val="000000"/>
                <w:szCs w:val="20"/>
                <w:lang w:val="sl-SI" w:eastAsia="sl-SI"/>
              </w:rPr>
            </w:pPr>
          </w:p>
          <w:tbl>
            <w:tblPr>
              <w:tblW w:w="5000" w:type="pct"/>
              <w:tblCellSpacing w:w="0" w:type="dxa"/>
              <w:tblCellMar>
                <w:left w:w="0" w:type="dxa"/>
                <w:right w:w="0" w:type="dxa"/>
              </w:tblCellMar>
              <w:tblLook w:val="04A0" w:firstRow="1" w:lastRow="0" w:firstColumn="1" w:lastColumn="0" w:noHBand="0" w:noVBand="1"/>
            </w:tblPr>
            <w:tblGrid>
              <w:gridCol w:w="167"/>
              <w:gridCol w:w="9309"/>
            </w:tblGrid>
            <w:tr w:rsidR="00D20573" w:rsidRPr="00D20573" w14:paraId="03E94245" w14:textId="77777777">
              <w:trPr>
                <w:tblCellSpacing w:w="0" w:type="dxa"/>
              </w:trPr>
              <w:tc>
                <w:tcPr>
                  <w:tcW w:w="0" w:type="auto"/>
                  <w:hideMark/>
                </w:tcPr>
                <w:p w14:paraId="407E545E" w14:textId="77777777" w:rsidR="00D20573" w:rsidRPr="00D20573" w:rsidRDefault="00D20573" w:rsidP="00D20573">
                  <w:pPr>
                    <w:spacing w:before="100" w:beforeAutospacing="1" w:after="100" w:afterAutospacing="1" w:line="240" w:lineRule="auto"/>
                    <w:rPr>
                      <w:rFonts w:cs="Arial"/>
                      <w:szCs w:val="20"/>
                      <w:lang w:val="sl-SI" w:eastAsia="sl-SI"/>
                    </w:rPr>
                  </w:pPr>
                  <w:r w:rsidRPr="00D20573">
                    <w:rPr>
                      <w:rFonts w:cs="Arial"/>
                      <w:i/>
                      <w:iCs/>
                      <w:szCs w:val="20"/>
                      <w:lang w:val="sl-SI" w:eastAsia="sl-SI"/>
                    </w:rPr>
                    <w:t>3.</w:t>
                  </w:r>
                </w:p>
              </w:tc>
              <w:tc>
                <w:tcPr>
                  <w:tcW w:w="0" w:type="auto"/>
                  <w:hideMark/>
                </w:tcPr>
                <w:p w14:paraId="497761A1" w14:textId="77777777" w:rsidR="00D20573" w:rsidRPr="00D20573" w:rsidRDefault="00D20573" w:rsidP="00D20573">
                  <w:pPr>
                    <w:spacing w:line="240" w:lineRule="auto"/>
                    <w:rPr>
                      <w:rFonts w:cs="Arial"/>
                      <w:szCs w:val="20"/>
                      <w:lang w:val="sl-SI" w:eastAsia="sl-SI"/>
                    </w:rPr>
                  </w:pPr>
                  <w:r w:rsidRPr="00D20573">
                    <w:rPr>
                      <w:rFonts w:cs="Arial"/>
                      <w:i/>
                      <w:iCs/>
                      <w:szCs w:val="20"/>
                      <w:lang w:val="sl-SI" w:eastAsia="sl-SI"/>
                    </w:rPr>
                    <w:t xml:space="preserve">„Povezani“ pomeni, da se lahko </w:t>
                  </w:r>
                  <w:proofErr w:type="spellStart"/>
                  <w:r w:rsidRPr="00D20573">
                    <w:rPr>
                      <w:rFonts w:cs="Arial"/>
                      <w:i/>
                      <w:iCs/>
                      <w:szCs w:val="20"/>
                      <w:lang w:val="sl-SI" w:eastAsia="sl-SI"/>
                    </w:rPr>
                    <w:t>dvokubitne</w:t>
                  </w:r>
                  <w:proofErr w:type="spellEnd"/>
                  <w:r w:rsidRPr="00D20573">
                    <w:rPr>
                      <w:rFonts w:cs="Arial"/>
                      <w:i/>
                      <w:iCs/>
                      <w:szCs w:val="20"/>
                      <w:lang w:val="sl-SI" w:eastAsia="sl-SI"/>
                    </w:rPr>
                    <w:t xml:space="preserve"> operacije z vrati izvedejo med poljubnim parom razpoložljivih „delujočih“ „fizičnih </w:t>
                  </w:r>
                  <w:proofErr w:type="spellStart"/>
                  <w:r w:rsidRPr="00D20573">
                    <w:rPr>
                      <w:rFonts w:cs="Arial"/>
                      <w:i/>
                      <w:iCs/>
                      <w:szCs w:val="20"/>
                      <w:lang w:val="sl-SI" w:eastAsia="sl-SI"/>
                    </w:rPr>
                    <w:t>kubitov</w:t>
                  </w:r>
                  <w:proofErr w:type="spellEnd"/>
                  <w:r w:rsidRPr="00D20573">
                    <w:rPr>
                      <w:rFonts w:cs="Arial"/>
                      <w:i/>
                      <w:iCs/>
                      <w:szCs w:val="20"/>
                      <w:lang w:val="sl-SI" w:eastAsia="sl-SI"/>
                    </w:rPr>
                    <w:t>“. To ne pomeni nujno povezljivosti vseh z vsemi.</w:t>
                  </w:r>
                </w:p>
              </w:tc>
            </w:tr>
          </w:tbl>
          <w:p w14:paraId="26A0104F" w14:textId="77777777" w:rsidR="00D20573" w:rsidRPr="00D20573" w:rsidRDefault="00D20573" w:rsidP="00D20573">
            <w:pPr>
              <w:spacing w:line="240" w:lineRule="auto"/>
              <w:rPr>
                <w:rFonts w:cs="Arial"/>
                <w:vanish/>
                <w:color w:val="000000"/>
                <w:szCs w:val="20"/>
                <w:lang w:val="sl-SI" w:eastAsia="sl-SI"/>
              </w:rPr>
            </w:pPr>
          </w:p>
          <w:tbl>
            <w:tblPr>
              <w:tblW w:w="5000" w:type="pct"/>
              <w:tblCellSpacing w:w="0" w:type="dxa"/>
              <w:tblCellMar>
                <w:left w:w="0" w:type="dxa"/>
                <w:right w:w="0" w:type="dxa"/>
              </w:tblCellMar>
              <w:tblLook w:val="04A0" w:firstRow="1" w:lastRow="0" w:firstColumn="1" w:lastColumn="0" w:noHBand="0" w:noVBand="1"/>
            </w:tblPr>
            <w:tblGrid>
              <w:gridCol w:w="167"/>
              <w:gridCol w:w="9309"/>
            </w:tblGrid>
            <w:tr w:rsidR="00D20573" w:rsidRPr="00D20573" w14:paraId="63381A26" w14:textId="77777777">
              <w:trPr>
                <w:tblCellSpacing w:w="0" w:type="dxa"/>
              </w:trPr>
              <w:tc>
                <w:tcPr>
                  <w:tcW w:w="0" w:type="auto"/>
                  <w:hideMark/>
                </w:tcPr>
                <w:p w14:paraId="659E65DD" w14:textId="77777777" w:rsidR="00D20573" w:rsidRPr="00D20573" w:rsidRDefault="00D20573" w:rsidP="00D20573">
                  <w:pPr>
                    <w:spacing w:before="100" w:beforeAutospacing="1" w:after="100" w:afterAutospacing="1" w:line="240" w:lineRule="auto"/>
                    <w:rPr>
                      <w:rFonts w:cs="Arial"/>
                      <w:szCs w:val="20"/>
                      <w:lang w:val="sl-SI" w:eastAsia="sl-SI"/>
                    </w:rPr>
                  </w:pPr>
                  <w:r w:rsidRPr="00D20573">
                    <w:rPr>
                      <w:rFonts w:cs="Arial"/>
                      <w:i/>
                      <w:iCs/>
                      <w:szCs w:val="20"/>
                      <w:lang w:val="sl-SI" w:eastAsia="sl-SI"/>
                    </w:rPr>
                    <w:t>4.</w:t>
                  </w:r>
                </w:p>
              </w:tc>
              <w:tc>
                <w:tcPr>
                  <w:tcW w:w="0" w:type="auto"/>
                  <w:hideMark/>
                </w:tcPr>
                <w:p w14:paraId="08B6ADD9" w14:textId="17D8A5E3" w:rsidR="00D20573" w:rsidRPr="00D20573" w:rsidRDefault="00D20573" w:rsidP="00D20573">
                  <w:pPr>
                    <w:spacing w:line="240" w:lineRule="auto"/>
                    <w:rPr>
                      <w:rFonts w:cs="Arial"/>
                      <w:szCs w:val="20"/>
                      <w:lang w:val="sl-SI" w:eastAsia="sl-SI"/>
                    </w:rPr>
                  </w:pPr>
                  <w:r w:rsidRPr="00D20573">
                    <w:rPr>
                      <w:rFonts w:cs="Arial"/>
                      <w:i/>
                      <w:iCs/>
                      <w:szCs w:val="20"/>
                      <w:lang w:val="sl-SI" w:eastAsia="sl-SI"/>
                    </w:rPr>
                    <w:t xml:space="preserve">„Delujoč“ pomeni, da „fizični </w:t>
                  </w:r>
                  <w:proofErr w:type="spellStart"/>
                  <w:r w:rsidRPr="00D20573">
                    <w:rPr>
                      <w:rFonts w:cs="Arial"/>
                      <w:i/>
                      <w:iCs/>
                      <w:szCs w:val="20"/>
                      <w:lang w:val="sl-SI" w:eastAsia="sl-SI"/>
                    </w:rPr>
                    <w:t>kubit</w:t>
                  </w:r>
                  <w:proofErr w:type="spellEnd"/>
                  <w:r w:rsidRPr="00D20573">
                    <w:rPr>
                      <w:rFonts w:cs="Arial"/>
                      <w:i/>
                      <w:iCs/>
                      <w:szCs w:val="20"/>
                      <w:lang w:val="sl-SI" w:eastAsia="sl-SI"/>
                    </w:rPr>
                    <w:t xml:space="preserve">“ opravlja univerzalno kvantno računalniško delo v skladu s sistemskimi specifikacijami za operativno točnost </w:t>
                  </w:r>
                  <w:proofErr w:type="spellStart"/>
                  <w:r w:rsidRPr="00D20573">
                    <w:rPr>
                      <w:rFonts w:cs="Arial"/>
                      <w:i/>
                      <w:iCs/>
                      <w:szCs w:val="20"/>
                      <w:lang w:val="sl-SI" w:eastAsia="sl-SI"/>
                    </w:rPr>
                    <w:t>kubitov</w:t>
                  </w:r>
                  <w:proofErr w:type="spellEnd"/>
                  <w:r w:rsidRPr="00D20573">
                    <w:rPr>
                      <w:rFonts w:cs="Arial"/>
                      <w:i/>
                      <w:iCs/>
                      <w:szCs w:val="20"/>
                      <w:lang w:val="sl-SI" w:eastAsia="sl-SI"/>
                    </w:rPr>
                    <w:t>.</w:t>
                  </w:r>
                </w:p>
              </w:tc>
            </w:tr>
          </w:tbl>
          <w:p w14:paraId="7A50061B" w14:textId="77777777" w:rsidR="00D20573" w:rsidRPr="00D20573" w:rsidRDefault="00D20573" w:rsidP="00D20573">
            <w:pPr>
              <w:spacing w:line="240" w:lineRule="auto"/>
              <w:rPr>
                <w:rFonts w:cs="Arial"/>
                <w:vanish/>
                <w:color w:val="000000"/>
                <w:szCs w:val="20"/>
                <w:lang w:val="sl-SI" w:eastAsia="sl-SI"/>
              </w:rPr>
            </w:pPr>
          </w:p>
          <w:tbl>
            <w:tblPr>
              <w:tblW w:w="5000" w:type="pct"/>
              <w:tblCellSpacing w:w="0" w:type="dxa"/>
              <w:tblCellMar>
                <w:left w:w="0" w:type="dxa"/>
                <w:right w:w="0" w:type="dxa"/>
              </w:tblCellMar>
              <w:tblLook w:val="04A0" w:firstRow="1" w:lastRow="0" w:firstColumn="1" w:lastColumn="0" w:noHBand="0" w:noVBand="1"/>
            </w:tblPr>
            <w:tblGrid>
              <w:gridCol w:w="167"/>
              <w:gridCol w:w="9309"/>
            </w:tblGrid>
            <w:tr w:rsidR="00D20573" w:rsidRPr="00D20573" w14:paraId="77975EAE" w14:textId="77777777">
              <w:trPr>
                <w:tblCellSpacing w:w="0" w:type="dxa"/>
              </w:trPr>
              <w:tc>
                <w:tcPr>
                  <w:tcW w:w="0" w:type="auto"/>
                  <w:hideMark/>
                </w:tcPr>
                <w:p w14:paraId="6B0745FF" w14:textId="77777777" w:rsidR="00D20573" w:rsidRPr="00D20573" w:rsidRDefault="00D20573" w:rsidP="00D20573">
                  <w:pPr>
                    <w:spacing w:before="100" w:beforeAutospacing="1" w:after="100" w:afterAutospacing="1" w:line="240" w:lineRule="auto"/>
                    <w:rPr>
                      <w:rFonts w:cs="Arial"/>
                      <w:szCs w:val="20"/>
                      <w:lang w:val="sl-SI" w:eastAsia="sl-SI"/>
                    </w:rPr>
                  </w:pPr>
                  <w:r w:rsidRPr="00D20573">
                    <w:rPr>
                      <w:rFonts w:cs="Arial"/>
                      <w:i/>
                      <w:iCs/>
                      <w:szCs w:val="20"/>
                      <w:lang w:val="sl-SI" w:eastAsia="sl-SI"/>
                    </w:rPr>
                    <w:t>5.</w:t>
                  </w:r>
                </w:p>
              </w:tc>
              <w:tc>
                <w:tcPr>
                  <w:tcW w:w="0" w:type="auto"/>
                  <w:hideMark/>
                </w:tcPr>
                <w:p w14:paraId="11154226" w14:textId="77777777" w:rsidR="00D20573" w:rsidRPr="00D20573" w:rsidRDefault="00D20573" w:rsidP="00D20573">
                  <w:pPr>
                    <w:spacing w:line="240" w:lineRule="auto"/>
                    <w:rPr>
                      <w:rFonts w:cs="Arial"/>
                      <w:szCs w:val="20"/>
                      <w:lang w:val="sl-SI" w:eastAsia="sl-SI"/>
                    </w:rPr>
                  </w:pPr>
                  <w:r w:rsidRPr="00D20573">
                    <w:rPr>
                      <w:rFonts w:cs="Arial"/>
                      <w:i/>
                      <w:iCs/>
                      <w:szCs w:val="20"/>
                      <w:lang w:val="sl-SI" w:eastAsia="sl-SI"/>
                    </w:rPr>
                    <w:t xml:space="preserve">Podpiranje 34 ali več „popolnoma krmiljenih“, „povezanih“ in „delujočih“ „fizičnih </w:t>
                  </w:r>
                  <w:proofErr w:type="spellStart"/>
                  <w:r w:rsidRPr="00D20573">
                    <w:rPr>
                      <w:rFonts w:cs="Arial"/>
                      <w:i/>
                      <w:iCs/>
                      <w:szCs w:val="20"/>
                      <w:lang w:val="sl-SI" w:eastAsia="sl-SI"/>
                    </w:rPr>
                    <w:t>kubitov</w:t>
                  </w:r>
                  <w:proofErr w:type="spellEnd"/>
                  <w:r w:rsidRPr="00D20573">
                    <w:rPr>
                      <w:rFonts w:cs="Arial"/>
                      <w:i/>
                      <w:iCs/>
                      <w:szCs w:val="20"/>
                      <w:lang w:val="sl-SI" w:eastAsia="sl-SI"/>
                    </w:rPr>
                    <w:t xml:space="preserve">“ se nanaša na zmožnost kvantnega računalnika, da omeji, nadzoruje, meri in obdeluje kvantne informacije iz 34 ali več „fizičnih </w:t>
                  </w:r>
                  <w:proofErr w:type="spellStart"/>
                  <w:r w:rsidRPr="00D20573">
                    <w:rPr>
                      <w:rFonts w:cs="Arial"/>
                      <w:i/>
                      <w:iCs/>
                      <w:szCs w:val="20"/>
                      <w:lang w:val="sl-SI" w:eastAsia="sl-SI"/>
                    </w:rPr>
                    <w:t>kubitov</w:t>
                  </w:r>
                  <w:proofErr w:type="spellEnd"/>
                  <w:r w:rsidRPr="00D20573">
                    <w:rPr>
                      <w:rFonts w:cs="Arial"/>
                      <w:i/>
                      <w:iCs/>
                      <w:szCs w:val="20"/>
                      <w:lang w:val="sl-SI" w:eastAsia="sl-SI"/>
                    </w:rPr>
                    <w:t>“.</w:t>
                  </w:r>
                </w:p>
              </w:tc>
            </w:tr>
          </w:tbl>
          <w:p w14:paraId="05181FDE" w14:textId="77777777" w:rsidR="00D20573" w:rsidRPr="00D20573" w:rsidRDefault="00D20573" w:rsidP="00D20573">
            <w:pPr>
              <w:spacing w:line="240" w:lineRule="auto"/>
              <w:rPr>
                <w:rFonts w:cs="Arial"/>
                <w:vanish/>
                <w:color w:val="000000"/>
                <w:szCs w:val="20"/>
                <w:lang w:val="sl-SI" w:eastAsia="sl-SI"/>
              </w:rPr>
            </w:pPr>
          </w:p>
          <w:tbl>
            <w:tblPr>
              <w:tblW w:w="5000" w:type="pct"/>
              <w:tblCellSpacing w:w="0" w:type="dxa"/>
              <w:tblCellMar>
                <w:left w:w="0" w:type="dxa"/>
                <w:right w:w="0" w:type="dxa"/>
              </w:tblCellMar>
              <w:tblLook w:val="04A0" w:firstRow="1" w:lastRow="0" w:firstColumn="1" w:lastColumn="0" w:noHBand="0" w:noVBand="1"/>
            </w:tblPr>
            <w:tblGrid>
              <w:gridCol w:w="167"/>
              <w:gridCol w:w="9309"/>
            </w:tblGrid>
            <w:tr w:rsidR="00D20573" w:rsidRPr="00D20573" w14:paraId="1EC52950" w14:textId="77777777">
              <w:trPr>
                <w:tblCellSpacing w:w="0" w:type="dxa"/>
              </w:trPr>
              <w:tc>
                <w:tcPr>
                  <w:tcW w:w="0" w:type="auto"/>
                  <w:hideMark/>
                </w:tcPr>
                <w:p w14:paraId="098B356F" w14:textId="77777777" w:rsidR="00D20573" w:rsidRPr="00D20573" w:rsidRDefault="00D20573" w:rsidP="00D20573">
                  <w:pPr>
                    <w:spacing w:before="100" w:beforeAutospacing="1" w:after="100" w:afterAutospacing="1" w:line="240" w:lineRule="auto"/>
                    <w:rPr>
                      <w:rFonts w:cs="Arial"/>
                      <w:szCs w:val="20"/>
                      <w:lang w:val="sl-SI" w:eastAsia="sl-SI"/>
                    </w:rPr>
                  </w:pPr>
                  <w:r w:rsidRPr="00D20573">
                    <w:rPr>
                      <w:rFonts w:cs="Arial"/>
                      <w:i/>
                      <w:iCs/>
                      <w:szCs w:val="20"/>
                      <w:lang w:val="sl-SI" w:eastAsia="sl-SI"/>
                    </w:rPr>
                    <w:t>6.</w:t>
                  </w:r>
                </w:p>
              </w:tc>
              <w:tc>
                <w:tcPr>
                  <w:tcW w:w="0" w:type="auto"/>
                  <w:hideMark/>
                </w:tcPr>
                <w:p w14:paraId="3C8D9620" w14:textId="77777777" w:rsidR="00D20573" w:rsidRPr="00D20573" w:rsidRDefault="00D20573" w:rsidP="00D20573">
                  <w:pPr>
                    <w:spacing w:line="240" w:lineRule="auto"/>
                    <w:rPr>
                      <w:rFonts w:cs="Arial"/>
                      <w:szCs w:val="20"/>
                      <w:lang w:val="sl-SI" w:eastAsia="sl-SI"/>
                    </w:rPr>
                  </w:pPr>
                  <w:r w:rsidRPr="00D20573">
                    <w:rPr>
                      <w:rFonts w:cs="Arial"/>
                      <w:i/>
                      <w:iCs/>
                      <w:szCs w:val="20"/>
                      <w:lang w:val="sl-SI" w:eastAsia="sl-SI"/>
                    </w:rPr>
                    <w:t xml:space="preserve">„Napaka C-NOT“ je povprečna napaka fizičnih vrat za operacijo vrat </w:t>
                  </w:r>
                  <w:proofErr w:type="spellStart"/>
                  <w:r w:rsidRPr="00D20573">
                    <w:rPr>
                      <w:rFonts w:cs="Arial"/>
                      <w:i/>
                      <w:iCs/>
                      <w:szCs w:val="20"/>
                      <w:lang w:val="sl-SI" w:eastAsia="sl-SI"/>
                    </w:rPr>
                    <w:t>controlled</w:t>
                  </w:r>
                  <w:proofErr w:type="spellEnd"/>
                  <w:r w:rsidRPr="00D20573">
                    <w:rPr>
                      <w:rFonts w:cs="Arial"/>
                      <w:i/>
                      <w:iCs/>
                      <w:szCs w:val="20"/>
                      <w:lang w:val="sl-SI" w:eastAsia="sl-SI"/>
                    </w:rPr>
                    <w:t xml:space="preserve">-NOT (C-NOT) med najbližjima sosednjima „fizičnima </w:t>
                  </w:r>
                  <w:proofErr w:type="spellStart"/>
                  <w:r w:rsidRPr="00D20573">
                    <w:rPr>
                      <w:rFonts w:cs="Arial"/>
                      <w:i/>
                      <w:iCs/>
                      <w:szCs w:val="20"/>
                      <w:lang w:val="sl-SI" w:eastAsia="sl-SI"/>
                    </w:rPr>
                    <w:t>kubitoma</w:t>
                  </w:r>
                  <w:proofErr w:type="spellEnd"/>
                  <w:r w:rsidRPr="00D20573">
                    <w:rPr>
                      <w:rFonts w:cs="Arial"/>
                      <w:i/>
                      <w:iCs/>
                      <w:szCs w:val="20"/>
                      <w:lang w:val="sl-SI" w:eastAsia="sl-SI"/>
                    </w:rPr>
                    <w:t>“.</w:t>
                  </w:r>
                </w:p>
              </w:tc>
            </w:tr>
          </w:tbl>
          <w:p w14:paraId="0CCE93D1" w14:textId="77777777" w:rsidR="00D20573" w:rsidRPr="00D20573" w:rsidRDefault="00D20573" w:rsidP="00D20573">
            <w:pPr>
              <w:spacing w:line="240" w:lineRule="auto"/>
              <w:rPr>
                <w:rFonts w:cs="Arial"/>
                <w:color w:val="000000"/>
                <w:szCs w:val="20"/>
                <w:lang w:val="sl-SI" w:eastAsia="sl-SI"/>
              </w:rPr>
            </w:pPr>
          </w:p>
        </w:tc>
      </w:tr>
    </w:tbl>
    <w:p w14:paraId="441154BD" w14:textId="5AD1F0E9" w:rsidR="00D20573" w:rsidRPr="00EF10D7" w:rsidRDefault="00D20573" w:rsidP="00EF10D7">
      <w:pPr>
        <w:shd w:val="clear" w:color="auto" w:fill="FFFFFF"/>
        <w:spacing w:before="240" w:after="120" w:line="240" w:lineRule="auto"/>
        <w:ind w:left="568"/>
        <w:jc w:val="both"/>
        <w:rPr>
          <w:rFonts w:cs="Arial"/>
          <w:b/>
          <w:bCs/>
          <w:color w:val="000000"/>
          <w:szCs w:val="20"/>
          <w:u w:val="single"/>
          <w:lang w:val="sl-SI" w:eastAsia="sl-SI"/>
        </w:rPr>
      </w:pPr>
      <w:r w:rsidRPr="00EF10D7">
        <w:rPr>
          <w:rFonts w:cs="Arial"/>
          <w:b/>
          <w:bCs/>
          <w:color w:val="000000"/>
          <w:szCs w:val="20"/>
          <w:u w:val="single"/>
          <w:lang w:val="sl-SI" w:eastAsia="sl-SI"/>
        </w:rPr>
        <w:lastRenderedPageBreak/>
        <w:t>4D Programska oprema</w:t>
      </w:r>
    </w:p>
    <w:p w14:paraId="54E138C5" w14:textId="17B42979" w:rsidR="00D20573" w:rsidRPr="00D20573" w:rsidRDefault="00D20573" w:rsidP="00EF10D7">
      <w:pPr>
        <w:shd w:val="clear" w:color="auto" w:fill="FFFFFF"/>
        <w:spacing w:before="120" w:line="240" w:lineRule="auto"/>
        <w:ind w:left="568"/>
        <w:jc w:val="both"/>
        <w:rPr>
          <w:rFonts w:cs="Arial"/>
          <w:color w:val="000000"/>
          <w:szCs w:val="20"/>
          <w:lang w:val="sl-SI" w:eastAsia="sl-SI"/>
        </w:rPr>
      </w:pPr>
      <w:r w:rsidRPr="00D20573">
        <w:rPr>
          <w:rFonts w:cs="Arial"/>
          <w:b/>
          <w:bCs/>
          <w:color w:val="000000"/>
          <w:szCs w:val="20"/>
          <w:lang w:val="sl-SI" w:eastAsia="sl-SI"/>
        </w:rPr>
        <w:t>4D1901.b.3</w:t>
      </w:r>
      <w:r w:rsidRPr="00D20573">
        <w:rPr>
          <w:rFonts w:cs="Arial"/>
          <w:color w:val="000000"/>
          <w:szCs w:val="20"/>
          <w:lang w:val="sl-SI" w:eastAsia="sl-SI"/>
        </w:rPr>
        <w:t> „programska oprema“, posebej zasnovana ali prirejena za „razvoj“ ali „proizvodnjo“ blaga iz 4A1906.b ali 4A1906.c.</w:t>
      </w:r>
    </w:p>
    <w:p w14:paraId="00A3D0D3" w14:textId="77777777" w:rsidR="004707C2" w:rsidRPr="00D20573" w:rsidRDefault="004707C2" w:rsidP="00EF10D7">
      <w:pPr>
        <w:ind w:left="568"/>
        <w:jc w:val="both"/>
        <w:rPr>
          <w:rFonts w:cs="Arial"/>
          <w:szCs w:val="20"/>
          <w:lang w:val="sl-SI"/>
        </w:rPr>
      </w:pPr>
    </w:p>
    <w:p w14:paraId="23DE6615" w14:textId="77777777" w:rsidR="002A51B0" w:rsidRDefault="002A51B0" w:rsidP="00EF10D7">
      <w:pPr>
        <w:ind w:left="568"/>
        <w:jc w:val="both"/>
        <w:rPr>
          <w:rFonts w:cs="Arial"/>
          <w:szCs w:val="20"/>
          <w:lang w:val="sl-SI"/>
        </w:rPr>
      </w:pPr>
    </w:p>
    <w:p w14:paraId="214144E6" w14:textId="0C35EF9B" w:rsidR="00D20573" w:rsidRPr="00EF10D7" w:rsidRDefault="00D20573" w:rsidP="00EF10D7">
      <w:pPr>
        <w:ind w:left="568"/>
        <w:jc w:val="both"/>
        <w:rPr>
          <w:rFonts w:cs="Arial"/>
          <w:szCs w:val="20"/>
          <w:u w:val="single"/>
          <w:lang w:val="sl-SI"/>
        </w:rPr>
      </w:pPr>
      <w:r w:rsidRPr="00EF10D7">
        <w:rPr>
          <w:rFonts w:cs="Arial"/>
          <w:b/>
          <w:bCs/>
          <w:color w:val="000000"/>
          <w:szCs w:val="20"/>
          <w:u w:val="single"/>
          <w:shd w:val="clear" w:color="auto" w:fill="FFFFFF"/>
        </w:rPr>
        <w:t xml:space="preserve">4E </w:t>
      </w:r>
      <w:proofErr w:type="spellStart"/>
      <w:r w:rsidRPr="00EF10D7">
        <w:rPr>
          <w:rFonts w:cs="Arial"/>
          <w:b/>
          <w:bCs/>
          <w:color w:val="000000"/>
          <w:szCs w:val="20"/>
          <w:u w:val="single"/>
          <w:shd w:val="clear" w:color="auto" w:fill="FFFFFF"/>
        </w:rPr>
        <w:t>Tehnologija</w:t>
      </w:r>
      <w:proofErr w:type="spellEnd"/>
    </w:p>
    <w:p w14:paraId="7BB186B5" w14:textId="1AB7F94A" w:rsidR="00D20573" w:rsidRPr="00D20573" w:rsidRDefault="00D20573" w:rsidP="00EF10D7">
      <w:pPr>
        <w:shd w:val="clear" w:color="auto" w:fill="FFFFFF"/>
        <w:spacing w:before="120" w:line="240" w:lineRule="auto"/>
        <w:ind w:left="568"/>
        <w:jc w:val="both"/>
        <w:rPr>
          <w:rFonts w:cs="Arial"/>
          <w:color w:val="000000"/>
          <w:szCs w:val="20"/>
          <w:lang w:val="sl-SI" w:eastAsia="sl-SI"/>
        </w:rPr>
      </w:pPr>
      <w:r w:rsidRPr="00D20573">
        <w:rPr>
          <w:rFonts w:cs="Arial"/>
          <w:b/>
          <w:bCs/>
          <w:color w:val="000000"/>
          <w:szCs w:val="20"/>
          <w:lang w:val="sl-SI" w:eastAsia="sl-SI"/>
        </w:rPr>
        <w:t>4E1902.b.3</w:t>
      </w:r>
      <w:r w:rsidRPr="00D20573">
        <w:rPr>
          <w:rFonts w:cs="Arial"/>
          <w:color w:val="000000"/>
          <w:szCs w:val="20"/>
          <w:lang w:val="sl-SI" w:eastAsia="sl-SI"/>
        </w:rPr>
        <w:t>  „tehnologija“ v smislu splošne opombe o tehnologiji v Prilogi I k Uredbi, namenjena za „razvoj“ ali „proizvodnjo“ blaga iz 4A1906.b, 3B1904 in 4A1906.c.</w:t>
      </w:r>
    </w:p>
    <w:p w14:paraId="04AE7471" w14:textId="77777777" w:rsidR="00D20573" w:rsidRPr="00D20573" w:rsidRDefault="00D20573" w:rsidP="00D20573">
      <w:pPr>
        <w:jc w:val="both"/>
        <w:rPr>
          <w:rFonts w:cs="Arial"/>
          <w:szCs w:val="20"/>
          <w:lang w:val="sl-SI"/>
        </w:rPr>
      </w:pPr>
    </w:p>
    <w:p w14:paraId="422000E6" w14:textId="7096F0DE" w:rsidR="006420CE" w:rsidRDefault="006420CE" w:rsidP="006420CE">
      <w:pPr>
        <w:pStyle w:val="Odstavekseznama"/>
        <w:numPr>
          <w:ilvl w:val="0"/>
          <w:numId w:val="8"/>
        </w:numPr>
        <w:jc w:val="both"/>
        <w:rPr>
          <w:rFonts w:cs="Arial"/>
          <w:szCs w:val="20"/>
          <w:lang w:val="sl-SI"/>
        </w:rPr>
      </w:pPr>
      <w:r>
        <w:rPr>
          <w:rFonts w:cs="Arial"/>
          <w:szCs w:val="20"/>
          <w:lang w:val="sl-SI"/>
        </w:rPr>
        <w:t xml:space="preserve">Obvestilo </w:t>
      </w:r>
      <w:r w:rsidR="006A4C21" w:rsidRPr="00CC16D2">
        <w:rPr>
          <w:rFonts w:cs="Arial"/>
          <w:szCs w:val="20"/>
          <w:lang w:val="sl-SI"/>
        </w:rPr>
        <w:t>začne veljati naslednji dan po objavi in</w:t>
      </w:r>
      <w:r w:rsidR="006A4C21">
        <w:rPr>
          <w:rFonts w:cs="Arial"/>
          <w:szCs w:val="20"/>
          <w:lang w:val="sl-SI"/>
        </w:rPr>
        <w:t xml:space="preserve"> </w:t>
      </w:r>
      <w:r>
        <w:rPr>
          <w:rFonts w:cs="Arial"/>
          <w:szCs w:val="20"/>
          <w:lang w:val="sl-SI"/>
        </w:rPr>
        <w:t>velja do preklica</w:t>
      </w:r>
      <w:r w:rsidR="006913AA">
        <w:rPr>
          <w:rFonts w:cs="Arial"/>
          <w:szCs w:val="20"/>
          <w:lang w:val="sl-SI"/>
        </w:rPr>
        <w:t>.</w:t>
      </w:r>
    </w:p>
    <w:p w14:paraId="7CA07306" w14:textId="77777777" w:rsidR="006420CE" w:rsidRDefault="006420CE" w:rsidP="006420CE">
      <w:pPr>
        <w:pStyle w:val="Odstavekseznama"/>
        <w:jc w:val="both"/>
        <w:rPr>
          <w:rFonts w:cs="Arial"/>
          <w:szCs w:val="20"/>
          <w:lang w:val="sl-SI"/>
        </w:rPr>
      </w:pPr>
    </w:p>
    <w:p w14:paraId="0BBF2971" w14:textId="77777777" w:rsidR="002964B6" w:rsidRDefault="002964B6" w:rsidP="002964B6">
      <w:pPr>
        <w:pStyle w:val="Odstavekseznama"/>
        <w:rPr>
          <w:rFonts w:cs="Arial"/>
          <w:szCs w:val="20"/>
          <w:lang w:val="sl-SI"/>
        </w:rPr>
      </w:pPr>
    </w:p>
    <w:p w14:paraId="6294E6CA" w14:textId="77777777" w:rsidR="00944AD9" w:rsidRPr="002964B6" w:rsidRDefault="00944AD9" w:rsidP="002964B6">
      <w:pPr>
        <w:pStyle w:val="Odstavekseznama"/>
        <w:rPr>
          <w:rFonts w:cs="Arial"/>
          <w:szCs w:val="20"/>
          <w:lang w:val="sl-SI"/>
        </w:rPr>
      </w:pPr>
    </w:p>
    <w:p w14:paraId="18E31DBD" w14:textId="4C1C98C8" w:rsidR="000206E6" w:rsidRPr="00157CB6" w:rsidRDefault="000206E6" w:rsidP="00A02B64">
      <w:pPr>
        <w:jc w:val="both"/>
        <w:rPr>
          <w:rFonts w:cs="Arial"/>
          <w:szCs w:val="20"/>
          <w:lang w:val="sl-SI"/>
        </w:rPr>
      </w:pPr>
    </w:p>
    <w:p w14:paraId="5BF8A16B" w14:textId="6C3FBE75" w:rsidR="00B6707D" w:rsidRPr="0044315D" w:rsidRDefault="00991F9C" w:rsidP="00A02B64">
      <w:pPr>
        <w:pStyle w:val="Telobesedila"/>
        <w:tabs>
          <w:tab w:val="left" w:pos="720"/>
          <w:tab w:val="left" w:pos="1440"/>
          <w:tab w:val="left" w:pos="2160"/>
          <w:tab w:val="left" w:pos="2880"/>
          <w:tab w:val="left" w:pos="3600"/>
          <w:tab w:val="left" w:pos="4320"/>
          <w:tab w:val="left" w:pos="5040"/>
          <w:tab w:val="left" w:pos="5760"/>
          <w:tab w:val="left" w:pos="6480"/>
          <w:tab w:val="left" w:pos="7200"/>
          <w:tab w:val="right" w:pos="8498"/>
        </w:tabs>
        <w:spacing w:after="0"/>
        <w:ind w:firstLine="709"/>
        <w:jc w:val="both"/>
        <w:rPr>
          <w:rFonts w:ascii="Arial" w:hAnsi="Arial" w:cs="Arial"/>
          <w:bCs/>
          <w:i/>
          <w:iCs/>
          <w:sz w:val="20"/>
          <w:szCs w:val="20"/>
        </w:rPr>
      </w:pPr>
      <w:r w:rsidRPr="00157CB6">
        <w:rPr>
          <w:rFonts w:ascii="Arial" w:hAnsi="Arial" w:cs="Arial"/>
          <w:b/>
          <w:bCs/>
          <w:sz w:val="20"/>
          <w:szCs w:val="20"/>
        </w:rPr>
        <w:t xml:space="preserve">         </w:t>
      </w:r>
      <w:r w:rsidRPr="00157CB6">
        <w:rPr>
          <w:rFonts w:ascii="Arial" w:hAnsi="Arial" w:cs="Arial"/>
          <w:b/>
          <w:bCs/>
          <w:sz w:val="20"/>
          <w:szCs w:val="20"/>
        </w:rPr>
        <w:tab/>
      </w:r>
      <w:r w:rsidRPr="00157CB6">
        <w:rPr>
          <w:rFonts w:ascii="Arial" w:hAnsi="Arial" w:cs="Arial"/>
          <w:b/>
          <w:bCs/>
          <w:sz w:val="20"/>
          <w:szCs w:val="20"/>
        </w:rPr>
        <w:tab/>
      </w:r>
      <w:r w:rsidRPr="00157CB6">
        <w:rPr>
          <w:rFonts w:ascii="Arial" w:hAnsi="Arial" w:cs="Arial"/>
          <w:b/>
          <w:bCs/>
          <w:sz w:val="20"/>
          <w:szCs w:val="20"/>
        </w:rPr>
        <w:tab/>
      </w:r>
      <w:r w:rsidRPr="00157CB6">
        <w:rPr>
          <w:rFonts w:ascii="Arial" w:hAnsi="Arial" w:cs="Arial"/>
          <w:b/>
          <w:bCs/>
          <w:sz w:val="20"/>
          <w:szCs w:val="20"/>
        </w:rPr>
        <w:tab/>
      </w:r>
      <w:r w:rsidR="00421849">
        <w:rPr>
          <w:rFonts w:ascii="Arial" w:hAnsi="Arial" w:cs="Arial"/>
          <w:b/>
          <w:bCs/>
          <w:sz w:val="20"/>
          <w:szCs w:val="20"/>
        </w:rPr>
        <w:t xml:space="preserve">   </w:t>
      </w:r>
      <w:r w:rsidR="00A02B64">
        <w:rPr>
          <w:rFonts w:ascii="Arial" w:hAnsi="Arial" w:cs="Arial"/>
          <w:b/>
          <w:bCs/>
          <w:sz w:val="20"/>
          <w:szCs w:val="20"/>
        </w:rPr>
        <w:tab/>
      </w:r>
      <w:r w:rsidR="00A02B64">
        <w:rPr>
          <w:rFonts w:ascii="Arial" w:hAnsi="Arial" w:cs="Arial"/>
          <w:b/>
          <w:bCs/>
          <w:sz w:val="20"/>
          <w:szCs w:val="20"/>
        </w:rPr>
        <w:tab/>
      </w:r>
      <w:r w:rsidR="002720E9" w:rsidRPr="00466B5E">
        <w:rPr>
          <w:rFonts w:ascii="Arial" w:hAnsi="Arial" w:cs="Arial"/>
          <w:bCs/>
          <w:sz w:val="20"/>
          <w:szCs w:val="20"/>
        </w:rPr>
        <w:t xml:space="preserve"> </w:t>
      </w:r>
      <w:r w:rsidR="00A02B64" w:rsidRPr="00466B5E">
        <w:rPr>
          <w:rFonts w:ascii="Arial" w:hAnsi="Arial" w:cs="Arial"/>
          <w:bCs/>
          <w:sz w:val="20"/>
          <w:szCs w:val="20"/>
        </w:rPr>
        <w:t xml:space="preserve">  </w:t>
      </w:r>
      <w:r w:rsidR="00421849" w:rsidRPr="00466B5E">
        <w:rPr>
          <w:rFonts w:ascii="Arial" w:hAnsi="Arial" w:cs="Arial"/>
          <w:bCs/>
          <w:sz w:val="20"/>
          <w:szCs w:val="20"/>
        </w:rPr>
        <w:t xml:space="preserve"> </w:t>
      </w:r>
      <w:r w:rsidR="00356D00" w:rsidRPr="00466B5E">
        <w:rPr>
          <w:rFonts w:ascii="Arial" w:hAnsi="Arial" w:cs="Arial"/>
          <w:bCs/>
          <w:sz w:val="20"/>
          <w:szCs w:val="20"/>
        </w:rPr>
        <w:t xml:space="preserve"> </w:t>
      </w:r>
      <w:r w:rsidR="00421849" w:rsidRPr="00466B5E">
        <w:rPr>
          <w:rFonts w:ascii="Arial" w:hAnsi="Arial" w:cs="Arial"/>
          <w:bCs/>
          <w:spacing w:val="-2"/>
          <w:sz w:val="20"/>
          <w:szCs w:val="20"/>
        </w:rPr>
        <w:t>Matjaž H</w:t>
      </w:r>
      <w:r w:rsidR="0044315D">
        <w:rPr>
          <w:rFonts w:ascii="Arial" w:hAnsi="Arial" w:cs="Arial"/>
          <w:bCs/>
          <w:spacing w:val="-2"/>
          <w:sz w:val="20"/>
          <w:szCs w:val="20"/>
        </w:rPr>
        <w:t>an</w:t>
      </w:r>
    </w:p>
    <w:p w14:paraId="6C5563D4" w14:textId="000A1725" w:rsidR="00B6707D" w:rsidRPr="00466B5E" w:rsidRDefault="00B6707D" w:rsidP="00A02B64">
      <w:pPr>
        <w:jc w:val="both"/>
        <w:rPr>
          <w:rFonts w:cs="Arial"/>
          <w:bCs/>
          <w:szCs w:val="20"/>
          <w:lang w:val="sl-SI"/>
        </w:rPr>
      </w:pPr>
      <w:r w:rsidRPr="00466B5E">
        <w:rPr>
          <w:rFonts w:cs="Arial"/>
          <w:bCs/>
          <w:spacing w:val="-2"/>
          <w:szCs w:val="20"/>
          <w:lang w:val="sl-SI"/>
        </w:rPr>
        <w:t xml:space="preserve">                  </w:t>
      </w:r>
      <w:r w:rsidRPr="00466B5E">
        <w:rPr>
          <w:rFonts w:cs="Arial"/>
          <w:bCs/>
          <w:spacing w:val="-2"/>
          <w:szCs w:val="20"/>
          <w:lang w:val="sl-SI"/>
        </w:rPr>
        <w:tab/>
      </w:r>
      <w:r w:rsidRPr="00466B5E">
        <w:rPr>
          <w:rFonts w:cs="Arial"/>
          <w:bCs/>
          <w:spacing w:val="-2"/>
          <w:szCs w:val="20"/>
          <w:lang w:val="sl-SI"/>
        </w:rPr>
        <w:tab/>
      </w:r>
      <w:r w:rsidRPr="00466B5E">
        <w:rPr>
          <w:rFonts w:cs="Arial"/>
          <w:bCs/>
          <w:spacing w:val="-2"/>
          <w:szCs w:val="20"/>
          <w:lang w:val="sl-SI"/>
        </w:rPr>
        <w:tab/>
      </w:r>
      <w:r w:rsidRPr="00466B5E">
        <w:rPr>
          <w:rFonts w:cs="Arial"/>
          <w:bCs/>
          <w:spacing w:val="-2"/>
          <w:szCs w:val="20"/>
          <w:lang w:val="sl-SI"/>
        </w:rPr>
        <w:tab/>
      </w:r>
      <w:r w:rsidRPr="00466B5E">
        <w:rPr>
          <w:rFonts w:cs="Arial"/>
          <w:bCs/>
          <w:spacing w:val="-2"/>
          <w:szCs w:val="20"/>
          <w:lang w:val="sl-SI"/>
        </w:rPr>
        <w:tab/>
      </w:r>
      <w:r w:rsidRPr="00466B5E">
        <w:rPr>
          <w:rFonts w:cs="Arial"/>
          <w:bCs/>
          <w:spacing w:val="-2"/>
          <w:szCs w:val="20"/>
          <w:lang w:val="sl-SI"/>
        </w:rPr>
        <w:tab/>
        <w:t xml:space="preserve">      </w:t>
      </w:r>
      <w:r w:rsidR="0044315D">
        <w:rPr>
          <w:rFonts w:cs="Arial"/>
          <w:bCs/>
          <w:spacing w:val="-2"/>
          <w:szCs w:val="20"/>
          <w:lang w:val="sl-SI"/>
        </w:rPr>
        <w:t xml:space="preserve">  minister</w:t>
      </w:r>
    </w:p>
    <w:p w14:paraId="22E3B3AE" w14:textId="77777777" w:rsidR="007170B2" w:rsidRPr="00157CB6" w:rsidRDefault="007170B2" w:rsidP="00A02B64">
      <w:pPr>
        <w:jc w:val="both"/>
        <w:rPr>
          <w:rFonts w:cs="Arial"/>
          <w:bCs/>
          <w:szCs w:val="20"/>
          <w:u w:val="single"/>
          <w:lang w:val="sl-SI"/>
        </w:rPr>
      </w:pPr>
    </w:p>
    <w:p w14:paraId="4CACBCF1" w14:textId="77777777" w:rsidR="002355B1" w:rsidRDefault="002355B1" w:rsidP="00A02B64">
      <w:pPr>
        <w:jc w:val="both"/>
        <w:rPr>
          <w:rFonts w:cs="Arial"/>
          <w:bCs/>
          <w:szCs w:val="20"/>
          <w:u w:val="single"/>
          <w:lang w:val="sl-SI"/>
        </w:rPr>
      </w:pPr>
    </w:p>
    <w:p w14:paraId="654820A0" w14:textId="77777777" w:rsidR="002355B1" w:rsidRDefault="002355B1" w:rsidP="00A02B64">
      <w:pPr>
        <w:jc w:val="both"/>
        <w:rPr>
          <w:rFonts w:cs="Arial"/>
          <w:bCs/>
          <w:szCs w:val="20"/>
          <w:u w:val="single"/>
          <w:lang w:val="sl-SI"/>
        </w:rPr>
      </w:pPr>
    </w:p>
    <w:p w14:paraId="296E2B4D" w14:textId="77777777" w:rsidR="000C222C" w:rsidRDefault="001828B9" w:rsidP="00A02B64">
      <w:pPr>
        <w:jc w:val="both"/>
        <w:rPr>
          <w:rFonts w:cs="Arial"/>
          <w:bCs/>
          <w:szCs w:val="20"/>
          <w:lang w:val="sl-SI"/>
        </w:rPr>
      </w:pPr>
      <w:r>
        <w:rPr>
          <w:rFonts w:cs="Arial"/>
          <w:bCs/>
          <w:szCs w:val="20"/>
          <w:u w:val="single"/>
          <w:lang w:val="sl-SI"/>
        </w:rPr>
        <w:t>Objaviti</w:t>
      </w:r>
      <w:r w:rsidRPr="00CC16D2">
        <w:rPr>
          <w:rFonts w:cs="Arial"/>
          <w:bCs/>
          <w:szCs w:val="20"/>
          <w:lang w:val="sl-SI"/>
        </w:rPr>
        <w:t>:</w:t>
      </w:r>
      <w:r w:rsidR="004905D3" w:rsidRPr="00CC16D2">
        <w:rPr>
          <w:rFonts w:cs="Arial"/>
          <w:bCs/>
          <w:szCs w:val="20"/>
          <w:lang w:val="sl-SI"/>
        </w:rPr>
        <w:t xml:space="preserve"> </w:t>
      </w:r>
      <w:r w:rsidR="009E0502" w:rsidRPr="00A90C03">
        <w:rPr>
          <w:rFonts w:cs="Arial"/>
          <w:bCs/>
          <w:szCs w:val="20"/>
          <w:lang w:val="sl-SI"/>
        </w:rPr>
        <w:t xml:space="preserve"> </w:t>
      </w:r>
    </w:p>
    <w:p w14:paraId="68D13C7E" w14:textId="53FD81C2" w:rsidR="001828B9" w:rsidRPr="00CC16D2" w:rsidRDefault="00575B04" w:rsidP="00C91606">
      <w:pPr>
        <w:jc w:val="both"/>
        <w:rPr>
          <w:rFonts w:cs="Arial"/>
          <w:bCs/>
          <w:szCs w:val="20"/>
          <w:lang w:val="sl-SI"/>
        </w:rPr>
      </w:pPr>
      <w:r w:rsidRPr="000C222C">
        <w:rPr>
          <w:rFonts w:cs="Arial"/>
          <w:bCs/>
          <w:szCs w:val="20"/>
          <w:lang w:val="sl-SI"/>
        </w:rPr>
        <w:t>na osrednjem spletnem mestu državne uprave in na Javnih objavah Ministrstva za gospodarstvo, turizem in šport</w:t>
      </w:r>
      <w:r w:rsidR="000C222C">
        <w:rPr>
          <w:rFonts w:cs="Arial"/>
          <w:bCs/>
          <w:szCs w:val="20"/>
          <w:lang w:val="sl-SI"/>
        </w:rPr>
        <w:t>.</w:t>
      </w:r>
    </w:p>
    <w:sectPr w:rsidR="001828B9" w:rsidRPr="00CC16D2" w:rsidSect="00CC16D2">
      <w:headerReference w:type="default" r:id="rId8"/>
      <w:footerReference w:type="default" r:id="rId9"/>
      <w:headerReference w:type="first" r:id="rId10"/>
      <w:pgSz w:w="11900" w:h="16840" w:code="9"/>
      <w:pgMar w:top="1701" w:right="1134" w:bottom="1134" w:left="1134"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1CCF" w14:textId="77777777" w:rsidR="00D25ED8" w:rsidRDefault="00D25ED8">
      <w:r>
        <w:separator/>
      </w:r>
    </w:p>
  </w:endnote>
  <w:endnote w:type="continuationSeparator" w:id="0">
    <w:p w14:paraId="7B505894" w14:textId="77777777" w:rsidR="00D25ED8" w:rsidRDefault="00D2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680004"/>
      <w:docPartObj>
        <w:docPartGallery w:val="Page Numbers (Bottom of Page)"/>
        <w:docPartUnique/>
      </w:docPartObj>
    </w:sdtPr>
    <w:sdtEndPr/>
    <w:sdtContent>
      <w:sdt>
        <w:sdtPr>
          <w:id w:val="-1669238322"/>
          <w:docPartObj>
            <w:docPartGallery w:val="Page Numbers (Top of Page)"/>
            <w:docPartUnique/>
          </w:docPartObj>
        </w:sdtPr>
        <w:sdtEndPr/>
        <w:sdtContent>
          <w:p w14:paraId="33B215BC" w14:textId="77777777" w:rsidR="003930CF" w:rsidRDefault="003930CF">
            <w:pPr>
              <w:pStyle w:val="Noga"/>
              <w:jc w:val="center"/>
            </w:pPr>
            <w:r w:rsidRPr="00D57D54">
              <w:rPr>
                <w:rFonts w:cs="Arial"/>
                <w:bCs/>
                <w:sz w:val="16"/>
                <w:szCs w:val="16"/>
              </w:rPr>
              <w:fldChar w:fldCharType="begin"/>
            </w:r>
            <w:r w:rsidRPr="00D57D54">
              <w:rPr>
                <w:rFonts w:cs="Arial"/>
                <w:bCs/>
                <w:sz w:val="16"/>
                <w:szCs w:val="16"/>
              </w:rPr>
              <w:instrText>PAGE</w:instrText>
            </w:r>
            <w:r w:rsidRPr="00D57D54">
              <w:rPr>
                <w:rFonts w:cs="Arial"/>
                <w:bCs/>
                <w:sz w:val="16"/>
                <w:szCs w:val="16"/>
              </w:rPr>
              <w:fldChar w:fldCharType="separate"/>
            </w:r>
            <w:r w:rsidR="0071689D">
              <w:rPr>
                <w:rFonts w:cs="Arial"/>
                <w:bCs/>
                <w:noProof/>
                <w:sz w:val="16"/>
                <w:szCs w:val="16"/>
              </w:rPr>
              <w:t>2</w:t>
            </w:r>
            <w:r w:rsidRPr="00D57D54">
              <w:rPr>
                <w:rFonts w:cs="Arial"/>
                <w:bCs/>
                <w:sz w:val="16"/>
                <w:szCs w:val="16"/>
              </w:rPr>
              <w:fldChar w:fldCharType="end"/>
            </w:r>
            <w:r w:rsidRPr="00D57D54">
              <w:rPr>
                <w:rFonts w:cs="Arial"/>
                <w:sz w:val="16"/>
                <w:szCs w:val="16"/>
                <w:lang w:val="sl-SI"/>
              </w:rPr>
              <w:t xml:space="preserve"> / </w:t>
            </w:r>
            <w:r w:rsidRPr="00D57D54">
              <w:rPr>
                <w:rFonts w:cs="Arial"/>
                <w:bCs/>
                <w:sz w:val="16"/>
                <w:szCs w:val="16"/>
              </w:rPr>
              <w:fldChar w:fldCharType="begin"/>
            </w:r>
            <w:r w:rsidRPr="00D57D54">
              <w:rPr>
                <w:rFonts w:cs="Arial"/>
                <w:bCs/>
                <w:sz w:val="16"/>
                <w:szCs w:val="16"/>
              </w:rPr>
              <w:instrText>NUMPAGES</w:instrText>
            </w:r>
            <w:r w:rsidRPr="00D57D54">
              <w:rPr>
                <w:rFonts w:cs="Arial"/>
                <w:bCs/>
                <w:sz w:val="16"/>
                <w:szCs w:val="16"/>
              </w:rPr>
              <w:fldChar w:fldCharType="separate"/>
            </w:r>
            <w:r w:rsidR="0071689D">
              <w:rPr>
                <w:rFonts w:cs="Arial"/>
                <w:bCs/>
                <w:noProof/>
                <w:sz w:val="16"/>
                <w:szCs w:val="16"/>
              </w:rPr>
              <w:t>2</w:t>
            </w:r>
            <w:r w:rsidRPr="00D57D54">
              <w:rPr>
                <w:rFonts w:cs="Arial"/>
                <w:bCs/>
                <w:sz w:val="16"/>
                <w:szCs w:val="16"/>
              </w:rPr>
              <w:fldChar w:fldCharType="end"/>
            </w:r>
          </w:p>
        </w:sdtContent>
      </w:sdt>
    </w:sdtContent>
  </w:sdt>
  <w:p w14:paraId="51F8AB1B" w14:textId="77777777" w:rsidR="003930CF" w:rsidRDefault="003930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94BB" w14:textId="77777777" w:rsidR="00D25ED8" w:rsidRDefault="00D25ED8">
      <w:r>
        <w:separator/>
      </w:r>
    </w:p>
  </w:footnote>
  <w:footnote w:type="continuationSeparator" w:id="0">
    <w:p w14:paraId="35F78A12" w14:textId="77777777" w:rsidR="00D25ED8" w:rsidRDefault="00D25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700D" w14:textId="77777777" w:rsidR="003930CF" w:rsidRPr="00110CBD" w:rsidRDefault="003930C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C420CA" w:rsidRPr="008F3500" w14:paraId="642B868D" w14:textId="77777777" w:rsidTr="008D0D3C">
      <w:trPr>
        <w:trHeight w:hRule="exact" w:val="847"/>
      </w:trPr>
      <w:tc>
        <w:tcPr>
          <w:tcW w:w="649" w:type="dxa"/>
        </w:tcPr>
        <w:p w14:paraId="7C258A8E" w14:textId="77777777" w:rsidR="00C420CA" w:rsidRDefault="00C420CA" w:rsidP="00C420CA">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47417208" w14:textId="77777777" w:rsidR="00C420CA" w:rsidRPr="006D42D9" w:rsidRDefault="00C420CA" w:rsidP="00C420CA">
          <w:pPr>
            <w:rPr>
              <w:rFonts w:ascii="Republika" w:hAnsi="Republika"/>
              <w:sz w:val="60"/>
              <w:szCs w:val="60"/>
            </w:rPr>
          </w:pPr>
        </w:p>
        <w:p w14:paraId="34C06DE8" w14:textId="77777777" w:rsidR="00C420CA" w:rsidRPr="006D42D9" w:rsidRDefault="00C420CA" w:rsidP="00C420CA">
          <w:pPr>
            <w:rPr>
              <w:rFonts w:ascii="Republika" w:hAnsi="Republika"/>
              <w:sz w:val="60"/>
              <w:szCs w:val="60"/>
            </w:rPr>
          </w:pPr>
        </w:p>
        <w:p w14:paraId="55451E51" w14:textId="77777777" w:rsidR="00C420CA" w:rsidRPr="006D42D9" w:rsidRDefault="00C420CA" w:rsidP="00C420CA">
          <w:pPr>
            <w:rPr>
              <w:rFonts w:ascii="Republika" w:hAnsi="Republika"/>
              <w:sz w:val="60"/>
              <w:szCs w:val="60"/>
            </w:rPr>
          </w:pPr>
        </w:p>
        <w:p w14:paraId="57A8FCBD" w14:textId="77777777" w:rsidR="00C420CA" w:rsidRPr="006D42D9" w:rsidRDefault="00C420CA" w:rsidP="00C420CA">
          <w:pPr>
            <w:rPr>
              <w:rFonts w:ascii="Republika" w:hAnsi="Republika"/>
              <w:sz w:val="60"/>
              <w:szCs w:val="60"/>
            </w:rPr>
          </w:pPr>
        </w:p>
        <w:p w14:paraId="08F4CD68" w14:textId="77777777" w:rsidR="00C420CA" w:rsidRPr="006D42D9" w:rsidRDefault="00C420CA" w:rsidP="00C420CA">
          <w:pPr>
            <w:rPr>
              <w:rFonts w:ascii="Republika" w:hAnsi="Republika"/>
              <w:sz w:val="60"/>
              <w:szCs w:val="60"/>
            </w:rPr>
          </w:pPr>
        </w:p>
        <w:p w14:paraId="3278D417" w14:textId="77777777" w:rsidR="00C420CA" w:rsidRPr="006D42D9" w:rsidRDefault="00C420CA" w:rsidP="00C420CA">
          <w:pPr>
            <w:rPr>
              <w:rFonts w:ascii="Republika" w:hAnsi="Republika"/>
              <w:sz w:val="60"/>
              <w:szCs w:val="60"/>
            </w:rPr>
          </w:pPr>
        </w:p>
        <w:p w14:paraId="606D50DE" w14:textId="77777777" w:rsidR="00C420CA" w:rsidRPr="006D42D9" w:rsidRDefault="00C420CA" w:rsidP="00C420CA">
          <w:pPr>
            <w:rPr>
              <w:rFonts w:ascii="Republika" w:hAnsi="Republika"/>
              <w:sz w:val="60"/>
              <w:szCs w:val="60"/>
            </w:rPr>
          </w:pPr>
        </w:p>
        <w:p w14:paraId="5CC43EAC" w14:textId="77777777" w:rsidR="00C420CA" w:rsidRPr="006D42D9" w:rsidRDefault="00C420CA" w:rsidP="00C420CA">
          <w:pPr>
            <w:rPr>
              <w:rFonts w:ascii="Republika" w:hAnsi="Republika"/>
              <w:sz w:val="60"/>
              <w:szCs w:val="60"/>
            </w:rPr>
          </w:pPr>
        </w:p>
        <w:p w14:paraId="6FA52725" w14:textId="77777777" w:rsidR="00C420CA" w:rsidRPr="006D42D9" w:rsidRDefault="00C420CA" w:rsidP="00C420CA">
          <w:pPr>
            <w:rPr>
              <w:rFonts w:ascii="Republika" w:hAnsi="Republika"/>
              <w:sz w:val="60"/>
              <w:szCs w:val="60"/>
            </w:rPr>
          </w:pPr>
        </w:p>
        <w:p w14:paraId="2DDBAE67" w14:textId="77777777" w:rsidR="00C420CA" w:rsidRPr="006D42D9" w:rsidRDefault="00C420CA" w:rsidP="00C420CA">
          <w:pPr>
            <w:rPr>
              <w:rFonts w:ascii="Republika" w:hAnsi="Republika"/>
              <w:sz w:val="60"/>
              <w:szCs w:val="60"/>
            </w:rPr>
          </w:pPr>
        </w:p>
        <w:p w14:paraId="5FBE77EA" w14:textId="77777777" w:rsidR="00C420CA" w:rsidRPr="006D42D9" w:rsidRDefault="00C420CA" w:rsidP="00C420CA">
          <w:pPr>
            <w:rPr>
              <w:rFonts w:ascii="Republika" w:hAnsi="Republika"/>
              <w:sz w:val="60"/>
              <w:szCs w:val="60"/>
            </w:rPr>
          </w:pPr>
        </w:p>
        <w:p w14:paraId="290B2553" w14:textId="77777777" w:rsidR="00C420CA" w:rsidRPr="006D42D9" w:rsidRDefault="00C420CA" w:rsidP="00C420CA">
          <w:pPr>
            <w:rPr>
              <w:rFonts w:ascii="Republika" w:hAnsi="Republika"/>
              <w:sz w:val="60"/>
              <w:szCs w:val="60"/>
            </w:rPr>
          </w:pPr>
        </w:p>
        <w:p w14:paraId="2BA3A869" w14:textId="77777777" w:rsidR="00C420CA" w:rsidRPr="006D42D9" w:rsidRDefault="00C420CA" w:rsidP="00C420CA">
          <w:pPr>
            <w:rPr>
              <w:rFonts w:ascii="Republika" w:hAnsi="Republika"/>
              <w:sz w:val="60"/>
              <w:szCs w:val="60"/>
            </w:rPr>
          </w:pPr>
        </w:p>
        <w:p w14:paraId="40809405" w14:textId="77777777" w:rsidR="00C420CA" w:rsidRPr="006D42D9" w:rsidRDefault="00C420CA" w:rsidP="00C420CA">
          <w:pPr>
            <w:rPr>
              <w:rFonts w:ascii="Republika" w:hAnsi="Republika"/>
              <w:sz w:val="60"/>
              <w:szCs w:val="60"/>
            </w:rPr>
          </w:pPr>
        </w:p>
        <w:p w14:paraId="1FBB4F6C" w14:textId="77777777" w:rsidR="00C420CA" w:rsidRPr="006D42D9" w:rsidRDefault="00C420CA" w:rsidP="00C420CA">
          <w:pPr>
            <w:rPr>
              <w:rFonts w:ascii="Republika" w:hAnsi="Republika"/>
              <w:sz w:val="60"/>
              <w:szCs w:val="60"/>
            </w:rPr>
          </w:pPr>
        </w:p>
        <w:p w14:paraId="6FE2A046" w14:textId="77777777" w:rsidR="00C420CA" w:rsidRPr="006D42D9" w:rsidRDefault="00C420CA" w:rsidP="00C420CA">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C420CA" w:rsidRPr="008F3500" w14:paraId="489D649E" w14:textId="77777777" w:rsidTr="008D0D3C">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74D5C96E" w14:textId="77777777" w:rsidR="00C420CA" w:rsidRPr="006D42D9" w:rsidRDefault="00C420CA" w:rsidP="00C420CA">
          <w:pPr>
            <w:rPr>
              <w:rFonts w:ascii="Republika" w:hAnsi="Republika"/>
              <w:sz w:val="60"/>
              <w:szCs w:val="60"/>
            </w:rPr>
          </w:pPr>
        </w:p>
      </w:tc>
    </w:tr>
  </w:tbl>
  <w:p w14:paraId="5929CB5A" w14:textId="77777777" w:rsidR="00C420CA" w:rsidRPr="008F3500" w:rsidRDefault="00C420CA" w:rsidP="00C420CA">
    <w:pPr>
      <w:autoSpaceDE w:val="0"/>
      <w:autoSpaceDN w:val="0"/>
      <w:adjustRightInd w:val="0"/>
      <w:spacing w:line="240" w:lineRule="auto"/>
      <w:rPr>
        <w:rFonts w:ascii="Republika" w:hAnsi="Republika"/>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4E1444AC" wp14:editId="7A9B688D">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E8265"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336B2040" w14:textId="77777777" w:rsidR="00C420CA" w:rsidRPr="00C420CA" w:rsidRDefault="00C420CA" w:rsidP="00C420CA">
    <w:pPr>
      <w:pStyle w:val="Glava"/>
      <w:tabs>
        <w:tab w:val="clear" w:pos="4320"/>
        <w:tab w:val="clear" w:pos="8640"/>
        <w:tab w:val="left" w:pos="5112"/>
      </w:tabs>
      <w:spacing w:after="120" w:line="240" w:lineRule="exact"/>
      <w:rPr>
        <w:rFonts w:ascii="Republika" w:hAnsi="Republika"/>
        <w:b/>
        <w:caps/>
        <w:lang w:val="it-IT"/>
      </w:rPr>
    </w:pPr>
    <w:r w:rsidRPr="00C420CA">
      <w:rPr>
        <w:rFonts w:ascii="Republika" w:hAnsi="Republika"/>
        <w:b/>
        <w:caps/>
        <w:lang w:val="it-IT"/>
      </w:rPr>
      <w:t>MinIstrstvo za gospodarstvo, turizem in šport</w:t>
    </w:r>
  </w:p>
  <w:p w14:paraId="2FC107F3" w14:textId="7192F47F" w:rsidR="00C420CA" w:rsidRPr="00C420CA" w:rsidRDefault="00C420CA" w:rsidP="00C420CA">
    <w:pPr>
      <w:pStyle w:val="Glava"/>
      <w:tabs>
        <w:tab w:val="clear" w:pos="4320"/>
        <w:tab w:val="clear" w:pos="8640"/>
        <w:tab w:val="left" w:pos="5112"/>
      </w:tabs>
      <w:spacing w:before="240" w:line="240" w:lineRule="exact"/>
      <w:rPr>
        <w:rFonts w:cs="Arial"/>
        <w:sz w:val="16"/>
        <w:lang w:val="it-IT"/>
      </w:rPr>
    </w:pPr>
    <w:proofErr w:type="spellStart"/>
    <w:r w:rsidRPr="00C420CA">
      <w:rPr>
        <w:rFonts w:cs="Arial"/>
        <w:sz w:val="16"/>
        <w:lang w:val="it-IT"/>
      </w:rPr>
      <w:t>Kotnikova</w:t>
    </w:r>
    <w:proofErr w:type="spellEnd"/>
    <w:r w:rsidRPr="00C420CA">
      <w:rPr>
        <w:rFonts w:cs="Arial"/>
        <w:sz w:val="16"/>
        <w:lang w:val="it-IT"/>
      </w:rPr>
      <w:t xml:space="preserve"> </w:t>
    </w:r>
    <w:proofErr w:type="spellStart"/>
    <w:r w:rsidRPr="00C420CA">
      <w:rPr>
        <w:rFonts w:cs="Arial"/>
        <w:sz w:val="16"/>
        <w:lang w:val="it-IT"/>
      </w:rPr>
      <w:t>ulica</w:t>
    </w:r>
    <w:proofErr w:type="spellEnd"/>
    <w:r w:rsidRPr="00C420CA">
      <w:rPr>
        <w:rFonts w:cs="Arial"/>
        <w:sz w:val="16"/>
        <w:lang w:val="it-IT"/>
      </w:rPr>
      <w:t xml:space="preserve"> 5, 1000 </w:t>
    </w:r>
    <w:proofErr w:type="spellStart"/>
    <w:r w:rsidRPr="00C420CA">
      <w:rPr>
        <w:rFonts w:cs="Arial"/>
        <w:sz w:val="16"/>
        <w:lang w:val="it-IT"/>
      </w:rPr>
      <w:t>Ljubljana</w:t>
    </w:r>
    <w:proofErr w:type="spellEnd"/>
    <w:r w:rsidRPr="00C420CA">
      <w:rPr>
        <w:rFonts w:cs="Arial"/>
        <w:sz w:val="16"/>
        <w:lang w:val="it-IT"/>
      </w:rPr>
      <w:tab/>
      <w:t>T: 01 400 3</w:t>
    </w:r>
    <w:r w:rsidR="00651A91">
      <w:rPr>
        <w:rFonts w:cs="Arial"/>
        <w:sz w:val="16"/>
        <w:lang w:val="it-IT"/>
      </w:rPr>
      <w:t>3</w:t>
    </w:r>
    <w:r w:rsidRPr="00C420CA">
      <w:rPr>
        <w:rFonts w:cs="Arial"/>
        <w:sz w:val="16"/>
        <w:lang w:val="it-IT"/>
      </w:rPr>
      <w:t xml:space="preserve"> </w:t>
    </w:r>
    <w:r w:rsidR="00651A91">
      <w:rPr>
        <w:rFonts w:cs="Arial"/>
        <w:sz w:val="16"/>
        <w:lang w:val="it-IT"/>
      </w:rPr>
      <w:t>11</w:t>
    </w:r>
  </w:p>
  <w:p w14:paraId="1B5AC0CF" w14:textId="77777777" w:rsidR="00C420CA" w:rsidRPr="00C420CA" w:rsidRDefault="00C420CA" w:rsidP="00C420CA">
    <w:pPr>
      <w:pStyle w:val="Glava"/>
      <w:tabs>
        <w:tab w:val="clear" w:pos="4320"/>
        <w:tab w:val="clear" w:pos="8640"/>
        <w:tab w:val="left" w:pos="5112"/>
      </w:tabs>
      <w:spacing w:line="240" w:lineRule="exact"/>
      <w:rPr>
        <w:rFonts w:cs="Arial"/>
        <w:sz w:val="16"/>
        <w:lang w:val="it-IT"/>
      </w:rPr>
    </w:pPr>
    <w:r w:rsidRPr="00C420CA">
      <w:rPr>
        <w:rFonts w:cs="Arial"/>
        <w:sz w:val="16"/>
        <w:lang w:val="it-IT"/>
      </w:rPr>
      <w:tab/>
      <w:t>E: gp.mgts@gov.si</w:t>
    </w:r>
  </w:p>
  <w:p w14:paraId="03A37C47" w14:textId="77777777" w:rsidR="00C420CA" w:rsidRPr="008F3500" w:rsidRDefault="00C420CA" w:rsidP="00C420CA">
    <w:pPr>
      <w:pStyle w:val="Glava"/>
      <w:tabs>
        <w:tab w:val="clear" w:pos="4320"/>
        <w:tab w:val="clear" w:pos="8640"/>
        <w:tab w:val="left" w:pos="5112"/>
      </w:tabs>
      <w:spacing w:line="240" w:lineRule="exact"/>
      <w:rPr>
        <w:rFonts w:cs="Arial"/>
        <w:sz w:val="16"/>
      </w:rPr>
    </w:pPr>
    <w:r w:rsidRPr="00C420CA">
      <w:rPr>
        <w:rFonts w:cs="Arial"/>
        <w:sz w:val="16"/>
        <w:lang w:val="it-IT"/>
      </w:rPr>
      <w:tab/>
    </w:r>
    <w:r>
      <w:rPr>
        <w:rFonts w:cs="Arial"/>
        <w:sz w:val="16"/>
      </w:rPr>
      <w:t>www.mgts.gov.si</w:t>
    </w:r>
  </w:p>
  <w:p w14:paraId="31E35050" w14:textId="77777777" w:rsidR="00C420CA" w:rsidRPr="008F3500" w:rsidRDefault="00C420CA" w:rsidP="00C420CA">
    <w:pPr>
      <w:pStyle w:val="Glava"/>
      <w:tabs>
        <w:tab w:val="clear" w:pos="4320"/>
        <w:tab w:val="clear" w:pos="8640"/>
        <w:tab w:val="left" w:pos="5112"/>
      </w:tabs>
    </w:pPr>
  </w:p>
  <w:p w14:paraId="788CE074" w14:textId="77777777" w:rsidR="003930CF" w:rsidRPr="00C420CA" w:rsidRDefault="003930CF" w:rsidP="00C420C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45782C"/>
    <w:multiLevelType w:val="hybridMultilevel"/>
    <w:tmpl w:val="266C7464"/>
    <w:lvl w:ilvl="0" w:tplc="9E1E5F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B3E2A55"/>
    <w:multiLevelType w:val="hybridMultilevel"/>
    <w:tmpl w:val="4E022016"/>
    <w:lvl w:ilvl="0" w:tplc="0424000F">
      <w:start w:val="1"/>
      <w:numFmt w:val="decimal"/>
      <w:lvlText w:val="%1."/>
      <w:lvlJc w:val="left"/>
      <w:pPr>
        <w:ind w:left="720" w:hanging="360"/>
      </w:pPr>
    </w:lvl>
    <w:lvl w:ilvl="1" w:tplc="04240019">
      <w:start w:val="1"/>
      <w:numFmt w:val="lowerLetter"/>
      <w:lvlText w:val="%2."/>
      <w:lvlJc w:val="left"/>
      <w:pPr>
        <w:ind w:left="1494"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3980D75"/>
    <w:multiLevelType w:val="hybridMultilevel"/>
    <w:tmpl w:val="E63E875A"/>
    <w:lvl w:ilvl="0" w:tplc="9E1E5F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0862129"/>
    <w:multiLevelType w:val="hybridMultilevel"/>
    <w:tmpl w:val="EAD8023E"/>
    <w:lvl w:ilvl="0" w:tplc="93A476BE">
      <w:start w:val="1"/>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8C5565A"/>
    <w:multiLevelType w:val="hybridMultilevel"/>
    <w:tmpl w:val="25C204F2"/>
    <w:lvl w:ilvl="0" w:tplc="DDA0F0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6B74859"/>
    <w:multiLevelType w:val="hybridMultilevel"/>
    <w:tmpl w:val="4970ABAE"/>
    <w:lvl w:ilvl="0" w:tplc="F5A08798">
      <w:start w:val="1"/>
      <w:numFmt w:val="decimal"/>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12" w15:restartNumberingAfterBreak="0">
    <w:nsid w:val="69BE6677"/>
    <w:multiLevelType w:val="hybridMultilevel"/>
    <w:tmpl w:val="156C3AC2"/>
    <w:lvl w:ilvl="0" w:tplc="9E1E5FF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5773862">
    <w:abstractNumId w:val="10"/>
  </w:num>
  <w:num w:numId="2" w16cid:durableId="1341469932">
    <w:abstractNumId w:val="5"/>
  </w:num>
  <w:num w:numId="3" w16cid:durableId="1251889585">
    <w:abstractNumId w:val="8"/>
  </w:num>
  <w:num w:numId="4" w16cid:durableId="1630818271">
    <w:abstractNumId w:val="1"/>
  </w:num>
  <w:num w:numId="5" w16cid:durableId="1999962880">
    <w:abstractNumId w:val="2"/>
  </w:num>
  <w:num w:numId="6" w16cid:durableId="1376614890">
    <w:abstractNumId w:val="0"/>
  </w:num>
  <w:num w:numId="7" w16cid:durableId="1926450193">
    <w:abstractNumId w:val="11"/>
  </w:num>
  <w:num w:numId="8" w16cid:durableId="1728647363">
    <w:abstractNumId w:val="4"/>
  </w:num>
  <w:num w:numId="9" w16cid:durableId="1819614594">
    <w:abstractNumId w:val="7"/>
  </w:num>
  <w:num w:numId="10" w16cid:durableId="721947893">
    <w:abstractNumId w:val="6"/>
  </w:num>
  <w:num w:numId="11" w16cid:durableId="765031363">
    <w:abstractNumId w:val="9"/>
  </w:num>
  <w:num w:numId="12" w16cid:durableId="872620614">
    <w:abstractNumId w:val="12"/>
  </w:num>
  <w:num w:numId="13" w16cid:durableId="475227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0F3"/>
    <w:rsid w:val="000206E6"/>
    <w:rsid w:val="00023A88"/>
    <w:rsid w:val="0002432C"/>
    <w:rsid w:val="0002450D"/>
    <w:rsid w:val="00025123"/>
    <w:rsid w:val="000403AD"/>
    <w:rsid w:val="00051D87"/>
    <w:rsid w:val="00056E32"/>
    <w:rsid w:val="00060F71"/>
    <w:rsid w:val="00070606"/>
    <w:rsid w:val="000950F3"/>
    <w:rsid w:val="000A1194"/>
    <w:rsid w:val="000A7238"/>
    <w:rsid w:val="000C222C"/>
    <w:rsid w:val="000D3B14"/>
    <w:rsid w:val="000D4CA6"/>
    <w:rsid w:val="000E709F"/>
    <w:rsid w:val="000F5230"/>
    <w:rsid w:val="000F5D23"/>
    <w:rsid w:val="001030C3"/>
    <w:rsid w:val="001060E1"/>
    <w:rsid w:val="00116869"/>
    <w:rsid w:val="00117B4F"/>
    <w:rsid w:val="00117ED0"/>
    <w:rsid w:val="0012359E"/>
    <w:rsid w:val="001250D7"/>
    <w:rsid w:val="00126A7A"/>
    <w:rsid w:val="001272B0"/>
    <w:rsid w:val="0013064F"/>
    <w:rsid w:val="00132958"/>
    <w:rsid w:val="00133AD3"/>
    <w:rsid w:val="00134458"/>
    <w:rsid w:val="001357B2"/>
    <w:rsid w:val="00136869"/>
    <w:rsid w:val="001368CD"/>
    <w:rsid w:val="00144457"/>
    <w:rsid w:val="001557F3"/>
    <w:rsid w:val="00157CB6"/>
    <w:rsid w:val="0016447C"/>
    <w:rsid w:val="00172E2D"/>
    <w:rsid w:val="001828B9"/>
    <w:rsid w:val="00185518"/>
    <w:rsid w:val="00190968"/>
    <w:rsid w:val="00195EEC"/>
    <w:rsid w:val="00197C4B"/>
    <w:rsid w:val="001A623B"/>
    <w:rsid w:val="001B3E6F"/>
    <w:rsid w:val="001B585F"/>
    <w:rsid w:val="001B7A74"/>
    <w:rsid w:val="001C2805"/>
    <w:rsid w:val="001C46FE"/>
    <w:rsid w:val="001D2A59"/>
    <w:rsid w:val="001D3F3A"/>
    <w:rsid w:val="001E26CA"/>
    <w:rsid w:val="001E5429"/>
    <w:rsid w:val="00202A77"/>
    <w:rsid w:val="00210C10"/>
    <w:rsid w:val="002138B1"/>
    <w:rsid w:val="00223425"/>
    <w:rsid w:val="00230964"/>
    <w:rsid w:val="00232431"/>
    <w:rsid w:val="00233713"/>
    <w:rsid w:val="002355B1"/>
    <w:rsid w:val="0023673B"/>
    <w:rsid w:val="00237F2F"/>
    <w:rsid w:val="00241473"/>
    <w:rsid w:val="0024502D"/>
    <w:rsid w:val="002653E1"/>
    <w:rsid w:val="00267990"/>
    <w:rsid w:val="00271CE5"/>
    <w:rsid w:val="002720E9"/>
    <w:rsid w:val="00277822"/>
    <w:rsid w:val="00282020"/>
    <w:rsid w:val="00293B26"/>
    <w:rsid w:val="002964B6"/>
    <w:rsid w:val="002A2388"/>
    <w:rsid w:val="002A330C"/>
    <w:rsid w:val="002A51B0"/>
    <w:rsid w:val="002B5A3B"/>
    <w:rsid w:val="002C3F62"/>
    <w:rsid w:val="002C562C"/>
    <w:rsid w:val="002D77B5"/>
    <w:rsid w:val="002E3B56"/>
    <w:rsid w:val="00303C3A"/>
    <w:rsid w:val="003060EF"/>
    <w:rsid w:val="003066F0"/>
    <w:rsid w:val="003155E8"/>
    <w:rsid w:val="00315E7C"/>
    <w:rsid w:val="00321A14"/>
    <w:rsid w:val="003326A6"/>
    <w:rsid w:val="003349F0"/>
    <w:rsid w:val="0034102C"/>
    <w:rsid w:val="003476CF"/>
    <w:rsid w:val="00351803"/>
    <w:rsid w:val="00356D00"/>
    <w:rsid w:val="003636BF"/>
    <w:rsid w:val="00365471"/>
    <w:rsid w:val="0037204B"/>
    <w:rsid w:val="0037479F"/>
    <w:rsid w:val="00375694"/>
    <w:rsid w:val="003845B4"/>
    <w:rsid w:val="00387B1A"/>
    <w:rsid w:val="003930CF"/>
    <w:rsid w:val="00395A5E"/>
    <w:rsid w:val="003B03A8"/>
    <w:rsid w:val="003B1584"/>
    <w:rsid w:val="003B30B8"/>
    <w:rsid w:val="003B553E"/>
    <w:rsid w:val="003B6E9A"/>
    <w:rsid w:val="003C44E3"/>
    <w:rsid w:val="003C47D0"/>
    <w:rsid w:val="003D4084"/>
    <w:rsid w:val="003E1C74"/>
    <w:rsid w:val="003E2D50"/>
    <w:rsid w:val="003F632A"/>
    <w:rsid w:val="00401E50"/>
    <w:rsid w:val="004027A5"/>
    <w:rsid w:val="004100F3"/>
    <w:rsid w:val="00416AF4"/>
    <w:rsid w:val="00416CD1"/>
    <w:rsid w:val="0041788C"/>
    <w:rsid w:val="00421849"/>
    <w:rsid w:val="0044315D"/>
    <w:rsid w:val="004564A4"/>
    <w:rsid w:val="00466B5E"/>
    <w:rsid w:val="00467958"/>
    <w:rsid w:val="004707C2"/>
    <w:rsid w:val="0047203D"/>
    <w:rsid w:val="00472D82"/>
    <w:rsid w:val="00476606"/>
    <w:rsid w:val="00480CD5"/>
    <w:rsid w:val="004905D3"/>
    <w:rsid w:val="00492F91"/>
    <w:rsid w:val="00495068"/>
    <w:rsid w:val="00495C03"/>
    <w:rsid w:val="00496B49"/>
    <w:rsid w:val="004A1219"/>
    <w:rsid w:val="004A12CB"/>
    <w:rsid w:val="004B0A72"/>
    <w:rsid w:val="004B3277"/>
    <w:rsid w:val="004C13B3"/>
    <w:rsid w:val="004C5495"/>
    <w:rsid w:val="004C59C9"/>
    <w:rsid w:val="004D6DF4"/>
    <w:rsid w:val="004E70BE"/>
    <w:rsid w:val="004F08DC"/>
    <w:rsid w:val="004F14E5"/>
    <w:rsid w:val="004F2B14"/>
    <w:rsid w:val="004F37C1"/>
    <w:rsid w:val="00505605"/>
    <w:rsid w:val="00506E79"/>
    <w:rsid w:val="0051444F"/>
    <w:rsid w:val="005253B8"/>
    <w:rsid w:val="00525BF6"/>
    <w:rsid w:val="00526246"/>
    <w:rsid w:val="0053799B"/>
    <w:rsid w:val="00544C35"/>
    <w:rsid w:val="00557F78"/>
    <w:rsid w:val="005645FB"/>
    <w:rsid w:val="00567106"/>
    <w:rsid w:val="0057099A"/>
    <w:rsid w:val="00572B50"/>
    <w:rsid w:val="00575B04"/>
    <w:rsid w:val="00577577"/>
    <w:rsid w:val="00584593"/>
    <w:rsid w:val="0058528D"/>
    <w:rsid w:val="0059365B"/>
    <w:rsid w:val="005A24BB"/>
    <w:rsid w:val="005A45B4"/>
    <w:rsid w:val="005C70D4"/>
    <w:rsid w:val="005D1A87"/>
    <w:rsid w:val="005D4573"/>
    <w:rsid w:val="005D5B68"/>
    <w:rsid w:val="005D6CDB"/>
    <w:rsid w:val="005E1D3C"/>
    <w:rsid w:val="005E2BA6"/>
    <w:rsid w:val="005E5B02"/>
    <w:rsid w:val="005E7C5E"/>
    <w:rsid w:val="00602389"/>
    <w:rsid w:val="00611371"/>
    <w:rsid w:val="006165C9"/>
    <w:rsid w:val="00626108"/>
    <w:rsid w:val="00632253"/>
    <w:rsid w:val="006342B3"/>
    <w:rsid w:val="00635319"/>
    <w:rsid w:val="006420CE"/>
    <w:rsid w:val="00642714"/>
    <w:rsid w:val="006455CE"/>
    <w:rsid w:val="0064587C"/>
    <w:rsid w:val="00651A91"/>
    <w:rsid w:val="00662DF0"/>
    <w:rsid w:val="0066582B"/>
    <w:rsid w:val="0067343C"/>
    <w:rsid w:val="00676C54"/>
    <w:rsid w:val="0068641F"/>
    <w:rsid w:val="0068649E"/>
    <w:rsid w:val="00686CDA"/>
    <w:rsid w:val="006901B4"/>
    <w:rsid w:val="006903C7"/>
    <w:rsid w:val="00690AB2"/>
    <w:rsid w:val="006913AA"/>
    <w:rsid w:val="006A4015"/>
    <w:rsid w:val="006A4C21"/>
    <w:rsid w:val="006C2EB9"/>
    <w:rsid w:val="006D42D9"/>
    <w:rsid w:val="006E2BE3"/>
    <w:rsid w:val="006F24A3"/>
    <w:rsid w:val="006F435D"/>
    <w:rsid w:val="006F79CB"/>
    <w:rsid w:val="00707A89"/>
    <w:rsid w:val="00710000"/>
    <w:rsid w:val="0071689D"/>
    <w:rsid w:val="007170B2"/>
    <w:rsid w:val="007228F4"/>
    <w:rsid w:val="00724C8A"/>
    <w:rsid w:val="00726ACF"/>
    <w:rsid w:val="00733017"/>
    <w:rsid w:val="007367C2"/>
    <w:rsid w:val="00741B22"/>
    <w:rsid w:val="007438F9"/>
    <w:rsid w:val="007459AB"/>
    <w:rsid w:val="00753F17"/>
    <w:rsid w:val="007606FA"/>
    <w:rsid w:val="00761866"/>
    <w:rsid w:val="00762455"/>
    <w:rsid w:val="00771846"/>
    <w:rsid w:val="00777476"/>
    <w:rsid w:val="00782A34"/>
    <w:rsid w:val="00782AAF"/>
    <w:rsid w:val="007831C0"/>
    <w:rsid w:val="00783310"/>
    <w:rsid w:val="00787054"/>
    <w:rsid w:val="00787D1D"/>
    <w:rsid w:val="00795A42"/>
    <w:rsid w:val="007A086D"/>
    <w:rsid w:val="007A130E"/>
    <w:rsid w:val="007A154B"/>
    <w:rsid w:val="007A3826"/>
    <w:rsid w:val="007A4A6D"/>
    <w:rsid w:val="007A66D3"/>
    <w:rsid w:val="007B395E"/>
    <w:rsid w:val="007D1BCF"/>
    <w:rsid w:val="007D4487"/>
    <w:rsid w:val="007D75CF"/>
    <w:rsid w:val="007E6DC5"/>
    <w:rsid w:val="007F4E83"/>
    <w:rsid w:val="007F5C17"/>
    <w:rsid w:val="007F6052"/>
    <w:rsid w:val="00805500"/>
    <w:rsid w:val="00805796"/>
    <w:rsid w:val="008122EA"/>
    <w:rsid w:val="00812F03"/>
    <w:rsid w:val="0081657C"/>
    <w:rsid w:val="0082331D"/>
    <w:rsid w:val="00826630"/>
    <w:rsid w:val="00830FC2"/>
    <w:rsid w:val="008445BA"/>
    <w:rsid w:val="008515C8"/>
    <w:rsid w:val="00872333"/>
    <w:rsid w:val="008746B4"/>
    <w:rsid w:val="0088043C"/>
    <w:rsid w:val="00887B72"/>
    <w:rsid w:val="008906C9"/>
    <w:rsid w:val="008A4AC7"/>
    <w:rsid w:val="008A6768"/>
    <w:rsid w:val="008C5738"/>
    <w:rsid w:val="008D04F0"/>
    <w:rsid w:val="008D0905"/>
    <w:rsid w:val="008D3AF3"/>
    <w:rsid w:val="008D6E3C"/>
    <w:rsid w:val="008D7EC1"/>
    <w:rsid w:val="008E5290"/>
    <w:rsid w:val="008E68BD"/>
    <w:rsid w:val="008E6B63"/>
    <w:rsid w:val="008F3500"/>
    <w:rsid w:val="008F468C"/>
    <w:rsid w:val="009032F6"/>
    <w:rsid w:val="00907BCE"/>
    <w:rsid w:val="00910934"/>
    <w:rsid w:val="009121D3"/>
    <w:rsid w:val="009150C3"/>
    <w:rsid w:val="0091755B"/>
    <w:rsid w:val="00924E3C"/>
    <w:rsid w:val="00941522"/>
    <w:rsid w:val="00942A83"/>
    <w:rsid w:val="00944AD9"/>
    <w:rsid w:val="009612BB"/>
    <w:rsid w:val="0096136A"/>
    <w:rsid w:val="00970814"/>
    <w:rsid w:val="00974474"/>
    <w:rsid w:val="009754FD"/>
    <w:rsid w:val="00991F9C"/>
    <w:rsid w:val="009A174D"/>
    <w:rsid w:val="009B360A"/>
    <w:rsid w:val="009C00D5"/>
    <w:rsid w:val="009C147F"/>
    <w:rsid w:val="009E0502"/>
    <w:rsid w:val="009E1442"/>
    <w:rsid w:val="009E6978"/>
    <w:rsid w:val="009F093A"/>
    <w:rsid w:val="009F1A6F"/>
    <w:rsid w:val="009F3270"/>
    <w:rsid w:val="009F361A"/>
    <w:rsid w:val="009F499C"/>
    <w:rsid w:val="009F7CA1"/>
    <w:rsid w:val="00A01328"/>
    <w:rsid w:val="00A02B64"/>
    <w:rsid w:val="00A04758"/>
    <w:rsid w:val="00A125C5"/>
    <w:rsid w:val="00A13063"/>
    <w:rsid w:val="00A34F40"/>
    <w:rsid w:val="00A5039D"/>
    <w:rsid w:val="00A56743"/>
    <w:rsid w:val="00A65EE7"/>
    <w:rsid w:val="00A70133"/>
    <w:rsid w:val="00A70237"/>
    <w:rsid w:val="00A81E37"/>
    <w:rsid w:val="00A846B8"/>
    <w:rsid w:val="00A868C7"/>
    <w:rsid w:val="00A90C03"/>
    <w:rsid w:val="00A92186"/>
    <w:rsid w:val="00A931C4"/>
    <w:rsid w:val="00A944FC"/>
    <w:rsid w:val="00AA028E"/>
    <w:rsid w:val="00AA57CE"/>
    <w:rsid w:val="00AB16AE"/>
    <w:rsid w:val="00AB193E"/>
    <w:rsid w:val="00AB5540"/>
    <w:rsid w:val="00AD1461"/>
    <w:rsid w:val="00AE7F0A"/>
    <w:rsid w:val="00B01AA3"/>
    <w:rsid w:val="00B020A4"/>
    <w:rsid w:val="00B02F82"/>
    <w:rsid w:val="00B106CF"/>
    <w:rsid w:val="00B10CAE"/>
    <w:rsid w:val="00B15587"/>
    <w:rsid w:val="00B17141"/>
    <w:rsid w:val="00B1759F"/>
    <w:rsid w:val="00B22CB1"/>
    <w:rsid w:val="00B31575"/>
    <w:rsid w:val="00B33E44"/>
    <w:rsid w:val="00B36673"/>
    <w:rsid w:val="00B4035D"/>
    <w:rsid w:val="00B6707D"/>
    <w:rsid w:val="00B84161"/>
    <w:rsid w:val="00B8547D"/>
    <w:rsid w:val="00B86808"/>
    <w:rsid w:val="00B94661"/>
    <w:rsid w:val="00BA28B2"/>
    <w:rsid w:val="00BB4B33"/>
    <w:rsid w:val="00BC30DC"/>
    <w:rsid w:val="00BC7AFE"/>
    <w:rsid w:val="00BD2210"/>
    <w:rsid w:val="00BE1D74"/>
    <w:rsid w:val="00BE2B2B"/>
    <w:rsid w:val="00BE4DB7"/>
    <w:rsid w:val="00BF3E0C"/>
    <w:rsid w:val="00BF685B"/>
    <w:rsid w:val="00C0133D"/>
    <w:rsid w:val="00C16019"/>
    <w:rsid w:val="00C164CD"/>
    <w:rsid w:val="00C207AF"/>
    <w:rsid w:val="00C22289"/>
    <w:rsid w:val="00C250D5"/>
    <w:rsid w:val="00C41C85"/>
    <w:rsid w:val="00C420CA"/>
    <w:rsid w:val="00C52207"/>
    <w:rsid w:val="00C62B9D"/>
    <w:rsid w:val="00C90FA3"/>
    <w:rsid w:val="00C91606"/>
    <w:rsid w:val="00C926C3"/>
    <w:rsid w:val="00C92898"/>
    <w:rsid w:val="00C96F3B"/>
    <w:rsid w:val="00CA478D"/>
    <w:rsid w:val="00CA7158"/>
    <w:rsid w:val="00CB3454"/>
    <w:rsid w:val="00CB36A1"/>
    <w:rsid w:val="00CB6EBA"/>
    <w:rsid w:val="00CC16D2"/>
    <w:rsid w:val="00CC220D"/>
    <w:rsid w:val="00CE11C8"/>
    <w:rsid w:val="00CE6A11"/>
    <w:rsid w:val="00CE7514"/>
    <w:rsid w:val="00CE7C7B"/>
    <w:rsid w:val="00CF06E8"/>
    <w:rsid w:val="00CF4BF1"/>
    <w:rsid w:val="00CF74A5"/>
    <w:rsid w:val="00D00112"/>
    <w:rsid w:val="00D0066A"/>
    <w:rsid w:val="00D0351A"/>
    <w:rsid w:val="00D20573"/>
    <w:rsid w:val="00D248DE"/>
    <w:rsid w:val="00D25ED8"/>
    <w:rsid w:val="00D41329"/>
    <w:rsid w:val="00D4657A"/>
    <w:rsid w:val="00D51C7B"/>
    <w:rsid w:val="00D550B7"/>
    <w:rsid w:val="00D57D54"/>
    <w:rsid w:val="00D6496C"/>
    <w:rsid w:val="00D777BA"/>
    <w:rsid w:val="00D81804"/>
    <w:rsid w:val="00D8542D"/>
    <w:rsid w:val="00D90002"/>
    <w:rsid w:val="00DA508E"/>
    <w:rsid w:val="00DB0351"/>
    <w:rsid w:val="00DC2674"/>
    <w:rsid w:val="00DC2E75"/>
    <w:rsid w:val="00DC35EB"/>
    <w:rsid w:val="00DC6A71"/>
    <w:rsid w:val="00DE08DB"/>
    <w:rsid w:val="00DE5022"/>
    <w:rsid w:val="00DE592B"/>
    <w:rsid w:val="00DE5B46"/>
    <w:rsid w:val="00DE7016"/>
    <w:rsid w:val="00DF4F28"/>
    <w:rsid w:val="00DF778F"/>
    <w:rsid w:val="00E0357D"/>
    <w:rsid w:val="00E07B09"/>
    <w:rsid w:val="00E117BF"/>
    <w:rsid w:val="00E173AD"/>
    <w:rsid w:val="00E20622"/>
    <w:rsid w:val="00E21170"/>
    <w:rsid w:val="00E24EC2"/>
    <w:rsid w:val="00E30F5D"/>
    <w:rsid w:val="00E40B15"/>
    <w:rsid w:val="00E46D32"/>
    <w:rsid w:val="00E60FA3"/>
    <w:rsid w:val="00E67666"/>
    <w:rsid w:val="00E7012B"/>
    <w:rsid w:val="00E7151C"/>
    <w:rsid w:val="00E7772F"/>
    <w:rsid w:val="00E81D35"/>
    <w:rsid w:val="00E9630F"/>
    <w:rsid w:val="00E97DFB"/>
    <w:rsid w:val="00EA6231"/>
    <w:rsid w:val="00EB0A6C"/>
    <w:rsid w:val="00EC477B"/>
    <w:rsid w:val="00EC6DF1"/>
    <w:rsid w:val="00ED1B76"/>
    <w:rsid w:val="00EE0C1B"/>
    <w:rsid w:val="00EE0D7F"/>
    <w:rsid w:val="00EE597C"/>
    <w:rsid w:val="00EF10D7"/>
    <w:rsid w:val="00EF2F99"/>
    <w:rsid w:val="00EF40CF"/>
    <w:rsid w:val="00EF4FB8"/>
    <w:rsid w:val="00F11A91"/>
    <w:rsid w:val="00F220A3"/>
    <w:rsid w:val="00F240BB"/>
    <w:rsid w:val="00F27B9D"/>
    <w:rsid w:val="00F35B2F"/>
    <w:rsid w:val="00F46724"/>
    <w:rsid w:val="00F51DBC"/>
    <w:rsid w:val="00F52775"/>
    <w:rsid w:val="00F57FED"/>
    <w:rsid w:val="00F61B9A"/>
    <w:rsid w:val="00F649D9"/>
    <w:rsid w:val="00F65AC7"/>
    <w:rsid w:val="00F672C0"/>
    <w:rsid w:val="00F713DA"/>
    <w:rsid w:val="00F9490D"/>
    <w:rsid w:val="00FA0D72"/>
    <w:rsid w:val="00FA6C85"/>
    <w:rsid w:val="00FC42CC"/>
    <w:rsid w:val="00FC798D"/>
    <w:rsid w:val="00FE2181"/>
    <w:rsid w:val="00FF038F"/>
    <w:rsid w:val="00FF1A3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E3BB786"/>
  <w15:docId w15:val="{156BC7C2-D9CE-4493-929C-B203B4F3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4100F3"/>
    <w:pPr>
      <w:keepNext/>
      <w:numPr>
        <w:ilvl w:val="1"/>
        <w:numId w:val="1"/>
      </w:numPr>
      <w:suppressAutoHyphens/>
      <w:spacing w:before="240" w:after="60" w:line="240" w:lineRule="auto"/>
      <w:outlineLvl w:val="1"/>
    </w:pPr>
    <w:rPr>
      <w:rFonts w:cs="Arial"/>
      <w:b/>
      <w:bCs/>
      <w:i/>
      <w:iCs/>
      <w:sz w:val="28"/>
      <w:szCs w:val="28"/>
      <w:lang w:val="sl-SI" w:eastAsia="ar-SA"/>
    </w:rPr>
  </w:style>
  <w:style w:type="paragraph" w:styleId="Naslov3">
    <w:name w:val="heading 3"/>
    <w:basedOn w:val="Navaden"/>
    <w:next w:val="Navaden"/>
    <w:link w:val="Naslov3Znak"/>
    <w:semiHidden/>
    <w:unhideWhenUsed/>
    <w:qFormat/>
    <w:rsid w:val="00B86808"/>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link w:val="Naslov2"/>
    <w:rsid w:val="004100F3"/>
    <w:rPr>
      <w:rFonts w:ascii="Arial" w:hAnsi="Arial" w:cs="Arial"/>
      <w:b/>
      <w:bCs/>
      <w:i/>
      <w:iCs/>
      <w:sz w:val="28"/>
      <w:szCs w:val="28"/>
      <w:lang w:eastAsia="ar-SA"/>
    </w:rPr>
  </w:style>
  <w:style w:type="paragraph" w:styleId="Telobesedila">
    <w:name w:val="Body Text"/>
    <w:basedOn w:val="Navaden"/>
    <w:link w:val="TelobesedilaZnak"/>
    <w:rsid w:val="004100F3"/>
    <w:pPr>
      <w:suppressAutoHyphens/>
      <w:spacing w:after="120" w:line="240" w:lineRule="auto"/>
    </w:pPr>
    <w:rPr>
      <w:rFonts w:ascii="Times New Roman" w:hAnsi="Times New Roman"/>
      <w:sz w:val="24"/>
      <w:lang w:val="sl-SI" w:eastAsia="ar-SA"/>
    </w:rPr>
  </w:style>
  <w:style w:type="character" w:customStyle="1" w:styleId="TelobesedilaZnak">
    <w:name w:val="Telo besedila Znak"/>
    <w:link w:val="Telobesedila"/>
    <w:rsid w:val="004100F3"/>
    <w:rPr>
      <w:sz w:val="24"/>
      <w:szCs w:val="24"/>
      <w:lang w:eastAsia="ar-SA"/>
    </w:rPr>
  </w:style>
  <w:style w:type="paragraph" w:customStyle="1" w:styleId="ZnakZnakZnakZnakZnak1Znak">
    <w:name w:val="Znak Znak Znak Znak Znak1 Znak"/>
    <w:basedOn w:val="Navaden"/>
    <w:rsid w:val="00C164CD"/>
    <w:pPr>
      <w:spacing w:after="160" w:line="240" w:lineRule="exact"/>
    </w:pPr>
    <w:rPr>
      <w:rFonts w:ascii="Tahoma" w:hAnsi="Tahoma"/>
      <w:szCs w:val="20"/>
    </w:rPr>
  </w:style>
  <w:style w:type="character" w:customStyle="1" w:styleId="GlavaZnak">
    <w:name w:val="Glava Znak"/>
    <w:link w:val="Glava"/>
    <w:rsid w:val="00762455"/>
    <w:rPr>
      <w:rFonts w:ascii="Arial" w:hAnsi="Arial"/>
      <w:szCs w:val="24"/>
      <w:lang w:val="en-US" w:eastAsia="en-US"/>
    </w:rPr>
  </w:style>
  <w:style w:type="paragraph" w:styleId="Besedilooblaka">
    <w:name w:val="Balloon Text"/>
    <w:basedOn w:val="Navaden"/>
    <w:link w:val="BesedilooblakaZnak"/>
    <w:rsid w:val="00DE08D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DE08DB"/>
    <w:rPr>
      <w:rFonts w:ascii="Tahoma" w:hAnsi="Tahoma" w:cs="Tahoma"/>
      <w:sz w:val="16"/>
      <w:szCs w:val="16"/>
      <w:lang w:val="en-US" w:eastAsia="en-US"/>
    </w:rPr>
  </w:style>
  <w:style w:type="character" w:styleId="Poudarek">
    <w:name w:val="Emphasis"/>
    <w:basedOn w:val="Privzetapisavaodstavka"/>
    <w:uiPriority w:val="20"/>
    <w:qFormat/>
    <w:rsid w:val="006F435D"/>
    <w:rPr>
      <w:i/>
      <w:iCs/>
    </w:rPr>
  </w:style>
  <w:style w:type="character" w:customStyle="1" w:styleId="NogaZnak">
    <w:name w:val="Noga Znak"/>
    <w:basedOn w:val="Privzetapisavaodstavka"/>
    <w:link w:val="Noga"/>
    <w:uiPriority w:val="99"/>
    <w:rsid w:val="00D57D54"/>
    <w:rPr>
      <w:rFonts w:ascii="Arial" w:hAnsi="Arial"/>
      <w:szCs w:val="24"/>
      <w:lang w:val="en-US" w:eastAsia="en-US"/>
    </w:rPr>
  </w:style>
  <w:style w:type="table" w:styleId="Navadnatabela4">
    <w:name w:val="Plain Table 4"/>
    <w:basedOn w:val="Navadnatabela"/>
    <w:uiPriority w:val="44"/>
    <w:rsid w:val="00C420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C420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slov3Znak">
    <w:name w:val="Naslov 3 Znak"/>
    <w:basedOn w:val="Privzetapisavaodstavka"/>
    <w:link w:val="Naslov3"/>
    <w:semiHidden/>
    <w:rsid w:val="00B86808"/>
    <w:rPr>
      <w:rFonts w:asciiTheme="majorHAnsi" w:eastAsiaTheme="majorEastAsia" w:hAnsiTheme="majorHAnsi" w:cstheme="majorBidi"/>
      <w:color w:val="243F60" w:themeColor="accent1" w:themeShade="7F"/>
      <w:sz w:val="24"/>
      <w:szCs w:val="24"/>
      <w:lang w:val="en-US" w:eastAsia="en-US"/>
    </w:rPr>
  </w:style>
  <w:style w:type="paragraph" w:styleId="Odstavekseznama">
    <w:name w:val="List Paragraph"/>
    <w:basedOn w:val="Navaden"/>
    <w:uiPriority w:val="34"/>
    <w:qFormat/>
    <w:rsid w:val="00B33E44"/>
    <w:pPr>
      <w:ind w:left="720"/>
      <w:contextualSpacing/>
    </w:pPr>
  </w:style>
  <w:style w:type="paragraph" w:styleId="Revizija">
    <w:name w:val="Revision"/>
    <w:hidden/>
    <w:uiPriority w:val="99"/>
    <w:semiHidden/>
    <w:rsid w:val="0067343C"/>
    <w:rPr>
      <w:rFonts w:ascii="Arial" w:hAnsi="Arial"/>
      <w:szCs w:val="24"/>
      <w:lang w:val="en-US" w:eastAsia="en-US"/>
    </w:rPr>
  </w:style>
  <w:style w:type="character" w:styleId="Pripombasklic">
    <w:name w:val="annotation reference"/>
    <w:basedOn w:val="Privzetapisavaodstavka"/>
    <w:semiHidden/>
    <w:unhideWhenUsed/>
    <w:rsid w:val="00F672C0"/>
    <w:rPr>
      <w:sz w:val="16"/>
      <w:szCs w:val="16"/>
    </w:rPr>
  </w:style>
  <w:style w:type="paragraph" w:styleId="Pripombabesedilo">
    <w:name w:val="annotation text"/>
    <w:basedOn w:val="Navaden"/>
    <w:link w:val="PripombabesediloZnak"/>
    <w:unhideWhenUsed/>
    <w:rsid w:val="00F672C0"/>
    <w:pPr>
      <w:spacing w:line="240" w:lineRule="auto"/>
    </w:pPr>
    <w:rPr>
      <w:szCs w:val="20"/>
    </w:rPr>
  </w:style>
  <w:style w:type="character" w:customStyle="1" w:styleId="PripombabesediloZnak">
    <w:name w:val="Pripomba – besedilo Znak"/>
    <w:basedOn w:val="Privzetapisavaodstavka"/>
    <w:link w:val="Pripombabesedilo"/>
    <w:rsid w:val="00F672C0"/>
    <w:rPr>
      <w:rFonts w:ascii="Arial" w:hAnsi="Arial"/>
      <w:lang w:val="en-US" w:eastAsia="en-US"/>
    </w:rPr>
  </w:style>
  <w:style w:type="paragraph" w:styleId="Zadevapripombe">
    <w:name w:val="annotation subject"/>
    <w:basedOn w:val="Pripombabesedilo"/>
    <w:next w:val="Pripombabesedilo"/>
    <w:link w:val="ZadevapripombeZnak"/>
    <w:semiHidden/>
    <w:unhideWhenUsed/>
    <w:rsid w:val="00F672C0"/>
    <w:rPr>
      <w:b/>
      <w:bCs/>
    </w:rPr>
  </w:style>
  <w:style w:type="character" w:customStyle="1" w:styleId="ZadevapripombeZnak">
    <w:name w:val="Zadeva pripombe Znak"/>
    <w:basedOn w:val="PripombabesediloZnak"/>
    <w:link w:val="Zadevapripombe"/>
    <w:semiHidden/>
    <w:rsid w:val="00F672C0"/>
    <w:rPr>
      <w:rFonts w:ascii="Arial" w:hAnsi="Arial"/>
      <w:b/>
      <w:bCs/>
      <w:lang w:val="en-US" w:eastAsia="en-US"/>
    </w:rPr>
  </w:style>
  <w:style w:type="paragraph" w:customStyle="1" w:styleId="oj-normal">
    <w:name w:val="oj-normal"/>
    <w:basedOn w:val="Navaden"/>
    <w:rsid w:val="002A51B0"/>
    <w:pPr>
      <w:spacing w:before="100" w:beforeAutospacing="1" w:after="100" w:afterAutospacing="1" w:line="240" w:lineRule="auto"/>
    </w:pPr>
    <w:rPr>
      <w:rFonts w:ascii="Times New Roman" w:hAnsi="Times New Roman"/>
      <w:sz w:val="24"/>
      <w:lang w:val="sl-SI" w:eastAsia="sl-SI"/>
    </w:rPr>
  </w:style>
  <w:style w:type="character" w:customStyle="1" w:styleId="oj-bold">
    <w:name w:val="oj-bold"/>
    <w:basedOn w:val="Privzetapisavaodstavka"/>
    <w:rsid w:val="002A51B0"/>
  </w:style>
  <w:style w:type="character" w:customStyle="1" w:styleId="oj-super">
    <w:name w:val="oj-super"/>
    <w:basedOn w:val="Privzetapisavaodstavka"/>
    <w:rsid w:val="002A51B0"/>
  </w:style>
  <w:style w:type="paragraph" w:customStyle="1" w:styleId="oj-ti-annotation">
    <w:name w:val="oj-ti-annotation"/>
    <w:basedOn w:val="Navaden"/>
    <w:rsid w:val="002A51B0"/>
    <w:pPr>
      <w:spacing w:before="100" w:beforeAutospacing="1" w:after="100" w:afterAutospacing="1" w:line="240" w:lineRule="auto"/>
    </w:pPr>
    <w:rPr>
      <w:rFonts w:ascii="Times New Roman" w:hAnsi="Times New Roman"/>
      <w:sz w:val="24"/>
      <w:lang w:val="sl-SI" w:eastAsia="sl-SI"/>
    </w:rPr>
  </w:style>
  <w:style w:type="character" w:customStyle="1" w:styleId="oj-italic">
    <w:name w:val="oj-italic"/>
    <w:basedOn w:val="Privzetapisavaodstavka"/>
    <w:rsid w:val="002A51B0"/>
  </w:style>
  <w:style w:type="character" w:customStyle="1" w:styleId="oj-underline">
    <w:name w:val="oj-underline"/>
    <w:basedOn w:val="Privzetapisavaodstavka"/>
    <w:rsid w:val="002A51B0"/>
  </w:style>
  <w:style w:type="character" w:styleId="Nerazreenaomemba">
    <w:name w:val="Unresolved Mention"/>
    <w:basedOn w:val="Privzetapisavaodstavka"/>
    <w:uiPriority w:val="99"/>
    <w:semiHidden/>
    <w:unhideWhenUsed/>
    <w:rsid w:val="00CE7C7B"/>
    <w:rPr>
      <w:color w:val="605E5C"/>
      <w:shd w:val="clear" w:color="auto" w:fill="E1DFDD"/>
    </w:rPr>
  </w:style>
  <w:style w:type="character" w:customStyle="1" w:styleId="cf01">
    <w:name w:val="cf01"/>
    <w:basedOn w:val="Privzetapisavaodstavka"/>
    <w:rsid w:val="004905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1858">
      <w:bodyDiv w:val="1"/>
      <w:marLeft w:val="0"/>
      <w:marRight w:val="0"/>
      <w:marTop w:val="0"/>
      <w:marBottom w:val="0"/>
      <w:divBdr>
        <w:top w:val="none" w:sz="0" w:space="0" w:color="auto"/>
        <w:left w:val="none" w:sz="0" w:space="0" w:color="auto"/>
        <w:bottom w:val="none" w:sz="0" w:space="0" w:color="auto"/>
        <w:right w:val="none" w:sz="0" w:space="0" w:color="auto"/>
      </w:divBdr>
    </w:div>
    <w:div w:id="118492798">
      <w:bodyDiv w:val="1"/>
      <w:marLeft w:val="0"/>
      <w:marRight w:val="0"/>
      <w:marTop w:val="0"/>
      <w:marBottom w:val="0"/>
      <w:divBdr>
        <w:top w:val="none" w:sz="0" w:space="0" w:color="auto"/>
        <w:left w:val="none" w:sz="0" w:space="0" w:color="auto"/>
        <w:bottom w:val="none" w:sz="0" w:space="0" w:color="auto"/>
        <w:right w:val="none" w:sz="0" w:space="0" w:color="auto"/>
      </w:divBdr>
    </w:div>
    <w:div w:id="166557191">
      <w:bodyDiv w:val="1"/>
      <w:marLeft w:val="0"/>
      <w:marRight w:val="0"/>
      <w:marTop w:val="0"/>
      <w:marBottom w:val="0"/>
      <w:divBdr>
        <w:top w:val="none" w:sz="0" w:space="0" w:color="auto"/>
        <w:left w:val="none" w:sz="0" w:space="0" w:color="auto"/>
        <w:bottom w:val="none" w:sz="0" w:space="0" w:color="auto"/>
        <w:right w:val="none" w:sz="0" w:space="0" w:color="auto"/>
      </w:divBdr>
    </w:div>
    <w:div w:id="334503386">
      <w:bodyDiv w:val="1"/>
      <w:marLeft w:val="0"/>
      <w:marRight w:val="0"/>
      <w:marTop w:val="0"/>
      <w:marBottom w:val="0"/>
      <w:divBdr>
        <w:top w:val="none" w:sz="0" w:space="0" w:color="auto"/>
        <w:left w:val="none" w:sz="0" w:space="0" w:color="auto"/>
        <w:bottom w:val="none" w:sz="0" w:space="0" w:color="auto"/>
        <w:right w:val="none" w:sz="0" w:space="0" w:color="auto"/>
      </w:divBdr>
    </w:div>
    <w:div w:id="604505614">
      <w:bodyDiv w:val="1"/>
      <w:marLeft w:val="0"/>
      <w:marRight w:val="0"/>
      <w:marTop w:val="0"/>
      <w:marBottom w:val="0"/>
      <w:divBdr>
        <w:top w:val="none" w:sz="0" w:space="0" w:color="auto"/>
        <w:left w:val="none" w:sz="0" w:space="0" w:color="auto"/>
        <w:bottom w:val="none" w:sz="0" w:space="0" w:color="auto"/>
        <w:right w:val="none" w:sz="0" w:space="0" w:color="auto"/>
      </w:divBdr>
      <w:divsChild>
        <w:div w:id="2069916460">
          <w:marLeft w:val="0"/>
          <w:marRight w:val="0"/>
          <w:marTop w:val="0"/>
          <w:marBottom w:val="0"/>
          <w:divBdr>
            <w:top w:val="none" w:sz="0" w:space="0" w:color="auto"/>
            <w:left w:val="none" w:sz="0" w:space="0" w:color="auto"/>
            <w:bottom w:val="none" w:sz="0" w:space="0" w:color="auto"/>
            <w:right w:val="none" w:sz="0" w:space="0" w:color="auto"/>
          </w:divBdr>
          <w:divsChild>
            <w:div w:id="130371286">
              <w:marLeft w:val="0"/>
              <w:marRight w:val="0"/>
              <w:marTop w:val="0"/>
              <w:marBottom w:val="0"/>
              <w:divBdr>
                <w:top w:val="none" w:sz="0" w:space="0" w:color="auto"/>
                <w:left w:val="none" w:sz="0" w:space="0" w:color="auto"/>
                <w:bottom w:val="single" w:sz="12" w:space="4" w:color="DEE2E6"/>
                <w:right w:val="none" w:sz="0" w:space="0" w:color="auto"/>
              </w:divBdr>
              <w:divsChild>
                <w:div w:id="7106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76815">
      <w:bodyDiv w:val="1"/>
      <w:marLeft w:val="0"/>
      <w:marRight w:val="0"/>
      <w:marTop w:val="0"/>
      <w:marBottom w:val="0"/>
      <w:divBdr>
        <w:top w:val="none" w:sz="0" w:space="0" w:color="auto"/>
        <w:left w:val="none" w:sz="0" w:space="0" w:color="auto"/>
        <w:bottom w:val="none" w:sz="0" w:space="0" w:color="auto"/>
        <w:right w:val="none" w:sz="0" w:space="0" w:color="auto"/>
      </w:divBdr>
    </w:div>
    <w:div w:id="1082876045">
      <w:bodyDiv w:val="1"/>
      <w:marLeft w:val="0"/>
      <w:marRight w:val="0"/>
      <w:marTop w:val="0"/>
      <w:marBottom w:val="0"/>
      <w:divBdr>
        <w:top w:val="none" w:sz="0" w:space="0" w:color="auto"/>
        <w:left w:val="none" w:sz="0" w:space="0" w:color="auto"/>
        <w:bottom w:val="none" w:sz="0" w:space="0" w:color="auto"/>
        <w:right w:val="none" w:sz="0" w:space="0" w:color="auto"/>
      </w:divBdr>
    </w:div>
    <w:div w:id="1114667941">
      <w:bodyDiv w:val="1"/>
      <w:marLeft w:val="0"/>
      <w:marRight w:val="0"/>
      <w:marTop w:val="0"/>
      <w:marBottom w:val="0"/>
      <w:divBdr>
        <w:top w:val="none" w:sz="0" w:space="0" w:color="auto"/>
        <w:left w:val="none" w:sz="0" w:space="0" w:color="auto"/>
        <w:bottom w:val="none" w:sz="0" w:space="0" w:color="auto"/>
        <w:right w:val="none" w:sz="0" w:space="0" w:color="auto"/>
      </w:divBdr>
    </w:div>
    <w:div w:id="1397243773">
      <w:bodyDiv w:val="1"/>
      <w:marLeft w:val="0"/>
      <w:marRight w:val="0"/>
      <w:marTop w:val="0"/>
      <w:marBottom w:val="0"/>
      <w:divBdr>
        <w:top w:val="none" w:sz="0" w:space="0" w:color="auto"/>
        <w:left w:val="none" w:sz="0" w:space="0" w:color="auto"/>
        <w:bottom w:val="none" w:sz="0" w:space="0" w:color="auto"/>
        <w:right w:val="none" w:sz="0" w:space="0" w:color="auto"/>
      </w:divBdr>
    </w:div>
    <w:div w:id="1450317946">
      <w:bodyDiv w:val="1"/>
      <w:marLeft w:val="0"/>
      <w:marRight w:val="0"/>
      <w:marTop w:val="0"/>
      <w:marBottom w:val="0"/>
      <w:divBdr>
        <w:top w:val="none" w:sz="0" w:space="0" w:color="auto"/>
        <w:left w:val="none" w:sz="0" w:space="0" w:color="auto"/>
        <w:bottom w:val="none" w:sz="0" w:space="0" w:color="auto"/>
        <w:right w:val="none" w:sz="0" w:space="0" w:color="auto"/>
      </w:divBdr>
    </w:div>
    <w:div w:id="152536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1A996-9197-476B-BBB5-F1ED29F5F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1583</Words>
  <Characters>9537</Characters>
  <Application>Microsoft Office Word</Application>
  <DocSecurity>0</DocSecurity>
  <Lines>220</Lines>
  <Paragraphs>119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11072</CharactersWithSpaces>
  <SharedDoc>false</SharedDoc>
  <HLinks>
    <vt:vector size="12" baseType="variant">
      <vt:variant>
        <vt:i4>3276833</vt:i4>
      </vt:variant>
      <vt:variant>
        <vt:i4>3</vt:i4>
      </vt:variant>
      <vt:variant>
        <vt:i4>0</vt:i4>
      </vt:variant>
      <vt:variant>
        <vt:i4>5</vt:i4>
      </vt:variant>
      <vt:variant>
        <vt:lpwstr>http://www.mgrt.gov.si/</vt:lpwstr>
      </vt:variant>
      <vt:variant>
        <vt:lpwstr/>
      </vt:variant>
      <vt:variant>
        <vt:i4>5898276</vt:i4>
      </vt:variant>
      <vt:variant>
        <vt:i4>0</vt:i4>
      </vt:variant>
      <vt:variant>
        <vt:i4>0</vt:i4>
      </vt:variant>
      <vt:variant>
        <vt:i4>5</vt:i4>
      </vt:variant>
      <vt:variant>
        <vt:lpwstr>mailto:gp.mgrt@gov.si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Anja Kelavić</dc:creator>
  <cp:lastModifiedBy>Carmen Kovač</cp:lastModifiedBy>
  <cp:revision>2</cp:revision>
  <cp:lastPrinted>2024-10-17T07:03:00Z</cp:lastPrinted>
  <dcterms:created xsi:type="dcterms:W3CDTF">2024-10-18T09:24:00Z</dcterms:created>
  <dcterms:modified xsi:type="dcterms:W3CDTF">2024-10-18T09:24:00Z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9d4d094720585f27e8bb01905812cccb0fc6e8c0bb5dfd4cda70868666c382fa</vt:lpwstr>
  </property>
</Properties>
</file>