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1B02" w14:textId="053E85AD" w:rsidR="00664FE4" w:rsidRPr="00C67C47" w:rsidRDefault="0039537D" w:rsidP="00664FE4">
      <w:pPr>
        <w:spacing w:after="0"/>
        <w:contextualSpacing/>
        <w:jc w:val="both"/>
        <w:rPr>
          <w:sz w:val="20"/>
          <w:szCs w:val="20"/>
        </w:rPr>
      </w:pPr>
      <w:r w:rsidRPr="00C67C47">
        <w:rPr>
          <w:sz w:val="20"/>
          <w:szCs w:val="20"/>
        </w:rPr>
        <w:t>Informacije za uvoznike</w:t>
      </w:r>
      <w:r w:rsidR="00664FE4" w:rsidRPr="00C67C47">
        <w:rPr>
          <w:sz w:val="20"/>
          <w:szCs w:val="20"/>
        </w:rPr>
        <w:t>:</w:t>
      </w:r>
    </w:p>
    <w:p w14:paraId="6F2EB9A5" w14:textId="77747101" w:rsidR="0039537D" w:rsidRPr="00C67C47" w:rsidRDefault="00664FE4" w:rsidP="00664FE4">
      <w:pPr>
        <w:spacing w:after="0"/>
        <w:contextualSpacing/>
        <w:jc w:val="both"/>
        <w:rPr>
          <w:b/>
          <w:bCs/>
          <w:sz w:val="20"/>
          <w:szCs w:val="20"/>
          <w:u w:val="single"/>
        </w:rPr>
      </w:pPr>
      <w:r w:rsidRPr="00C67C47">
        <w:rPr>
          <w:b/>
          <w:bCs/>
          <w:sz w:val="20"/>
          <w:szCs w:val="20"/>
        </w:rPr>
        <w:t xml:space="preserve">Prepoved uvoza ali nakupa izdelkov, predelanih v tretji državi, ki vključujejo surovine iz železa in jekla s poreklom iz Rusije - </w:t>
      </w:r>
      <w:r w:rsidR="0039537D" w:rsidRPr="00C67C47">
        <w:rPr>
          <w:b/>
          <w:bCs/>
          <w:sz w:val="20"/>
          <w:szCs w:val="20"/>
          <w:u w:val="single"/>
        </w:rPr>
        <w:t>Dokazovanje porekla blaga</w:t>
      </w:r>
    </w:p>
    <w:p w14:paraId="4920203C" w14:textId="77777777" w:rsidR="00664FE4" w:rsidRPr="00664FE4" w:rsidRDefault="00664FE4" w:rsidP="00664FE4">
      <w:pPr>
        <w:spacing w:after="0"/>
        <w:contextualSpacing/>
        <w:jc w:val="both"/>
        <w:rPr>
          <w:b/>
          <w:bCs/>
          <w:sz w:val="20"/>
          <w:szCs w:val="20"/>
        </w:rPr>
      </w:pPr>
    </w:p>
    <w:p w14:paraId="5459FDA7" w14:textId="77777777" w:rsidR="0039537D" w:rsidRDefault="0039537D" w:rsidP="00664FE4">
      <w:pPr>
        <w:spacing w:after="0"/>
        <w:contextualSpacing/>
        <w:jc w:val="both"/>
        <w:rPr>
          <w:sz w:val="20"/>
          <w:szCs w:val="20"/>
        </w:rPr>
      </w:pPr>
    </w:p>
    <w:p w14:paraId="6EBC73F5" w14:textId="77777777" w:rsidR="006C7D57" w:rsidRDefault="0039537D" w:rsidP="00664FE4">
      <w:pPr>
        <w:spacing w:after="0"/>
        <w:contextualSpacing/>
        <w:jc w:val="both"/>
        <w:rPr>
          <w:sz w:val="20"/>
          <w:szCs w:val="20"/>
        </w:rPr>
      </w:pPr>
      <w:r>
        <w:rPr>
          <w:sz w:val="20"/>
          <w:szCs w:val="20"/>
        </w:rPr>
        <w:t xml:space="preserve">Spremenjen člen 3g(d) Uredbe (EU) št. 833/2014 v zvezi z izdelki iz železa in jekla s seznama v </w:t>
      </w:r>
      <w:r w:rsidR="006C7D57">
        <w:rPr>
          <w:sz w:val="20"/>
          <w:szCs w:val="20"/>
        </w:rPr>
        <w:t>p</w:t>
      </w:r>
      <w:r>
        <w:rPr>
          <w:sz w:val="20"/>
          <w:szCs w:val="20"/>
        </w:rPr>
        <w:t xml:space="preserve">rilogi XVII navedene uredbe </w:t>
      </w:r>
      <w:r>
        <w:rPr>
          <w:sz w:val="20"/>
          <w:szCs w:val="20"/>
          <w:u w:val="single"/>
        </w:rPr>
        <w:t>prepoveduje uvoz ali nakup izdelkov, predelanih v tretji državi, ki vključujejo surovine iz železa in jekla s poreklom iz Rusije</w:t>
      </w:r>
      <w:r>
        <w:rPr>
          <w:sz w:val="20"/>
          <w:szCs w:val="20"/>
        </w:rPr>
        <w:t xml:space="preserve">. </w:t>
      </w:r>
    </w:p>
    <w:p w14:paraId="02FBAF40" w14:textId="77777777" w:rsidR="006C7D57" w:rsidRDefault="006C7D57" w:rsidP="00664FE4">
      <w:pPr>
        <w:spacing w:after="0"/>
        <w:contextualSpacing/>
        <w:jc w:val="both"/>
        <w:rPr>
          <w:sz w:val="20"/>
          <w:szCs w:val="20"/>
        </w:rPr>
      </w:pPr>
    </w:p>
    <w:p w14:paraId="545741FB" w14:textId="4EB963D5" w:rsidR="0039537D" w:rsidRDefault="0039537D" w:rsidP="00664FE4">
      <w:pPr>
        <w:spacing w:after="0"/>
        <w:contextualSpacing/>
        <w:jc w:val="both"/>
        <w:rPr>
          <w:sz w:val="20"/>
          <w:szCs w:val="20"/>
        </w:rPr>
      </w:pPr>
      <w:r>
        <w:rPr>
          <w:sz w:val="20"/>
          <w:szCs w:val="20"/>
        </w:rPr>
        <w:t xml:space="preserve">Za zagotovitev izvajanja prepovedi je v istem členu določena </w:t>
      </w:r>
      <w:r w:rsidRPr="006C7D57">
        <w:rPr>
          <w:b/>
          <w:bCs/>
          <w:sz w:val="20"/>
          <w:szCs w:val="20"/>
        </w:rPr>
        <w:t>obveznost uvoznika iz EU, da predloži dokazila</w:t>
      </w:r>
      <w:r>
        <w:rPr>
          <w:sz w:val="20"/>
          <w:szCs w:val="20"/>
        </w:rPr>
        <w:t xml:space="preserve"> o državi porekla vložkov iz železa in jekla, ki so se uporabili za predelavo izdelka v tretji državi, uvoženih v Unijo. Uredba v zvezi s predložitvijo dokazil o državi porekla ne predvideva nobene izjeme. Sprememba člena 3g navedene uredbe za določene izdelke iz priloge XVII stopi v veljavo </w:t>
      </w:r>
      <w:r w:rsidRPr="006C7D57">
        <w:rPr>
          <w:sz w:val="20"/>
          <w:szCs w:val="20"/>
        </w:rPr>
        <w:t>30. septembra 2023</w:t>
      </w:r>
      <w:r>
        <w:rPr>
          <w:sz w:val="20"/>
          <w:szCs w:val="20"/>
        </w:rPr>
        <w:t xml:space="preserve">, s premembo zadevne uredbe oziroma navedenega člena pa mora uvoznik ob uvozu izdelkov iz Priloge XVII Uredbe (EU) št. 833/2014 predložiti dokazila o državi porekla vložkov iz železa in jekla, ki so se uporabili za predelavo izdelka v tretji državi. </w:t>
      </w:r>
      <w:r>
        <w:rPr>
          <w:sz w:val="20"/>
          <w:szCs w:val="20"/>
          <w:u w:val="single"/>
        </w:rPr>
        <w:t>Gre za dokazovanje nepreferencialnega porekla blaga</w:t>
      </w:r>
      <w:r>
        <w:rPr>
          <w:sz w:val="20"/>
          <w:szCs w:val="20"/>
        </w:rPr>
        <w:t xml:space="preserve">. </w:t>
      </w:r>
    </w:p>
    <w:p w14:paraId="4E78B814" w14:textId="77777777" w:rsidR="006C7D57" w:rsidRDefault="006C7D57" w:rsidP="00664FE4">
      <w:pPr>
        <w:spacing w:after="0"/>
        <w:contextualSpacing/>
        <w:jc w:val="both"/>
        <w:rPr>
          <w:sz w:val="20"/>
          <w:szCs w:val="20"/>
        </w:rPr>
      </w:pPr>
    </w:p>
    <w:p w14:paraId="1D71F182" w14:textId="3F3A6A41" w:rsidR="0039537D" w:rsidRDefault="0039537D" w:rsidP="00664FE4">
      <w:pPr>
        <w:spacing w:after="0"/>
        <w:contextualSpacing/>
        <w:jc w:val="both"/>
        <w:rPr>
          <w:sz w:val="20"/>
          <w:szCs w:val="20"/>
        </w:rPr>
      </w:pPr>
      <w:r w:rsidRPr="006C7D57">
        <w:rPr>
          <w:b/>
          <w:bCs/>
          <w:sz w:val="20"/>
          <w:szCs w:val="20"/>
        </w:rPr>
        <w:t>Naslednji dokumenti se lahko štejejo za zadosten dokaz</w:t>
      </w:r>
      <w:r>
        <w:rPr>
          <w:sz w:val="20"/>
          <w:szCs w:val="20"/>
        </w:rPr>
        <w:t xml:space="preserve"> o državi porekla železa ali jekla, ki se uporablja kot vhodna snov:</w:t>
      </w:r>
    </w:p>
    <w:p w14:paraId="4B545FF0" w14:textId="519413B3" w:rsidR="0039537D" w:rsidRPr="00664FE4" w:rsidRDefault="0039537D" w:rsidP="006C7D57">
      <w:pPr>
        <w:numPr>
          <w:ilvl w:val="0"/>
          <w:numId w:val="4"/>
        </w:numPr>
        <w:spacing w:after="0" w:line="240" w:lineRule="auto"/>
        <w:ind w:left="426"/>
        <w:contextualSpacing/>
        <w:jc w:val="both"/>
        <w:rPr>
          <w:rFonts w:eastAsia="Times New Roman"/>
          <w:sz w:val="20"/>
          <w:szCs w:val="20"/>
        </w:rPr>
      </w:pPr>
      <w:r>
        <w:rPr>
          <w:rFonts w:eastAsia="Times New Roman"/>
          <w:sz w:val="20"/>
          <w:szCs w:val="20"/>
        </w:rPr>
        <w:t xml:space="preserve">V primeru polizdelkov: potrdilo </w:t>
      </w:r>
      <w:proofErr w:type="spellStart"/>
      <w:r>
        <w:rPr>
          <w:rFonts w:eastAsia="Times New Roman"/>
          <w:sz w:val="20"/>
          <w:szCs w:val="20"/>
        </w:rPr>
        <w:t>Mill</w:t>
      </w:r>
      <w:proofErr w:type="spellEnd"/>
      <w:r>
        <w:rPr>
          <w:rFonts w:eastAsia="Times New Roman"/>
          <w:sz w:val="20"/>
          <w:szCs w:val="20"/>
        </w:rPr>
        <w:t xml:space="preserve"> test </w:t>
      </w:r>
      <w:proofErr w:type="spellStart"/>
      <w:r>
        <w:rPr>
          <w:rFonts w:eastAsia="Times New Roman"/>
          <w:sz w:val="20"/>
          <w:szCs w:val="20"/>
        </w:rPr>
        <w:t>certificate</w:t>
      </w:r>
      <w:proofErr w:type="spellEnd"/>
      <w:r>
        <w:rPr>
          <w:rFonts w:eastAsia="Times New Roman"/>
          <w:sz w:val="20"/>
          <w:szCs w:val="20"/>
        </w:rPr>
        <w:t xml:space="preserve"> (v nadaljevanju »MTC«), ki določa ime obrata, v katerem poteka proizvodnja ter ime države, ki ustreza toplotni številki skupaj z uvrstitvijo izdelka na ravni tarifne podštevilke (šestmestna oznaka). </w:t>
      </w:r>
    </w:p>
    <w:p w14:paraId="7EF15F1D" w14:textId="77777777" w:rsidR="0039537D" w:rsidRDefault="0039537D" w:rsidP="006C7D57">
      <w:pPr>
        <w:numPr>
          <w:ilvl w:val="0"/>
          <w:numId w:val="4"/>
        </w:numPr>
        <w:spacing w:after="0" w:line="240" w:lineRule="auto"/>
        <w:ind w:left="426"/>
        <w:contextualSpacing/>
        <w:jc w:val="both"/>
        <w:rPr>
          <w:rFonts w:eastAsia="Times New Roman"/>
          <w:sz w:val="20"/>
          <w:szCs w:val="20"/>
        </w:rPr>
      </w:pPr>
      <w:r>
        <w:rPr>
          <w:rFonts w:eastAsia="Times New Roman"/>
          <w:sz w:val="20"/>
          <w:szCs w:val="20"/>
        </w:rPr>
        <w:t>V primeru končnih izdelkov: potrdilo MTC ali več potrdil MTC, če vseh informacij ni mogoče povzeti v enem samem MTC, ki določa/določajo ime obrata, v katerem poteka proizvodnja ter ime države, ki ustreza toplotni številki skupaj z uvrstitvijo izdelka na ravni tarifne podštevilke (šestmestna oznaka) + ime države in obrata, če je to ustrezno, kjer se izvajajo naslednji postopki obdelave: vroče valjanje, hladno valjanje, ustvarjanje kovinske prevleke z vročim potopom, ustvarjanje prevleke za elektrolitsko kovino, ustvarjanje organske prevleke, varjenje, prebadanje/iztiskanje, risanje/</w:t>
      </w:r>
      <w:proofErr w:type="spellStart"/>
      <w:r>
        <w:rPr>
          <w:rFonts w:eastAsia="Times New Roman"/>
          <w:sz w:val="20"/>
          <w:szCs w:val="20"/>
        </w:rPr>
        <w:t>pilgering</w:t>
      </w:r>
      <w:proofErr w:type="spellEnd"/>
      <w:r>
        <w:rPr>
          <w:rFonts w:eastAsia="Times New Roman"/>
          <w:sz w:val="20"/>
          <w:szCs w:val="20"/>
        </w:rPr>
        <w:t xml:space="preserve"> in ERW/SAW/HFI/lasersko varjenje.</w:t>
      </w:r>
    </w:p>
    <w:p w14:paraId="0CDACF14" w14:textId="77777777" w:rsidR="0039537D" w:rsidRPr="0039537D" w:rsidRDefault="0039537D" w:rsidP="00664FE4">
      <w:pPr>
        <w:spacing w:after="0"/>
        <w:contextualSpacing/>
        <w:jc w:val="both"/>
        <w:rPr>
          <w:rFonts w:eastAsia="Calibri"/>
          <w:sz w:val="20"/>
          <w:szCs w:val="20"/>
        </w:rPr>
      </w:pPr>
    </w:p>
    <w:p w14:paraId="5872757D" w14:textId="3A6AC74E" w:rsidR="0039537D" w:rsidRDefault="0039537D" w:rsidP="00664FE4">
      <w:pPr>
        <w:spacing w:after="0"/>
        <w:contextualSpacing/>
        <w:jc w:val="both"/>
        <w:rPr>
          <w:sz w:val="20"/>
          <w:szCs w:val="20"/>
        </w:rPr>
      </w:pPr>
      <w:r>
        <w:rPr>
          <w:sz w:val="20"/>
          <w:szCs w:val="20"/>
        </w:rPr>
        <w:t>Uvoznik je odgovoren za informacije, navedene v potrdilu/potrdilih MTC in predloženih carini DČ uvoza. Carinski organi lahko v primeru upravičenega dvoma zahtevajo dodatna dokazila kot so ločena potrdila MTC za različne faze transformacije, ki jih je bil deležen izdelek. Vsa potrdila MTC morajo biti medsebojno usklajena. Uvoznik mora izvajati potrebno skrbnost, da se zagotovi točnost zagotovljenih informacij.</w:t>
      </w:r>
    </w:p>
    <w:p w14:paraId="24BB15E0" w14:textId="3842F6A3" w:rsidR="006C7D57" w:rsidRDefault="006C7D57" w:rsidP="00664FE4">
      <w:pPr>
        <w:spacing w:after="0"/>
        <w:contextualSpacing/>
        <w:jc w:val="both"/>
        <w:rPr>
          <w:sz w:val="20"/>
          <w:szCs w:val="20"/>
        </w:rPr>
      </w:pPr>
    </w:p>
    <w:p w14:paraId="7BFC90E5" w14:textId="684966C3" w:rsidR="006C7D57" w:rsidRPr="006C7D57" w:rsidRDefault="006C7D57" w:rsidP="00664FE4">
      <w:pPr>
        <w:spacing w:after="0"/>
        <w:contextualSpacing/>
        <w:jc w:val="both"/>
        <w:rPr>
          <w:b/>
          <w:bCs/>
          <w:sz w:val="20"/>
          <w:szCs w:val="20"/>
        </w:rPr>
      </w:pPr>
      <w:r w:rsidRPr="006C7D57">
        <w:rPr>
          <w:b/>
          <w:bCs/>
          <w:sz w:val="20"/>
          <w:szCs w:val="20"/>
        </w:rPr>
        <w:t>Datumi začetka veljavnosti omejevalnih ukrepov:</w:t>
      </w:r>
    </w:p>
    <w:p w14:paraId="62F822ED" w14:textId="77777777" w:rsidR="006C7D57" w:rsidRDefault="006C7D57" w:rsidP="00664FE4">
      <w:pPr>
        <w:spacing w:after="0"/>
        <w:contextualSpacing/>
        <w:jc w:val="both"/>
        <w:rPr>
          <w:sz w:val="20"/>
          <w:szCs w:val="20"/>
        </w:rPr>
      </w:pPr>
    </w:p>
    <w:p w14:paraId="15579507" w14:textId="77777777" w:rsidR="006C7D57" w:rsidRDefault="0039537D" w:rsidP="00664FE4">
      <w:pPr>
        <w:spacing w:after="0"/>
        <w:contextualSpacing/>
        <w:jc w:val="both"/>
        <w:rPr>
          <w:sz w:val="20"/>
          <w:szCs w:val="20"/>
        </w:rPr>
      </w:pPr>
      <w:r>
        <w:rPr>
          <w:sz w:val="20"/>
          <w:szCs w:val="20"/>
        </w:rPr>
        <w:t>P&amp;R vezane na uvoz in nakup izdelkov predelanih v tretjih državah z uporabo železa in jekla s poreklom iz Rusije stopi</w:t>
      </w:r>
      <w:r w:rsidR="006C7D57">
        <w:rPr>
          <w:sz w:val="20"/>
          <w:szCs w:val="20"/>
        </w:rPr>
        <w:t>jo</w:t>
      </w:r>
      <w:r>
        <w:rPr>
          <w:sz w:val="20"/>
          <w:szCs w:val="20"/>
        </w:rPr>
        <w:t xml:space="preserve"> v veljavo na različne datume v odvisnosti od uporabljenih vložkov</w:t>
      </w:r>
      <w:r w:rsidR="006C7D57">
        <w:rPr>
          <w:sz w:val="20"/>
          <w:szCs w:val="20"/>
        </w:rPr>
        <w:t>:</w:t>
      </w:r>
      <w:r>
        <w:rPr>
          <w:sz w:val="20"/>
          <w:szCs w:val="20"/>
        </w:rPr>
        <w:t xml:space="preserve"> </w:t>
      </w:r>
    </w:p>
    <w:p w14:paraId="4C5A64A7" w14:textId="2C26934F" w:rsidR="006C7D57" w:rsidRPr="006C7D57" w:rsidRDefault="006C7D57" w:rsidP="006C7D57">
      <w:pPr>
        <w:numPr>
          <w:ilvl w:val="0"/>
          <w:numId w:val="5"/>
        </w:numPr>
        <w:spacing w:after="0"/>
        <w:contextualSpacing/>
        <w:jc w:val="both"/>
        <w:rPr>
          <w:sz w:val="20"/>
          <w:szCs w:val="20"/>
          <w:u w:val="single"/>
        </w:rPr>
      </w:pPr>
      <w:r>
        <w:rPr>
          <w:sz w:val="20"/>
          <w:szCs w:val="20"/>
        </w:rPr>
        <w:t>z</w:t>
      </w:r>
      <w:r w:rsidR="0039537D">
        <w:rPr>
          <w:sz w:val="20"/>
          <w:szCs w:val="20"/>
        </w:rPr>
        <w:t xml:space="preserve">a izdelke iz priloge XVII, ki vsebujejo izdelke iz tarifne podštevilke 720711 </w:t>
      </w:r>
      <w:r>
        <w:rPr>
          <w:sz w:val="20"/>
          <w:szCs w:val="20"/>
        </w:rPr>
        <w:t xml:space="preserve">je datum </w:t>
      </w:r>
      <w:r w:rsidR="0039537D">
        <w:rPr>
          <w:sz w:val="20"/>
          <w:szCs w:val="20"/>
        </w:rPr>
        <w:t>pričet</w:t>
      </w:r>
      <w:r>
        <w:rPr>
          <w:sz w:val="20"/>
          <w:szCs w:val="20"/>
        </w:rPr>
        <w:t>ka</w:t>
      </w:r>
      <w:r w:rsidR="0039537D">
        <w:rPr>
          <w:sz w:val="20"/>
          <w:szCs w:val="20"/>
        </w:rPr>
        <w:t xml:space="preserve"> uporabe </w:t>
      </w:r>
      <w:r w:rsidR="0039537D" w:rsidRPr="006C7D57">
        <w:rPr>
          <w:b/>
          <w:bCs/>
          <w:sz w:val="20"/>
          <w:szCs w:val="20"/>
        </w:rPr>
        <w:t>1.</w:t>
      </w:r>
      <w:r>
        <w:rPr>
          <w:b/>
          <w:bCs/>
          <w:sz w:val="20"/>
          <w:szCs w:val="20"/>
        </w:rPr>
        <w:t xml:space="preserve"> </w:t>
      </w:r>
      <w:r w:rsidR="0039537D" w:rsidRPr="006C7D57">
        <w:rPr>
          <w:b/>
          <w:bCs/>
          <w:sz w:val="20"/>
          <w:szCs w:val="20"/>
        </w:rPr>
        <w:t>april 2024</w:t>
      </w:r>
      <w:r w:rsidR="0039537D">
        <w:rPr>
          <w:sz w:val="20"/>
          <w:szCs w:val="20"/>
        </w:rPr>
        <w:t xml:space="preserve">, </w:t>
      </w:r>
    </w:p>
    <w:p w14:paraId="60DB3D50" w14:textId="5A16E4FF" w:rsidR="006C7D57" w:rsidRPr="006C7D57" w:rsidRDefault="0039537D" w:rsidP="006C7D57">
      <w:pPr>
        <w:numPr>
          <w:ilvl w:val="0"/>
          <w:numId w:val="5"/>
        </w:numPr>
        <w:spacing w:after="0"/>
        <w:contextualSpacing/>
        <w:jc w:val="both"/>
        <w:rPr>
          <w:sz w:val="20"/>
          <w:szCs w:val="20"/>
          <w:u w:val="single"/>
        </w:rPr>
      </w:pPr>
      <w:r>
        <w:rPr>
          <w:sz w:val="20"/>
          <w:szCs w:val="20"/>
        </w:rPr>
        <w:t xml:space="preserve">za izdelke iz priloge XVII, ki vsebujejo izdelke iz tarifnih podštevilk 72071210 ter 722490 </w:t>
      </w:r>
      <w:r w:rsidR="006C7D57">
        <w:rPr>
          <w:sz w:val="20"/>
          <w:szCs w:val="20"/>
        </w:rPr>
        <w:t xml:space="preserve">je datum pričetka uporabe </w:t>
      </w:r>
      <w:r w:rsidRPr="006C7D57">
        <w:rPr>
          <w:b/>
          <w:bCs/>
          <w:sz w:val="20"/>
          <w:szCs w:val="20"/>
        </w:rPr>
        <w:t>1. oktob</w:t>
      </w:r>
      <w:r w:rsidR="006C7D57">
        <w:rPr>
          <w:b/>
          <w:bCs/>
          <w:sz w:val="20"/>
          <w:szCs w:val="20"/>
        </w:rPr>
        <w:t>er</w:t>
      </w:r>
      <w:r w:rsidRPr="006C7D57">
        <w:rPr>
          <w:b/>
          <w:bCs/>
          <w:sz w:val="20"/>
          <w:szCs w:val="20"/>
        </w:rPr>
        <w:t xml:space="preserve"> 2024</w:t>
      </w:r>
      <w:r>
        <w:rPr>
          <w:sz w:val="20"/>
          <w:szCs w:val="20"/>
        </w:rPr>
        <w:t xml:space="preserve">, </w:t>
      </w:r>
    </w:p>
    <w:p w14:paraId="3A120FCE" w14:textId="0E24597E" w:rsidR="0039537D" w:rsidRDefault="0039537D" w:rsidP="006C7D57">
      <w:pPr>
        <w:numPr>
          <w:ilvl w:val="0"/>
          <w:numId w:val="5"/>
        </w:numPr>
        <w:spacing w:after="0"/>
        <w:contextualSpacing/>
        <w:jc w:val="both"/>
        <w:rPr>
          <w:sz w:val="20"/>
          <w:szCs w:val="20"/>
          <w:u w:val="single"/>
        </w:rPr>
      </w:pPr>
      <w:r>
        <w:rPr>
          <w:sz w:val="20"/>
          <w:szCs w:val="20"/>
        </w:rPr>
        <w:t xml:space="preserve">za izdelke iz priloge XVII, ki ne vsebujejo izdelkov iz tarifnih podštevilk 720711,72071210 ter </w:t>
      </w:r>
      <w:r w:rsidRPr="006C7D57">
        <w:rPr>
          <w:sz w:val="20"/>
          <w:szCs w:val="20"/>
        </w:rPr>
        <w:t xml:space="preserve">722490 pa je </w:t>
      </w:r>
      <w:r w:rsidR="006C7D57" w:rsidRPr="006C7D57">
        <w:rPr>
          <w:sz w:val="20"/>
          <w:szCs w:val="20"/>
        </w:rPr>
        <w:t xml:space="preserve">datum </w:t>
      </w:r>
      <w:r w:rsidRPr="006C7D57">
        <w:rPr>
          <w:sz w:val="20"/>
          <w:szCs w:val="20"/>
        </w:rPr>
        <w:t>pričet</w:t>
      </w:r>
      <w:r w:rsidR="006C7D57" w:rsidRPr="006C7D57">
        <w:rPr>
          <w:sz w:val="20"/>
          <w:szCs w:val="20"/>
        </w:rPr>
        <w:t>ka</w:t>
      </w:r>
      <w:r w:rsidRPr="006C7D57">
        <w:rPr>
          <w:sz w:val="20"/>
          <w:szCs w:val="20"/>
        </w:rPr>
        <w:t xml:space="preserve"> uporabe </w:t>
      </w:r>
      <w:r w:rsidRPr="006C7D57">
        <w:rPr>
          <w:b/>
          <w:bCs/>
          <w:sz w:val="20"/>
          <w:szCs w:val="20"/>
        </w:rPr>
        <w:t>30. septemb</w:t>
      </w:r>
      <w:r w:rsidR="006C7D57" w:rsidRPr="006C7D57">
        <w:rPr>
          <w:b/>
          <w:bCs/>
          <w:sz w:val="20"/>
          <w:szCs w:val="20"/>
        </w:rPr>
        <w:t>er</w:t>
      </w:r>
      <w:r w:rsidRPr="006C7D57">
        <w:rPr>
          <w:b/>
          <w:bCs/>
          <w:sz w:val="20"/>
          <w:szCs w:val="20"/>
        </w:rPr>
        <w:t xml:space="preserve"> 2023</w:t>
      </w:r>
      <w:r w:rsidRPr="006C7D57">
        <w:rPr>
          <w:sz w:val="20"/>
          <w:szCs w:val="20"/>
        </w:rPr>
        <w:t>.</w:t>
      </w:r>
    </w:p>
    <w:p w14:paraId="61F5320B" w14:textId="03DA2FD8" w:rsidR="0039537D" w:rsidRDefault="0039537D" w:rsidP="00664FE4">
      <w:pPr>
        <w:spacing w:after="0"/>
        <w:contextualSpacing/>
      </w:pPr>
    </w:p>
    <w:p w14:paraId="646A3102" w14:textId="77777777" w:rsidR="00DE3BFC" w:rsidRDefault="00DE3BFC" w:rsidP="00664FE4">
      <w:pPr>
        <w:spacing w:after="0"/>
        <w:contextualSpacing/>
      </w:pPr>
    </w:p>
    <w:p w14:paraId="4EB27902" w14:textId="77777777" w:rsidR="00BD4BE4" w:rsidRDefault="00BD4BE4" w:rsidP="00664FE4">
      <w:pPr>
        <w:spacing w:after="0"/>
        <w:contextualSpacing/>
      </w:pPr>
    </w:p>
    <w:sectPr w:rsidR="00BD4BE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929"/>
    <w:multiLevelType w:val="hybridMultilevel"/>
    <w:tmpl w:val="C23C189A"/>
    <w:lvl w:ilvl="0" w:tplc="BD32C8CA">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7A41452"/>
    <w:multiLevelType w:val="hybridMultilevel"/>
    <w:tmpl w:val="5B82DE4E"/>
    <w:lvl w:ilvl="0" w:tplc="9DBE2ED0">
      <w:start w:val="4"/>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10C1DE6"/>
    <w:multiLevelType w:val="hybridMultilevel"/>
    <w:tmpl w:val="ADC87796"/>
    <w:lvl w:ilvl="0" w:tplc="042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4D713D47"/>
    <w:multiLevelType w:val="hybridMultilevel"/>
    <w:tmpl w:val="3CEED562"/>
    <w:lvl w:ilvl="0" w:tplc="BD32C8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27378037">
    <w:abstractNumId w:val="1"/>
  </w:num>
  <w:num w:numId="2" w16cid:durableId="441194846">
    <w:abstractNumId w:val="1"/>
  </w:num>
  <w:num w:numId="3" w16cid:durableId="932276259">
    <w:abstractNumId w:val="2"/>
  </w:num>
  <w:num w:numId="4" w16cid:durableId="1647976188">
    <w:abstractNumId w:val="0"/>
  </w:num>
  <w:num w:numId="5" w16cid:durableId="473719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7D"/>
    <w:rsid w:val="000D7653"/>
    <w:rsid w:val="0039537D"/>
    <w:rsid w:val="00664FE4"/>
    <w:rsid w:val="006C7D57"/>
    <w:rsid w:val="00BD4BE4"/>
    <w:rsid w:val="00C67C47"/>
    <w:rsid w:val="00DE3BFC"/>
    <w:rsid w:val="00F71B9D"/>
    <w:rsid w:val="00FD1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D1914"/>
  <w14:defaultImageDpi w14:val="0"/>
  <w15:docId w15:val="{CA983A08-1251-49C6-B375-7ED11C8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dc:creator>
  <cp:keywords/>
  <dc:description/>
  <cp:lastModifiedBy>MiP</cp:lastModifiedBy>
  <cp:revision>3</cp:revision>
  <dcterms:created xsi:type="dcterms:W3CDTF">2023-09-11T05:48:00Z</dcterms:created>
  <dcterms:modified xsi:type="dcterms:W3CDTF">2023-09-11T05:49:00Z</dcterms:modified>
</cp:coreProperties>
</file>