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0920EBE0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9029E2">
        <w:rPr>
          <w:rFonts w:cs="Arial"/>
          <w:sz w:val="20"/>
        </w:rPr>
        <w:t>352-2688/2012-MPJU-327</w:t>
      </w:r>
    </w:p>
    <w:p w14:paraId="375A3E5F" w14:textId="025D1C12" w:rsidR="005E6748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58214C">
        <w:rPr>
          <w:rFonts w:cs="Arial"/>
          <w:sz w:val="20"/>
        </w:rPr>
        <w:t>9</w:t>
      </w:r>
      <w:r w:rsidR="00F37A25">
        <w:rPr>
          <w:rFonts w:cs="Arial"/>
          <w:sz w:val="20"/>
        </w:rPr>
        <w:t xml:space="preserve">. </w:t>
      </w:r>
      <w:r w:rsidR="009029E2">
        <w:rPr>
          <w:rFonts w:cs="Arial"/>
          <w:sz w:val="20"/>
        </w:rPr>
        <w:t>1</w:t>
      </w:r>
      <w:r w:rsidR="00F37A25">
        <w:rPr>
          <w:rFonts w:cs="Arial"/>
          <w:sz w:val="20"/>
        </w:rPr>
        <w:t>. 202</w:t>
      </w:r>
      <w:r w:rsidR="00C6521D">
        <w:rPr>
          <w:rFonts w:cs="Arial"/>
          <w:sz w:val="20"/>
        </w:rPr>
        <w:t>5</w:t>
      </w:r>
    </w:p>
    <w:p w14:paraId="60931974" w14:textId="77777777" w:rsidR="00082AAA" w:rsidRPr="004F5EA4" w:rsidRDefault="00082AAA" w:rsidP="005E6748">
      <w:pPr>
        <w:jc w:val="both"/>
        <w:rPr>
          <w:rFonts w:cs="Arial"/>
          <w:sz w:val="20"/>
        </w:rPr>
      </w:pP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7DC39DF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</w:t>
      </w:r>
      <w:r w:rsidR="009F59A0">
        <w:rPr>
          <w:rFonts w:cs="Arial"/>
          <w:sz w:val="20"/>
        </w:rPr>
        <w:t>, 7</w:t>
      </w:r>
      <w:r w:rsidRPr="00271B09">
        <w:rPr>
          <w:rFonts w:cs="Arial"/>
          <w:sz w:val="20"/>
        </w:rPr>
        <w:t>9/18</w:t>
      </w:r>
      <w:r w:rsidR="009F59A0">
        <w:rPr>
          <w:rFonts w:cs="Arial"/>
          <w:sz w:val="20"/>
        </w:rPr>
        <w:t xml:space="preserve"> in 78/23-ZORR</w:t>
      </w:r>
      <w:r w:rsidRPr="00271B09">
        <w:rPr>
          <w:rFonts w:cs="Arial"/>
          <w:sz w:val="20"/>
        </w:rPr>
        <w:t>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271B09" w:rsidRDefault="005E6748" w:rsidP="005E6748">
      <w:pPr>
        <w:jc w:val="both"/>
        <w:rPr>
          <w:rFonts w:cs="Arial"/>
          <w:sz w:val="20"/>
        </w:rPr>
      </w:pPr>
    </w:p>
    <w:p w14:paraId="4E14381B" w14:textId="77777777" w:rsidR="005E6748" w:rsidRPr="009029E2" w:rsidRDefault="005E6748" w:rsidP="005E6748">
      <w:pPr>
        <w:jc w:val="center"/>
        <w:rPr>
          <w:rFonts w:cs="Arial"/>
          <w:b/>
          <w:sz w:val="20"/>
        </w:rPr>
      </w:pPr>
    </w:p>
    <w:p w14:paraId="204D1C0C" w14:textId="54A383CA" w:rsidR="009029E2" w:rsidRPr="009029E2" w:rsidRDefault="005E6748" w:rsidP="005E6748">
      <w:pPr>
        <w:jc w:val="center"/>
        <w:rPr>
          <w:rFonts w:cs="Arial"/>
          <w:b/>
          <w:sz w:val="20"/>
        </w:rPr>
      </w:pPr>
      <w:r w:rsidRPr="009029E2">
        <w:rPr>
          <w:rFonts w:cs="Arial"/>
          <w:b/>
          <w:sz w:val="20"/>
        </w:rPr>
        <w:t xml:space="preserve">NAMERO ZA </w:t>
      </w:r>
      <w:r w:rsidR="009029E2" w:rsidRPr="009029E2">
        <w:rPr>
          <w:rFonts w:cs="Arial"/>
          <w:b/>
          <w:sz w:val="20"/>
        </w:rPr>
        <w:t>ODDAJO DELA PROSTORA V POSLOVNI STAVBI NA NASLOVU</w:t>
      </w:r>
    </w:p>
    <w:p w14:paraId="73B2EFAA" w14:textId="4EB0D364" w:rsidR="005E6748" w:rsidRPr="009029E2" w:rsidRDefault="009029E2" w:rsidP="005E6748">
      <w:pPr>
        <w:jc w:val="center"/>
        <w:rPr>
          <w:rFonts w:cs="Arial"/>
          <w:b/>
          <w:sz w:val="20"/>
        </w:rPr>
      </w:pPr>
      <w:r w:rsidRPr="009029E2">
        <w:rPr>
          <w:rFonts w:cs="Arial"/>
          <w:b/>
          <w:sz w:val="20"/>
        </w:rPr>
        <w:t xml:space="preserve"> AŠKERČEV TRG 11, ŠMARJE PRI JELŠAH V NAJEM </w:t>
      </w:r>
    </w:p>
    <w:p w14:paraId="32A153DB" w14:textId="77777777" w:rsidR="005E6748" w:rsidRPr="009029E2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CC515FB" w14:textId="3C0B6CB8" w:rsidR="000418EA" w:rsidRPr="008E4322" w:rsidRDefault="000418EA" w:rsidP="008E432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E4322">
        <w:rPr>
          <w:rFonts w:cs="Arial"/>
          <w:sz w:val="20"/>
        </w:rPr>
        <w:t>Predmet oddaje v najem je</w:t>
      </w:r>
      <w:r w:rsidRPr="008E4322">
        <w:rPr>
          <w:rFonts w:cs="Arial"/>
          <w:sz w:val="20"/>
          <w:lang w:eastAsia="sl-SI"/>
        </w:rPr>
        <w:t xml:space="preserve"> del poslovnega prostora</w:t>
      </w:r>
      <w:r w:rsidR="008E4322" w:rsidRPr="008E4322">
        <w:rPr>
          <w:rFonts w:cs="Arial"/>
          <w:sz w:val="20"/>
          <w:lang w:eastAsia="sl-SI"/>
        </w:rPr>
        <w:t xml:space="preserve"> </w:t>
      </w:r>
      <w:r w:rsidRPr="008E4322">
        <w:rPr>
          <w:rFonts w:cs="Arial"/>
          <w:sz w:val="20"/>
          <w:lang w:eastAsia="sl-SI"/>
        </w:rPr>
        <w:t xml:space="preserve">v izmeri </w:t>
      </w:r>
      <w:r w:rsidR="003B7DCE" w:rsidRPr="008E4322">
        <w:rPr>
          <w:rFonts w:cs="Arial"/>
          <w:sz w:val="20"/>
          <w:lang w:eastAsia="sl-SI"/>
        </w:rPr>
        <w:t>1</w:t>
      </w:r>
      <w:r w:rsidRPr="008E4322">
        <w:rPr>
          <w:rFonts w:cs="Arial"/>
          <w:sz w:val="20"/>
          <w:lang w:eastAsia="sl-SI"/>
        </w:rPr>
        <w:t>,00 m2, in sicer</w:t>
      </w:r>
      <w:r w:rsidR="003B7DCE" w:rsidRPr="008E4322">
        <w:rPr>
          <w:rFonts w:cs="Arial"/>
          <w:sz w:val="20"/>
          <w:lang w:eastAsia="sl-SI"/>
        </w:rPr>
        <w:t xml:space="preserve"> </w:t>
      </w:r>
      <w:r w:rsidRPr="008E4322">
        <w:rPr>
          <w:rFonts w:cs="Arial"/>
          <w:sz w:val="20"/>
          <w:lang w:eastAsia="sl-SI"/>
        </w:rPr>
        <w:t xml:space="preserve">v </w:t>
      </w:r>
      <w:r w:rsidR="003B7DCE" w:rsidRPr="008E4322">
        <w:rPr>
          <w:rFonts w:cs="Arial"/>
          <w:sz w:val="20"/>
          <w:lang w:eastAsia="sl-SI"/>
        </w:rPr>
        <w:t>pr</w:t>
      </w:r>
      <w:r w:rsidR="00B3552A">
        <w:rPr>
          <w:rFonts w:cs="Arial"/>
          <w:sz w:val="20"/>
          <w:lang w:eastAsia="sl-SI"/>
        </w:rPr>
        <w:t>itličju</w:t>
      </w:r>
      <w:r w:rsidRPr="008E4322">
        <w:rPr>
          <w:rFonts w:cs="Arial"/>
          <w:sz w:val="20"/>
          <w:lang w:eastAsia="sl-SI"/>
        </w:rPr>
        <w:t xml:space="preserve"> stavbe na</w:t>
      </w:r>
      <w:r w:rsidR="003B7DCE" w:rsidRPr="008E4322">
        <w:rPr>
          <w:rFonts w:cs="Arial"/>
          <w:sz w:val="20"/>
          <w:lang w:eastAsia="sl-SI"/>
        </w:rPr>
        <w:t xml:space="preserve"> </w:t>
      </w:r>
      <w:r w:rsidRPr="008E4322">
        <w:rPr>
          <w:rFonts w:cs="Arial"/>
          <w:sz w:val="20"/>
          <w:lang w:eastAsia="sl-SI"/>
        </w:rPr>
        <w:t xml:space="preserve"> </w:t>
      </w:r>
      <w:r w:rsidR="00B3552A">
        <w:rPr>
          <w:rFonts w:cs="Arial"/>
          <w:sz w:val="20"/>
          <w:lang w:eastAsia="sl-SI"/>
        </w:rPr>
        <w:t xml:space="preserve">naslovu </w:t>
      </w:r>
      <w:r w:rsidR="009029E2">
        <w:rPr>
          <w:rFonts w:cs="Arial"/>
          <w:sz w:val="20"/>
          <w:lang w:eastAsia="sl-SI"/>
        </w:rPr>
        <w:t>Aškerčev trg 11, Šmarje pri Jelšah</w:t>
      </w:r>
      <w:r w:rsidRPr="008E4322">
        <w:rPr>
          <w:rFonts w:cs="Arial"/>
          <w:sz w:val="20"/>
          <w:lang w:eastAsia="sl-SI"/>
        </w:rPr>
        <w:t>, številka</w:t>
      </w:r>
      <w:r w:rsidR="00F01413">
        <w:rPr>
          <w:rFonts w:cs="Arial"/>
          <w:sz w:val="20"/>
          <w:lang w:eastAsia="sl-SI"/>
        </w:rPr>
        <w:t xml:space="preserve"> stavbe</w:t>
      </w:r>
      <w:r w:rsidRPr="008E4322">
        <w:rPr>
          <w:rFonts w:cs="Arial"/>
          <w:sz w:val="20"/>
          <w:lang w:eastAsia="sl-SI"/>
        </w:rPr>
        <w:t xml:space="preserve"> </w:t>
      </w:r>
      <w:r w:rsidR="009029E2">
        <w:rPr>
          <w:rFonts w:cs="Arial"/>
          <w:sz w:val="20"/>
          <w:lang w:eastAsia="sl-SI"/>
        </w:rPr>
        <w:t>444</w:t>
      </w:r>
      <w:r w:rsidRPr="008E4322">
        <w:rPr>
          <w:rFonts w:cs="Arial"/>
          <w:sz w:val="20"/>
          <w:lang w:eastAsia="sl-SI"/>
        </w:rPr>
        <w:t xml:space="preserve">, </w:t>
      </w:r>
      <w:proofErr w:type="spellStart"/>
      <w:r w:rsidRPr="008E4322">
        <w:rPr>
          <w:rFonts w:cs="Arial"/>
          <w:sz w:val="20"/>
          <w:lang w:eastAsia="sl-SI"/>
        </w:rPr>
        <w:t>k.o</w:t>
      </w:r>
      <w:proofErr w:type="spellEnd"/>
      <w:r w:rsidRPr="008E4322">
        <w:rPr>
          <w:rFonts w:cs="Arial"/>
          <w:sz w:val="20"/>
          <w:lang w:eastAsia="sl-SI"/>
        </w:rPr>
        <w:t>.</w:t>
      </w:r>
      <w:r w:rsidR="008E4322" w:rsidRPr="008E4322">
        <w:rPr>
          <w:rFonts w:cs="Arial"/>
          <w:sz w:val="20"/>
          <w:lang w:eastAsia="sl-SI"/>
        </w:rPr>
        <w:t xml:space="preserve"> </w:t>
      </w:r>
      <w:r w:rsidR="009029E2">
        <w:rPr>
          <w:rFonts w:cs="Arial"/>
          <w:sz w:val="20"/>
          <w:lang w:eastAsia="sl-SI"/>
        </w:rPr>
        <w:t>1200 Šmarje pri Jelšah</w:t>
      </w:r>
      <w:r w:rsidR="00EB0322">
        <w:rPr>
          <w:rFonts w:cs="Arial"/>
          <w:sz w:val="20"/>
          <w:lang w:eastAsia="sl-SI"/>
        </w:rPr>
        <w:t xml:space="preserve"> </w:t>
      </w:r>
      <w:r w:rsidR="003C2388">
        <w:rPr>
          <w:rFonts w:cs="Arial"/>
          <w:sz w:val="20"/>
          <w:lang w:eastAsia="sl-SI"/>
        </w:rPr>
        <w:t xml:space="preserve"> </w:t>
      </w:r>
      <w:r w:rsidR="008E4322" w:rsidRPr="008E4322">
        <w:rPr>
          <w:rFonts w:cs="Arial"/>
          <w:sz w:val="20"/>
          <w:lang w:eastAsia="sl-SI"/>
        </w:rPr>
        <w:t>(</w:t>
      </w:r>
      <w:r w:rsidR="009029E2">
        <w:rPr>
          <w:rFonts w:cs="Arial"/>
          <w:sz w:val="20"/>
          <w:lang w:eastAsia="sl-SI"/>
        </w:rPr>
        <w:t xml:space="preserve">s krogcem označen </w:t>
      </w:r>
      <w:r w:rsidR="008E4322" w:rsidRPr="008E4322">
        <w:rPr>
          <w:rFonts w:cs="Arial"/>
          <w:sz w:val="20"/>
          <w:lang w:eastAsia="sl-SI"/>
        </w:rPr>
        <w:t>prostor</w:t>
      </w:r>
      <w:r w:rsidR="00E4077A">
        <w:rPr>
          <w:rFonts w:cs="Arial"/>
          <w:sz w:val="20"/>
          <w:lang w:eastAsia="sl-SI"/>
        </w:rPr>
        <w:t xml:space="preserve"> </w:t>
      </w:r>
      <w:r w:rsidR="008E4322" w:rsidRPr="008E4322">
        <w:rPr>
          <w:rFonts w:cs="Arial"/>
          <w:sz w:val="20"/>
          <w:lang w:eastAsia="sl-SI"/>
        </w:rPr>
        <w:t xml:space="preserve">kot </w:t>
      </w:r>
      <w:r w:rsidRPr="008E4322">
        <w:rPr>
          <w:rFonts w:cs="Arial"/>
          <w:sz w:val="20"/>
          <w:lang w:eastAsia="sl-SI"/>
        </w:rPr>
        <w:t>izhaja iz skice lege poslovnega prostora stavbe</w:t>
      </w:r>
      <w:r w:rsidR="00F01413">
        <w:rPr>
          <w:rFonts w:cs="Arial"/>
          <w:sz w:val="20"/>
          <w:lang w:eastAsia="sl-SI"/>
        </w:rPr>
        <w:t>, ki je priloga namere</w:t>
      </w:r>
      <w:r w:rsidRPr="008E4322">
        <w:rPr>
          <w:rFonts w:cs="Arial"/>
          <w:sz w:val="20"/>
          <w:lang w:eastAsia="sl-SI"/>
        </w:rPr>
        <w:t>)</w:t>
      </w:r>
      <w:r w:rsidR="008E4322" w:rsidRPr="008E4322">
        <w:rPr>
          <w:rFonts w:cs="Arial"/>
          <w:sz w:val="20"/>
          <w:lang w:eastAsia="sl-SI"/>
        </w:rPr>
        <w:t xml:space="preserve">, </w:t>
      </w:r>
      <w:r w:rsidR="00FF3F60">
        <w:rPr>
          <w:rFonts w:cs="Arial"/>
          <w:sz w:val="20"/>
          <w:lang w:eastAsia="sl-SI"/>
        </w:rPr>
        <w:t xml:space="preserve">v delu upravne stavbe, ki ga uporablja UE Šmarje pri Jelšah za </w:t>
      </w:r>
      <w:proofErr w:type="spellStart"/>
      <w:r w:rsidR="00FF3F60">
        <w:rPr>
          <w:rFonts w:cs="Arial"/>
          <w:sz w:val="20"/>
          <w:lang w:eastAsia="sl-SI"/>
        </w:rPr>
        <w:t>šalterska</w:t>
      </w:r>
      <w:proofErr w:type="spellEnd"/>
      <w:r w:rsidR="00FF3F60">
        <w:rPr>
          <w:rFonts w:cs="Arial"/>
          <w:sz w:val="20"/>
          <w:lang w:eastAsia="sl-SI"/>
        </w:rPr>
        <w:t xml:space="preserve"> delovna mesta, </w:t>
      </w:r>
      <w:r w:rsidRPr="008E4322">
        <w:rPr>
          <w:rFonts w:cs="Arial"/>
          <w:sz w:val="20"/>
          <w:lang w:eastAsia="sl-SI"/>
        </w:rPr>
        <w:t xml:space="preserve">za namen postavitve </w:t>
      </w:r>
      <w:r w:rsidR="008E4322" w:rsidRPr="008E4322">
        <w:rPr>
          <w:rFonts w:cs="Arial"/>
          <w:sz w:val="20"/>
          <w:lang w:eastAsia="sl-SI"/>
        </w:rPr>
        <w:t xml:space="preserve">enega </w:t>
      </w:r>
      <w:r w:rsidR="00FF3F60">
        <w:rPr>
          <w:rFonts w:cs="Arial"/>
          <w:sz w:val="20"/>
          <w:lang w:eastAsia="sl-SI"/>
        </w:rPr>
        <w:t>foto-</w:t>
      </w:r>
      <w:r w:rsidRPr="008E4322">
        <w:rPr>
          <w:rFonts w:cs="Arial"/>
          <w:sz w:val="20"/>
          <w:lang w:eastAsia="sl-SI"/>
        </w:rPr>
        <w:t>avtomat</w:t>
      </w:r>
      <w:r w:rsidR="008E4322" w:rsidRPr="008E4322">
        <w:rPr>
          <w:rFonts w:cs="Arial"/>
          <w:sz w:val="20"/>
          <w:lang w:eastAsia="sl-SI"/>
        </w:rPr>
        <w:t>a</w:t>
      </w:r>
      <w:r w:rsidR="00D25961">
        <w:rPr>
          <w:rFonts w:cs="Arial"/>
          <w:sz w:val="20"/>
          <w:lang w:eastAsia="sl-SI"/>
        </w:rPr>
        <w:t>, za izdajanje slik za osebne dokumente.</w:t>
      </w:r>
    </w:p>
    <w:p w14:paraId="4C9CC8C2" w14:textId="58EE71B9" w:rsidR="005E6748" w:rsidRPr="008335FE" w:rsidRDefault="008E4322" w:rsidP="008E4322">
      <w:pPr>
        <w:jc w:val="both"/>
        <w:rPr>
          <w:rFonts w:cs="Arial"/>
          <w:sz w:val="20"/>
        </w:rPr>
      </w:pPr>
      <w:r>
        <w:rPr>
          <w:rFonts w:ascii="Tms Rmn" w:hAnsi="Tms Rmn" w:cs="Tms Rmn"/>
          <w:color w:val="000000"/>
          <w:sz w:val="24"/>
          <w:szCs w:val="24"/>
          <w:lang w:eastAsia="sl-SI"/>
        </w:rPr>
        <w:t> </w:t>
      </w:r>
    </w:p>
    <w:p w14:paraId="35CEAA0C" w14:textId="77777777" w:rsidR="005E6748" w:rsidRPr="008335FE" w:rsidRDefault="005E6748" w:rsidP="008E4322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8E4322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201E7500" w:rsidR="005E6748" w:rsidRPr="008335FE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7C63C6" w:rsidRPr="007C63C6">
        <w:rPr>
          <w:rFonts w:cs="Arial"/>
          <w:sz w:val="20"/>
          <w:vertAlign w:val="superscript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>nepremičnine ne sme biti nižja od 30</w:t>
      </w:r>
      <w:r>
        <w:rPr>
          <w:rFonts w:cs="Arial"/>
          <w:sz w:val="20"/>
        </w:rPr>
        <w:t>,00</w:t>
      </w:r>
      <w:r w:rsidRPr="00DA5F4B">
        <w:rPr>
          <w:rFonts w:cs="Arial"/>
          <w:sz w:val="20"/>
        </w:rPr>
        <w:t xml:space="preserve"> EUR</w:t>
      </w:r>
      <w:r w:rsidR="007C63C6"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Stroški porabe električne energije so vključeni v ceno najemnine. Temu znesku je potrebno prišteti še DDV v skladu z določili Zakona o davku na dodano vrednost (Uradni list RS, št. 13/11 – uradno prečiščeno besedilo, 18/11, 78/11, 38/12, 83/12, 86/14</w:t>
      </w:r>
      <w:r w:rsidR="00AC3D17">
        <w:rPr>
          <w:rFonts w:cs="Arial"/>
          <w:sz w:val="20"/>
        </w:rPr>
        <w:t xml:space="preserve">, </w:t>
      </w:r>
      <w:r w:rsidRPr="00DA5F4B">
        <w:rPr>
          <w:rFonts w:cs="Arial"/>
          <w:sz w:val="20"/>
        </w:rPr>
        <w:t>90/15</w:t>
      </w:r>
      <w:r w:rsidR="00AC3D17">
        <w:rPr>
          <w:rFonts w:cs="Arial"/>
          <w:sz w:val="20"/>
        </w:rPr>
        <w:t xml:space="preserve">, 77/18, 59/19, 72/19, 196/21 – </w:t>
      </w:r>
      <w:proofErr w:type="spellStart"/>
      <w:r w:rsidR="00AC3D17">
        <w:rPr>
          <w:rFonts w:cs="Arial"/>
          <w:sz w:val="20"/>
        </w:rPr>
        <w:t>ZDOsk</w:t>
      </w:r>
      <w:proofErr w:type="spellEnd"/>
      <w:r w:rsidR="00AC3D17">
        <w:rPr>
          <w:rFonts w:cs="Arial"/>
          <w:sz w:val="20"/>
        </w:rPr>
        <w:t xml:space="preserve">, 3/22, 29/22 – ZUOPDCE in 40/23 – </w:t>
      </w:r>
      <w:proofErr w:type="spellStart"/>
      <w:r w:rsidR="00AC3D17">
        <w:rPr>
          <w:rFonts w:cs="Arial"/>
          <w:sz w:val="20"/>
        </w:rPr>
        <w:t>ZdavPR</w:t>
      </w:r>
      <w:proofErr w:type="spellEnd"/>
      <w:r w:rsidR="00AC3D17">
        <w:rPr>
          <w:rFonts w:cs="Arial"/>
          <w:sz w:val="20"/>
        </w:rPr>
        <w:t>-B</w:t>
      </w:r>
      <w:r w:rsidRPr="00DA5F4B">
        <w:rPr>
          <w:rFonts w:cs="Arial"/>
          <w:sz w:val="20"/>
        </w:rPr>
        <w:t>).</w:t>
      </w:r>
    </w:p>
    <w:p w14:paraId="4B63D411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4BED8FE6" w14:textId="064464E1" w:rsidR="005E6748" w:rsidRDefault="005E6748" w:rsidP="005E6748">
      <w:pPr>
        <w:jc w:val="both"/>
        <w:rPr>
          <w:rFonts w:cs="Arial"/>
          <w:sz w:val="20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75A43FF9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C6521D">
        <w:rPr>
          <w:rFonts w:cs="Arial"/>
          <w:sz w:val="20"/>
        </w:rPr>
        <w:t>20</w:t>
      </w:r>
      <w:r w:rsidR="00A45A6D">
        <w:rPr>
          <w:rFonts w:cs="Arial"/>
          <w:sz w:val="20"/>
        </w:rPr>
        <w:t>.</w:t>
      </w:r>
      <w:r w:rsidR="008D1B3D">
        <w:rPr>
          <w:rFonts w:cs="Arial"/>
          <w:sz w:val="20"/>
        </w:rPr>
        <w:t xml:space="preserve"> </w:t>
      </w:r>
      <w:r w:rsidR="00C6521D">
        <w:rPr>
          <w:rFonts w:cs="Arial"/>
          <w:sz w:val="20"/>
        </w:rPr>
        <w:t>2</w:t>
      </w:r>
      <w:r w:rsidR="008D1B3D">
        <w:rPr>
          <w:rFonts w:cs="Arial"/>
          <w:sz w:val="20"/>
        </w:rPr>
        <w:t>. 202</w:t>
      </w:r>
      <w:r w:rsidR="00A45A6D">
        <w:rPr>
          <w:rFonts w:cs="Arial"/>
          <w:sz w:val="20"/>
        </w:rPr>
        <w:t>5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</w:t>
      </w:r>
      <w:r w:rsidR="00A45A6D">
        <w:rPr>
          <w:rFonts w:cs="Arial"/>
          <w:sz w:val="20"/>
        </w:rPr>
        <w:t xml:space="preserve">352-2688/2012-MPJU </w:t>
      </w:r>
      <w:r w:rsidRPr="00171307">
        <w:rPr>
          <w:rFonts w:cs="Arial"/>
          <w:sz w:val="20"/>
        </w:rPr>
        <w:t>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7FB8DACC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 xml:space="preserve">Šteje se, da je </w:t>
      </w:r>
      <w:r w:rsidR="00FB3319">
        <w:rPr>
          <w:rFonts w:cs="Arial"/>
          <w:sz w:val="20"/>
        </w:rPr>
        <w:t>ponudba</w:t>
      </w:r>
      <w:r w:rsidRPr="00171307">
        <w:rPr>
          <w:rFonts w:cs="Arial"/>
          <w:sz w:val="20"/>
        </w:rPr>
        <w:t xml:space="preserve">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C6521D">
        <w:rPr>
          <w:rFonts w:cs="Arial"/>
          <w:b/>
          <w:bCs/>
          <w:sz w:val="20"/>
        </w:rPr>
        <w:t>20</w:t>
      </w:r>
      <w:r w:rsidR="008D1B3D">
        <w:rPr>
          <w:rFonts w:cs="Arial"/>
          <w:b/>
          <w:bCs/>
          <w:sz w:val="20"/>
        </w:rPr>
        <w:t xml:space="preserve">. </w:t>
      </w:r>
      <w:r w:rsidR="00C6521D">
        <w:rPr>
          <w:rFonts w:cs="Arial"/>
          <w:b/>
          <w:bCs/>
          <w:sz w:val="20"/>
        </w:rPr>
        <w:t>2</w:t>
      </w:r>
      <w:r w:rsidR="008D1B3D">
        <w:rPr>
          <w:rFonts w:cs="Arial"/>
          <w:b/>
          <w:bCs/>
          <w:sz w:val="20"/>
        </w:rPr>
        <w:t>. 20</w:t>
      </w:r>
      <w:r w:rsidR="003D3E80">
        <w:rPr>
          <w:rFonts w:cs="Arial"/>
          <w:b/>
          <w:bCs/>
          <w:sz w:val="20"/>
        </w:rPr>
        <w:t>2</w:t>
      </w:r>
      <w:r w:rsidR="00A45A6D">
        <w:rPr>
          <w:rFonts w:cs="Arial"/>
          <w:b/>
          <w:bCs/>
          <w:sz w:val="20"/>
        </w:rPr>
        <w:t>5</w:t>
      </w:r>
      <w:r w:rsidRPr="0077046A">
        <w:rPr>
          <w:rFonts w:cs="Arial"/>
          <w:b/>
          <w:bCs/>
          <w:sz w:val="20"/>
        </w:rPr>
        <w:t xml:space="preserve"> do 15:00 ure. Ponudbe, predložene po izteku roka</w:t>
      </w:r>
      <w:r w:rsidR="007A513F">
        <w:rPr>
          <w:rFonts w:cs="Arial"/>
          <w:b/>
          <w:bCs/>
          <w:sz w:val="20"/>
        </w:rPr>
        <w:t xml:space="preserve">, </w:t>
      </w:r>
      <w:r w:rsidRPr="0077046A">
        <w:rPr>
          <w:rFonts w:cs="Arial"/>
          <w:b/>
          <w:bCs/>
          <w:sz w:val="20"/>
        </w:rPr>
        <w:t xml:space="preserve">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bodo o rezultatih odpiranju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257EFDFD" w14:textId="77777777" w:rsidR="00C6521D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Ogled prostor</w:t>
      </w:r>
      <w:r w:rsidR="00D32B21">
        <w:rPr>
          <w:rFonts w:cs="Arial"/>
          <w:sz w:val="20"/>
        </w:rPr>
        <w:t>ov</w:t>
      </w:r>
      <w:r w:rsidRPr="008335FE">
        <w:rPr>
          <w:rFonts w:cs="Arial"/>
          <w:sz w:val="20"/>
        </w:rPr>
        <w:t xml:space="preserve"> po dogovoru. </w:t>
      </w:r>
    </w:p>
    <w:p w14:paraId="50A178E9" w14:textId="6341F00A" w:rsidR="005E6748" w:rsidRDefault="005E6748" w:rsidP="005E6748">
      <w:pPr>
        <w:jc w:val="both"/>
        <w:rPr>
          <w:rStyle w:val="Hiperpovezava"/>
          <w:rFonts w:cs="Arial"/>
          <w:sz w:val="20"/>
        </w:rPr>
      </w:pPr>
      <w:r w:rsidRPr="008335FE">
        <w:rPr>
          <w:rFonts w:cs="Arial"/>
          <w:sz w:val="20"/>
        </w:rPr>
        <w:t>Kontaktna oseba za ogled</w:t>
      </w:r>
      <w:r w:rsidR="00C6521D">
        <w:rPr>
          <w:rFonts w:cs="Arial"/>
          <w:sz w:val="20"/>
        </w:rPr>
        <w:t xml:space="preserve"> pri Ministrstvu za javno upravo</w:t>
      </w:r>
      <w:r w:rsidRPr="008335FE">
        <w:rPr>
          <w:rFonts w:cs="Arial"/>
          <w:sz w:val="20"/>
        </w:rPr>
        <w:t>:</w:t>
      </w:r>
      <w:r w:rsidR="00A45A6D">
        <w:rPr>
          <w:rFonts w:cs="Arial"/>
          <w:sz w:val="20"/>
        </w:rPr>
        <w:t xml:space="preserve"> David Fijavž</w:t>
      </w:r>
      <w:r w:rsidR="00C6521D">
        <w:rPr>
          <w:rFonts w:cs="Arial"/>
          <w:sz w:val="20"/>
        </w:rPr>
        <w:t>, telefon</w:t>
      </w:r>
      <w:r w:rsidRPr="00185183">
        <w:rPr>
          <w:rFonts w:cs="Arial"/>
          <w:color w:val="000000" w:themeColor="text1"/>
          <w:sz w:val="20"/>
        </w:rPr>
        <w:t xml:space="preserve">: </w:t>
      </w:r>
      <w:r w:rsidR="00E163E2" w:rsidRPr="00185183">
        <w:rPr>
          <w:rFonts w:cs="Arial"/>
          <w:color w:val="000000" w:themeColor="text1"/>
          <w:sz w:val="20"/>
        </w:rPr>
        <w:t>030/</w:t>
      </w:r>
      <w:r w:rsidR="00A45A6D">
        <w:rPr>
          <w:rFonts w:cs="Arial"/>
          <w:color w:val="000000" w:themeColor="text1"/>
          <w:sz w:val="20"/>
        </w:rPr>
        <w:t>488</w:t>
      </w:r>
      <w:r w:rsidR="00892CEB">
        <w:rPr>
          <w:rFonts w:cs="Arial"/>
          <w:color w:val="000000" w:themeColor="text1"/>
          <w:sz w:val="20"/>
        </w:rPr>
        <w:t>-</w:t>
      </w:r>
      <w:r w:rsidR="00A45A6D">
        <w:rPr>
          <w:rFonts w:cs="Arial"/>
          <w:color w:val="000000" w:themeColor="text1"/>
          <w:sz w:val="20"/>
        </w:rPr>
        <w:t>165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="00D32B21">
        <w:rPr>
          <w:rFonts w:cs="Arial"/>
          <w:color w:val="000000" w:themeColor="text1"/>
          <w:sz w:val="20"/>
        </w:rPr>
        <w:t xml:space="preserve"> 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9" w:history="1">
        <w:r w:rsidR="00A45A6D" w:rsidRPr="0068104B">
          <w:rPr>
            <w:rStyle w:val="Hiperpovezava"/>
            <w:rFonts w:cs="Arial"/>
            <w:sz w:val="20"/>
          </w:rPr>
          <w:t>david.fijavz@gov.si</w:t>
        </w:r>
      </w:hyperlink>
      <w:r w:rsidR="00C6521D">
        <w:rPr>
          <w:rStyle w:val="Hiperpovezava"/>
          <w:rFonts w:cs="Arial"/>
          <w:sz w:val="20"/>
        </w:rPr>
        <w:t xml:space="preserve"> </w:t>
      </w:r>
    </w:p>
    <w:p w14:paraId="7580C7AB" w14:textId="4ECC3A0B" w:rsidR="00C6521D" w:rsidRDefault="00C6521D" w:rsidP="005E6748">
      <w:pPr>
        <w:jc w:val="both"/>
        <w:rPr>
          <w:rStyle w:val="Hiperpovezava"/>
          <w:rFonts w:cs="Arial"/>
          <w:color w:val="000000" w:themeColor="text1"/>
          <w:sz w:val="20"/>
          <w:u w:val="none"/>
        </w:rPr>
      </w:pPr>
      <w:r w:rsidRPr="00C6521D">
        <w:rPr>
          <w:rStyle w:val="Hiperpovezava"/>
          <w:rFonts w:cs="Arial"/>
          <w:color w:val="000000" w:themeColor="text1"/>
          <w:sz w:val="20"/>
          <w:u w:val="none"/>
        </w:rPr>
        <w:t>Konta</w:t>
      </w:r>
      <w:r>
        <w:rPr>
          <w:rStyle w:val="Hiperpovezava"/>
          <w:rFonts w:cs="Arial"/>
          <w:color w:val="000000" w:themeColor="text1"/>
          <w:sz w:val="20"/>
          <w:u w:val="none"/>
        </w:rPr>
        <w:t xml:space="preserve">ktna oseba za ogled pri UE Šmarje pri Jelšah: Mitja Krajnc, telefon: 03/817-17 64, e-pošta: </w:t>
      </w:r>
      <w:hyperlink r:id="rId10" w:history="1">
        <w:r w:rsidRPr="006F5197">
          <w:rPr>
            <w:rStyle w:val="Hiperpovezava"/>
            <w:rFonts w:cs="Arial"/>
            <w:sz w:val="20"/>
          </w:rPr>
          <w:t>mitja.krajnc@gov.si</w:t>
        </w:r>
      </w:hyperlink>
    </w:p>
    <w:p w14:paraId="13534C0A" w14:textId="77777777" w:rsidR="00A45A6D" w:rsidRPr="008335FE" w:rsidRDefault="00A45A6D" w:rsidP="005E6748">
      <w:pPr>
        <w:jc w:val="both"/>
        <w:rPr>
          <w:rFonts w:cs="Arial"/>
          <w:sz w:val="20"/>
        </w:rPr>
      </w:pPr>
    </w:p>
    <w:p w14:paraId="5DA85A3C" w14:textId="51D5C8C5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Ponudniki lahko postavijo vprašanja in zahteve za dodatna pojasnila glede izvedbe postopka  Tanji Bašelj, telefon: 0</w:t>
      </w:r>
      <w:r w:rsidR="00892CEB">
        <w:rPr>
          <w:rFonts w:cs="Arial"/>
          <w:sz w:val="20"/>
        </w:rPr>
        <w:t>40/672-106</w:t>
      </w:r>
      <w:r w:rsidRPr="008335FE">
        <w:rPr>
          <w:rFonts w:cs="Arial"/>
          <w:sz w:val="20"/>
        </w:rPr>
        <w:t xml:space="preserve">, elektronski naslov: </w:t>
      </w:r>
      <w:hyperlink r:id="rId11" w:history="1">
        <w:r w:rsidR="00A45A6D" w:rsidRPr="0068104B">
          <w:rPr>
            <w:rStyle w:val="Hiperpovezava"/>
            <w:rFonts w:cs="Arial"/>
            <w:sz w:val="20"/>
          </w:rPr>
          <w:t>tanja.baselj@gov.si</w:t>
        </w:r>
      </w:hyperlink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59DFC81F" w:rsidR="005E6748" w:rsidRPr="008335FE" w:rsidRDefault="005E6748" w:rsidP="00B8441D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Organizator lahko do sklenitve pravnega posla </w:t>
      </w:r>
      <w:r w:rsidR="00B8441D" w:rsidRPr="008335FE">
        <w:rPr>
          <w:rFonts w:cs="Arial"/>
          <w:sz w:val="20"/>
        </w:rPr>
        <w:t>brez odškodninske odgovornosti</w:t>
      </w:r>
      <w:r w:rsidR="00B8441D">
        <w:rPr>
          <w:rFonts w:cs="Arial"/>
          <w:sz w:val="20"/>
        </w:rPr>
        <w:t xml:space="preserve"> </w:t>
      </w:r>
      <w:r w:rsidRPr="008335FE">
        <w:rPr>
          <w:rFonts w:cs="Arial"/>
          <w:sz w:val="20"/>
        </w:rPr>
        <w:t>postopek zbiranja ponudb ustavi oziroma ne sklene pogodbe z uspelim ponudnikom</w:t>
      </w:r>
      <w:r w:rsidR="00B8441D">
        <w:rPr>
          <w:rFonts w:cs="Arial"/>
          <w:sz w:val="20"/>
        </w:rPr>
        <w:t>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511F66" w:rsidP="005E6748">
      <w:pPr>
        <w:jc w:val="both"/>
        <w:rPr>
          <w:rFonts w:cs="Arial"/>
          <w:sz w:val="20"/>
        </w:rPr>
      </w:pPr>
      <w:hyperlink r:id="rId12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7162EA7" w14:textId="66D0DA27" w:rsidR="006C11C4" w:rsidRDefault="006C11C4" w:rsidP="0039339A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</w:t>
      </w:r>
      <w:r w:rsidR="006F03E2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 xml:space="preserve">     </w:t>
      </w:r>
      <w:r w:rsidR="0039339A">
        <w:rPr>
          <w:rFonts w:cs="Arial"/>
          <w:sz w:val="20"/>
        </w:rPr>
        <w:t xml:space="preserve">  mag. Franc </w:t>
      </w:r>
      <w:proofErr w:type="spellStart"/>
      <w:r w:rsidR="0039339A">
        <w:rPr>
          <w:rFonts w:cs="Arial"/>
          <w:sz w:val="20"/>
        </w:rPr>
        <w:t>Props</w:t>
      </w:r>
      <w:proofErr w:type="spellEnd"/>
    </w:p>
    <w:p w14:paraId="099172BF" w14:textId="1283FE62" w:rsidR="0039339A" w:rsidRDefault="0039339A" w:rsidP="0039339A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</w:t>
      </w:r>
      <w:r w:rsidR="006F03E2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>minister</w:t>
      </w:r>
    </w:p>
    <w:p w14:paraId="5CA87304" w14:textId="77777777" w:rsidR="00AB15FE" w:rsidRDefault="00AB15FE" w:rsidP="0039339A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5B0A8054" w14:textId="77777777" w:rsidR="00AB15FE" w:rsidRDefault="00AB15FE" w:rsidP="0039339A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753DEA29" w14:textId="77B2F0C0" w:rsidR="00AB15FE" w:rsidRPr="004838C4" w:rsidRDefault="00AB15FE" w:rsidP="0039339A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>Priloga</w:t>
      </w:r>
      <w:r w:rsidR="00FB3319">
        <w:rPr>
          <w:rFonts w:cs="Arial"/>
          <w:sz w:val="20"/>
        </w:rPr>
        <w:t xml:space="preserve">: </w:t>
      </w:r>
      <w:r>
        <w:rPr>
          <w:rFonts w:cs="Arial"/>
          <w:sz w:val="20"/>
        </w:rPr>
        <w:t>– skica prostora</w:t>
      </w:r>
    </w:p>
    <w:sectPr w:rsidR="00AB15FE" w:rsidRPr="004838C4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1B6D" w14:textId="77777777" w:rsidR="0030278F" w:rsidRDefault="0030278F">
      <w:r>
        <w:separator/>
      </w:r>
    </w:p>
  </w:endnote>
  <w:endnote w:type="continuationSeparator" w:id="0">
    <w:p w14:paraId="5E98AD70" w14:textId="77777777" w:rsidR="0030278F" w:rsidRDefault="003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DFED" w14:textId="77777777" w:rsidR="0030278F" w:rsidRDefault="0030278F">
      <w:r>
        <w:separator/>
      </w:r>
    </w:p>
  </w:footnote>
  <w:footnote w:type="continuationSeparator" w:id="0">
    <w:p w14:paraId="5A27ABF6" w14:textId="77777777" w:rsidR="0030278F" w:rsidRDefault="0030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82089392">
    <w:abstractNumId w:val="18"/>
  </w:num>
  <w:num w:numId="2" w16cid:durableId="444467930">
    <w:abstractNumId w:val="7"/>
  </w:num>
  <w:num w:numId="3" w16cid:durableId="1797094243">
    <w:abstractNumId w:val="9"/>
  </w:num>
  <w:num w:numId="4" w16cid:durableId="1348169464">
    <w:abstractNumId w:val="3"/>
  </w:num>
  <w:num w:numId="5" w16cid:durableId="1347290784">
    <w:abstractNumId w:val="4"/>
  </w:num>
  <w:num w:numId="6" w16cid:durableId="2002656289">
    <w:abstractNumId w:val="16"/>
  </w:num>
  <w:num w:numId="7" w16cid:durableId="1822498972">
    <w:abstractNumId w:val="11"/>
  </w:num>
  <w:num w:numId="8" w16cid:durableId="623460033">
    <w:abstractNumId w:val="17"/>
  </w:num>
  <w:num w:numId="9" w16cid:durableId="403725888">
    <w:abstractNumId w:val="6"/>
  </w:num>
  <w:num w:numId="10" w16cid:durableId="151873102">
    <w:abstractNumId w:val="0"/>
  </w:num>
  <w:num w:numId="11" w16cid:durableId="518395247">
    <w:abstractNumId w:val="8"/>
  </w:num>
  <w:num w:numId="12" w16cid:durableId="911085422">
    <w:abstractNumId w:val="1"/>
  </w:num>
  <w:num w:numId="13" w16cid:durableId="1102184579">
    <w:abstractNumId w:val="15"/>
  </w:num>
  <w:num w:numId="14" w16cid:durableId="1826244455">
    <w:abstractNumId w:val="13"/>
  </w:num>
  <w:num w:numId="15" w16cid:durableId="1013267552">
    <w:abstractNumId w:val="5"/>
  </w:num>
  <w:num w:numId="16" w16cid:durableId="1167556095">
    <w:abstractNumId w:val="14"/>
  </w:num>
  <w:num w:numId="17" w16cid:durableId="2101292282">
    <w:abstractNumId w:val="19"/>
  </w:num>
  <w:num w:numId="18" w16cid:durableId="443039991">
    <w:abstractNumId w:val="21"/>
  </w:num>
  <w:num w:numId="19" w16cid:durableId="706680569">
    <w:abstractNumId w:val="12"/>
  </w:num>
  <w:num w:numId="20" w16cid:durableId="608007754">
    <w:abstractNumId w:val="20"/>
  </w:num>
  <w:num w:numId="21" w16cid:durableId="657610045">
    <w:abstractNumId w:val="2"/>
  </w:num>
  <w:num w:numId="22" w16cid:durableId="236208900">
    <w:abstractNumId w:val="10"/>
  </w:num>
  <w:num w:numId="23" w16cid:durableId="1300721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03343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350B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2AAA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283C"/>
    <w:rsid w:val="001E51E4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278F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339A"/>
    <w:rsid w:val="003A6A3A"/>
    <w:rsid w:val="003B1C49"/>
    <w:rsid w:val="003B30A8"/>
    <w:rsid w:val="003B3372"/>
    <w:rsid w:val="003B5C61"/>
    <w:rsid w:val="003B7DCE"/>
    <w:rsid w:val="003C2388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6A4E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1F66"/>
    <w:rsid w:val="005174C8"/>
    <w:rsid w:val="0052194C"/>
    <w:rsid w:val="0052318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5706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214C"/>
    <w:rsid w:val="005869E9"/>
    <w:rsid w:val="005A7F91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3826"/>
    <w:rsid w:val="006C4A64"/>
    <w:rsid w:val="006D42D9"/>
    <w:rsid w:val="006D42EC"/>
    <w:rsid w:val="006D76B0"/>
    <w:rsid w:val="006E1447"/>
    <w:rsid w:val="006E4FD5"/>
    <w:rsid w:val="006E5F2B"/>
    <w:rsid w:val="006E7EA6"/>
    <w:rsid w:val="006F03E2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773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13F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5F32"/>
    <w:rsid w:val="007D6B11"/>
    <w:rsid w:val="007D75CF"/>
    <w:rsid w:val="007E14BC"/>
    <w:rsid w:val="007E31EC"/>
    <w:rsid w:val="007E6DC5"/>
    <w:rsid w:val="007F0551"/>
    <w:rsid w:val="007F78C0"/>
    <w:rsid w:val="008020E2"/>
    <w:rsid w:val="00802CBD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2530"/>
    <w:rsid w:val="00846C6A"/>
    <w:rsid w:val="00847C53"/>
    <w:rsid w:val="008561B9"/>
    <w:rsid w:val="00871E0C"/>
    <w:rsid w:val="00871E36"/>
    <w:rsid w:val="00874478"/>
    <w:rsid w:val="0088043C"/>
    <w:rsid w:val="008852E0"/>
    <w:rsid w:val="008906C9"/>
    <w:rsid w:val="00890713"/>
    <w:rsid w:val="00891BE1"/>
    <w:rsid w:val="00892CEB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322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29E2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35FB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9F59A0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A6D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13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15FE"/>
    <w:rsid w:val="00AB38CE"/>
    <w:rsid w:val="00AC3D17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552A"/>
    <w:rsid w:val="00B37162"/>
    <w:rsid w:val="00B470A1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41D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808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6521D"/>
    <w:rsid w:val="00C72E19"/>
    <w:rsid w:val="00C77797"/>
    <w:rsid w:val="00C8715D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961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67F7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077A"/>
    <w:rsid w:val="00E41874"/>
    <w:rsid w:val="00E44C83"/>
    <w:rsid w:val="00E4582E"/>
    <w:rsid w:val="00E4661B"/>
    <w:rsid w:val="00E550F0"/>
    <w:rsid w:val="00E628E9"/>
    <w:rsid w:val="00E657A7"/>
    <w:rsid w:val="00E65F70"/>
    <w:rsid w:val="00E66498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A6C92"/>
    <w:rsid w:val="00EB0322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1413"/>
    <w:rsid w:val="00F04286"/>
    <w:rsid w:val="00F05E5B"/>
    <w:rsid w:val="00F102BF"/>
    <w:rsid w:val="00F121C5"/>
    <w:rsid w:val="00F1242C"/>
    <w:rsid w:val="00F221BB"/>
    <w:rsid w:val="00F23FF3"/>
    <w:rsid w:val="00F240BB"/>
    <w:rsid w:val="00F253A6"/>
    <w:rsid w:val="00F30B63"/>
    <w:rsid w:val="00F32F3B"/>
    <w:rsid w:val="00F34B36"/>
    <w:rsid w:val="00F34D3A"/>
    <w:rsid w:val="00F361AB"/>
    <w:rsid w:val="00F37A25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3412"/>
    <w:rsid w:val="00F7583C"/>
    <w:rsid w:val="00F76E06"/>
    <w:rsid w:val="00F855E5"/>
    <w:rsid w:val="00F90A3A"/>
    <w:rsid w:val="00F91E94"/>
    <w:rsid w:val="00FA1CCE"/>
    <w:rsid w:val="00FA1E76"/>
    <w:rsid w:val="00FB3319"/>
    <w:rsid w:val="00FB5633"/>
    <w:rsid w:val="00FB5852"/>
    <w:rsid w:val="00FB5862"/>
    <w:rsid w:val="00FC399C"/>
    <w:rsid w:val="00FC44DA"/>
    <w:rsid w:val="00FD25A2"/>
    <w:rsid w:val="00FE08C5"/>
    <w:rsid w:val="00FE5EC6"/>
    <w:rsid w:val="00FF3F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735F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baselj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tja.krajnc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fijavz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2</Pages>
  <Words>717</Words>
  <Characters>4740</Characters>
  <Application>Microsoft Office Word</Application>
  <DocSecurity>4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5447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pp v najem Aškerčev trg 11 Šmarje</dc:title>
  <dc:subject/>
  <dc:creator>Marija Petek</dc:creator>
  <cp:keywords>352-2688/2012-MPJU</cp:keywords>
  <dc:description/>
  <cp:lastModifiedBy>Nevenka Trček</cp:lastModifiedBy>
  <cp:revision>2</cp:revision>
  <cp:lastPrinted>2019-07-25T11:29:00Z</cp:lastPrinted>
  <dcterms:created xsi:type="dcterms:W3CDTF">2025-01-16T09:33:00Z</dcterms:created>
  <dcterms:modified xsi:type="dcterms:W3CDTF">2025-01-16T09:33:00Z</dcterms:modified>
</cp:coreProperties>
</file>