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7948" w:rsidRDefault="00DD7948" w:rsidP="00DD7948">
      <w:pPr>
        <w:spacing w:after="0" w:line="240" w:lineRule="auto"/>
        <w:jc w:val="center"/>
        <w:rPr>
          <w:rFonts w:cstheme="minorHAnsi"/>
          <w:b/>
          <w:color w:val="2F5496" w:themeColor="accent1" w:themeShade="BF"/>
          <w:sz w:val="24"/>
          <w:szCs w:val="24"/>
          <w:lang w:val="it-IT"/>
        </w:rPr>
      </w:pPr>
    </w:p>
    <w:p w:rsidR="00DD7948" w:rsidRPr="004B158C" w:rsidRDefault="00DD7948" w:rsidP="00DD7948">
      <w:pPr>
        <w:spacing w:after="0" w:line="240" w:lineRule="auto"/>
        <w:jc w:val="center"/>
        <w:rPr>
          <w:rFonts w:cstheme="minorHAnsi"/>
          <w:noProof/>
          <w:color w:val="323E4F" w:themeColor="text2" w:themeShade="BF"/>
          <w:lang w:val="it-IT"/>
        </w:rPr>
      </w:pPr>
      <w:r w:rsidRPr="004B158C">
        <w:rPr>
          <w:rFonts w:cstheme="minorHAnsi"/>
          <w:b/>
          <w:color w:val="323E4F" w:themeColor="text2" w:themeShade="BF"/>
          <w:sz w:val="24"/>
          <w:szCs w:val="24"/>
          <w:lang w:val="it-IT"/>
        </w:rPr>
        <w:t>VZPOSTAVITEV</w:t>
      </w:r>
      <w:r w:rsidRPr="004B158C">
        <w:rPr>
          <w:rFonts w:cstheme="minorHAnsi"/>
          <w:noProof/>
          <w:color w:val="323E4F" w:themeColor="text2" w:themeShade="BF"/>
          <w:lang w:val="it-IT"/>
        </w:rPr>
        <w:t xml:space="preserve"> </w:t>
      </w:r>
      <w:r w:rsidRPr="004B158C">
        <w:rPr>
          <w:rFonts w:cstheme="minorHAnsi"/>
          <w:b/>
          <w:color w:val="323E4F" w:themeColor="text2" w:themeShade="BF"/>
          <w:sz w:val="24"/>
          <w:szCs w:val="24"/>
          <w:lang w:val="it-IT"/>
        </w:rPr>
        <w:t>KOMPETENČNEGA MODELA</w:t>
      </w:r>
    </w:p>
    <w:p w:rsidR="00DD7948" w:rsidRPr="004B158C" w:rsidRDefault="00DD7948" w:rsidP="00DD7948">
      <w:pPr>
        <w:spacing w:after="0" w:line="240" w:lineRule="auto"/>
        <w:jc w:val="center"/>
        <w:rPr>
          <w:rFonts w:ascii="Arial" w:hAnsi="Arial" w:cs="Arial"/>
          <w:b/>
          <w:color w:val="323E4F" w:themeColor="text2" w:themeShade="BF"/>
          <w:sz w:val="24"/>
          <w:szCs w:val="24"/>
          <w:lang w:val="it-IT"/>
        </w:rPr>
      </w:pPr>
      <w:r w:rsidRPr="004B158C">
        <w:rPr>
          <w:rFonts w:cstheme="minorHAnsi"/>
          <w:b/>
          <w:color w:val="323E4F" w:themeColor="text2" w:themeShade="BF"/>
          <w:sz w:val="24"/>
          <w:szCs w:val="24"/>
          <w:lang w:val="it-IT"/>
        </w:rPr>
        <w:t>APRIL 2019</w:t>
      </w:r>
    </w:p>
    <w:p w:rsidR="00D52223" w:rsidRPr="00DD7948" w:rsidRDefault="00D52223" w:rsidP="00DD7948">
      <w:pPr>
        <w:spacing w:after="0"/>
        <w:rPr>
          <w:rFonts w:cstheme="minorHAnsi"/>
          <w:color w:val="44546A" w:themeColor="text2"/>
          <w:sz w:val="21"/>
          <w:szCs w:val="21"/>
        </w:rPr>
      </w:pPr>
      <w:bookmarkStart w:id="0" w:name="_GoBack"/>
      <w:bookmarkEnd w:id="0"/>
    </w:p>
    <w:p w:rsidR="00DD7948" w:rsidRPr="00DD7948" w:rsidRDefault="00DD7948" w:rsidP="00DD7948">
      <w:pPr>
        <w:spacing w:after="0"/>
        <w:rPr>
          <w:rFonts w:eastAsia="Calibri" w:cstheme="minorHAnsi"/>
          <w:noProof/>
          <w:color w:val="44546A" w:themeColor="text2"/>
          <w:sz w:val="21"/>
          <w:szCs w:val="21"/>
        </w:rPr>
      </w:pPr>
      <w:r w:rsidRPr="00DD7948">
        <w:rPr>
          <w:rFonts w:eastAsia="Calibri" w:cstheme="minorHAnsi"/>
          <w:noProof/>
          <w:color w:val="44546A" w:themeColor="text2"/>
          <w:sz w:val="21"/>
          <w:szCs w:val="21"/>
        </w:rPr>
        <w:t>Spoštovani sodelavci!</w:t>
      </w:r>
    </w:p>
    <w:p w:rsidR="00DD7948" w:rsidRPr="00DD7948" w:rsidRDefault="00DD7948" w:rsidP="00DD7948">
      <w:pPr>
        <w:spacing w:after="0"/>
        <w:rPr>
          <w:rFonts w:eastAsia="Calibri" w:cstheme="minorHAnsi"/>
          <w:noProof/>
          <w:color w:val="44546A" w:themeColor="text2"/>
          <w:sz w:val="21"/>
          <w:szCs w:val="21"/>
        </w:rPr>
      </w:pPr>
    </w:p>
    <w:p w:rsidR="00DD7948" w:rsidRPr="00DD7948" w:rsidRDefault="00DD7948" w:rsidP="00DD7948">
      <w:pPr>
        <w:spacing w:after="0"/>
        <w:rPr>
          <w:rFonts w:eastAsia="Calibri" w:cstheme="minorHAnsi"/>
          <w:noProof/>
          <w:color w:val="44546A" w:themeColor="text2"/>
          <w:sz w:val="21"/>
          <w:szCs w:val="21"/>
        </w:rPr>
      </w:pPr>
      <w:r w:rsidRPr="00DD7948">
        <w:rPr>
          <w:rFonts w:eastAsia="Calibri" w:cstheme="minorHAnsi"/>
          <w:noProof/>
          <w:color w:val="44546A" w:themeColor="text2"/>
          <w:sz w:val="21"/>
          <w:szCs w:val="21"/>
        </w:rPr>
        <w:t xml:space="preserve">V mesecu marcu in aprilu smo do plodnih zaključkov pripeljali usklajevalne sestanke </w:t>
      </w:r>
      <w:r w:rsidRPr="00DD7948">
        <w:rPr>
          <w:rFonts w:eastAsia="Calibri" w:cstheme="minorHAnsi"/>
          <w:b/>
          <w:noProof/>
          <w:color w:val="44546A" w:themeColor="text2"/>
          <w:sz w:val="21"/>
          <w:szCs w:val="21"/>
        </w:rPr>
        <w:t>z organi državne uprave, ki imajo zaradi svojega področja dela nekatere večje posebnosti.</w:t>
      </w:r>
      <w:r w:rsidRPr="00DD7948">
        <w:rPr>
          <w:rFonts w:eastAsia="Calibri" w:cstheme="minorHAnsi"/>
          <w:noProof/>
          <w:color w:val="44546A" w:themeColor="text2"/>
          <w:sz w:val="21"/>
          <w:szCs w:val="21"/>
        </w:rPr>
        <w:t xml:space="preserve"> Na ta način smo si prizadevali vzpostaviti kompetenčni model, ki bo uporaben za vse organe državne uprave.</w:t>
      </w:r>
    </w:p>
    <w:p w:rsidR="00DD7948" w:rsidRPr="00DD7948" w:rsidRDefault="00DD7948" w:rsidP="00DD7948">
      <w:pPr>
        <w:spacing w:after="0"/>
        <w:rPr>
          <w:rFonts w:eastAsia="Calibri" w:cstheme="minorHAnsi"/>
          <w:noProof/>
          <w:color w:val="44546A" w:themeColor="text2"/>
          <w:sz w:val="21"/>
          <w:szCs w:val="21"/>
        </w:rPr>
      </w:pPr>
    </w:p>
    <w:p w:rsidR="00DD7948" w:rsidRPr="00DD7948" w:rsidRDefault="00DD7948" w:rsidP="00DD7948">
      <w:pPr>
        <w:spacing w:after="0"/>
        <w:rPr>
          <w:rFonts w:eastAsia="Calibri" w:cstheme="minorHAnsi"/>
          <w:noProof/>
          <w:color w:val="44546A" w:themeColor="text2"/>
          <w:sz w:val="21"/>
          <w:szCs w:val="21"/>
        </w:rPr>
      </w:pPr>
      <w:r w:rsidRPr="00DD7948">
        <w:rPr>
          <w:rFonts w:eastAsia="Calibri" w:cstheme="minorHAnsi"/>
          <w:noProof/>
          <w:color w:val="44546A" w:themeColor="text2"/>
          <w:sz w:val="21"/>
          <w:szCs w:val="21"/>
        </w:rPr>
        <w:t xml:space="preserve">Ključne rezultate projekta smo meseca marca tudi predstavili članom širše in ožje medresorske delovne skupine. S tem smo zakorakali v zaključek projekta vzpostavitve kompetenčnega modela v državni upravi. Vsebina je bila sprejeta pozitivno, člani pa so izrazili veliko zanimanje za nadaljnje sodelovanje pri implementaciji rezultatov skupnega dela. Z modelom želimo v nadaljevanju seznaniti tudi vse zaposlene v državni upravi, katerim je tudi namenjen. </w:t>
      </w:r>
    </w:p>
    <w:p w:rsidR="00DD7948" w:rsidRPr="00DD7948" w:rsidRDefault="00DD7948" w:rsidP="00DD7948">
      <w:pPr>
        <w:spacing w:after="0"/>
        <w:rPr>
          <w:rFonts w:eastAsia="Calibri" w:cstheme="minorHAnsi"/>
          <w:noProof/>
          <w:color w:val="44546A" w:themeColor="text2"/>
          <w:sz w:val="21"/>
          <w:szCs w:val="21"/>
        </w:rPr>
      </w:pPr>
    </w:p>
    <w:p w:rsidR="00DD7948" w:rsidRDefault="00DD7948" w:rsidP="00DD7948">
      <w:pPr>
        <w:spacing w:after="0"/>
        <w:rPr>
          <w:rFonts w:eastAsia="Calibri" w:cstheme="minorHAnsi"/>
          <w:noProof/>
          <w:color w:val="44546A" w:themeColor="text2"/>
          <w:sz w:val="21"/>
          <w:szCs w:val="21"/>
        </w:rPr>
      </w:pPr>
      <w:r w:rsidRPr="00DD7948">
        <w:rPr>
          <w:rFonts w:eastAsia="Calibri" w:cstheme="minorHAnsi"/>
          <w:noProof/>
          <w:color w:val="44546A" w:themeColor="text2"/>
          <w:sz w:val="21"/>
          <w:szCs w:val="21"/>
        </w:rPr>
        <w:t>Iz tega razloga vam spodaj predstavljamo model kompetenc, ki je nastal. Sestavljajo ga trije ključni vsebinski sklopi, in sicer temeljne, vodstvene in delovno specifične kompetence. Vsak sklop zajema določeno število kompetenc, te pa so nadalje opredeljene z opisom in vedenjskimi kazalniki. Štiri vodstvene kompetence skupaj s štirimi temeljnimi kompetencami, tvorijo celoto lastnosti, znanj, spretnosti in sposobnosti, pomembnih za učinkovito vodstveno delovanje na različnih nivojih vodenja v državni upravi. Veščine strokovnjakov na različnih področjih dela opredeljujejo štiri temeljne in izbrane delovno specifične kompetence. Te so določene glede na sklop, v katerega se posamezno delo po vsebini umešča. Delovno specifične kompetence so zato pri delovnih mestih iz vsebinsko sorodnih področij podobne, pri zelo različnih strokovnih področjih, pa se razlikujejo.</w:t>
      </w:r>
    </w:p>
    <w:p w:rsidR="00DD7948" w:rsidRDefault="00DD7948" w:rsidP="00DD7948">
      <w:pPr>
        <w:spacing w:after="0"/>
        <w:rPr>
          <w:rFonts w:eastAsia="Calibri" w:cstheme="minorHAnsi"/>
          <w:noProof/>
          <w:color w:val="44546A" w:themeColor="text2"/>
          <w:sz w:val="21"/>
          <w:szCs w:val="21"/>
        </w:rPr>
      </w:pPr>
      <w:r>
        <w:rPr>
          <w:noProof/>
        </w:rPr>
        <w:lastRenderedPageBreak/>
        <w:drawing>
          <wp:inline distT="0" distB="0" distL="0" distR="0" wp14:anchorId="3FAC5630" wp14:editId="51733C2A">
            <wp:extent cx="5166360" cy="3208020"/>
            <wp:effectExtent l="0" t="0" r="0" b="0"/>
            <wp:docPr id="8" name="Picture 3" descr="Shematski prikaz modela kompetenc za državno upravo.">
              <a:extLst xmlns:a="http://schemas.openxmlformats.org/drawingml/2006/main">
                <a:ext uri="{FF2B5EF4-FFF2-40B4-BE49-F238E27FC236}">
                  <a16:creationId xmlns:a16="http://schemas.microsoft.com/office/drawing/2014/main" id="{2939AFDA-3E21-4D8E-AB62-5F1496B551E7}"/>
                </a:ext>
              </a:extLst>
            </wp:docPr>
            <wp:cNvGraphicFramePr/>
            <a:graphic xmlns:a="http://schemas.openxmlformats.org/drawingml/2006/main">
              <a:graphicData uri="http://schemas.openxmlformats.org/drawingml/2006/picture">
                <pic:pic xmlns:pic="http://schemas.openxmlformats.org/drawingml/2006/picture">
                  <pic:nvPicPr>
                    <pic:cNvPr id="8" name="Picture 3">
                      <a:extLst>
                        <a:ext uri="{FF2B5EF4-FFF2-40B4-BE49-F238E27FC236}">
                          <a16:creationId xmlns:a16="http://schemas.microsoft.com/office/drawing/2014/main" id="{2939AFDA-3E21-4D8E-AB62-5F1496B551E7}"/>
                        </a:ext>
                      </a:extLst>
                    </pic:cNvPr>
                    <pic:cNvPicPr/>
                  </pic:nvPicPr>
                  <pic:blipFill rotWithShape="1">
                    <a:blip r:embed="rId6" cstate="print">
                      <a:extLst>
                        <a:ext uri="{28A0092B-C50C-407E-A947-70E740481C1C}">
                          <a14:useLocalDpi xmlns:a14="http://schemas.microsoft.com/office/drawing/2010/main" val="0"/>
                        </a:ext>
                      </a:extLst>
                    </a:blip>
                    <a:srcRect l="1330"/>
                    <a:stretch/>
                  </pic:blipFill>
                  <pic:spPr bwMode="auto">
                    <a:xfrm>
                      <a:off x="0" y="0"/>
                      <a:ext cx="5166360" cy="3208020"/>
                    </a:xfrm>
                    <a:prstGeom prst="rect">
                      <a:avLst/>
                    </a:prstGeom>
                    <a:noFill/>
                    <a:ln>
                      <a:noFill/>
                    </a:ln>
                    <a:extLst>
                      <a:ext uri="{53640926-AAD7-44D8-BBD7-CCE9431645EC}">
                        <a14:shadowObscured xmlns:a14="http://schemas.microsoft.com/office/drawing/2010/main"/>
                      </a:ext>
                    </a:extLst>
                  </pic:spPr>
                </pic:pic>
              </a:graphicData>
            </a:graphic>
          </wp:inline>
        </w:drawing>
      </w:r>
    </w:p>
    <w:p w:rsidR="00DD7948" w:rsidRDefault="00DD7948" w:rsidP="00DD7948">
      <w:pPr>
        <w:spacing w:after="0"/>
        <w:rPr>
          <w:color w:val="44546A" w:themeColor="text2"/>
          <w:sz w:val="21"/>
          <w:szCs w:val="21"/>
        </w:rPr>
      </w:pPr>
      <w:r w:rsidRPr="00361101">
        <w:rPr>
          <w:color w:val="44546A" w:themeColor="text2"/>
          <w:sz w:val="21"/>
          <w:szCs w:val="21"/>
        </w:rPr>
        <w:t>Slika: Model kompetenc za državno upravo</w:t>
      </w:r>
    </w:p>
    <w:p w:rsidR="00DD7948" w:rsidRDefault="00DD7948" w:rsidP="00DD7948">
      <w:pPr>
        <w:spacing w:after="0"/>
        <w:rPr>
          <w:color w:val="44546A" w:themeColor="text2"/>
          <w:sz w:val="21"/>
          <w:szCs w:val="21"/>
        </w:rPr>
      </w:pPr>
    </w:p>
    <w:p w:rsidR="00DD7948" w:rsidRPr="00DD7948" w:rsidRDefault="00DD7948" w:rsidP="00DD7948">
      <w:pPr>
        <w:spacing w:after="0"/>
        <w:rPr>
          <w:rFonts w:eastAsia="Calibri" w:cstheme="minorHAnsi"/>
          <w:noProof/>
          <w:color w:val="44546A" w:themeColor="text2"/>
          <w:sz w:val="21"/>
          <w:szCs w:val="21"/>
        </w:rPr>
      </w:pPr>
      <w:r w:rsidRPr="00DD7948">
        <w:rPr>
          <w:rFonts w:eastAsia="Calibri" w:cstheme="minorHAnsi"/>
          <w:noProof/>
          <w:color w:val="44546A" w:themeColor="text2"/>
          <w:sz w:val="21"/>
          <w:szCs w:val="21"/>
        </w:rPr>
        <w:t xml:space="preserve">Da bi zagotovili podporo vodjem, kadrovikom in zaposlenim pri uporabi modela kompetenc, tudi po zaključku projekta aktivno pripravljamo končne verzije dokumentov: katalog kompetenc, dokument o metodologiji za določitev in presojanje kompetenc ter priročnik za uporabo kompetenčnega modela. Slednji bo objavljen na našem spletnem mestu, kjer lahko vseskozi spremljate aktivnosti in podrobnosti povezane z vsebino projekta. </w:t>
      </w:r>
    </w:p>
    <w:p w:rsidR="00DD7948" w:rsidRPr="00DD7948" w:rsidRDefault="00DD7948" w:rsidP="00DD7948">
      <w:pPr>
        <w:spacing w:after="0"/>
        <w:rPr>
          <w:rFonts w:eastAsia="Calibri" w:cstheme="minorHAnsi"/>
          <w:noProof/>
          <w:color w:val="44546A" w:themeColor="text2"/>
          <w:sz w:val="21"/>
          <w:szCs w:val="21"/>
        </w:rPr>
      </w:pPr>
    </w:p>
    <w:p w:rsidR="00DD7948" w:rsidRPr="00DD7948" w:rsidRDefault="00DD7948" w:rsidP="00DD7948">
      <w:pPr>
        <w:spacing w:after="0"/>
        <w:rPr>
          <w:rFonts w:eastAsia="Calibri" w:cstheme="minorHAnsi"/>
          <w:noProof/>
          <w:color w:val="44546A" w:themeColor="text2"/>
          <w:sz w:val="21"/>
          <w:szCs w:val="21"/>
        </w:rPr>
      </w:pPr>
      <w:r w:rsidRPr="00DD7948">
        <w:rPr>
          <w:rFonts w:eastAsia="Calibri" w:cstheme="minorHAnsi"/>
          <w:noProof/>
          <w:color w:val="44546A" w:themeColor="text2"/>
          <w:sz w:val="21"/>
          <w:szCs w:val="21"/>
        </w:rPr>
        <w:t>Leto in pol, ki je za nami, nam bo ostalo v lepem spominu, še posebej zaradi plodnega sodelovanja z vami, zaposlenimi v različnih organih državne uprave. V zadovoljstvo nam je obrniti list leta in pol, v katerem je bilo doseženih toliko začrtanih ciljev. Brez vaše pomoči vse to ne bi bilo mogoče. Pogled nazaj nam zbuja veselje ob spoznanju, koliko zmoremo, če stopimo skupaj. Za naprej pa nam daje pogum za nadaljevanje in nas utrjuje na naši poti pri uporabi modela.</w:t>
      </w:r>
    </w:p>
    <w:p w:rsidR="00DD7948" w:rsidRPr="00DD7948" w:rsidRDefault="00DD7948" w:rsidP="00DD7948">
      <w:pPr>
        <w:spacing w:after="0"/>
        <w:rPr>
          <w:rFonts w:eastAsia="Calibri" w:cstheme="minorHAnsi"/>
          <w:noProof/>
          <w:color w:val="44546A" w:themeColor="text2"/>
          <w:sz w:val="21"/>
          <w:szCs w:val="21"/>
        </w:rPr>
      </w:pPr>
    </w:p>
    <w:p w:rsidR="00DD7948" w:rsidRPr="00DD7948" w:rsidRDefault="00DD7948" w:rsidP="00DD7948">
      <w:pPr>
        <w:spacing w:after="0"/>
        <w:rPr>
          <w:rFonts w:eastAsia="Calibri" w:cstheme="minorHAnsi"/>
          <w:noProof/>
          <w:color w:val="44546A" w:themeColor="text2"/>
          <w:sz w:val="21"/>
          <w:szCs w:val="21"/>
        </w:rPr>
      </w:pPr>
      <w:r w:rsidRPr="00DD7948">
        <w:rPr>
          <w:rFonts w:eastAsia="Calibri" w:cstheme="minorHAnsi"/>
          <w:noProof/>
          <w:color w:val="44546A" w:themeColor="text2"/>
          <w:sz w:val="21"/>
          <w:szCs w:val="21"/>
        </w:rPr>
        <w:t>Za vaše prizadevanje in pomoč pri oblikovanju kompetenčnega modela v državni upravi se vsem najlepše zahvaljujemo. Ponosni smo na rezultate našega skupnega dela, zato se sodelovanja pri implementaciji rezultatov projekta še toliko bolj veselimo.</w:t>
      </w:r>
    </w:p>
    <w:p w:rsidR="00DD7948" w:rsidRPr="00DD7948" w:rsidRDefault="00DD7948" w:rsidP="00DD7948">
      <w:pPr>
        <w:spacing w:after="0"/>
        <w:rPr>
          <w:rFonts w:eastAsia="Calibri" w:cstheme="minorHAnsi"/>
          <w:noProof/>
          <w:color w:val="44546A" w:themeColor="text2"/>
          <w:sz w:val="21"/>
          <w:szCs w:val="21"/>
        </w:rPr>
      </w:pPr>
    </w:p>
    <w:p w:rsidR="00DD7948" w:rsidRPr="00DD7948" w:rsidRDefault="00DD7948" w:rsidP="00DD7948">
      <w:pPr>
        <w:spacing w:after="0"/>
        <w:rPr>
          <w:rFonts w:eastAsia="Calibri" w:cstheme="minorHAnsi"/>
          <w:noProof/>
          <w:color w:val="44546A" w:themeColor="text2"/>
          <w:sz w:val="21"/>
          <w:szCs w:val="21"/>
        </w:rPr>
      </w:pPr>
      <w:r w:rsidRPr="00DD7948">
        <w:rPr>
          <w:rFonts w:eastAsia="Calibri" w:cstheme="minorHAnsi"/>
          <w:noProof/>
          <w:color w:val="44546A" w:themeColor="text2"/>
          <w:sz w:val="21"/>
          <w:szCs w:val="21"/>
        </w:rPr>
        <w:t>Projektna skupina za Vzpostavitev kompetenčnega modela, Sektor za upravljanje s kadrovskimi viri, Direktorat za javni sektor, Ministrstvo za javno upravo</w:t>
      </w:r>
      <w:r>
        <w:rPr>
          <w:rFonts w:eastAsia="Calibri" w:cstheme="minorHAnsi"/>
          <w:noProof/>
          <w:color w:val="44546A" w:themeColor="text2"/>
          <w:sz w:val="21"/>
          <w:szCs w:val="21"/>
        </w:rPr>
        <w:t>.</w:t>
      </w:r>
    </w:p>
    <w:sectPr w:rsidR="00DD7948" w:rsidRPr="00DD7948" w:rsidSect="00D52223">
      <w:headerReference w:type="default" r:id="rId7"/>
      <w:footerReference w:type="default" r:id="rId8"/>
      <w:pgSz w:w="11906" w:h="16838"/>
      <w:pgMar w:top="1417" w:right="1417" w:bottom="1417" w:left="1417" w:header="0" w:footer="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2223" w:rsidRDefault="00D52223" w:rsidP="00D52223">
      <w:pPr>
        <w:spacing w:after="0" w:line="240" w:lineRule="auto"/>
      </w:pPr>
      <w:r>
        <w:separator/>
      </w:r>
    </w:p>
  </w:endnote>
  <w:endnote w:type="continuationSeparator" w:id="0">
    <w:p w:rsidR="00D52223" w:rsidRDefault="00D52223" w:rsidP="00D52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2223" w:rsidRDefault="00D52223" w:rsidP="00D52223">
    <w:pPr>
      <w:pStyle w:val="Noga"/>
      <w:ind w:left="-1417"/>
    </w:pPr>
    <w:r>
      <w:rPr>
        <w:noProof/>
        <w:lang w:eastAsia="sl-SI"/>
      </w:rPr>
      <w:drawing>
        <wp:inline distT="0" distB="0" distL="0" distR="0" wp14:anchorId="1EB13DD1" wp14:editId="109D3B24">
          <wp:extent cx="7862400" cy="1296000"/>
          <wp:effectExtent l="0" t="0" r="5715" b="0"/>
          <wp:docPr id="226" name="Picture 9" descr="Dekorativ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296 Footer 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62400" cy="1296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2223" w:rsidRDefault="00D52223" w:rsidP="00D52223">
      <w:pPr>
        <w:spacing w:after="0" w:line="240" w:lineRule="auto"/>
      </w:pPr>
      <w:r>
        <w:separator/>
      </w:r>
    </w:p>
  </w:footnote>
  <w:footnote w:type="continuationSeparator" w:id="0">
    <w:p w:rsidR="00D52223" w:rsidRDefault="00D52223" w:rsidP="00D522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2223" w:rsidRDefault="00D52223" w:rsidP="00D52223">
    <w:pPr>
      <w:pStyle w:val="Glava"/>
      <w:ind w:left="-1418"/>
      <w:rPr>
        <w:rFonts w:ascii="Arial" w:hAnsi="Arial" w:cs="Arial"/>
        <w:noProof/>
        <w:sz w:val="28"/>
        <w:szCs w:val="28"/>
        <w:lang w:eastAsia="sl-SI"/>
      </w:rPr>
    </w:pPr>
    <w:r w:rsidRPr="005404FA">
      <w:rPr>
        <w:rFonts w:ascii="Arial" w:hAnsi="Arial" w:cs="Arial"/>
        <w:noProof/>
        <w:sz w:val="28"/>
        <w:szCs w:val="28"/>
        <w:lang w:eastAsia="sl-SI"/>
      </w:rPr>
      <w:drawing>
        <wp:inline distT="0" distB="0" distL="0" distR="0" wp14:anchorId="132FD034" wp14:editId="2C531D94">
          <wp:extent cx="4517390" cy="1337310"/>
          <wp:effectExtent l="0" t="0" r="0" b="0"/>
          <wp:docPr id="222" name="Picture 8" descr="Dekorativ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296 Header 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17390" cy="1337310"/>
                  </a:xfrm>
                  <a:prstGeom prst="rect">
                    <a:avLst/>
                  </a:prstGeom>
                </pic:spPr>
              </pic:pic>
            </a:graphicData>
          </a:graphic>
        </wp:inline>
      </w:drawing>
    </w:r>
  </w:p>
  <w:p w:rsidR="00D52223" w:rsidRPr="00D52223" w:rsidRDefault="00D52223" w:rsidP="00D52223">
    <w:pPr>
      <w:pStyle w:val="Glava"/>
      <w:ind w:left="-1418"/>
      <w:rPr>
        <w:rFonts w:ascii="Arial" w:hAnsi="Arial" w:cs="Arial"/>
        <w:noProof/>
        <w:sz w:val="28"/>
        <w:szCs w:val="28"/>
      </w:rPr>
    </w:pPr>
    <w:r>
      <w:rPr>
        <w:noProof/>
        <w:lang w:eastAsia="sl-SI"/>
      </w:rPr>
      <w:drawing>
        <wp:inline distT="0" distB="0" distL="0" distR="0" wp14:anchorId="0BA28392" wp14:editId="749E327B">
          <wp:extent cx="2372360" cy="313055"/>
          <wp:effectExtent l="0" t="0" r="8890" b="0"/>
          <wp:docPr id="223" name="Slika 223" descr="Republika Slovenija&#10;Ministrstvo za javno upra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inline>
      </w:drawing>
    </w:r>
    <w:r>
      <w:rPr>
        <w:rFonts w:ascii="Arial" w:hAnsi="Arial" w:cs="Arial"/>
        <w:noProof/>
        <w:sz w:val="28"/>
        <w:szCs w:val="28"/>
      </w:rPr>
      <w:tab/>
    </w:r>
    <w:r>
      <w:rPr>
        <w:rFonts w:ascii="Arial" w:hAnsi="Arial" w:cs="Arial"/>
        <w:noProof/>
        <w:sz w:val="28"/>
        <w:szCs w:val="28"/>
        <w:lang w:eastAsia="sl-SI"/>
      </w:rPr>
      <w:drawing>
        <wp:inline distT="0" distB="0" distL="0" distR="0" wp14:anchorId="74038C98" wp14:editId="4735A36C">
          <wp:extent cx="756285" cy="1152525"/>
          <wp:effectExtent l="0" t="0" r="5715" b="9525"/>
          <wp:docPr id="224" name="Slika 224" descr="Logotip Skupaj za razvoj in r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6285" cy="1152525"/>
                  </a:xfrm>
                  <a:prstGeom prst="rect">
                    <a:avLst/>
                  </a:prstGeom>
                  <a:noFill/>
                </pic:spPr>
              </pic:pic>
            </a:graphicData>
          </a:graphic>
        </wp:inline>
      </w:drawing>
    </w:r>
    <w:r>
      <w:rPr>
        <w:rFonts w:ascii="Arial" w:hAnsi="Arial" w:cs="Arial"/>
        <w:noProof/>
        <w:sz w:val="28"/>
        <w:szCs w:val="28"/>
      </w:rPr>
      <w:tab/>
    </w:r>
    <w:r>
      <w:rPr>
        <w:rFonts w:ascii="Arial" w:hAnsi="Arial" w:cs="Arial"/>
        <w:noProof/>
        <w:sz w:val="28"/>
        <w:szCs w:val="28"/>
        <w:lang w:eastAsia="sl-SI"/>
      </w:rPr>
      <w:drawing>
        <wp:inline distT="0" distB="0" distL="0" distR="0" wp14:anchorId="6FCB37FB" wp14:editId="622F788A">
          <wp:extent cx="1304925" cy="652145"/>
          <wp:effectExtent l="0" t="0" r="9525" b="0"/>
          <wp:docPr id="225" name="Slika 225" descr="Logotip Evropska unija, Evropski socialni sk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04925" cy="65214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223"/>
    <w:rsid w:val="00024553"/>
    <w:rsid w:val="00030498"/>
    <w:rsid w:val="00093EB4"/>
    <w:rsid w:val="000A27EF"/>
    <w:rsid w:val="001E4EFC"/>
    <w:rsid w:val="00337E60"/>
    <w:rsid w:val="00420201"/>
    <w:rsid w:val="004B158C"/>
    <w:rsid w:val="00A56ADF"/>
    <w:rsid w:val="00AD331E"/>
    <w:rsid w:val="00D52223"/>
    <w:rsid w:val="00DD7948"/>
    <w:rsid w:val="00EA741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451AD0FE-1761-4AFE-B8D5-69651F66E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D52223"/>
    <w:pPr>
      <w:tabs>
        <w:tab w:val="center" w:pos="4536"/>
        <w:tab w:val="right" w:pos="9072"/>
      </w:tabs>
      <w:spacing w:after="0" w:line="240" w:lineRule="auto"/>
    </w:pPr>
  </w:style>
  <w:style w:type="character" w:customStyle="1" w:styleId="GlavaZnak">
    <w:name w:val="Glava Znak"/>
    <w:basedOn w:val="Privzetapisavaodstavka"/>
    <w:link w:val="Glava"/>
    <w:uiPriority w:val="99"/>
    <w:rsid w:val="00D52223"/>
  </w:style>
  <w:style w:type="paragraph" w:styleId="Noga">
    <w:name w:val="footer"/>
    <w:basedOn w:val="Navaden"/>
    <w:link w:val="NogaZnak"/>
    <w:uiPriority w:val="99"/>
    <w:unhideWhenUsed/>
    <w:rsid w:val="00D52223"/>
    <w:pPr>
      <w:tabs>
        <w:tab w:val="center" w:pos="4536"/>
        <w:tab w:val="right" w:pos="9072"/>
      </w:tabs>
      <w:spacing w:after="0" w:line="240" w:lineRule="auto"/>
    </w:pPr>
  </w:style>
  <w:style w:type="character" w:customStyle="1" w:styleId="NogaZnak">
    <w:name w:val="Noga Znak"/>
    <w:basedOn w:val="Privzetapisavaodstavka"/>
    <w:link w:val="Noga"/>
    <w:uiPriority w:val="99"/>
    <w:rsid w:val="00D52223"/>
  </w:style>
  <w:style w:type="character" w:styleId="Hiperpovezava">
    <w:name w:val="Hyperlink"/>
    <w:basedOn w:val="Privzetapisavaodstavka"/>
    <w:uiPriority w:val="99"/>
    <w:unhideWhenUsed/>
    <w:rsid w:val="00EA7416"/>
    <w:rPr>
      <w:color w:val="0563C1" w:themeColor="hyperlink"/>
      <w:u w:val="single"/>
    </w:rPr>
  </w:style>
  <w:style w:type="character" w:styleId="Nerazreenaomemba">
    <w:name w:val="Unresolved Mention"/>
    <w:basedOn w:val="Privzetapisavaodstavka"/>
    <w:uiPriority w:val="99"/>
    <w:semiHidden/>
    <w:unhideWhenUsed/>
    <w:rsid w:val="00EA741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450</Words>
  <Characters>2569</Characters>
  <Application>Microsoft Office Word</Application>
  <DocSecurity>0</DocSecurity>
  <Lines>21</Lines>
  <Paragraphs>6</Paragraphs>
  <ScaleCrop>false</ScaleCrop>
  <HeadingPairs>
    <vt:vector size="2" baseType="variant">
      <vt:variant>
        <vt:lpstr>Naslov</vt:lpstr>
      </vt:variant>
      <vt:variant>
        <vt:i4>1</vt:i4>
      </vt:variant>
    </vt:vector>
  </HeadingPairs>
  <TitlesOfParts>
    <vt:vector size="1" baseType="lpstr">
      <vt:lpstr>VZPOSTAVITEV KOMPETENČNEGA MODELA</vt:lpstr>
    </vt:vector>
  </TitlesOfParts>
  <Company>MJU</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Vzpostavitev kompetenčnega modela april 2019</dc:title>
  <dc:subject/>
  <dc:creator>Dunja Labović Begović</dc:creator>
  <cp:keywords/>
  <dc:description/>
  <cp:lastModifiedBy>Olga Golub</cp:lastModifiedBy>
  <cp:revision>3</cp:revision>
  <dcterms:created xsi:type="dcterms:W3CDTF">2020-11-03T07:12:00Z</dcterms:created>
  <dcterms:modified xsi:type="dcterms:W3CDTF">2020-11-03T10:15:00Z</dcterms:modified>
</cp:coreProperties>
</file>