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23" w:rsidRDefault="00D52223" w:rsidP="00D52223">
      <w:pPr>
        <w:spacing w:after="0" w:line="240" w:lineRule="auto"/>
        <w:jc w:val="center"/>
        <w:rPr>
          <w:rFonts w:cstheme="minorHAnsi"/>
          <w:b/>
          <w:color w:val="323E4F" w:themeColor="text2" w:themeShade="BF"/>
          <w:sz w:val="24"/>
          <w:szCs w:val="24"/>
          <w:lang w:val="it-IT"/>
        </w:rPr>
      </w:pPr>
    </w:p>
    <w:p w:rsidR="0036340F" w:rsidRPr="0036340F" w:rsidRDefault="0036340F" w:rsidP="0036340F">
      <w:pPr>
        <w:spacing w:after="0" w:line="240" w:lineRule="auto"/>
        <w:jc w:val="center"/>
        <w:rPr>
          <w:noProof/>
          <w:color w:val="323E4F" w:themeColor="text2" w:themeShade="BF"/>
          <w:lang w:val="it-IT"/>
        </w:rPr>
      </w:pPr>
      <w:r w:rsidRPr="0036340F">
        <w:rPr>
          <w:rFonts w:ascii="Arial" w:hAnsi="Arial" w:cs="Arial"/>
          <w:b/>
          <w:color w:val="323E4F" w:themeColor="text2" w:themeShade="BF"/>
          <w:sz w:val="24"/>
          <w:szCs w:val="24"/>
          <w:lang w:val="it-IT"/>
        </w:rPr>
        <w:t>VZPOSTAVITEV</w:t>
      </w:r>
      <w:r w:rsidRPr="0036340F">
        <w:rPr>
          <w:noProof/>
          <w:color w:val="323E4F" w:themeColor="text2" w:themeShade="BF"/>
          <w:lang w:val="it-IT"/>
        </w:rPr>
        <w:t xml:space="preserve"> </w:t>
      </w:r>
      <w:r w:rsidRPr="0036340F">
        <w:rPr>
          <w:rFonts w:ascii="Arial" w:hAnsi="Arial" w:cs="Arial"/>
          <w:b/>
          <w:color w:val="323E4F" w:themeColor="text2" w:themeShade="BF"/>
          <w:sz w:val="24"/>
          <w:szCs w:val="24"/>
          <w:lang w:val="it-IT"/>
        </w:rPr>
        <w:t>KOMPETENČNEGA MODELA</w:t>
      </w:r>
    </w:p>
    <w:p w:rsidR="0036340F" w:rsidRPr="0036340F" w:rsidRDefault="0036340F" w:rsidP="0036340F">
      <w:pPr>
        <w:spacing w:after="0" w:line="240" w:lineRule="auto"/>
        <w:jc w:val="center"/>
        <w:rPr>
          <w:rFonts w:ascii="Arial" w:hAnsi="Arial" w:cs="Arial"/>
          <w:b/>
          <w:color w:val="323E4F" w:themeColor="text2" w:themeShade="BF"/>
          <w:sz w:val="24"/>
          <w:szCs w:val="24"/>
          <w:lang w:val="it-IT"/>
        </w:rPr>
      </w:pPr>
      <w:r w:rsidRPr="0036340F">
        <w:rPr>
          <w:rFonts w:ascii="Arial" w:hAnsi="Arial" w:cs="Arial"/>
          <w:b/>
          <w:color w:val="323E4F" w:themeColor="text2" w:themeShade="BF"/>
          <w:sz w:val="24"/>
          <w:szCs w:val="24"/>
          <w:lang w:val="it-IT"/>
        </w:rPr>
        <w:t>MAJ 2018</w:t>
      </w:r>
    </w:p>
    <w:p w:rsidR="0036340F" w:rsidRPr="009670ED" w:rsidRDefault="0036340F" w:rsidP="0036340F">
      <w:pPr>
        <w:spacing w:after="0"/>
        <w:rPr>
          <w:lang w:val="it-IT"/>
        </w:rPr>
      </w:pPr>
    </w:p>
    <w:p w:rsidR="0036340F" w:rsidRDefault="0036340F" w:rsidP="0036340F">
      <w:pPr>
        <w:spacing w:after="0" w:line="240" w:lineRule="auto"/>
        <w:rPr>
          <w:rFonts w:ascii="Arial" w:hAnsi="Arial" w:cs="Arial"/>
          <w:color w:val="44546A" w:themeColor="text2"/>
          <w:lang w:val="sl-SI"/>
        </w:rPr>
      </w:pPr>
    </w:p>
    <w:p w:rsidR="0036340F" w:rsidRPr="0036340F" w:rsidRDefault="0036340F" w:rsidP="0036340F">
      <w:pPr>
        <w:spacing w:after="0" w:line="240" w:lineRule="auto"/>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Spoštovani sodelavci!</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 xml:space="preserve">Sodelovanje zaposlenih pri nastanku kompetenčnega modela je zelo pomembno, če želimo, da model kompetenc odraža vrednote, kulturo in z uspehom povezan način dela v delovni sredini. Na Ministrstvu za javno upravo, Direktoratu za javni sektor, Sektorju za upravljanje s kadrovskimi viri smo se zato, v sodelovanju z zunanjimi izvajalci, lotili oblikovanja modela kompetenc, ki izhaja iz tega, kaj že obstaja in je dobro v državni upravi, ter iz vizije, kam se želimo razvijati v prihodnje. </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V aprilu in maju smo tako izvedli 80 intervjujev za določitev temeljnih in vodstvenih kompetenc z vodji in drugimi zaposlenimi iz različnih področij dela, ministrstev, organov v sestavi ministrstev in vladnih služb. Po izvedenih intervjujih so naši zunanji izvajalci informacije iz intervjujev sistematično analizirali, pri čemer so se najprej osredotočili na vsebino temeljnih kompetenc. Na ta način so prišli do nabora vedenj, ki se najpogosteje kažejo kot pomembna za učinkovito delo v državni upravi, ne glede na to, kje kdo dela. Na drugi strani so pregledali strateške dokumente javne uprave in modele kompetenc državnih uprav iz tujine ter pripravili teoretični predlog temeljnih kompetenc.</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Vse to so bili gradniki, na katerih so sodelavci iz ožje medresorske delovne skupine na delavnici 11. maja 2018 skušali oblikovati smiselne sklope vedenj, ki bi določali temeljne kompetence, drugi sodelavci pa so jih še enkrat prevetrili v okviru fokusne skupine 16. maja 2018. Na podlagi teh aktivnosti je nastal osnutek sklopov vedenj, ki so tako pomembna za delo v državni upravi, da bi jih bilo smiselno uvrstiti med vedenjske opise temeljnih kompetenc. Da bi bila izbrana vedenja zares ustrezna, jih bomo v drugi polovici maja, v obliki spletne ankete, poslali v ovrednotenje še širšemu vzorcu zaposlenih v organih državne uprave. Podobne aktivnosti bodo v drugi polovici maja in v začetku junija sledile še za izbor vedenj za vodstvene kompetence.</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 xml:space="preserve">Namen in vsebino posameznih aktivnosti lahko spremljate na spletni strani našega ministrstva, kjer smo v objektiv ujeli tudi vtise aktivnega sodelovanja udeležencev: </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hyperlink r:id="rId6" w:history="1">
        <w:r w:rsidRPr="0036340F">
          <w:rPr>
            <w:rStyle w:val="Hiperpovezava"/>
            <w:rFonts w:ascii="Arial" w:hAnsi="Arial" w:cs="Arial"/>
            <w:color w:val="323E4F" w:themeColor="text2" w:themeShade="BF"/>
            <w:sz w:val="20"/>
            <w:szCs w:val="20"/>
            <w:lang w:val="sl-SI"/>
          </w:rPr>
          <w:t>http://www.mju.gov.si/si/delovna_podrocja/zaposleni_v_drzavni_upravi/projekt_vzpostavitev_kompetencnega_modela/</w:t>
        </w:r>
      </w:hyperlink>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Vsem, ki ste ali kakorkoli boste sodelovali v projektu vzpostavitve kompetenčnega modela za državno upravo, se že vnaprej iskreno zahvaljujemo. Mi pa vas bomo še naprej obveščali o poteku in rezultatih projekta.</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bookmarkStart w:id="0" w:name="_GoBack"/>
      <w:bookmarkEnd w:id="0"/>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r w:rsidRPr="0036340F">
        <w:rPr>
          <w:rFonts w:ascii="Arial" w:hAnsi="Arial" w:cs="Arial"/>
          <w:color w:val="323E4F" w:themeColor="text2" w:themeShade="BF"/>
          <w:sz w:val="20"/>
          <w:szCs w:val="20"/>
          <w:lang w:val="sl-SI"/>
        </w:rPr>
        <w:t>Lepo vas pozdravljamo,</w:t>
      </w:r>
    </w:p>
    <w:p w:rsidR="0036340F" w:rsidRPr="0036340F" w:rsidRDefault="0036340F" w:rsidP="0036340F">
      <w:pPr>
        <w:spacing w:after="0" w:line="240" w:lineRule="auto"/>
        <w:jc w:val="both"/>
        <w:rPr>
          <w:rFonts w:ascii="Arial" w:hAnsi="Arial" w:cs="Arial"/>
          <w:color w:val="323E4F" w:themeColor="text2" w:themeShade="BF"/>
          <w:sz w:val="20"/>
          <w:szCs w:val="20"/>
          <w:lang w:val="sl-SI"/>
        </w:rPr>
      </w:pPr>
    </w:p>
    <w:p w:rsidR="00A278CE" w:rsidRPr="0036340F" w:rsidRDefault="0036340F" w:rsidP="0036340F">
      <w:pPr>
        <w:rPr>
          <w:color w:val="323E4F" w:themeColor="text2" w:themeShade="BF"/>
          <w:lang w:val="sl-SI"/>
        </w:rPr>
      </w:pPr>
      <w:r w:rsidRPr="0036340F">
        <w:rPr>
          <w:rFonts w:ascii="Arial" w:hAnsi="Arial" w:cs="Arial"/>
          <w:color w:val="323E4F" w:themeColor="text2" w:themeShade="BF"/>
          <w:sz w:val="20"/>
          <w:szCs w:val="20"/>
          <w:lang w:val="sl-SI"/>
        </w:rPr>
        <w:t>Projektna skupina za Vzpostavitev kompetenčnega modela, Ministrstvo za javno upravo, Direktorat za javni sektor, Sektor za upravljanje s kadrovskimi</w:t>
      </w:r>
    </w:p>
    <w:sectPr w:rsidR="00A278CE" w:rsidRPr="0036340F" w:rsidSect="00D52223">
      <w:headerReference w:type="default" r:id="rId7"/>
      <w:footerReference w:type="default" r:id="rId8"/>
      <w:pgSz w:w="11906" w:h="16838"/>
      <w:pgMar w:top="1417" w:right="1417" w:bottom="1417" w:left="1417" w:header="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3" w:rsidRDefault="00D52223" w:rsidP="00D52223">
      <w:pPr>
        <w:spacing w:after="0" w:line="240" w:lineRule="auto"/>
      </w:pPr>
      <w:r>
        <w:separator/>
      </w:r>
    </w:p>
  </w:endnote>
  <w:endnote w:type="continuationSeparator" w:id="0">
    <w:p w:rsidR="00D52223" w:rsidRDefault="00D52223" w:rsidP="00D5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Default="00D52223" w:rsidP="00D52223">
    <w:pPr>
      <w:pStyle w:val="Noga"/>
      <w:ind w:left="-1417"/>
    </w:pPr>
    <w:r>
      <w:rPr>
        <w:noProof/>
        <w:lang w:eastAsia="sl-SI"/>
      </w:rPr>
      <w:drawing>
        <wp:inline distT="0" distB="0" distL="0" distR="0" wp14:anchorId="1EB13DD1" wp14:editId="109D3B24">
          <wp:extent cx="7862400" cy="1296000"/>
          <wp:effectExtent l="0" t="0" r="5715" b="0"/>
          <wp:docPr id="226" name="Picture 9"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Foot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24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3" w:rsidRDefault="00D52223" w:rsidP="00D52223">
      <w:pPr>
        <w:spacing w:after="0" w:line="240" w:lineRule="auto"/>
      </w:pPr>
      <w:r>
        <w:separator/>
      </w:r>
    </w:p>
  </w:footnote>
  <w:footnote w:type="continuationSeparator" w:id="0">
    <w:p w:rsidR="00D52223" w:rsidRDefault="00D52223" w:rsidP="00D5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Pr="00D52223" w:rsidRDefault="00D52223" w:rsidP="00D52223">
    <w:pPr>
      <w:pStyle w:val="Glava"/>
      <w:ind w:left="-1418"/>
      <w:rPr>
        <w:rFonts w:ascii="Arial" w:hAnsi="Arial" w:cs="Arial"/>
        <w:noProof/>
        <w:sz w:val="28"/>
        <w:szCs w:val="28"/>
      </w:rPr>
    </w:pPr>
    <w:r w:rsidRPr="005404FA">
      <w:rPr>
        <w:rFonts w:ascii="Arial" w:hAnsi="Arial" w:cs="Arial"/>
        <w:noProof/>
        <w:sz w:val="28"/>
        <w:szCs w:val="28"/>
        <w:lang w:eastAsia="sl-SI"/>
      </w:rPr>
      <w:drawing>
        <wp:inline distT="0" distB="0" distL="0" distR="0" wp14:anchorId="132FD034" wp14:editId="2C531D94">
          <wp:extent cx="4517390" cy="1337310"/>
          <wp:effectExtent l="0" t="0" r="0" b="0"/>
          <wp:docPr id="222" name="Picture 8"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Head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7390" cy="1337310"/>
                  </a:xfrm>
                  <a:prstGeom prst="rect">
                    <a:avLst/>
                  </a:prstGeom>
                </pic:spPr>
              </pic:pic>
            </a:graphicData>
          </a:graphic>
        </wp:inline>
      </w:drawing>
    </w:r>
    <w:r>
      <w:rPr>
        <w:noProof/>
        <w:lang w:eastAsia="sl-SI"/>
      </w:rPr>
      <w:drawing>
        <wp:inline distT="0" distB="0" distL="0" distR="0" wp14:anchorId="0BA28392" wp14:editId="749E327B">
          <wp:extent cx="2372360" cy="313055"/>
          <wp:effectExtent l="0" t="0" r="8890" b="0"/>
          <wp:docPr id="223" name="Slika 223"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74038C98" wp14:editId="4735A36C">
          <wp:extent cx="756285" cy="1152525"/>
          <wp:effectExtent l="0" t="0" r="5715" b="9525"/>
          <wp:docPr id="224" name="Slika 22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1152525"/>
                  </a:xfrm>
                  <a:prstGeom prst="rect">
                    <a:avLst/>
                  </a:prstGeom>
                  <a:noFill/>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6FCB37FB" wp14:editId="622F788A">
          <wp:extent cx="1304925" cy="652145"/>
          <wp:effectExtent l="0" t="0" r="9525" b="0"/>
          <wp:docPr id="225" name="Slika 22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23"/>
    <w:rsid w:val="00210F1C"/>
    <w:rsid w:val="00337E60"/>
    <w:rsid w:val="0036340F"/>
    <w:rsid w:val="00420201"/>
    <w:rsid w:val="00A278CE"/>
    <w:rsid w:val="00A56ADF"/>
    <w:rsid w:val="00D52223"/>
    <w:rsid w:val="00EB2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BAA61"/>
  <w15:chartTrackingRefBased/>
  <w15:docId w15:val="{451AD0FE-1761-4AFE-B8D5-69651F6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6340F"/>
    <w:pPr>
      <w:spacing w:after="200" w:line="276" w:lineRule="auto"/>
    </w:pPr>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52223"/>
    <w:pPr>
      <w:tabs>
        <w:tab w:val="center" w:pos="4536"/>
        <w:tab w:val="right" w:pos="9072"/>
      </w:tabs>
      <w:spacing w:after="0" w:line="240" w:lineRule="auto"/>
    </w:pPr>
    <w:rPr>
      <w:lang w:val="sl-SI"/>
    </w:rPr>
  </w:style>
  <w:style w:type="character" w:customStyle="1" w:styleId="GlavaZnak">
    <w:name w:val="Glava Znak"/>
    <w:basedOn w:val="Privzetapisavaodstavka"/>
    <w:link w:val="Glava"/>
    <w:uiPriority w:val="99"/>
    <w:rsid w:val="00D52223"/>
  </w:style>
  <w:style w:type="paragraph" w:styleId="Noga">
    <w:name w:val="footer"/>
    <w:basedOn w:val="Navaden"/>
    <w:link w:val="NogaZnak"/>
    <w:uiPriority w:val="99"/>
    <w:unhideWhenUsed/>
    <w:rsid w:val="00D52223"/>
    <w:pPr>
      <w:tabs>
        <w:tab w:val="center" w:pos="4536"/>
        <w:tab w:val="right" w:pos="9072"/>
      </w:tabs>
      <w:spacing w:after="0" w:line="240" w:lineRule="auto"/>
    </w:pPr>
    <w:rPr>
      <w:lang w:val="sl-SI"/>
    </w:rPr>
  </w:style>
  <w:style w:type="character" w:customStyle="1" w:styleId="NogaZnak">
    <w:name w:val="Noga Znak"/>
    <w:basedOn w:val="Privzetapisavaodstavka"/>
    <w:link w:val="Noga"/>
    <w:uiPriority w:val="99"/>
    <w:rsid w:val="00D52223"/>
  </w:style>
  <w:style w:type="character" w:styleId="Hiperpovezava">
    <w:name w:val="Hyperlink"/>
    <w:basedOn w:val="Privzetapisavaodstavka"/>
    <w:uiPriority w:val="99"/>
    <w:unhideWhenUsed/>
    <w:rsid w:val="00A27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ju.gov.si/si/delovna_podrocja/zaposleni_v_drzavni_upravi/projekt_vzpostavitev_kompetencnega_model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VZPOSTAVITEV KOMPETENČNEGA MODELA</vt:lpstr>
    </vt:vector>
  </TitlesOfParts>
  <Company>MJU</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Vzpostavitev kompetenčnega modela - maj 2018</dc:title>
  <dc:subject/>
  <dc:creator>Dunja Labović Begović</dc:creator>
  <cp:keywords/>
  <dc:description/>
  <cp:lastModifiedBy>Dunja Labović Begović</cp:lastModifiedBy>
  <cp:revision>2</cp:revision>
  <dcterms:created xsi:type="dcterms:W3CDTF">2020-11-11T10:13:00Z</dcterms:created>
  <dcterms:modified xsi:type="dcterms:W3CDTF">2020-11-11T10:13:00Z</dcterms:modified>
</cp:coreProperties>
</file>