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81" w:rsidRDefault="001E468F" w:rsidP="00852390">
      <w:pPr>
        <w:jc w:val="center"/>
        <w:rPr>
          <w:rFonts w:cs="Arial"/>
          <w:b/>
          <w:sz w:val="24"/>
          <w:szCs w:val="24"/>
        </w:rPr>
      </w:pPr>
      <w:r>
        <w:rPr>
          <w:rFonts w:cs="Arial"/>
          <w:b/>
          <w:noProof/>
          <w:sz w:val="24"/>
          <w:szCs w:val="24"/>
          <w:lang w:eastAsia="sl-SI"/>
        </w:rPr>
        <w:drawing>
          <wp:anchor distT="0" distB="0" distL="114300" distR="114300" simplePos="0" relativeHeight="251657728" behindDoc="0" locked="0" layoutInCell="1" allowOverlap="1">
            <wp:simplePos x="0" y="0"/>
            <wp:positionH relativeFrom="column">
              <wp:posOffset>1468120</wp:posOffset>
            </wp:positionH>
            <wp:positionV relativeFrom="paragraph">
              <wp:posOffset>-97790</wp:posOffset>
            </wp:positionV>
            <wp:extent cx="2227580" cy="466725"/>
            <wp:effectExtent l="0" t="0" r="1270" b="9525"/>
            <wp:wrapNone/>
            <wp:docPr id="2" name="Slika 2" descr="Logotip MGRT" title="Logotip MG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758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793F81" w:rsidRDefault="00793F81" w:rsidP="00852390">
      <w:pPr>
        <w:jc w:val="center"/>
        <w:rPr>
          <w:rFonts w:cs="Arial"/>
          <w:b/>
          <w:sz w:val="24"/>
          <w:szCs w:val="24"/>
        </w:rPr>
      </w:pPr>
    </w:p>
    <w:p w:rsidR="00DE0131" w:rsidRDefault="00541D56" w:rsidP="00852390">
      <w:pPr>
        <w:jc w:val="center"/>
        <w:rPr>
          <w:rFonts w:cs="Arial"/>
          <w:b/>
          <w:sz w:val="32"/>
          <w:szCs w:val="24"/>
        </w:rPr>
      </w:pPr>
      <w:r>
        <w:rPr>
          <w:rFonts w:cs="Arial"/>
          <w:b/>
          <w:sz w:val="32"/>
          <w:szCs w:val="24"/>
        </w:rPr>
        <w:t xml:space="preserve">TRETJE </w:t>
      </w:r>
      <w:r w:rsidR="00DE0131" w:rsidRPr="00DE0131">
        <w:rPr>
          <w:rFonts w:cs="Arial"/>
          <w:b/>
          <w:sz w:val="32"/>
          <w:szCs w:val="24"/>
        </w:rPr>
        <w:t xml:space="preserve">LETNO POROČILO </w:t>
      </w:r>
    </w:p>
    <w:p w:rsidR="00EB17C6" w:rsidRDefault="00A53309" w:rsidP="00852390">
      <w:pPr>
        <w:jc w:val="center"/>
        <w:rPr>
          <w:rFonts w:cs="Arial"/>
          <w:b/>
          <w:sz w:val="32"/>
          <w:szCs w:val="24"/>
        </w:rPr>
      </w:pPr>
      <w:r w:rsidRPr="00DE0131">
        <w:rPr>
          <w:rFonts w:cs="Arial"/>
          <w:b/>
          <w:sz w:val="32"/>
          <w:szCs w:val="24"/>
        </w:rPr>
        <w:t xml:space="preserve">o </w:t>
      </w:r>
      <w:r w:rsidRPr="00DE0131">
        <w:rPr>
          <w:b/>
          <w:sz w:val="32"/>
          <w:szCs w:val="24"/>
        </w:rPr>
        <w:t>izvajanju Programa spodbujanja konkurenčnosti in ukrepov razvojne podpore za problemsko območje z visoko brezposelnostjo</w:t>
      </w:r>
      <w:r w:rsidRPr="00DE0131" w:rsidDel="00593467">
        <w:rPr>
          <w:rFonts w:cs="Arial"/>
          <w:b/>
          <w:sz w:val="32"/>
          <w:szCs w:val="24"/>
        </w:rPr>
        <w:t xml:space="preserve"> </w:t>
      </w:r>
      <w:r w:rsidR="0067561F">
        <w:rPr>
          <w:rFonts w:cs="Arial"/>
          <w:b/>
          <w:sz w:val="32"/>
          <w:szCs w:val="24"/>
        </w:rPr>
        <w:t>Hrastnik, Radeče in</w:t>
      </w:r>
      <w:r w:rsidRPr="00DE0131">
        <w:rPr>
          <w:rFonts w:cs="Arial"/>
          <w:b/>
          <w:sz w:val="32"/>
          <w:szCs w:val="24"/>
        </w:rPr>
        <w:t xml:space="preserve"> Trbovlje v obdobju 2013–2020 </w:t>
      </w:r>
    </w:p>
    <w:p w:rsidR="008362CD" w:rsidRDefault="006F44A0" w:rsidP="00852390">
      <w:pPr>
        <w:jc w:val="center"/>
        <w:rPr>
          <w:rFonts w:cs="Arial"/>
          <w:b/>
          <w:sz w:val="32"/>
          <w:szCs w:val="24"/>
        </w:rPr>
      </w:pPr>
      <w:r>
        <w:rPr>
          <w:rFonts w:cs="Arial"/>
          <w:b/>
          <w:sz w:val="32"/>
          <w:szCs w:val="24"/>
        </w:rPr>
        <w:t>(</w:t>
      </w:r>
      <w:r w:rsidR="00EB17C6">
        <w:rPr>
          <w:rFonts w:cs="Arial"/>
          <w:b/>
          <w:sz w:val="32"/>
          <w:szCs w:val="24"/>
        </w:rPr>
        <w:t xml:space="preserve">za </w:t>
      </w:r>
      <w:r w:rsidR="008567E0">
        <w:rPr>
          <w:rFonts w:cs="Arial"/>
          <w:b/>
          <w:sz w:val="32"/>
          <w:szCs w:val="24"/>
        </w:rPr>
        <w:t>leto 201</w:t>
      </w:r>
      <w:r w:rsidR="00CB1526">
        <w:rPr>
          <w:rFonts w:cs="Arial"/>
          <w:b/>
          <w:sz w:val="32"/>
          <w:szCs w:val="24"/>
        </w:rPr>
        <w:t>6</w:t>
      </w:r>
      <w:r>
        <w:rPr>
          <w:rFonts w:cs="Arial"/>
          <w:b/>
          <w:sz w:val="32"/>
          <w:szCs w:val="24"/>
        </w:rPr>
        <w:t>)</w:t>
      </w:r>
    </w:p>
    <w:p w:rsidR="00236D84" w:rsidRDefault="00236D84" w:rsidP="00852390">
      <w:pPr>
        <w:jc w:val="center"/>
        <w:rPr>
          <w:rFonts w:cs="Arial"/>
          <w:b/>
          <w:sz w:val="32"/>
          <w:szCs w:val="24"/>
        </w:rPr>
      </w:pPr>
    </w:p>
    <w:p w:rsidR="00EF119A" w:rsidRDefault="00EF119A" w:rsidP="00852390">
      <w:pPr>
        <w:jc w:val="center"/>
        <w:rPr>
          <w:rFonts w:cs="Arial"/>
          <w:b/>
          <w:sz w:val="32"/>
          <w:szCs w:val="24"/>
        </w:rPr>
      </w:pPr>
    </w:p>
    <w:p w:rsidR="00EF119A" w:rsidRDefault="00EF119A" w:rsidP="00852390">
      <w:pPr>
        <w:jc w:val="center"/>
        <w:rPr>
          <w:rFonts w:cs="Arial"/>
          <w:b/>
          <w:sz w:val="32"/>
          <w:szCs w:val="24"/>
        </w:rPr>
      </w:pPr>
    </w:p>
    <w:p w:rsidR="00EF119A" w:rsidRDefault="00EF119A" w:rsidP="00852390">
      <w:pPr>
        <w:jc w:val="center"/>
        <w:rPr>
          <w:rFonts w:cs="Arial"/>
          <w:b/>
          <w:sz w:val="32"/>
          <w:szCs w:val="24"/>
        </w:rPr>
      </w:pPr>
    </w:p>
    <w:p w:rsidR="00EF119A" w:rsidRDefault="00EF119A" w:rsidP="00852390">
      <w:pPr>
        <w:jc w:val="center"/>
        <w:rPr>
          <w:rFonts w:cs="Arial"/>
          <w:b/>
          <w:sz w:val="32"/>
          <w:szCs w:val="24"/>
        </w:rPr>
      </w:pPr>
    </w:p>
    <w:p w:rsidR="00EF119A" w:rsidRDefault="005C06D0" w:rsidP="00EF119A">
      <w:pPr>
        <w:jc w:val="center"/>
        <w:rPr>
          <w:rFonts w:cs="Arial"/>
          <w:sz w:val="24"/>
          <w:szCs w:val="24"/>
        </w:rPr>
      </w:pPr>
      <w:r>
        <w:rPr>
          <w:rFonts w:cs="Arial"/>
          <w:sz w:val="24"/>
          <w:szCs w:val="24"/>
        </w:rPr>
        <w:t>januar 2018</w:t>
      </w:r>
    </w:p>
    <w:p w:rsidR="00EF119A" w:rsidRDefault="00EF119A" w:rsidP="00852390">
      <w:pPr>
        <w:jc w:val="center"/>
        <w:rPr>
          <w:rFonts w:cs="Arial"/>
          <w:b/>
          <w:sz w:val="32"/>
          <w:szCs w:val="24"/>
        </w:rPr>
      </w:pPr>
    </w:p>
    <w:p w:rsidR="00EF119A" w:rsidRPr="00DE0131" w:rsidRDefault="00EF119A" w:rsidP="00852390">
      <w:pPr>
        <w:jc w:val="center"/>
        <w:rPr>
          <w:rFonts w:cs="Arial"/>
          <w:b/>
          <w:sz w:val="32"/>
          <w:szCs w:val="24"/>
        </w:rPr>
      </w:pPr>
    </w:p>
    <w:p w:rsidR="00793F81" w:rsidRDefault="00793F81" w:rsidP="00852390">
      <w:pPr>
        <w:rPr>
          <w:rFonts w:cs="Arial"/>
          <w:sz w:val="24"/>
          <w:szCs w:val="24"/>
        </w:rPr>
      </w:pPr>
    </w:p>
    <w:p w:rsidR="00EF119A" w:rsidRDefault="00EF119A" w:rsidP="00852390">
      <w:pPr>
        <w:rPr>
          <w:rFonts w:cs="Arial"/>
          <w:sz w:val="24"/>
          <w:szCs w:val="24"/>
        </w:rPr>
        <w:sectPr w:rsidR="00EF119A" w:rsidSect="0019054F">
          <w:pgSz w:w="11906" w:h="16838"/>
          <w:pgMar w:top="1417" w:right="1417" w:bottom="1417" w:left="1417" w:header="708" w:footer="708" w:gutter="0"/>
          <w:cols w:space="708"/>
          <w:docGrid w:linePitch="360"/>
        </w:sectPr>
      </w:pPr>
    </w:p>
    <w:p w:rsidR="00793F81" w:rsidRDefault="00793F81" w:rsidP="00852390">
      <w:pPr>
        <w:rPr>
          <w:rFonts w:cs="Arial"/>
          <w:sz w:val="24"/>
          <w:szCs w:val="24"/>
        </w:rPr>
      </w:pPr>
    </w:p>
    <w:p w:rsidR="00E560E7" w:rsidRDefault="00E560E7" w:rsidP="00852390">
      <w:pPr>
        <w:rPr>
          <w:rFonts w:cs="Arial"/>
          <w:sz w:val="24"/>
          <w:szCs w:val="24"/>
        </w:rPr>
        <w:sectPr w:rsidR="00E560E7" w:rsidSect="0019054F">
          <w:footerReference w:type="default" r:id="rId10"/>
          <w:pgSz w:w="11906" w:h="16838"/>
          <w:pgMar w:top="1417" w:right="1417" w:bottom="1417" w:left="1417" w:header="708" w:footer="708" w:gutter="0"/>
          <w:cols w:space="708"/>
          <w:docGrid w:linePitch="360"/>
        </w:sectPr>
      </w:pPr>
    </w:p>
    <w:p w:rsidR="00852247" w:rsidRPr="00C22020" w:rsidRDefault="00852247" w:rsidP="00852247">
      <w:pPr>
        <w:rPr>
          <w:b/>
          <w:sz w:val="32"/>
        </w:rPr>
      </w:pPr>
      <w:r w:rsidRPr="00C22020">
        <w:rPr>
          <w:b/>
          <w:sz w:val="32"/>
        </w:rPr>
        <w:lastRenderedPageBreak/>
        <w:t>Vsebina</w:t>
      </w:r>
    </w:p>
    <w:p w:rsidR="00852247" w:rsidRPr="00852247" w:rsidRDefault="00852247" w:rsidP="00852247">
      <w:pPr>
        <w:rPr>
          <w:lang w:eastAsia="sl-SI"/>
        </w:rPr>
      </w:pPr>
    </w:p>
    <w:p w:rsidR="00721D19" w:rsidRPr="007102B4" w:rsidRDefault="00852247">
      <w:pPr>
        <w:pStyle w:val="Kazalovsebine1"/>
        <w:rPr>
          <w:rFonts w:eastAsia="Times New Roman"/>
          <w:b w:val="0"/>
          <w:lang w:eastAsia="sl-SI"/>
        </w:rPr>
      </w:pPr>
      <w:r>
        <w:fldChar w:fldCharType="begin"/>
      </w:r>
      <w:r>
        <w:instrText xml:space="preserve"> TOC \o "1-3" \h \z \u </w:instrText>
      </w:r>
      <w:r>
        <w:fldChar w:fldCharType="separate"/>
      </w:r>
      <w:hyperlink w:anchor="_Toc503180592" w:history="1">
        <w:r w:rsidR="00721D19" w:rsidRPr="00B65FE9">
          <w:rPr>
            <w:rStyle w:val="Hiperpovezava"/>
          </w:rPr>
          <w:t>1</w:t>
        </w:r>
        <w:r w:rsidR="00721D19" w:rsidRPr="007102B4">
          <w:rPr>
            <w:rFonts w:eastAsia="Times New Roman"/>
            <w:b w:val="0"/>
            <w:lang w:eastAsia="sl-SI"/>
          </w:rPr>
          <w:tab/>
        </w:r>
        <w:r w:rsidR="00721D19" w:rsidRPr="00B65FE9">
          <w:rPr>
            <w:rStyle w:val="Hiperpovezava"/>
          </w:rPr>
          <w:t>Zakonske podlage</w:t>
        </w:r>
        <w:r w:rsidR="00721D19">
          <w:rPr>
            <w:webHidden/>
          </w:rPr>
          <w:tab/>
        </w:r>
        <w:r w:rsidR="00721D19">
          <w:rPr>
            <w:webHidden/>
          </w:rPr>
          <w:fldChar w:fldCharType="begin"/>
        </w:r>
        <w:r w:rsidR="00721D19">
          <w:rPr>
            <w:webHidden/>
          </w:rPr>
          <w:instrText xml:space="preserve"> PAGEREF _Toc503180592 \h </w:instrText>
        </w:r>
        <w:r w:rsidR="00721D19">
          <w:rPr>
            <w:webHidden/>
          </w:rPr>
        </w:r>
        <w:r w:rsidR="00721D19">
          <w:rPr>
            <w:webHidden/>
          </w:rPr>
          <w:fldChar w:fldCharType="separate"/>
        </w:r>
        <w:r w:rsidR="006D7802">
          <w:rPr>
            <w:webHidden/>
          </w:rPr>
          <w:t>8</w:t>
        </w:r>
        <w:r w:rsidR="00721D19">
          <w:rPr>
            <w:webHidden/>
          </w:rPr>
          <w:fldChar w:fldCharType="end"/>
        </w:r>
      </w:hyperlink>
    </w:p>
    <w:p w:rsidR="00721D19" w:rsidRPr="007102B4" w:rsidRDefault="00CA5623">
      <w:pPr>
        <w:pStyle w:val="Kazalovsebine1"/>
        <w:rPr>
          <w:rFonts w:eastAsia="Times New Roman"/>
          <w:b w:val="0"/>
          <w:lang w:eastAsia="sl-SI"/>
        </w:rPr>
      </w:pPr>
      <w:hyperlink w:anchor="_Toc503180593" w:history="1">
        <w:r w:rsidR="00721D19" w:rsidRPr="00B65FE9">
          <w:rPr>
            <w:rStyle w:val="Hiperpovezava"/>
          </w:rPr>
          <w:t>2</w:t>
        </w:r>
        <w:r w:rsidR="00721D19" w:rsidRPr="007102B4">
          <w:rPr>
            <w:rFonts w:eastAsia="Times New Roman"/>
            <w:b w:val="0"/>
            <w:lang w:eastAsia="sl-SI"/>
          </w:rPr>
          <w:tab/>
        </w:r>
        <w:r w:rsidR="00721D19" w:rsidRPr="00B65FE9">
          <w:rPr>
            <w:rStyle w:val="Hiperpovezava"/>
          </w:rPr>
          <w:t>Sklepi Vlade RS</w:t>
        </w:r>
        <w:r w:rsidR="00721D19">
          <w:rPr>
            <w:webHidden/>
          </w:rPr>
          <w:tab/>
        </w:r>
        <w:r w:rsidR="00721D19">
          <w:rPr>
            <w:webHidden/>
          </w:rPr>
          <w:fldChar w:fldCharType="begin"/>
        </w:r>
        <w:r w:rsidR="00721D19">
          <w:rPr>
            <w:webHidden/>
          </w:rPr>
          <w:instrText xml:space="preserve"> PAGEREF _Toc503180593 \h </w:instrText>
        </w:r>
        <w:r w:rsidR="00721D19">
          <w:rPr>
            <w:webHidden/>
          </w:rPr>
        </w:r>
        <w:r w:rsidR="00721D19">
          <w:rPr>
            <w:webHidden/>
          </w:rPr>
          <w:fldChar w:fldCharType="separate"/>
        </w:r>
        <w:r w:rsidR="006D7802">
          <w:rPr>
            <w:webHidden/>
          </w:rPr>
          <w:t>8</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594" w:history="1">
        <w:r w:rsidR="00721D19" w:rsidRPr="00B65FE9">
          <w:rPr>
            <w:rStyle w:val="Hiperpovezava"/>
          </w:rPr>
          <w:t>2.1</w:t>
        </w:r>
        <w:r w:rsidR="00721D19" w:rsidRPr="007102B4">
          <w:rPr>
            <w:rFonts w:eastAsia="Times New Roman"/>
            <w:b w:val="0"/>
            <w:i w:val="0"/>
            <w:lang w:eastAsia="sl-SI"/>
          </w:rPr>
          <w:tab/>
        </w:r>
        <w:r w:rsidR="00721D19" w:rsidRPr="00B65FE9">
          <w:rPr>
            <w:rStyle w:val="Hiperpovezava"/>
          </w:rPr>
          <w:t>Sprejem dodatnih začasnih ukrepov razvojne podpore in Programa HRT</w:t>
        </w:r>
        <w:r w:rsidR="00721D19">
          <w:rPr>
            <w:webHidden/>
          </w:rPr>
          <w:tab/>
        </w:r>
        <w:r w:rsidR="00721D19">
          <w:rPr>
            <w:webHidden/>
          </w:rPr>
          <w:fldChar w:fldCharType="begin"/>
        </w:r>
        <w:r w:rsidR="00721D19">
          <w:rPr>
            <w:webHidden/>
          </w:rPr>
          <w:instrText xml:space="preserve"> PAGEREF _Toc503180594 \h </w:instrText>
        </w:r>
        <w:r w:rsidR="00721D19">
          <w:rPr>
            <w:webHidden/>
          </w:rPr>
        </w:r>
        <w:r w:rsidR="00721D19">
          <w:rPr>
            <w:webHidden/>
          </w:rPr>
          <w:fldChar w:fldCharType="separate"/>
        </w:r>
        <w:r w:rsidR="006D7802">
          <w:rPr>
            <w:webHidden/>
          </w:rPr>
          <w:t>8</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595" w:history="1">
        <w:r w:rsidR="00721D19" w:rsidRPr="00B65FE9">
          <w:rPr>
            <w:rStyle w:val="Hiperpovezava"/>
          </w:rPr>
          <w:t>2.2</w:t>
        </w:r>
        <w:r w:rsidR="00721D19" w:rsidRPr="007102B4">
          <w:rPr>
            <w:rFonts w:eastAsia="Times New Roman"/>
            <w:b w:val="0"/>
            <w:i w:val="0"/>
            <w:lang w:eastAsia="sl-SI"/>
          </w:rPr>
          <w:tab/>
        </w:r>
        <w:r w:rsidR="00721D19" w:rsidRPr="00B65FE9">
          <w:rPr>
            <w:rStyle w:val="Hiperpovezava"/>
          </w:rPr>
          <w:t>Spremembe dodatnih začasnih ukrepov razvojne podpore in Programa HRT</w:t>
        </w:r>
        <w:r w:rsidR="00721D19">
          <w:rPr>
            <w:webHidden/>
          </w:rPr>
          <w:tab/>
        </w:r>
        <w:r w:rsidR="00721D19">
          <w:rPr>
            <w:webHidden/>
          </w:rPr>
          <w:fldChar w:fldCharType="begin"/>
        </w:r>
        <w:r w:rsidR="00721D19">
          <w:rPr>
            <w:webHidden/>
          </w:rPr>
          <w:instrText xml:space="preserve"> PAGEREF _Toc503180595 \h </w:instrText>
        </w:r>
        <w:r w:rsidR="00721D19">
          <w:rPr>
            <w:webHidden/>
          </w:rPr>
        </w:r>
        <w:r w:rsidR="00721D19">
          <w:rPr>
            <w:webHidden/>
          </w:rPr>
          <w:fldChar w:fldCharType="separate"/>
        </w:r>
        <w:r w:rsidR="006D7802">
          <w:rPr>
            <w:webHidden/>
          </w:rPr>
          <w:t>10</w:t>
        </w:r>
        <w:r w:rsidR="00721D19">
          <w:rPr>
            <w:webHidden/>
          </w:rPr>
          <w:fldChar w:fldCharType="end"/>
        </w:r>
      </w:hyperlink>
    </w:p>
    <w:p w:rsidR="00721D19" w:rsidRPr="007102B4" w:rsidRDefault="00CA5623">
      <w:pPr>
        <w:pStyle w:val="Kazalovsebine1"/>
        <w:rPr>
          <w:rFonts w:eastAsia="Times New Roman"/>
          <w:b w:val="0"/>
          <w:lang w:eastAsia="sl-SI"/>
        </w:rPr>
      </w:pPr>
      <w:hyperlink w:anchor="_Toc503180596" w:history="1">
        <w:r w:rsidR="00721D19" w:rsidRPr="00B65FE9">
          <w:rPr>
            <w:rStyle w:val="Hiperpovezava"/>
          </w:rPr>
          <w:t>3</w:t>
        </w:r>
        <w:r w:rsidR="00721D19" w:rsidRPr="007102B4">
          <w:rPr>
            <w:rFonts w:eastAsia="Times New Roman"/>
            <w:b w:val="0"/>
            <w:lang w:eastAsia="sl-SI"/>
          </w:rPr>
          <w:tab/>
        </w:r>
        <w:r w:rsidR="00721D19" w:rsidRPr="00B65FE9">
          <w:rPr>
            <w:rStyle w:val="Hiperpovezava"/>
          </w:rPr>
          <w:t>Socio-ekonomski kazalniki občin problemskega območja Hrastnik, Radeče, Trbovlje</w:t>
        </w:r>
        <w:r w:rsidR="00721D19">
          <w:rPr>
            <w:webHidden/>
          </w:rPr>
          <w:tab/>
        </w:r>
        <w:r w:rsidR="00721D19">
          <w:rPr>
            <w:webHidden/>
          </w:rPr>
          <w:fldChar w:fldCharType="begin"/>
        </w:r>
        <w:r w:rsidR="00721D19">
          <w:rPr>
            <w:webHidden/>
          </w:rPr>
          <w:instrText xml:space="preserve"> PAGEREF _Toc503180596 \h </w:instrText>
        </w:r>
        <w:r w:rsidR="00721D19">
          <w:rPr>
            <w:webHidden/>
          </w:rPr>
        </w:r>
        <w:r w:rsidR="00721D19">
          <w:rPr>
            <w:webHidden/>
          </w:rPr>
          <w:fldChar w:fldCharType="separate"/>
        </w:r>
        <w:r w:rsidR="006D7802">
          <w:rPr>
            <w:webHidden/>
          </w:rPr>
          <w:t>12</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597" w:history="1">
        <w:r w:rsidR="00721D19" w:rsidRPr="00B65FE9">
          <w:rPr>
            <w:rStyle w:val="Hiperpovezava"/>
          </w:rPr>
          <w:t>3.1</w:t>
        </w:r>
        <w:r w:rsidR="00721D19" w:rsidRPr="007102B4">
          <w:rPr>
            <w:rFonts w:eastAsia="Times New Roman"/>
            <w:b w:val="0"/>
            <w:i w:val="0"/>
            <w:lang w:eastAsia="sl-SI"/>
          </w:rPr>
          <w:tab/>
        </w:r>
        <w:r w:rsidR="00721D19" w:rsidRPr="00B65FE9">
          <w:rPr>
            <w:rStyle w:val="Hiperpovezava"/>
          </w:rPr>
          <w:t>Stopnja registrirane brezposelnosti</w:t>
        </w:r>
        <w:r w:rsidR="00721D19">
          <w:rPr>
            <w:webHidden/>
          </w:rPr>
          <w:tab/>
        </w:r>
        <w:r w:rsidR="00721D19">
          <w:rPr>
            <w:webHidden/>
          </w:rPr>
          <w:fldChar w:fldCharType="begin"/>
        </w:r>
        <w:r w:rsidR="00721D19">
          <w:rPr>
            <w:webHidden/>
          </w:rPr>
          <w:instrText xml:space="preserve"> PAGEREF _Toc503180597 \h </w:instrText>
        </w:r>
        <w:r w:rsidR="00721D19">
          <w:rPr>
            <w:webHidden/>
          </w:rPr>
        </w:r>
        <w:r w:rsidR="00721D19">
          <w:rPr>
            <w:webHidden/>
          </w:rPr>
          <w:fldChar w:fldCharType="separate"/>
        </w:r>
        <w:r w:rsidR="006D7802">
          <w:rPr>
            <w:webHidden/>
          </w:rPr>
          <w:t>14</w:t>
        </w:r>
        <w:r w:rsidR="00721D19">
          <w:rPr>
            <w:webHidden/>
          </w:rPr>
          <w:fldChar w:fldCharType="end"/>
        </w:r>
      </w:hyperlink>
    </w:p>
    <w:p w:rsidR="00721D19" w:rsidRPr="007102B4" w:rsidRDefault="00CA5623">
      <w:pPr>
        <w:pStyle w:val="Kazalovsebine1"/>
        <w:rPr>
          <w:rFonts w:eastAsia="Times New Roman"/>
          <w:b w:val="0"/>
          <w:lang w:eastAsia="sl-SI"/>
        </w:rPr>
      </w:pPr>
      <w:hyperlink w:anchor="_Toc503180598" w:history="1">
        <w:r w:rsidR="00721D19" w:rsidRPr="00B65FE9">
          <w:rPr>
            <w:rStyle w:val="Hiperpovezava"/>
          </w:rPr>
          <w:t>4</w:t>
        </w:r>
        <w:r w:rsidR="00721D19" w:rsidRPr="007102B4">
          <w:rPr>
            <w:rFonts w:eastAsia="Times New Roman"/>
            <w:b w:val="0"/>
            <w:lang w:eastAsia="sl-SI"/>
          </w:rPr>
          <w:tab/>
        </w:r>
        <w:r w:rsidR="00721D19" w:rsidRPr="00B65FE9">
          <w:rPr>
            <w:rStyle w:val="Hiperpovezava"/>
          </w:rPr>
          <w:t>Izvajanje instrumentov in ukrepov</w:t>
        </w:r>
        <w:r w:rsidR="00721D19">
          <w:rPr>
            <w:webHidden/>
          </w:rPr>
          <w:tab/>
        </w:r>
        <w:r w:rsidR="00721D19">
          <w:rPr>
            <w:webHidden/>
          </w:rPr>
          <w:fldChar w:fldCharType="begin"/>
        </w:r>
        <w:r w:rsidR="00721D19">
          <w:rPr>
            <w:webHidden/>
          </w:rPr>
          <w:instrText xml:space="preserve"> PAGEREF _Toc503180598 \h </w:instrText>
        </w:r>
        <w:r w:rsidR="00721D19">
          <w:rPr>
            <w:webHidden/>
          </w:rPr>
        </w:r>
        <w:r w:rsidR="00721D19">
          <w:rPr>
            <w:webHidden/>
          </w:rPr>
          <w:fldChar w:fldCharType="separate"/>
        </w:r>
        <w:r w:rsidR="006D7802">
          <w:rPr>
            <w:webHidden/>
          </w:rPr>
          <w:t>16</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599" w:history="1">
        <w:r w:rsidR="00721D19" w:rsidRPr="00B65FE9">
          <w:rPr>
            <w:rStyle w:val="Hiperpovezava"/>
          </w:rPr>
          <w:t>4.1</w:t>
        </w:r>
        <w:r w:rsidR="00721D19" w:rsidRPr="007102B4">
          <w:rPr>
            <w:rFonts w:eastAsia="Times New Roman"/>
            <w:b w:val="0"/>
            <w:i w:val="0"/>
            <w:lang w:eastAsia="sl-SI"/>
          </w:rPr>
          <w:tab/>
        </w:r>
        <w:r w:rsidR="00721D19" w:rsidRPr="00B65FE9">
          <w:rPr>
            <w:rStyle w:val="Hiperpovezava"/>
          </w:rPr>
          <w:t>Program spodbujanja konkurenčnosti in ukrepov razvojne podpore za območje občin Hrastnik, Radeče in Trbovlje v obdobju 2013-2020</w:t>
        </w:r>
        <w:r w:rsidR="00721D19">
          <w:rPr>
            <w:webHidden/>
          </w:rPr>
          <w:tab/>
        </w:r>
        <w:r w:rsidR="00721D19">
          <w:rPr>
            <w:webHidden/>
          </w:rPr>
          <w:fldChar w:fldCharType="begin"/>
        </w:r>
        <w:r w:rsidR="00721D19">
          <w:rPr>
            <w:webHidden/>
          </w:rPr>
          <w:instrText xml:space="preserve"> PAGEREF _Toc503180599 \h </w:instrText>
        </w:r>
        <w:r w:rsidR="00721D19">
          <w:rPr>
            <w:webHidden/>
          </w:rPr>
        </w:r>
        <w:r w:rsidR="00721D19">
          <w:rPr>
            <w:webHidden/>
          </w:rPr>
          <w:fldChar w:fldCharType="separate"/>
        </w:r>
        <w:r w:rsidR="006D7802">
          <w:rPr>
            <w:webHidden/>
          </w:rPr>
          <w:t>16</w:t>
        </w:r>
        <w:r w:rsidR="00721D19">
          <w:rPr>
            <w:webHidden/>
          </w:rPr>
          <w:fldChar w:fldCharType="end"/>
        </w:r>
      </w:hyperlink>
    </w:p>
    <w:p w:rsidR="00721D19" w:rsidRPr="007102B4" w:rsidRDefault="00CA5623">
      <w:pPr>
        <w:pStyle w:val="Kazalovsebine3"/>
        <w:tabs>
          <w:tab w:val="left" w:pos="1320"/>
          <w:tab w:val="right" w:leader="dot" w:pos="9062"/>
        </w:tabs>
        <w:rPr>
          <w:rFonts w:eastAsia="Times New Roman"/>
          <w:noProof/>
          <w:lang w:eastAsia="sl-SI"/>
        </w:rPr>
      </w:pPr>
      <w:hyperlink w:anchor="_Toc503180600" w:history="1">
        <w:r w:rsidR="00721D19" w:rsidRPr="00B65FE9">
          <w:rPr>
            <w:rStyle w:val="Hiperpovezava"/>
            <w:noProof/>
          </w:rPr>
          <w:t>4.1.1</w:t>
        </w:r>
        <w:r w:rsidR="00721D19" w:rsidRPr="007102B4">
          <w:rPr>
            <w:rFonts w:eastAsia="Times New Roman"/>
            <w:noProof/>
            <w:lang w:eastAsia="sl-SI"/>
          </w:rPr>
          <w:tab/>
        </w:r>
        <w:r w:rsidR="00721D19" w:rsidRPr="00B65FE9">
          <w:rPr>
            <w:rStyle w:val="Hiperpovezava"/>
            <w:noProof/>
          </w:rPr>
          <w:t xml:space="preserve">Instrument 1: </w:t>
        </w:r>
        <w:r w:rsidR="00721D19" w:rsidRPr="00B65FE9">
          <w:rPr>
            <w:rStyle w:val="Hiperpovezava"/>
            <w:rFonts w:cs="Arial"/>
            <w:noProof/>
          </w:rPr>
          <w:t>subvencije za spodbujanje investicij</w:t>
        </w:r>
        <w:r w:rsidR="00721D19">
          <w:rPr>
            <w:noProof/>
            <w:webHidden/>
          </w:rPr>
          <w:tab/>
        </w:r>
        <w:r w:rsidR="00721D19">
          <w:rPr>
            <w:noProof/>
            <w:webHidden/>
          </w:rPr>
          <w:fldChar w:fldCharType="begin"/>
        </w:r>
        <w:r w:rsidR="00721D19">
          <w:rPr>
            <w:noProof/>
            <w:webHidden/>
          </w:rPr>
          <w:instrText xml:space="preserve"> PAGEREF _Toc503180600 \h </w:instrText>
        </w:r>
        <w:r w:rsidR="00721D19">
          <w:rPr>
            <w:noProof/>
            <w:webHidden/>
          </w:rPr>
        </w:r>
        <w:r w:rsidR="00721D19">
          <w:rPr>
            <w:noProof/>
            <w:webHidden/>
          </w:rPr>
          <w:fldChar w:fldCharType="separate"/>
        </w:r>
        <w:r w:rsidR="006D7802">
          <w:rPr>
            <w:noProof/>
            <w:webHidden/>
          </w:rPr>
          <w:t>16</w:t>
        </w:r>
        <w:r w:rsidR="00721D19">
          <w:rPr>
            <w:noProof/>
            <w:webHidden/>
          </w:rPr>
          <w:fldChar w:fldCharType="end"/>
        </w:r>
      </w:hyperlink>
    </w:p>
    <w:p w:rsidR="00721D19" w:rsidRPr="007102B4" w:rsidRDefault="00CA5623">
      <w:pPr>
        <w:pStyle w:val="Kazalovsebine3"/>
        <w:tabs>
          <w:tab w:val="left" w:pos="1320"/>
          <w:tab w:val="right" w:leader="dot" w:pos="9062"/>
        </w:tabs>
        <w:rPr>
          <w:rFonts w:eastAsia="Times New Roman"/>
          <w:noProof/>
          <w:lang w:eastAsia="sl-SI"/>
        </w:rPr>
      </w:pPr>
      <w:hyperlink w:anchor="_Toc503180601" w:history="1">
        <w:r w:rsidR="00721D19" w:rsidRPr="00B65FE9">
          <w:rPr>
            <w:rStyle w:val="Hiperpovezava"/>
            <w:noProof/>
          </w:rPr>
          <w:t>4.1.2</w:t>
        </w:r>
        <w:r w:rsidR="00721D19" w:rsidRPr="007102B4">
          <w:rPr>
            <w:rFonts w:eastAsia="Times New Roman"/>
            <w:noProof/>
            <w:lang w:eastAsia="sl-SI"/>
          </w:rPr>
          <w:tab/>
        </w:r>
        <w:r w:rsidR="00721D19" w:rsidRPr="00B65FE9">
          <w:rPr>
            <w:rStyle w:val="Hiperpovezava"/>
            <w:noProof/>
          </w:rPr>
          <w:t>Instrument 2: ugodni razvojni krediti za investicije</w:t>
        </w:r>
        <w:r w:rsidR="00721D19">
          <w:rPr>
            <w:noProof/>
            <w:webHidden/>
          </w:rPr>
          <w:tab/>
        </w:r>
        <w:r w:rsidR="00721D19">
          <w:rPr>
            <w:noProof/>
            <w:webHidden/>
          </w:rPr>
          <w:fldChar w:fldCharType="begin"/>
        </w:r>
        <w:r w:rsidR="00721D19">
          <w:rPr>
            <w:noProof/>
            <w:webHidden/>
          </w:rPr>
          <w:instrText xml:space="preserve"> PAGEREF _Toc503180601 \h </w:instrText>
        </w:r>
        <w:r w:rsidR="00721D19">
          <w:rPr>
            <w:noProof/>
            <w:webHidden/>
          </w:rPr>
        </w:r>
        <w:r w:rsidR="00721D19">
          <w:rPr>
            <w:noProof/>
            <w:webHidden/>
          </w:rPr>
          <w:fldChar w:fldCharType="separate"/>
        </w:r>
        <w:r w:rsidR="006D7802">
          <w:rPr>
            <w:noProof/>
            <w:webHidden/>
          </w:rPr>
          <w:t>17</w:t>
        </w:r>
        <w:r w:rsidR="00721D19">
          <w:rPr>
            <w:noProof/>
            <w:webHidden/>
          </w:rPr>
          <w:fldChar w:fldCharType="end"/>
        </w:r>
      </w:hyperlink>
    </w:p>
    <w:p w:rsidR="00721D19" w:rsidRPr="007102B4" w:rsidRDefault="00CA5623">
      <w:pPr>
        <w:pStyle w:val="Kazalovsebine3"/>
        <w:tabs>
          <w:tab w:val="left" w:pos="1320"/>
          <w:tab w:val="right" w:leader="dot" w:pos="9062"/>
        </w:tabs>
        <w:rPr>
          <w:rFonts w:eastAsia="Times New Roman"/>
          <w:noProof/>
          <w:lang w:eastAsia="sl-SI"/>
        </w:rPr>
      </w:pPr>
      <w:hyperlink w:anchor="_Toc503180602" w:history="1">
        <w:r w:rsidR="00721D19" w:rsidRPr="00B65FE9">
          <w:rPr>
            <w:rStyle w:val="Hiperpovezava"/>
            <w:noProof/>
          </w:rPr>
          <w:t>4.1.3</w:t>
        </w:r>
        <w:r w:rsidR="00721D19" w:rsidRPr="007102B4">
          <w:rPr>
            <w:rFonts w:eastAsia="Times New Roman"/>
            <w:noProof/>
            <w:lang w:eastAsia="sl-SI"/>
          </w:rPr>
          <w:tab/>
        </w:r>
        <w:r w:rsidR="00721D19" w:rsidRPr="00B65FE9">
          <w:rPr>
            <w:rStyle w:val="Hiperpovezava"/>
            <w:noProof/>
          </w:rPr>
          <w:t>Instrument 3: subvencije za zagon podjetij</w:t>
        </w:r>
        <w:r w:rsidR="00721D19">
          <w:rPr>
            <w:noProof/>
            <w:webHidden/>
          </w:rPr>
          <w:tab/>
        </w:r>
        <w:r w:rsidR="00721D19">
          <w:rPr>
            <w:noProof/>
            <w:webHidden/>
          </w:rPr>
          <w:fldChar w:fldCharType="begin"/>
        </w:r>
        <w:r w:rsidR="00721D19">
          <w:rPr>
            <w:noProof/>
            <w:webHidden/>
          </w:rPr>
          <w:instrText xml:space="preserve"> PAGEREF _Toc503180602 \h </w:instrText>
        </w:r>
        <w:r w:rsidR="00721D19">
          <w:rPr>
            <w:noProof/>
            <w:webHidden/>
          </w:rPr>
        </w:r>
        <w:r w:rsidR="00721D19">
          <w:rPr>
            <w:noProof/>
            <w:webHidden/>
          </w:rPr>
          <w:fldChar w:fldCharType="separate"/>
        </w:r>
        <w:r w:rsidR="006D7802">
          <w:rPr>
            <w:noProof/>
            <w:webHidden/>
          </w:rPr>
          <w:t>17</w:t>
        </w:r>
        <w:r w:rsidR="00721D19">
          <w:rPr>
            <w:noProof/>
            <w:webHidden/>
          </w:rPr>
          <w:fldChar w:fldCharType="end"/>
        </w:r>
      </w:hyperlink>
    </w:p>
    <w:p w:rsidR="00721D19" w:rsidRPr="007102B4" w:rsidRDefault="00CA5623">
      <w:pPr>
        <w:pStyle w:val="Kazalovsebine3"/>
        <w:tabs>
          <w:tab w:val="left" w:pos="1320"/>
          <w:tab w:val="right" w:leader="dot" w:pos="9062"/>
        </w:tabs>
        <w:rPr>
          <w:rFonts w:eastAsia="Times New Roman"/>
          <w:noProof/>
          <w:lang w:eastAsia="sl-SI"/>
        </w:rPr>
      </w:pPr>
      <w:hyperlink w:anchor="_Toc503180603" w:history="1">
        <w:r w:rsidR="00721D19" w:rsidRPr="00B65FE9">
          <w:rPr>
            <w:rStyle w:val="Hiperpovezava"/>
            <w:noProof/>
          </w:rPr>
          <w:t>4.1.4</w:t>
        </w:r>
        <w:r w:rsidR="00721D19" w:rsidRPr="007102B4">
          <w:rPr>
            <w:rFonts w:eastAsia="Times New Roman"/>
            <w:noProof/>
            <w:lang w:eastAsia="sl-SI"/>
          </w:rPr>
          <w:tab/>
        </w:r>
        <w:r w:rsidR="00721D19" w:rsidRPr="00B65FE9">
          <w:rPr>
            <w:rStyle w:val="Hiperpovezava"/>
            <w:noProof/>
          </w:rPr>
          <w:t>Instrument 4: mikrokrediti</w:t>
        </w:r>
        <w:r w:rsidR="00721D19">
          <w:rPr>
            <w:noProof/>
            <w:webHidden/>
          </w:rPr>
          <w:tab/>
        </w:r>
        <w:r w:rsidR="00721D19">
          <w:rPr>
            <w:noProof/>
            <w:webHidden/>
          </w:rPr>
          <w:fldChar w:fldCharType="begin"/>
        </w:r>
        <w:r w:rsidR="00721D19">
          <w:rPr>
            <w:noProof/>
            <w:webHidden/>
          </w:rPr>
          <w:instrText xml:space="preserve"> PAGEREF _Toc503180603 \h </w:instrText>
        </w:r>
        <w:r w:rsidR="00721D19">
          <w:rPr>
            <w:noProof/>
            <w:webHidden/>
          </w:rPr>
        </w:r>
        <w:r w:rsidR="00721D19">
          <w:rPr>
            <w:noProof/>
            <w:webHidden/>
          </w:rPr>
          <w:fldChar w:fldCharType="separate"/>
        </w:r>
        <w:r w:rsidR="006D7802">
          <w:rPr>
            <w:noProof/>
            <w:webHidden/>
          </w:rPr>
          <w:t>18</w:t>
        </w:r>
        <w:r w:rsidR="00721D19">
          <w:rPr>
            <w:noProof/>
            <w:webHidden/>
          </w:rPr>
          <w:fldChar w:fldCharType="end"/>
        </w:r>
      </w:hyperlink>
    </w:p>
    <w:p w:rsidR="00721D19" w:rsidRPr="007102B4" w:rsidRDefault="00CA5623">
      <w:pPr>
        <w:pStyle w:val="Kazalovsebine3"/>
        <w:tabs>
          <w:tab w:val="left" w:pos="1320"/>
          <w:tab w:val="right" w:leader="dot" w:pos="9062"/>
        </w:tabs>
        <w:rPr>
          <w:rFonts w:eastAsia="Times New Roman"/>
          <w:noProof/>
          <w:lang w:eastAsia="sl-SI"/>
        </w:rPr>
      </w:pPr>
      <w:hyperlink w:anchor="_Toc503180604" w:history="1">
        <w:r w:rsidR="00721D19" w:rsidRPr="00B65FE9">
          <w:rPr>
            <w:rStyle w:val="Hiperpovezava"/>
            <w:noProof/>
          </w:rPr>
          <w:t>4.1.5</w:t>
        </w:r>
        <w:r w:rsidR="00721D19" w:rsidRPr="007102B4">
          <w:rPr>
            <w:rFonts w:eastAsia="Times New Roman"/>
            <w:noProof/>
            <w:lang w:eastAsia="sl-SI"/>
          </w:rPr>
          <w:tab/>
        </w:r>
        <w:r w:rsidR="00721D19" w:rsidRPr="00B65FE9">
          <w:rPr>
            <w:rStyle w:val="Hiperpovezava"/>
            <w:noProof/>
          </w:rPr>
          <w:t>Instrument 5: promocija območja, privabljanje tujih in domačih investitorjev ter izvajanje programa</w:t>
        </w:r>
        <w:r w:rsidR="00721D19">
          <w:rPr>
            <w:noProof/>
            <w:webHidden/>
          </w:rPr>
          <w:tab/>
        </w:r>
        <w:r w:rsidR="00721D19">
          <w:rPr>
            <w:noProof/>
            <w:webHidden/>
          </w:rPr>
          <w:fldChar w:fldCharType="begin"/>
        </w:r>
        <w:r w:rsidR="00721D19">
          <w:rPr>
            <w:noProof/>
            <w:webHidden/>
          </w:rPr>
          <w:instrText xml:space="preserve"> PAGEREF _Toc503180604 \h </w:instrText>
        </w:r>
        <w:r w:rsidR="00721D19">
          <w:rPr>
            <w:noProof/>
            <w:webHidden/>
          </w:rPr>
        </w:r>
        <w:r w:rsidR="00721D19">
          <w:rPr>
            <w:noProof/>
            <w:webHidden/>
          </w:rPr>
          <w:fldChar w:fldCharType="separate"/>
        </w:r>
        <w:r w:rsidR="006D7802">
          <w:rPr>
            <w:noProof/>
            <w:webHidden/>
          </w:rPr>
          <w:t>18</w:t>
        </w:r>
        <w:r w:rsidR="00721D19">
          <w:rPr>
            <w:noProof/>
            <w:webHidden/>
          </w:rPr>
          <w:fldChar w:fldCharType="end"/>
        </w:r>
      </w:hyperlink>
    </w:p>
    <w:p w:rsidR="00721D19" w:rsidRPr="007102B4" w:rsidRDefault="00CA5623">
      <w:pPr>
        <w:pStyle w:val="Kazalovsebine3"/>
        <w:tabs>
          <w:tab w:val="left" w:pos="1320"/>
          <w:tab w:val="right" w:leader="dot" w:pos="9062"/>
        </w:tabs>
        <w:rPr>
          <w:rFonts w:eastAsia="Times New Roman"/>
          <w:noProof/>
          <w:lang w:eastAsia="sl-SI"/>
        </w:rPr>
      </w:pPr>
      <w:hyperlink w:anchor="_Toc503180605" w:history="1">
        <w:r w:rsidR="00721D19" w:rsidRPr="00B65FE9">
          <w:rPr>
            <w:rStyle w:val="Hiperpovezava"/>
            <w:noProof/>
          </w:rPr>
          <w:t>4.1.6</w:t>
        </w:r>
        <w:r w:rsidR="00721D19" w:rsidRPr="007102B4">
          <w:rPr>
            <w:rFonts w:eastAsia="Times New Roman"/>
            <w:noProof/>
            <w:lang w:eastAsia="sl-SI"/>
          </w:rPr>
          <w:tab/>
        </w:r>
        <w:r w:rsidR="00721D19" w:rsidRPr="00B65FE9">
          <w:rPr>
            <w:rStyle w:val="Hiperpovezava"/>
            <w:noProof/>
          </w:rPr>
          <w:t>Regijsko specifični instrument: Podjetno v svet podjetništva</w:t>
        </w:r>
        <w:r w:rsidR="00721D19">
          <w:rPr>
            <w:noProof/>
            <w:webHidden/>
          </w:rPr>
          <w:tab/>
        </w:r>
        <w:r w:rsidR="00721D19">
          <w:rPr>
            <w:noProof/>
            <w:webHidden/>
          </w:rPr>
          <w:fldChar w:fldCharType="begin"/>
        </w:r>
        <w:r w:rsidR="00721D19">
          <w:rPr>
            <w:noProof/>
            <w:webHidden/>
          </w:rPr>
          <w:instrText xml:space="preserve"> PAGEREF _Toc503180605 \h </w:instrText>
        </w:r>
        <w:r w:rsidR="00721D19">
          <w:rPr>
            <w:noProof/>
            <w:webHidden/>
          </w:rPr>
        </w:r>
        <w:r w:rsidR="00721D19">
          <w:rPr>
            <w:noProof/>
            <w:webHidden/>
          </w:rPr>
          <w:fldChar w:fldCharType="separate"/>
        </w:r>
        <w:r w:rsidR="006D7802">
          <w:rPr>
            <w:noProof/>
            <w:webHidden/>
          </w:rPr>
          <w:t>20</w:t>
        </w:r>
        <w:r w:rsidR="00721D19">
          <w:rPr>
            <w:noProof/>
            <w:webHidden/>
          </w:rPr>
          <w:fldChar w:fldCharType="end"/>
        </w:r>
      </w:hyperlink>
    </w:p>
    <w:p w:rsidR="00721D19" w:rsidRPr="007102B4" w:rsidRDefault="00CA5623">
      <w:pPr>
        <w:pStyle w:val="Kazalovsebine2"/>
        <w:rPr>
          <w:rFonts w:eastAsia="Times New Roman"/>
          <w:b w:val="0"/>
          <w:i w:val="0"/>
          <w:lang w:eastAsia="sl-SI"/>
        </w:rPr>
      </w:pPr>
      <w:hyperlink w:anchor="_Toc503180606" w:history="1">
        <w:r w:rsidR="00721D19" w:rsidRPr="00B65FE9">
          <w:rPr>
            <w:rStyle w:val="Hiperpovezava"/>
          </w:rPr>
          <w:t>4.2</w:t>
        </w:r>
        <w:r w:rsidR="00721D19" w:rsidRPr="007102B4">
          <w:rPr>
            <w:rFonts w:eastAsia="Times New Roman"/>
            <w:b w:val="0"/>
            <w:i w:val="0"/>
            <w:lang w:eastAsia="sl-SI"/>
          </w:rPr>
          <w:tab/>
        </w:r>
        <w:r w:rsidR="00721D19" w:rsidRPr="00B65FE9">
          <w:rPr>
            <w:rStyle w:val="Hiperpovezava"/>
          </w:rPr>
          <w:t>Ukrep 2: Povračilo plačanih prispevkov delodajalca za socialno varnost</w:t>
        </w:r>
        <w:r w:rsidR="00721D19">
          <w:rPr>
            <w:webHidden/>
          </w:rPr>
          <w:tab/>
        </w:r>
        <w:r w:rsidR="00721D19">
          <w:rPr>
            <w:webHidden/>
          </w:rPr>
          <w:fldChar w:fldCharType="begin"/>
        </w:r>
        <w:r w:rsidR="00721D19">
          <w:rPr>
            <w:webHidden/>
          </w:rPr>
          <w:instrText xml:space="preserve"> PAGEREF _Toc503180606 \h </w:instrText>
        </w:r>
        <w:r w:rsidR="00721D19">
          <w:rPr>
            <w:webHidden/>
          </w:rPr>
        </w:r>
        <w:r w:rsidR="00721D19">
          <w:rPr>
            <w:webHidden/>
          </w:rPr>
          <w:fldChar w:fldCharType="separate"/>
        </w:r>
        <w:r w:rsidR="006D7802">
          <w:rPr>
            <w:webHidden/>
          </w:rPr>
          <w:t>20</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607" w:history="1">
        <w:r w:rsidR="00721D19" w:rsidRPr="00B65FE9">
          <w:rPr>
            <w:rStyle w:val="Hiperpovezava"/>
          </w:rPr>
          <w:t>4.3</w:t>
        </w:r>
        <w:r w:rsidR="00721D19" w:rsidRPr="007102B4">
          <w:rPr>
            <w:rFonts w:eastAsia="Times New Roman"/>
            <w:b w:val="0"/>
            <w:i w:val="0"/>
            <w:lang w:eastAsia="sl-SI"/>
          </w:rPr>
          <w:tab/>
        </w:r>
        <w:r w:rsidR="00721D19" w:rsidRPr="00B65FE9">
          <w:rPr>
            <w:rStyle w:val="Hiperpovezava"/>
          </w:rPr>
          <w:t>Ukrep 3: in ukrep 4:  Davčne olajšave za zaposlovanje in investiranje</w:t>
        </w:r>
        <w:r w:rsidR="00721D19">
          <w:rPr>
            <w:webHidden/>
          </w:rPr>
          <w:tab/>
        </w:r>
        <w:r w:rsidR="00721D19">
          <w:rPr>
            <w:webHidden/>
          </w:rPr>
          <w:fldChar w:fldCharType="begin"/>
        </w:r>
        <w:r w:rsidR="00721D19">
          <w:rPr>
            <w:webHidden/>
          </w:rPr>
          <w:instrText xml:space="preserve"> PAGEREF _Toc503180607 \h </w:instrText>
        </w:r>
        <w:r w:rsidR="00721D19">
          <w:rPr>
            <w:webHidden/>
          </w:rPr>
        </w:r>
        <w:r w:rsidR="00721D19">
          <w:rPr>
            <w:webHidden/>
          </w:rPr>
          <w:fldChar w:fldCharType="separate"/>
        </w:r>
        <w:r w:rsidR="006D7802">
          <w:rPr>
            <w:webHidden/>
          </w:rPr>
          <w:t>22</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608" w:history="1">
        <w:r w:rsidR="00721D19" w:rsidRPr="00B65FE9">
          <w:rPr>
            <w:rStyle w:val="Hiperpovezava"/>
            <w:lang w:eastAsia="sl-SI"/>
          </w:rPr>
          <w:t>4.4</w:t>
        </w:r>
        <w:r w:rsidR="00721D19" w:rsidRPr="007102B4">
          <w:rPr>
            <w:rFonts w:eastAsia="Times New Roman"/>
            <w:b w:val="0"/>
            <w:i w:val="0"/>
            <w:lang w:eastAsia="sl-SI"/>
          </w:rPr>
          <w:tab/>
        </w:r>
        <w:r w:rsidR="00721D19" w:rsidRPr="00B65FE9">
          <w:rPr>
            <w:rStyle w:val="Hiperpovezava"/>
            <w:lang w:eastAsia="sl-SI"/>
          </w:rPr>
          <w:t>Ukrep 5: spodbude za trajnostni razvoj podeželja iz Programa razvoja podeželja 2014-2020</w:t>
        </w:r>
        <w:r w:rsidR="00721D19">
          <w:rPr>
            <w:rStyle w:val="Hiperpovezava"/>
            <w:lang w:eastAsia="sl-SI"/>
          </w:rPr>
          <w:tab/>
        </w:r>
        <w:r w:rsidR="00721D19">
          <w:rPr>
            <w:webHidden/>
          </w:rPr>
          <w:tab/>
        </w:r>
        <w:r w:rsidR="00721D19">
          <w:rPr>
            <w:webHidden/>
          </w:rPr>
          <w:fldChar w:fldCharType="begin"/>
        </w:r>
        <w:r w:rsidR="00721D19">
          <w:rPr>
            <w:webHidden/>
          </w:rPr>
          <w:instrText xml:space="preserve"> PAGEREF _Toc503180608 \h </w:instrText>
        </w:r>
        <w:r w:rsidR="00721D19">
          <w:rPr>
            <w:webHidden/>
          </w:rPr>
        </w:r>
        <w:r w:rsidR="00721D19">
          <w:rPr>
            <w:webHidden/>
          </w:rPr>
          <w:fldChar w:fldCharType="separate"/>
        </w:r>
        <w:r w:rsidR="006D7802">
          <w:rPr>
            <w:webHidden/>
          </w:rPr>
          <w:t>23</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609" w:history="1">
        <w:r w:rsidR="00721D19" w:rsidRPr="00B65FE9">
          <w:rPr>
            <w:rStyle w:val="Hiperpovezava"/>
          </w:rPr>
          <w:t>4.5</w:t>
        </w:r>
        <w:r w:rsidR="00721D19" w:rsidRPr="007102B4">
          <w:rPr>
            <w:rFonts w:eastAsia="Times New Roman"/>
            <w:b w:val="0"/>
            <w:i w:val="0"/>
            <w:lang w:eastAsia="sl-SI"/>
          </w:rPr>
          <w:tab/>
        </w:r>
        <w:r w:rsidR="00721D19" w:rsidRPr="00B65FE9">
          <w:rPr>
            <w:rStyle w:val="Hiperpovezava"/>
            <w:lang w:eastAsia="sl-SI"/>
          </w:rPr>
          <w:t>Ukrep 6: prometna  in energetska infrastruktura</w:t>
        </w:r>
        <w:r w:rsidR="00721D19">
          <w:rPr>
            <w:webHidden/>
          </w:rPr>
          <w:tab/>
        </w:r>
        <w:r w:rsidR="00721D19">
          <w:rPr>
            <w:webHidden/>
          </w:rPr>
          <w:fldChar w:fldCharType="begin"/>
        </w:r>
        <w:r w:rsidR="00721D19">
          <w:rPr>
            <w:webHidden/>
          </w:rPr>
          <w:instrText xml:space="preserve"> PAGEREF _Toc503180609 \h </w:instrText>
        </w:r>
        <w:r w:rsidR="00721D19">
          <w:rPr>
            <w:webHidden/>
          </w:rPr>
        </w:r>
        <w:r w:rsidR="00721D19">
          <w:rPr>
            <w:webHidden/>
          </w:rPr>
          <w:fldChar w:fldCharType="separate"/>
        </w:r>
        <w:r w:rsidR="006D7802">
          <w:rPr>
            <w:webHidden/>
          </w:rPr>
          <w:t>24</w:t>
        </w:r>
        <w:r w:rsidR="00721D19">
          <w:rPr>
            <w:webHidden/>
          </w:rPr>
          <w:fldChar w:fldCharType="end"/>
        </w:r>
      </w:hyperlink>
    </w:p>
    <w:p w:rsidR="00721D19" w:rsidRPr="007102B4" w:rsidRDefault="00CA5623">
      <w:pPr>
        <w:pStyle w:val="Kazalovsebine2"/>
        <w:rPr>
          <w:rFonts w:eastAsia="Times New Roman"/>
          <w:b w:val="0"/>
          <w:i w:val="0"/>
          <w:lang w:eastAsia="sl-SI"/>
        </w:rPr>
      </w:pPr>
      <w:hyperlink w:anchor="_Toc503180610" w:history="1">
        <w:r w:rsidR="00721D19" w:rsidRPr="00B65FE9">
          <w:rPr>
            <w:rStyle w:val="Hiperpovezava"/>
            <w:lang w:eastAsia="sl-SI"/>
          </w:rPr>
          <w:t>4.6</w:t>
        </w:r>
        <w:r w:rsidR="00721D19" w:rsidRPr="007102B4">
          <w:rPr>
            <w:rFonts w:eastAsia="Times New Roman"/>
            <w:b w:val="0"/>
            <w:i w:val="0"/>
            <w:lang w:eastAsia="sl-SI"/>
          </w:rPr>
          <w:tab/>
        </w:r>
        <w:r w:rsidR="00721D19" w:rsidRPr="00B65FE9">
          <w:rPr>
            <w:rStyle w:val="Hiperpovezava"/>
          </w:rPr>
          <w:t>Višina finančnih sredstev ukrepov in  instrumentov za izvedbo Programa v letu 2016 v EUR</w:t>
        </w:r>
        <w:r w:rsidR="00721D19">
          <w:rPr>
            <w:webHidden/>
          </w:rPr>
          <w:tab/>
        </w:r>
        <w:r w:rsidR="00721D19">
          <w:rPr>
            <w:webHidden/>
          </w:rPr>
          <w:fldChar w:fldCharType="begin"/>
        </w:r>
        <w:r w:rsidR="00721D19">
          <w:rPr>
            <w:webHidden/>
          </w:rPr>
          <w:instrText xml:space="preserve"> PAGEREF _Toc503180610 \h </w:instrText>
        </w:r>
        <w:r w:rsidR="00721D19">
          <w:rPr>
            <w:webHidden/>
          </w:rPr>
        </w:r>
        <w:r w:rsidR="00721D19">
          <w:rPr>
            <w:webHidden/>
          </w:rPr>
          <w:fldChar w:fldCharType="separate"/>
        </w:r>
        <w:r w:rsidR="006D7802">
          <w:rPr>
            <w:webHidden/>
          </w:rPr>
          <w:t>26</w:t>
        </w:r>
        <w:r w:rsidR="00721D19">
          <w:rPr>
            <w:webHidden/>
          </w:rPr>
          <w:fldChar w:fldCharType="end"/>
        </w:r>
      </w:hyperlink>
    </w:p>
    <w:p w:rsidR="00721D19" w:rsidRPr="007102B4" w:rsidRDefault="00CA5623">
      <w:pPr>
        <w:pStyle w:val="Kazalovsebine1"/>
        <w:rPr>
          <w:rFonts w:eastAsia="Times New Roman"/>
          <w:b w:val="0"/>
          <w:lang w:eastAsia="sl-SI"/>
        </w:rPr>
      </w:pPr>
      <w:hyperlink w:anchor="_Toc503180611" w:history="1">
        <w:r w:rsidR="00721D19" w:rsidRPr="00B65FE9">
          <w:rPr>
            <w:rStyle w:val="Hiperpovezava"/>
          </w:rPr>
          <w:t>5</w:t>
        </w:r>
        <w:r w:rsidR="00721D19" w:rsidRPr="007102B4">
          <w:rPr>
            <w:rFonts w:eastAsia="Times New Roman"/>
            <w:b w:val="0"/>
            <w:lang w:eastAsia="sl-SI"/>
          </w:rPr>
          <w:tab/>
        </w:r>
        <w:r w:rsidR="00721D19" w:rsidRPr="00B65FE9">
          <w:rPr>
            <w:rStyle w:val="Hiperpovezava"/>
          </w:rPr>
          <w:t>Vmesno vrednotenje Programa HRT</w:t>
        </w:r>
        <w:r w:rsidR="00721D19">
          <w:rPr>
            <w:webHidden/>
          </w:rPr>
          <w:tab/>
        </w:r>
        <w:r w:rsidR="00721D19">
          <w:rPr>
            <w:webHidden/>
          </w:rPr>
          <w:fldChar w:fldCharType="begin"/>
        </w:r>
        <w:r w:rsidR="00721D19">
          <w:rPr>
            <w:webHidden/>
          </w:rPr>
          <w:instrText xml:space="preserve"> PAGEREF _Toc503180611 \h </w:instrText>
        </w:r>
        <w:r w:rsidR="00721D19">
          <w:rPr>
            <w:webHidden/>
          </w:rPr>
        </w:r>
        <w:r w:rsidR="00721D19">
          <w:rPr>
            <w:webHidden/>
          </w:rPr>
          <w:fldChar w:fldCharType="separate"/>
        </w:r>
        <w:r w:rsidR="006D7802">
          <w:rPr>
            <w:webHidden/>
          </w:rPr>
          <w:t>29</w:t>
        </w:r>
        <w:r w:rsidR="00721D19">
          <w:rPr>
            <w:webHidden/>
          </w:rPr>
          <w:fldChar w:fldCharType="end"/>
        </w:r>
      </w:hyperlink>
    </w:p>
    <w:p w:rsidR="00852247" w:rsidRDefault="00852247">
      <w:r>
        <w:rPr>
          <w:b/>
          <w:bCs/>
        </w:rPr>
        <w:fldChar w:fldCharType="end"/>
      </w:r>
    </w:p>
    <w:p w:rsidR="00A53309" w:rsidRPr="00C22020" w:rsidRDefault="00CE1753" w:rsidP="00852390">
      <w:pPr>
        <w:pStyle w:val="Slog1"/>
        <w:rPr>
          <w:sz w:val="32"/>
        </w:rPr>
      </w:pPr>
      <w:r>
        <w:br w:type="page"/>
      </w:r>
      <w:r w:rsidRPr="00C22020">
        <w:rPr>
          <w:sz w:val="32"/>
        </w:rPr>
        <w:lastRenderedPageBreak/>
        <w:t>Povzetek</w:t>
      </w:r>
    </w:p>
    <w:p w:rsidR="00E1474B" w:rsidRDefault="00E1474B" w:rsidP="00E1474B">
      <w:pPr>
        <w:tabs>
          <w:tab w:val="left" w:pos="0"/>
        </w:tabs>
        <w:spacing w:after="0"/>
        <w:jc w:val="both"/>
        <w:rPr>
          <w:rFonts w:cs="Arial"/>
        </w:rPr>
      </w:pPr>
    </w:p>
    <w:p w:rsidR="00B734EE" w:rsidRDefault="00B734EE" w:rsidP="00E1474B">
      <w:pPr>
        <w:tabs>
          <w:tab w:val="left" w:pos="0"/>
        </w:tabs>
        <w:spacing w:after="0"/>
        <w:jc w:val="both"/>
        <w:rPr>
          <w:rFonts w:cs="Arial"/>
        </w:rPr>
      </w:pPr>
    </w:p>
    <w:p w:rsidR="00B734EE" w:rsidRDefault="00B734EE" w:rsidP="00E1474B">
      <w:pPr>
        <w:tabs>
          <w:tab w:val="left" w:pos="0"/>
        </w:tabs>
        <w:spacing w:after="0"/>
        <w:jc w:val="both"/>
        <w:rPr>
          <w:rFonts w:cs="Arial"/>
        </w:rPr>
      </w:pPr>
    </w:p>
    <w:p w:rsidR="00E1474B" w:rsidRPr="00B30FD8" w:rsidRDefault="00E1474B" w:rsidP="00E1474B">
      <w:pPr>
        <w:tabs>
          <w:tab w:val="left" w:pos="0"/>
        </w:tabs>
        <w:spacing w:after="0"/>
        <w:jc w:val="both"/>
        <w:rPr>
          <w:rFonts w:cs="Arial"/>
        </w:rPr>
      </w:pPr>
      <w:r w:rsidRPr="00B30FD8">
        <w:rPr>
          <w:rFonts w:cs="Arial"/>
        </w:rPr>
        <w:t>Vlada RS je sprejela sklep o dodatnih začasnih ukrepih razvojne podpore za problemsko območje z visoko brezposelnostjo območje občin Hrastnik, Radeče, Trbovlje in izvajanje Programa spodbujanja konkurenčnosti in ukrepov razvojne podpore območju občin Hrastnik, Radeče</w:t>
      </w:r>
      <w:r w:rsidR="0061299B" w:rsidRPr="00B30FD8">
        <w:rPr>
          <w:rFonts w:cs="Arial"/>
        </w:rPr>
        <w:t xml:space="preserve"> in</w:t>
      </w:r>
      <w:r w:rsidRPr="00B30FD8">
        <w:rPr>
          <w:rFonts w:cs="Arial"/>
        </w:rPr>
        <w:t xml:space="preserve"> Trbovlje, na 19. redni seji dne 25.7.2013 (sklep Vlade št. 00726-19/2013/7).</w:t>
      </w:r>
    </w:p>
    <w:p w:rsidR="00B734EE" w:rsidRPr="00B30FD8" w:rsidRDefault="00B734EE" w:rsidP="005933FB">
      <w:pPr>
        <w:jc w:val="both"/>
      </w:pPr>
    </w:p>
    <w:p w:rsidR="00E1474B" w:rsidRPr="00B30FD8" w:rsidRDefault="00E1474B" w:rsidP="00E1474B">
      <w:pPr>
        <w:spacing w:after="0"/>
        <w:contextualSpacing/>
        <w:jc w:val="both"/>
        <w:rPr>
          <w:lang w:eastAsia="sl-SI"/>
        </w:rPr>
      </w:pPr>
      <w:r w:rsidRPr="00B30FD8">
        <w:rPr>
          <w:rFonts w:cs="Arial"/>
        </w:rPr>
        <w:t>Vlada Republike Slovenije je sprejela Sklep o dodatnih začasnih ukrepih razvojne podpore za problemska območja z visoko brezposelnostjo</w:t>
      </w:r>
      <w:r w:rsidRPr="00B30FD8">
        <w:t xml:space="preserve"> </w:t>
      </w:r>
      <w:r w:rsidRPr="00B30FD8">
        <w:rPr>
          <w:rFonts w:cs="Arial"/>
        </w:rPr>
        <w:t>št. 00726-14/2016/5 (Uradni list RS, št. 36/16</w:t>
      </w:r>
      <w:r w:rsidR="00F27B75" w:rsidRPr="00B30FD8">
        <w:rPr>
          <w:rFonts w:cs="Arial"/>
        </w:rPr>
        <w:t xml:space="preserve"> in št. 64/16</w:t>
      </w:r>
      <w:r w:rsidRPr="00B30FD8">
        <w:rPr>
          <w:rFonts w:cs="Arial"/>
        </w:rPr>
        <w:t xml:space="preserve">). </w:t>
      </w:r>
      <w:r w:rsidRPr="00B30FD8">
        <w:t xml:space="preserve">V okviru tega je naveden </w:t>
      </w:r>
      <w:r w:rsidRPr="00B30FD8">
        <w:rPr>
          <w:lang w:eastAsia="sl-SI"/>
        </w:rPr>
        <w:t xml:space="preserve">Ukrep 1: Program spodbujanja konkurenčnosti problemskega območja z visoko brezposelnostjo. </w:t>
      </w:r>
      <w:r w:rsidRPr="00B30FD8">
        <w:t xml:space="preserve">Z omenjenim sklepom je Program spodbujanja konkurenčnosti in ukrepov razvojne podpore </w:t>
      </w:r>
      <w:r w:rsidRPr="00B30FD8">
        <w:rPr>
          <w:bCs/>
          <w:lang w:eastAsia="sl-SI"/>
        </w:rPr>
        <w:t xml:space="preserve">za območje občin Hrastnik, Radeče in Trbovlje v obdobju 2013-2018 </w:t>
      </w:r>
      <w:r w:rsidRPr="00B30FD8">
        <w:t xml:space="preserve">podaljšan do leta 2020. </w:t>
      </w:r>
      <w:r w:rsidRPr="00B30FD8">
        <w:rPr>
          <w:rFonts w:cs="Arial"/>
        </w:rPr>
        <w:t xml:space="preserve">Vlada Republike Slovenije je dne 23.6.2016 </w:t>
      </w:r>
      <w:r w:rsidRPr="00B30FD8">
        <w:rPr>
          <w:rFonts w:cs="Arial"/>
          <w:color w:val="000000"/>
        </w:rPr>
        <w:t xml:space="preserve">sprejela Spremembe Programa spodbujanja konkurenčnosti in ukrepov razvojne podpore za območje občin Hrastnik, Radeče in Trbovlje, sklep Vlade RS št. 30301-4/2016/6. </w:t>
      </w:r>
      <w:r w:rsidRPr="00B30FD8">
        <w:t xml:space="preserve">S spremembami Programa spodbujanja konkurenčnosti za območje občin Hrastnik, Radeče in Trbovlje v obdobju 2013-2020, se predlagani instrumenti vsebinsko usklajujejo z instrumenti ukrepa št. 1- </w:t>
      </w:r>
      <w:r w:rsidRPr="00B30FD8">
        <w:rPr>
          <w:lang w:eastAsia="sl-SI"/>
        </w:rPr>
        <w:t xml:space="preserve">Program spodbujanja konkurenčnosti problemskega območja z visoko brezposelnostjo Sklepa </w:t>
      </w:r>
      <w:r w:rsidRPr="00B30FD8">
        <w:t>o dodatnih začasnih ukrepih razvojne podpore za problemska območja z visoko brezposelnostjo, ki ga je sprejela Vlada št. 00726-14/2016/5 (Uradni list RS, št. 36/16</w:t>
      </w:r>
      <w:r w:rsidR="00F27B75" w:rsidRPr="00B30FD8">
        <w:t xml:space="preserve"> in </w:t>
      </w:r>
      <w:r w:rsidR="00866295">
        <w:t>š</w:t>
      </w:r>
      <w:r w:rsidR="00F27B75" w:rsidRPr="00B30FD8">
        <w:t>t. 64/16</w:t>
      </w:r>
      <w:r w:rsidRPr="00B30FD8">
        <w:t>).</w:t>
      </w:r>
    </w:p>
    <w:p w:rsidR="00B734EE" w:rsidRPr="00B30FD8" w:rsidRDefault="00B734EE" w:rsidP="005933FB">
      <w:pPr>
        <w:jc w:val="both"/>
      </w:pPr>
    </w:p>
    <w:p w:rsidR="00657841" w:rsidRPr="00C26F9B" w:rsidRDefault="00657841" w:rsidP="00657841">
      <w:pPr>
        <w:jc w:val="both"/>
      </w:pPr>
      <w:r w:rsidRPr="00B30FD8">
        <w:rPr>
          <w:lang w:eastAsia="sl-SI"/>
        </w:rPr>
        <w:t xml:space="preserve">V skladu s četrtim odstavkom 9. člena Uredbe o izvajanju ukrepov endogene regionalne politike (Uradni list RS, št. 16/13 in 78/15) je </w:t>
      </w:r>
      <w:r w:rsidRPr="00B30FD8">
        <w:rPr>
          <w:rFonts w:cs="Arial"/>
          <w:color w:val="000000"/>
          <w:shd w:val="clear" w:color="auto" w:fill="FFFFFF"/>
        </w:rPr>
        <w:t xml:space="preserve">MGRT dolžan </w:t>
      </w:r>
      <w:r w:rsidR="00CD72FD" w:rsidRPr="00B30FD8">
        <w:rPr>
          <w:rFonts w:cs="Arial"/>
          <w:color w:val="000000"/>
          <w:shd w:val="clear" w:color="auto" w:fill="FFFFFF"/>
        </w:rPr>
        <w:t>V</w:t>
      </w:r>
      <w:r w:rsidRPr="00B30FD8">
        <w:rPr>
          <w:rFonts w:cs="Arial"/>
          <w:color w:val="000000"/>
          <w:shd w:val="clear" w:color="auto" w:fill="FFFFFF"/>
        </w:rPr>
        <w:t xml:space="preserve">ladi </w:t>
      </w:r>
      <w:r w:rsidR="00CD72FD" w:rsidRPr="00B30FD8">
        <w:rPr>
          <w:rFonts w:cs="Arial"/>
          <w:color w:val="000000"/>
          <w:shd w:val="clear" w:color="auto" w:fill="FFFFFF"/>
        </w:rPr>
        <w:t xml:space="preserve">RS </w:t>
      </w:r>
      <w:r w:rsidRPr="00B30FD8">
        <w:rPr>
          <w:rFonts w:cs="Arial"/>
          <w:color w:val="000000"/>
          <w:shd w:val="clear" w:color="auto" w:fill="FFFFFF"/>
        </w:rPr>
        <w:t xml:space="preserve">posredovati letna poročila o izvajanju dodatnih začasnih ukrepov razvojne podpore. </w:t>
      </w:r>
      <w:r w:rsidR="009F3448" w:rsidRPr="00B30FD8">
        <w:rPr>
          <w:rFonts w:cs="Arial"/>
          <w:color w:val="000000"/>
          <w:shd w:val="clear" w:color="auto" w:fill="FFFFFF"/>
        </w:rPr>
        <w:t xml:space="preserve">Tretje </w:t>
      </w:r>
      <w:r w:rsidRPr="00B30FD8">
        <w:rPr>
          <w:rFonts w:cs="Arial"/>
          <w:color w:val="000000"/>
          <w:shd w:val="clear" w:color="auto" w:fill="FFFFFF"/>
        </w:rPr>
        <w:t>letno poročilo o izvajanju Programa spodbujanja konkurenčnosti in ukrepov razvojne podpore za problemsko območje z visoko brezposelnostjo Hrastnik, Radeče in Trbovlje v obdobju 2013–2020 se nanaša na leto 201</w:t>
      </w:r>
      <w:r w:rsidR="00336182" w:rsidRPr="00B30FD8">
        <w:rPr>
          <w:rFonts w:cs="Arial"/>
          <w:color w:val="000000"/>
          <w:shd w:val="clear" w:color="auto" w:fill="FFFFFF"/>
        </w:rPr>
        <w:t>6.</w:t>
      </w:r>
    </w:p>
    <w:p w:rsidR="0086079B" w:rsidRDefault="0086079B" w:rsidP="00852390">
      <w:pPr>
        <w:spacing w:after="0"/>
        <w:jc w:val="both"/>
      </w:pPr>
    </w:p>
    <w:p w:rsidR="00E74061" w:rsidRDefault="00E74061" w:rsidP="00852390">
      <w:pPr>
        <w:spacing w:after="0"/>
        <w:jc w:val="both"/>
      </w:pPr>
      <w:r>
        <w:t>Podajamo kratek pregled statusa izvajanja posameznih instrumentov in ukrepov, podrobnejši pa je predstavljen v nadaljevanju poročila:</w:t>
      </w:r>
    </w:p>
    <w:p w:rsidR="00CB1526" w:rsidRDefault="00CB1526" w:rsidP="00852390">
      <w:pPr>
        <w:spacing w:after="0"/>
        <w:jc w:val="both"/>
      </w:pPr>
    </w:p>
    <w:p w:rsidR="00B734EE" w:rsidRDefault="00B734EE" w:rsidP="00852390">
      <w:pPr>
        <w:spacing w:after="0"/>
        <w:jc w:val="both"/>
      </w:pPr>
    </w:p>
    <w:p w:rsidR="00B734EE" w:rsidRDefault="00B734EE" w:rsidP="00852390">
      <w:pPr>
        <w:spacing w:after="0"/>
        <w:jc w:val="both"/>
      </w:pPr>
    </w:p>
    <w:p w:rsidR="00B734EE" w:rsidRDefault="00B734EE" w:rsidP="00852390">
      <w:pPr>
        <w:spacing w:after="0"/>
        <w:jc w:val="both"/>
      </w:pPr>
    </w:p>
    <w:p w:rsidR="00B734EE" w:rsidRDefault="00B734EE" w:rsidP="00852390">
      <w:pPr>
        <w:spacing w:after="0"/>
        <w:jc w:val="both"/>
      </w:pPr>
    </w:p>
    <w:p w:rsidR="00B734EE" w:rsidRDefault="00B734EE" w:rsidP="00852390">
      <w:pPr>
        <w:spacing w:after="0"/>
        <w:jc w:val="both"/>
      </w:pPr>
    </w:p>
    <w:p w:rsidR="00B734EE" w:rsidRDefault="00B734EE" w:rsidP="00852390">
      <w:pPr>
        <w:spacing w:after="0"/>
        <w:jc w:val="both"/>
      </w:pPr>
    </w:p>
    <w:p w:rsidR="00B734EE" w:rsidRDefault="00B734EE" w:rsidP="00852390">
      <w:pPr>
        <w:spacing w:after="0"/>
        <w:jc w:val="both"/>
      </w:pPr>
    </w:p>
    <w:p w:rsidR="007079F8" w:rsidRDefault="007079F8" w:rsidP="007079F8">
      <w:pPr>
        <w:pStyle w:val="Napis"/>
      </w:pPr>
      <w:r>
        <w:lastRenderedPageBreak/>
        <w:t xml:space="preserve">Tabela </w:t>
      </w:r>
      <w:fldSimple w:instr=" SEQ Tabela \* ARABIC ">
        <w:r w:rsidR="003218B5">
          <w:rPr>
            <w:noProof/>
          </w:rPr>
          <w:t>1</w:t>
        </w:r>
      </w:fldSimple>
      <w:r>
        <w:t xml:space="preserve">: Višina finančnih sredstev </w:t>
      </w:r>
      <w:r w:rsidR="00BC0799">
        <w:t xml:space="preserve">ukrepov in instrumentov </w:t>
      </w:r>
      <w:r>
        <w:t xml:space="preserve">Programa </w:t>
      </w:r>
      <w:r w:rsidRPr="007079F8">
        <w:t xml:space="preserve">spodbujanja konkurenčnosti in ukrepov razvojne podpore za problemsko območje z visoko brezposelnostjo Hrastnik, Radeče in Trbovlje v obdobju 2013–2020 </w:t>
      </w:r>
      <w:r>
        <w:t xml:space="preserve"> v letu 2016 v EUR </w:t>
      </w:r>
    </w:p>
    <w:tbl>
      <w:tblPr>
        <w:tblW w:w="8740"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73"/>
        <w:gridCol w:w="1560"/>
        <w:gridCol w:w="1716"/>
        <w:gridCol w:w="1780"/>
        <w:gridCol w:w="1711"/>
      </w:tblGrid>
      <w:tr w:rsidR="00256EE3" w:rsidRPr="00256EE3" w:rsidTr="0019054F">
        <w:trPr>
          <w:trHeight w:val="20"/>
          <w:tblHeader/>
        </w:trPr>
        <w:tc>
          <w:tcPr>
            <w:tcW w:w="1860" w:type="dxa"/>
            <w:shd w:val="clear" w:color="auto" w:fill="auto"/>
            <w:vAlign w:val="center"/>
            <w:hideMark/>
          </w:tcPr>
          <w:p w:rsidR="00256EE3" w:rsidRPr="00256EE3" w:rsidRDefault="00256EE3" w:rsidP="00256EE3">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Instrument oz. ukrep</w:t>
            </w:r>
          </w:p>
        </w:tc>
        <w:tc>
          <w:tcPr>
            <w:tcW w:w="1560" w:type="dxa"/>
            <w:shd w:val="clear" w:color="auto" w:fill="auto"/>
            <w:vAlign w:val="center"/>
            <w:hideMark/>
          </w:tcPr>
          <w:p w:rsidR="00256EE3" w:rsidRPr="00256EE3" w:rsidRDefault="00256EE3" w:rsidP="00256EE3">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Institucija odgovorna za izvedbo</w:t>
            </w:r>
          </w:p>
        </w:tc>
        <w:tc>
          <w:tcPr>
            <w:tcW w:w="1760" w:type="dxa"/>
            <w:shd w:val="clear" w:color="auto" w:fill="auto"/>
            <w:vAlign w:val="center"/>
            <w:hideMark/>
          </w:tcPr>
          <w:p w:rsidR="00256EE3" w:rsidRPr="00256EE3" w:rsidRDefault="00256EE3" w:rsidP="00256EE3">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Status izvajanja</w:t>
            </w:r>
          </w:p>
        </w:tc>
        <w:tc>
          <w:tcPr>
            <w:tcW w:w="1780" w:type="dxa"/>
            <w:shd w:val="clear" w:color="auto" w:fill="auto"/>
            <w:vAlign w:val="center"/>
            <w:hideMark/>
          </w:tcPr>
          <w:p w:rsidR="00256EE3" w:rsidRPr="00256EE3" w:rsidRDefault="00256EE3" w:rsidP="00D47E13">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Višina finančnih sredstev v letu 2016</w:t>
            </w:r>
            <w:r w:rsidR="00D47E13">
              <w:rPr>
                <w:rFonts w:eastAsia="Times New Roman"/>
                <w:b/>
                <w:bCs/>
                <w:color w:val="000000"/>
                <w:sz w:val="18"/>
                <w:szCs w:val="18"/>
                <w:lang w:eastAsia="sl-SI"/>
              </w:rPr>
              <w:t xml:space="preserve"> v EUR</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Vir financiranja</w:t>
            </w:r>
          </w:p>
        </w:tc>
      </w:tr>
      <w:tr w:rsidR="00256EE3" w:rsidRPr="00256EE3" w:rsidTr="0019054F">
        <w:trPr>
          <w:trHeight w:val="20"/>
        </w:trPr>
        <w:tc>
          <w:tcPr>
            <w:tcW w:w="1860" w:type="dxa"/>
            <w:shd w:val="clear" w:color="000000" w:fill="BFBFBF"/>
            <w:vAlign w:val="center"/>
            <w:hideMark/>
          </w:tcPr>
          <w:p w:rsidR="00256EE3" w:rsidRPr="00256EE3" w:rsidRDefault="00256EE3" w:rsidP="00256EE3">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I.</w:t>
            </w:r>
            <w:r w:rsidR="00302E2C">
              <w:rPr>
                <w:rFonts w:ascii="Times New Roman" w:eastAsia="Times New Roman" w:hAnsi="Times New Roman"/>
                <w:b/>
                <w:bCs/>
                <w:color w:val="000000"/>
                <w:sz w:val="14"/>
                <w:szCs w:val="14"/>
                <w:lang w:eastAsia="sl-SI"/>
              </w:rPr>
              <w:t> </w:t>
            </w:r>
            <w:r w:rsidRPr="00256EE3">
              <w:rPr>
                <w:rFonts w:eastAsia="Times New Roman" w:cs="Calibri"/>
                <w:b/>
                <w:bCs/>
                <w:color w:val="000000"/>
                <w:sz w:val="18"/>
                <w:szCs w:val="18"/>
                <w:lang w:eastAsia="sl-SI"/>
              </w:rPr>
              <w:t>Programu spodbujanja konkurenčnosti in ukrepov razvojne podpore za območje občin Hrastnik, Radeče in Trbovlje v obdobju 2013–2020</w:t>
            </w:r>
          </w:p>
        </w:tc>
        <w:tc>
          <w:tcPr>
            <w:tcW w:w="15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780" w:type="dxa"/>
            <w:shd w:val="clear" w:color="000000" w:fill="BFBFBF"/>
            <w:noWrap/>
            <w:vAlign w:val="center"/>
            <w:hideMark/>
          </w:tcPr>
          <w:p w:rsidR="00256EE3" w:rsidRPr="00256EE3" w:rsidRDefault="00256EE3" w:rsidP="00256EE3">
            <w:pPr>
              <w:spacing w:after="0" w:line="240" w:lineRule="auto"/>
              <w:jc w:val="center"/>
              <w:rPr>
                <w:rFonts w:eastAsia="Times New Roman"/>
                <w:color w:val="000000"/>
                <w:lang w:eastAsia="sl-SI"/>
              </w:rPr>
            </w:pPr>
            <w:r w:rsidRPr="00256EE3">
              <w:rPr>
                <w:rFonts w:eastAsia="Times New Roman"/>
                <w:color w:val="000000"/>
                <w:lang w:eastAsia="sl-SI"/>
              </w:rPr>
              <w:t>1.893.545,35</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 EU sredstva</w:t>
            </w:r>
          </w:p>
        </w:tc>
      </w:tr>
      <w:tr w:rsidR="00256EE3" w:rsidRPr="00256EE3" w:rsidTr="0019054F">
        <w:trPr>
          <w:trHeight w:val="220"/>
        </w:trPr>
        <w:tc>
          <w:tcPr>
            <w:tcW w:w="1860" w:type="dxa"/>
            <w:vMerge w:val="restart"/>
            <w:shd w:val="clear" w:color="auto" w:fill="auto"/>
            <w:vAlign w:val="center"/>
            <w:hideMark/>
          </w:tcPr>
          <w:p w:rsidR="00256EE3" w:rsidRPr="00256EE3" w:rsidRDefault="00256EE3" w:rsidP="00256EE3">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1: subvencije za spodbujanje investicij</w:t>
            </w:r>
          </w:p>
        </w:tc>
        <w:tc>
          <w:tcPr>
            <w:tcW w:w="1560" w:type="dxa"/>
            <w:vMerge w:val="restart"/>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w:t>
            </w:r>
          </w:p>
        </w:tc>
        <w:tc>
          <w:tcPr>
            <w:tcW w:w="1760" w:type="dxa"/>
            <w:vMerge w:val="restart"/>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780" w:type="dxa"/>
            <w:vMerge w:val="restart"/>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1.016.252,16</w:t>
            </w:r>
          </w:p>
        </w:tc>
        <w:tc>
          <w:tcPr>
            <w:tcW w:w="1780" w:type="dxa"/>
            <w:vMerge w:val="restart"/>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256EE3" w:rsidRPr="00256EE3" w:rsidTr="0019054F">
        <w:trPr>
          <w:trHeight w:val="220"/>
        </w:trPr>
        <w:tc>
          <w:tcPr>
            <w:tcW w:w="1860" w:type="dxa"/>
            <w:vMerge/>
            <w:vAlign w:val="center"/>
            <w:hideMark/>
          </w:tcPr>
          <w:p w:rsidR="00256EE3" w:rsidRPr="00256EE3" w:rsidRDefault="00256EE3" w:rsidP="00256EE3">
            <w:pPr>
              <w:spacing w:after="0" w:line="240" w:lineRule="auto"/>
              <w:rPr>
                <w:rFonts w:eastAsia="Times New Roman"/>
                <w:color w:val="000000"/>
                <w:sz w:val="18"/>
                <w:szCs w:val="18"/>
                <w:lang w:eastAsia="sl-SI"/>
              </w:rPr>
            </w:pPr>
          </w:p>
        </w:tc>
        <w:tc>
          <w:tcPr>
            <w:tcW w:w="1560" w:type="dxa"/>
            <w:vMerge/>
            <w:vAlign w:val="center"/>
            <w:hideMark/>
          </w:tcPr>
          <w:p w:rsidR="00256EE3" w:rsidRPr="00256EE3" w:rsidRDefault="00256EE3" w:rsidP="00256EE3">
            <w:pPr>
              <w:spacing w:after="0" w:line="240" w:lineRule="auto"/>
              <w:rPr>
                <w:rFonts w:eastAsia="Times New Roman"/>
                <w:color w:val="000000"/>
                <w:sz w:val="18"/>
                <w:szCs w:val="18"/>
                <w:lang w:eastAsia="sl-SI"/>
              </w:rPr>
            </w:pPr>
          </w:p>
        </w:tc>
        <w:tc>
          <w:tcPr>
            <w:tcW w:w="1760" w:type="dxa"/>
            <w:vMerge/>
            <w:vAlign w:val="center"/>
            <w:hideMark/>
          </w:tcPr>
          <w:p w:rsidR="00256EE3" w:rsidRPr="00256EE3" w:rsidRDefault="00256EE3" w:rsidP="00256EE3">
            <w:pPr>
              <w:spacing w:after="0" w:line="240" w:lineRule="auto"/>
              <w:rPr>
                <w:rFonts w:eastAsia="Times New Roman"/>
                <w:color w:val="000000"/>
                <w:sz w:val="18"/>
                <w:szCs w:val="18"/>
                <w:lang w:eastAsia="sl-SI"/>
              </w:rPr>
            </w:pPr>
          </w:p>
        </w:tc>
        <w:tc>
          <w:tcPr>
            <w:tcW w:w="1780" w:type="dxa"/>
            <w:vMerge/>
            <w:vAlign w:val="center"/>
            <w:hideMark/>
          </w:tcPr>
          <w:p w:rsidR="00256EE3" w:rsidRPr="00256EE3" w:rsidRDefault="00256EE3" w:rsidP="00256EE3">
            <w:pPr>
              <w:spacing w:after="0" w:line="240" w:lineRule="auto"/>
              <w:rPr>
                <w:rFonts w:eastAsia="Times New Roman"/>
                <w:color w:val="000000"/>
                <w:sz w:val="18"/>
                <w:szCs w:val="18"/>
                <w:lang w:eastAsia="sl-SI"/>
              </w:rPr>
            </w:pPr>
          </w:p>
        </w:tc>
        <w:tc>
          <w:tcPr>
            <w:tcW w:w="1780" w:type="dxa"/>
            <w:vMerge/>
            <w:vAlign w:val="center"/>
            <w:hideMark/>
          </w:tcPr>
          <w:p w:rsidR="00256EE3" w:rsidRPr="00256EE3" w:rsidRDefault="00256EE3" w:rsidP="00256EE3">
            <w:pPr>
              <w:spacing w:after="0" w:line="240" w:lineRule="auto"/>
              <w:rPr>
                <w:rFonts w:eastAsia="Times New Roman"/>
                <w:color w:val="000000"/>
                <w:sz w:val="18"/>
                <w:szCs w:val="18"/>
                <w:lang w:eastAsia="sl-SI"/>
              </w:rPr>
            </w:pPr>
          </w:p>
        </w:tc>
      </w:tr>
      <w:tr w:rsidR="00256EE3" w:rsidRPr="00256EE3" w:rsidTr="0019054F">
        <w:trPr>
          <w:trHeight w:val="20"/>
        </w:trPr>
        <w:tc>
          <w:tcPr>
            <w:tcW w:w="1860" w:type="dxa"/>
            <w:shd w:val="clear" w:color="auto" w:fill="auto"/>
            <w:vAlign w:val="center"/>
            <w:hideMark/>
          </w:tcPr>
          <w:p w:rsidR="00256EE3" w:rsidRPr="00256EE3" w:rsidRDefault="00256EE3" w:rsidP="00256EE3">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2: ugodni razvojni krediti za investicije</w:t>
            </w:r>
          </w:p>
        </w:tc>
        <w:tc>
          <w:tcPr>
            <w:tcW w:w="15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Slovensko regionalno razvojni sklad</w:t>
            </w:r>
          </w:p>
        </w:tc>
        <w:tc>
          <w:tcPr>
            <w:tcW w:w="17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v pripravi</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256EE3" w:rsidRPr="00256EE3" w:rsidTr="0019054F">
        <w:trPr>
          <w:trHeight w:val="20"/>
        </w:trPr>
        <w:tc>
          <w:tcPr>
            <w:tcW w:w="1860" w:type="dxa"/>
            <w:shd w:val="clear" w:color="auto" w:fill="auto"/>
            <w:vAlign w:val="center"/>
            <w:hideMark/>
          </w:tcPr>
          <w:p w:rsidR="00256EE3" w:rsidRPr="00256EE3" w:rsidRDefault="00256EE3" w:rsidP="00256EE3">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3: subvencije za zagon podjetij</w:t>
            </w:r>
            <w:r w:rsidR="00302E2C">
              <w:rPr>
                <w:rFonts w:eastAsia="Times New Roman" w:cs="Calibri"/>
                <w:color w:val="000000"/>
                <w:sz w:val="18"/>
                <w:szCs w:val="18"/>
                <w:lang w:eastAsia="sl-SI"/>
              </w:rPr>
              <w:t>*</w:t>
            </w:r>
          </w:p>
        </w:tc>
        <w:tc>
          <w:tcPr>
            <w:tcW w:w="15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Slovenski podjetniški sklad</w:t>
            </w:r>
          </w:p>
        </w:tc>
        <w:tc>
          <w:tcPr>
            <w:tcW w:w="17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230.275,00</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EU sredstva</w:t>
            </w:r>
          </w:p>
        </w:tc>
      </w:tr>
      <w:tr w:rsidR="00256EE3" w:rsidRPr="00256EE3" w:rsidTr="0019054F">
        <w:trPr>
          <w:trHeight w:val="20"/>
        </w:trPr>
        <w:tc>
          <w:tcPr>
            <w:tcW w:w="1860" w:type="dxa"/>
            <w:shd w:val="clear" w:color="auto" w:fill="auto"/>
            <w:vAlign w:val="center"/>
            <w:hideMark/>
          </w:tcPr>
          <w:p w:rsidR="00256EE3" w:rsidRPr="00256EE3" w:rsidRDefault="00256EE3" w:rsidP="00256EE3">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4: mikrokrediti</w:t>
            </w:r>
          </w:p>
        </w:tc>
        <w:tc>
          <w:tcPr>
            <w:tcW w:w="15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w:t>
            </w:r>
          </w:p>
        </w:tc>
        <w:tc>
          <w:tcPr>
            <w:tcW w:w="17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141.000,00</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256EE3" w:rsidRPr="00256EE3" w:rsidTr="0019054F">
        <w:trPr>
          <w:trHeight w:val="20"/>
        </w:trPr>
        <w:tc>
          <w:tcPr>
            <w:tcW w:w="1860" w:type="dxa"/>
            <w:shd w:val="clear" w:color="auto" w:fill="auto"/>
            <w:vAlign w:val="center"/>
            <w:hideMark/>
          </w:tcPr>
          <w:p w:rsidR="00256EE3" w:rsidRPr="00256EE3" w:rsidRDefault="00256EE3" w:rsidP="00256EE3">
            <w:pPr>
              <w:numPr>
                <w:ilvl w:val="0"/>
                <w:numId w:val="26"/>
              </w:numPr>
              <w:spacing w:after="0" w:line="240" w:lineRule="auto"/>
              <w:jc w:val="both"/>
              <w:rPr>
                <w:rFonts w:eastAsia="Times New Roman"/>
                <w:color w:val="000000"/>
                <w:lang w:eastAsia="sl-SI"/>
              </w:rPr>
            </w:pPr>
            <w:r w:rsidRPr="00256EE3">
              <w:rPr>
                <w:rFonts w:eastAsia="Times New Roman" w:cs="Calibri"/>
                <w:color w:val="000000"/>
                <w:sz w:val="18"/>
                <w:szCs w:val="18"/>
                <w:lang w:eastAsia="sl-SI"/>
              </w:rPr>
              <w:t>Instrument 5: promocija območja, privabljanje tujih in domačih investitorjev ter izvajanje programa</w:t>
            </w:r>
          </w:p>
        </w:tc>
        <w:tc>
          <w:tcPr>
            <w:tcW w:w="1560" w:type="dxa"/>
            <w:shd w:val="clear" w:color="auto" w:fill="auto"/>
            <w:noWrap/>
            <w:vAlign w:val="bottom"/>
            <w:hideMark/>
          </w:tcPr>
          <w:p w:rsidR="00256EE3" w:rsidRPr="00256EE3" w:rsidRDefault="00256EE3" w:rsidP="00256EE3">
            <w:pPr>
              <w:spacing w:after="0" w:line="240" w:lineRule="auto"/>
              <w:rPr>
                <w:rFonts w:eastAsia="Times New Roman"/>
                <w:color w:val="000000"/>
                <w:lang w:eastAsia="sl-SI"/>
              </w:rPr>
            </w:pPr>
          </w:p>
        </w:tc>
        <w:tc>
          <w:tcPr>
            <w:tcW w:w="1760" w:type="dxa"/>
            <w:vMerge w:val="restart"/>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s="Arial"/>
                <w:color w:val="000000"/>
                <w:sz w:val="18"/>
                <w:szCs w:val="18"/>
                <w:lang w:eastAsia="sl-SI"/>
              </w:rPr>
              <w:t>instrument se izvaja - Izvajanje programov spodbujanja konkurenčnosti</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s="Arial"/>
                <w:color w:val="000000"/>
                <w:sz w:val="18"/>
                <w:szCs w:val="18"/>
                <w:lang w:eastAsia="sl-SI"/>
              </w:rPr>
              <w:t>84.959,02</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256EE3" w:rsidRPr="00256EE3" w:rsidTr="0019054F">
        <w:trPr>
          <w:trHeight w:val="20"/>
        </w:trPr>
        <w:tc>
          <w:tcPr>
            <w:tcW w:w="1860" w:type="dxa"/>
            <w:shd w:val="clear" w:color="auto" w:fill="auto"/>
            <w:vAlign w:val="center"/>
            <w:hideMark/>
          </w:tcPr>
          <w:p w:rsidR="00256EE3" w:rsidRPr="00256EE3" w:rsidRDefault="00256EE3" w:rsidP="00D47E13">
            <w:pPr>
              <w:numPr>
                <w:ilvl w:val="0"/>
                <w:numId w:val="28"/>
              </w:numPr>
              <w:spacing w:after="0" w:line="240" w:lineRule="auto"/>
              <w:jc w:val="both"/>
              <w:rPr>
                <w:rFonts w:ascii="Courier New" w:eastAsia="Times New Roman" w:hAnsi="Courier New" w:cs="Courier New"/>
                <w:color w:val="000000"/>
                <w:sz w:val="18"/>
                <w:szCs w:val="18"/>
                <w:lang w:eastAsia="sl-SI"/>
              </w:rPr>
            </w:pPr>
            <w:r w:rsidRPr="00256EE3">
              <w:rPr>
                <w:rFonts w:eastAsia="Times New Roman" w:cs="Courier New"/>
                <w:b/>
                <w:bCs/>
                <w:i/>
                <w:iCs/>
                <w:color w:val="000000"/>
                <w:sz w:val="18"/>
                <w:szCs w:val="18"/>
                <w:lang w:eastAsia="sl-SI"/>
              </w:rPr>
              <w:t xml:space="preserve">Promocija problemskega območja HRT in privabljanje tujih in domačih investitorjev </w:t>
            </w:r>
          </w:p>
        </w:tc>
        <w:tc>
          <w:tcPr>
            <w:tcW w:w="1560" w:type="dxa"/>
            <w:shd w:val="clear" w:color="auto" w:fill="auto"/>
            <w:vAlign w:val="center"/>
            <w:hideMark/>
          </w:tcPr>
          <w:p w:rsidR="00256EE3" w:rsidRPr="00256EE3" w:rsidRDefault="00256EE3" w:rsidP="00256EE3">
            <w:pPr>
              <w:spacing w:after="0" w:line="240" w:lineRule="auto"/>
              <w:rPr>
                <w:rFonts w:eastAsia="Times New Roman"/>
                <w:color w:val="000000"/>
                <w:sz w:val="18"/>
                <w:szCs w:val="18"/>
                <w:lang w:eastAsia="sl-SI"/>
              </w:rPr>
            </w:pPr>
            <w:r w:rsidRPr="00256EE3">
              <w:rPr>
                <w:rFonts w:eastAsia="Times New Roman"/>
                <w:color w:val="000000"/>
                <w:sz w:val="18"/>
                <w:szCs w:val="18"/>
                <w:lang w:eastAsia="sl-SI"/>
              </w:rPr>
              <w:t> </w:t>
            </w:r>
          </w:p>
        </w:tc>
        <w:tc>
          <w:tcPr>
            <w:tcW w:w="1760" w:type="dxa"/>
            <w:vMerge/>
            <w:vAlign w:val="center"/>
            <w:hideMark/>
          </w:tcPr>
          <w:p w:rsidR="00256EE3" w:rsidRPr="00256EE3" w:rsidRDefault="00256EE3" w:rsidP="00256EE3">
            <w:pPr>
              <w:spacing w:after="0" w:line="240" w:lineRule="auto"/>
              <w:rPr>
                <w:rFonts w:eastAsia="Times New Roman"/>
                <w:color w:val="000000"/>
                <w:sz w:val="18"/>
                <w:szCs w:val="18"/>
                <w:lang w:eastAsia="sl-SI"/>
              </w:rPr>
            </w:pP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80" w:type="dxa"/>
            <w:shd w:val="clear" w:color="auto" w:fill="auto"/>
            <w:vAlign w:val="center"/>
            <w:hideMark/>
          </w:tcPr>
          <w:p w:rsidR="00256EE3" w:rsidRPr="00256EE3" w:rsidRDefault="00256EE3" w:rsidP="00256EE3">
            <w:pPr>
              <w:spacing w:after="0" w:line="240" w:lineRule="auto"/>
              <w:rPr>
                <w:rFonts w:eastAsia="Times New Roman"/>
                <w:color w:val="000000"/>
                <w:sz w:val="18"/>
                <w:szCs w:val="18"/>
                <w:lang w:eastAsia="sl-SI"/>
              </w:rPr>
            </w:pPr>
            <w:r w:rsidRPr="00256EE3">
              <w:rPr>
                <w:rFonts w:eastAsia="Times New Roman"/>
                <w:color w:val="000000"/>
                <w:sz w:val="18"/>
                <w:szCs w:val="18"/>
                <w:lang w:eastAsia="sl-SI"/>
              </w:rPr>
              <w:t> </w:t>
            </w:r>
          </w:p>
        </w:tc>
      </w:tr>
      <w:tr w:rsidR="00256EE3" w:rsidRPr="00256EE3" w:rsidTr="0019054F">
        <w:trPr>
          <w:trHeight w:val="20"/>
        </w:trPr>
        <w:tc>
          <w:tcPr>
            <w:tcW w:w="1860" w:type="dxa"/>
            <w:shd w:val="clear" w:color="auto" w:fill="auto"/>
            <w:vAlign w:val="center"/>
            <w:hideMark/>
          </w:tcPr>
          <w:p w:rsidR="00256EE3" w:rsidRPr="00256EE3" w:rsidRDefault="00256EE3" w:rsidP="00D47E13">
            <w:pPr>
              <w:numPr>
                <w:ilvl w:val="0"/>
                <w:numId w:val="28"/>
              </w:numPr>
              <w:spacing w:after="0" w:line="240" w:lineRule="auto"/>
              <w:rPr>
                <w:rFonts w:ascii="Courier New" w:eastAsia="Times New Roman" w:hAnsi="Courier New" w:cs="Courier New"/>
                <w:color w:val="000000"/>
                <w:sz w:val="18"/>
                <w:szCs w:val="18"/>
                <w:lang w:eastAsia="sl-SI"/>
              </w:rPr>
            </w:pPr>
            <w:r w:rsidRPr="00256EE3">
              <w:rPr>
                <w:rFonts w:eastAsia="Times New Roman" w:cs="Courier New"/>
                <w:b/>
                <w:bCs/>
                <w:i/>
                <w:iCs/>
                <w:color w:val="000000"/>
                <w:sz w:val="18"/>
                <w:szCs w:val="18"/>
                <w:lang w:eastAsia="sl-SI"/>
              </w:rPr>
              <w:t>Izvajanje programov spodbujanja konkurenčnosti</w:t>
            </w:r>
          </w:p>
        </w:tc>
        <w:tc>
          <w:tcPr>
            <w:tcW w:w="1560" w:type="dxa"/>
            <w:shd w:val="clear" w:color="auto" w:fill="auto"/>
            <w:vAlign w:val="center"/>
            <w:hideMark/>
          </w:tcPr>
          <w:p w:rsidR="00256EE3" w:rsidRPr="00256EE3" w:rsidRDefault="00256EE3" w:rsidP="00256EE3">
            <w:pPr>
              <w:spacing w:after="0" w:line="240" w:lineRule="auto"/>
              <w:rPr>
                <w:rFonts w:eastAsia="Times New Roman"/>
                <w:color w:val="000000"/>
                <w:sz w:val="18"/>
                <w:szCs w:val="18"/>
                <w:lang w:eastAsia="sl-SI"/>
              </w:rPr>
            </w:pPr>
            <w:r w:rsidRPr="00256EE3">
              <w:rPr>
                <w:rFonts w:eastAsia="Times New Roman"/>
                <w:color w:val="000000"/>
                <w:sz w:val="18"/>
                <w:szCs w:val="18"/>
                <w:lang w:eastAsia="sl-SI"/>
              </w:rPr>
              <w:t>MGRT v sodelovanju z RCR Zagorje (do 27.7.2016), RRA Zasavje (od 29.7.2016 dalje) in  RRA Posavje</w:t>
            </w:r>
          </w:p>
        </w:tc>
        <w:tc>
          <w:tcPr>
            <w:tcW w:w="1760" w:type="dxa"/>
            <w:vMerge/>
            <w:vAlign w:val="center"/>
            <w:hideMark/>
          </w:tcPr>
          <w:p w:rsidR="00256EE3" w:rsidRPr="00256EE3" w:rsidRDefault="00256EE3" w:rsidP="00256EE3">
            <w:pPr>
              <w:spacing w:after="0" w:line="240" w:lineRule="auto"/>
              <w:rPr>
                <w:rFonts w:eastAsia="Times New Roman"/>
                <w:color w:val="000000"/>
                <w:sz w:val="18"/>
                <w:szCs w:val="18"/>
                <w:lang w:eastAsia="sl-SI"/>
              </w:rPr>
            </w:pP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84.959,02</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256EE3" w:rsidRPr="00256EE3" w:rsidTr="0019054F">
        <w:trPr>
          <w:trHeight w:val="20"/>
        </w:trPr>
        <w:tc>
          <w:tcPr>
            <w:tcW w:w="1860" w:type="dxa"/>
            <w:shd w:val="clear" w:color="auto" w:fill="auto"/>
            <w:vAlign w:val="center"/>
            <w:hideMark/>
          </w:tcPr>
          <w:p w:rsidR="00256EE3" w:rsidRPr="00256EE3" w:rsidRDefault="00256EE3" w:rsidP="00D47E13">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6: podjetno v svet podjetništva Hrastnik, Radeče, Trbovlje (PVSP HRT)</w:t>
            </w:r>
          </w:p>
        </w:tc>
        <w:tc>
          <w:tcPr>
            <w:tcW w:w="15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 v sodelovanju z RCR Zagorje (do 27.7.2016) ) in  RRA Posavje</w:t>
            </w:r>
          </w:p>
        </w:tc>
        <w:tc>
          <w:tcPr>
            <w:tcW w:w="17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421.059,17</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D47E13" w:rsidRPr="00256EE3" w:rsidTr="0019054F">
        <w:trPr>
          <w:trHeight w:val="20"/>
        </w:trPr>
        <w:tc>
          <w:tcPr>
            <w:tcW w:w="1860" w:type="dxa"/>
            <w:shd w:val="clear" w:color="000000" w:fill="BFBFBF"/>
            <w:vAlign w:val="center"/>
            <w:hideMark/>
          </w:tcPr>
          <w:p w:rsidR="00256EE3" w:rsidRPr="00256EE3" w:rsidRDefault="00256EE3" w:rsidP="00D47E13">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II.</w:t>
            </w:r>
            <w:r w:rsidR="00D47E13">
              <w:rPr>
                <w:rFonts w:eastAsia="Times New Roman" w:cs="Calibri"/>
                <w:b/>
                <w:bCs/>
                <w:color w:val="000000"/>
                <w:sz w:val="18"/>
                <w:szCs w:val="18"/>
                <w:lang w:eastAsia="sl-SI"/>
              </w:rPr>
              <w:t xml:space="preserve"> </w:t>
            </w:r>
            <w:r w:rsidRPr="00256EE3">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2: </w:t>
            </w:r>
            <w:r w:rsidRPr="00256EE3">
              <w:rPr>
                <w:rFonts w:eastAsia="Times New Roman" w:cs="Calibri"/>
                <w:color w:val="000000"/>
                <w:sz w:val="18"/>
                <w:szCs w:val="18"/>
                <w:lang w:eastAsia="sl-SI"/>
              </w:rPr>
              <w:t>povračilo plačanih prispevkov delodajalca za socialno varnost</w:t>
            </w:r>
          </w:p>
        </w:tc>
        <w:tc>
          <w:tcPr>
            <w:tcW w:w="15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xml:space="preserve">Ministrstvo za delo, družino, socialne zadeve in enake možnosti ter Zavod RS za zaposlovanje </w:t>
            </w:r>
          </w:p>
        </w:tc>
        <w:tc>
          <w:tcPr>
            <w:tcW w:w="17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22.573,67</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256EE3" w:rsidRPr="00256EE3" w:rsidTr="0019054F">
        <w:trPr>
          <w:trHeight w:val="20"/>
        </w:trPr>
        <w:tc>
          <w:tcPr>
            <w:tcW w:w="1860" w:type="dxa"/>
            <w:shd w:val="clear" w:color="000000" w:fill="BFBFBF"/>
            <w:vAlign w:val="center"/>
            <w:hideMark/>
          </w:tcPr>
          <w:p w:rsidR="00256EE3" w:rsidRPr="00256EE3" w:rsidRDefault="00256EE3" w:rsidP="00D47E13">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lastRenderedPageBreak/>
              <w:t>III.</w:t>
            </w:r>
            <w:r w:rsidR="00D47E13">
              <w:rPr>
                <w:rFonts w:eastAsia="Times New Roman" w:cs="Calibri"/>
                <w:b/>
                <w:bCs/>
                <w:color w:val="000000"/>
                <w:sz w:val="18"/>
                <w:szCs w:val="18"/>
                <w:lang w:eastAsia="sl-SI"/>
              </w:rPr>
              <w:t xml:space="preserve"> </w:t>
            </w:r>
            <w:r w:rsidRPr="00256EE3">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3: </w:t>
            </w:r>
            <w:r w:rsidRPr="00256EE3">
              <w:rPr>
                <w:rFonts w:eastAsia="Times New Roman" w:cs="Calibri"/>
                <w:color w:val="000000"/>
                <w:sz w:val="18"/>
                <w:szCs w:val="18"/>
                <w:lang w:eastAsia="sl-SI"/>
              </w:rPr>
              <w:t xml:space="preserve">davčne olajšave za zaposlovanje </w:t>
            </w:r>
          </w:p>
        </w:tc>
        <w:tc>
          <w:tcPr>
            <w:tcW w:w="15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 v sodelovanju s Finančno upravo RS</w:t>
            </w:r>
          </w:p>
        </w:tc>
        <w:tc>
          <w:tcPr>
            <w:tcW w:w="17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23.672,00</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256EE3" w:rsidRPr="00256EE3" w:rsidTr="0019054F">
        <w:trPr>
          <w:trHeight w:val="20"/>
        </w:trPr>
        <w:tc>
          <w:tcPr>
            <w:tcW w:w="1860" w:type="dxa"/>
            <w:shd w:val="clear" w:color="000000" w:fill="BFBFBF"/>
            <w:vAlign w:val="center"/>
            <w:hideMark/>
          </w:tcPr>
          <w:p w:rsidR="00256EE3" w:rsidRPr="00256EE3" w:rsidRDefault="00256EE3" w:rsidP="00256EE3">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IV.</w:t>
            </w:r>
            <w:r w:rsidR="00D47E13">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4: </w:t>
            </w:r>
            <w:r w:rsidRPr="00256EE3">
              <w:rPr>
                <w:rFonts w:eastAsia="Times New Roman" w:cs="Calibri"/>
                <w:color w:val="000000"/>
                <w:sz w:val="18"/>
                <w:szCs w:val="18"/>
                <w:lang w:eastAsia="sl-SI"/>
              </w:rPr>
              <w:t>davčne olajšave za  investiranje</w:t>
            </w:r>
          </w:p>
        </w:tc>
        <w:tc>
          <w:tcPr>
            <w:tcW w:w="15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 v sodelovanju s Finančno upravo RS</w:t>
            </w:r>
          </w:p>
        </w:tc>
        <w:tc>
          <w:tcPr>
            <w:tcW w:w="17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341.640,00</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256EE3" w:rsidRPr="00256EE3" w:rsidTr="0019054F">
        <w:trPr>
          <w:trHeight w:val="20"/>
        </w:trPr>
        <w:tc>
          <w:tcPr>
            <w:tcW w:w="1860" w:type="dxa"/>
            <w:shd w:val="clear" w:color="auto" w:fill="auto"/>
            <w:vAlign w:val="center"/>
            <w:hideMark/>
          </w:tcPr>
          <w:p w:rsidR="00256EE3" w:rsidRPr="00256EE3" w:rsidRDefault="00256EE3" w:rsidP="00256EE3">
            <w:pPr>
              <w:spacing w:after="0" w:line="240" w:lineRule="auto"/>
              <w:ind w:firstLineChars="200" w:firstLine="361"/>
              <w:rPr>
                <w:rFonts w:eastAsia="Times New Roman"/>
                <w:b/>
                <w:bCs/>
                <w:color w:val="000000"/>
                <w:sz w:val="18"/>
                <w:szCs w:val="18"/>
                <w:lang w:eastAsia="sl-SI"/>
              </w:rPr>
            </w:pPr>
            <w:r w:rsidRPr="00256EE3">
              <w:rPr>
                <w:rFonts w:eastAsia="Times New Roman"/>
                <w:b/>
                <w:bCs/>
                <w:color w:val="000000"/>
                <w:sz w:val="18"/>
                <w:szCs w:val="18"/>
                <w:lang w:eastAsia="sl-SI"/>
              </w:rPr>
              <w:t>V.</w:t>
            </w:r>
            <w:r w:rsidR="00D47E13">
              <w:rPr>
                <w:rFonts w:ascii="Times New Roman" w:eastAsia="Times New Roman" w:hAnsi="Times New Roman"/>
                <w:b/>
                <w:bCs/>
                <w:color w:val="000000"/>
                <w:sz w:val="14"/>
                <w:szCs w:val="14"/>
                <w:lang w:eastAsia="sl-SI"/>
              </w:rPr>
              <w:t xml:space="preserve"> </w:t>
            </w:r>
            <w:r w:rsidRPr="00256EE3">
              <w:rPr>
                <w:rFonts w:eastAsia="Times New Roman"/>
                <w:b/>
                <w:bCs/>
                <w:color w:val="000000"/>
                <w:sz w:val="18"/>
                <w:szCs w:val="18"/>
                <w:lang w:eastAsia="sl-SI"/>
              </w:rPr>
              <w:t xml:space="preserve">Ukrep 5: </w:t>
            </w:r>
            <w:r w:rsidRPr="00256EE3">
              <w:rPr>
                <w:rFonts w:eastAsia="Times New Roman"/>
                <w:color w:val="000000"/>
                <w:sz w:val="18"/>
                <w:szCs w:val="18"/>
                <w:lang w:eastAsia="sl-SI"/>
              </w:rPr>
              <w:t>spodbude za trajnostni razvoj podeželja iz Programa razvoja podeželja 2014-2020</w:t>
            </w:r>
          </w:p>
        </w:tc>
        <w:tc>
          <w:tcPr>
            <w:tcW w:w="15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Ministrstvo za kmetijstvo, gozdarstvo in prehrano</w:t>
            </w:r>
          </w:p>
        </w:tc>
        <w:tc>
          <w:tcPr>
            <w:tcW w:w="17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256EE3" w:rsidRPr="00256EE3" w:rsidTr="0019054F">
        <w:trPr>
          <w:trHeight w:val="20"/>
        </w:trPr>
        <w:tc>
          <w:tcPr>
            <w:tcW w:w="1860" w:type="dxa"/>
            <w:shd w:val="clear" w:color="000000" w:fill="BFBFBF"/>
            <w:vAlign w:val="center"/>
            <w:hideMark/>
          </w:tcPr>
          <w:p w:rsidR="00256EE3" w:rsidRPr="00256EE3" w:rsidRDefault="00256EE3" w:rsidP="00256EE3">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VI.</w:t>
            </w:r>
            <w:r w:rsidR="00D47E13">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6: </w:t>
            </w:r>
            <w:r w:rsidRPr="00256EE3">
              <w:rPr>
                <w:rFonts w:eastAsia="Times New Roman" w:cs="Calibri"/>
                <w:color w:val="000000"/>
                <w:sz w:val="18"/>
                <w:szCs w:val="18"/>
                <w:lang w:eastAsia="sl-SI"/>
              </w:rPr>
              <w:t>prometna in energetska infrastruktura</w:t>
            </w:r>
          </w:p>
        </w:tc>
        <w:tc>
          <w:tcPr>
            <w:tcW w:w="15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Ministrstvo za infrastrukturo</w:t>
            </w:r>
          </w:p>
        </w:tc>
        <w:tc>
          <w:tcPr>
            <w:tcW w:w="176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109.198,63</w:t>
            </w:r>
          </w:p>
        </w:tc>
        <w:tc>
          <w:tcPr>
            <w:tcW w:w="1780" w:type="dxa"/>
            <w:shd w:val="clear" w:color="000000" w:fill="BFBFBF"/>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256EE3" w:rsidRPr="00256EE3" w:rsidTr="0019054F">
        <w:trPr>
          <w:trHeight w:val="20"/>
        </w:trPr>
        <w:tc>
          <w:tcPr>
            <w:tcW w:w="1860" w:type="dxa"/>
            <w:shd w:val="clear" w:color="auto" w:fill="auto"/>
            <w:vAlign w:val="center"/>
            <w:hideMark/>
          </w:tcPr>
          <w:p w:rsidR="00256EE3" w:rsidRPr="00256EE3" w:rsidRDefault="00256EE3" w:rsidP="00256EE3">
            <w:pPr>
              <w:spacing w:after="0" w:line="240" w:lineRule="auto"/>
              <w:rPr>
                <w:rFonts w:eastAsia="Times New Roman"/>
                <w:b/>
                <w:bCs/>
                <w:color w:val="000000"/>
                <w:sz w:val="18"/>
                <w:szCs w:val="18"/>
                <w:lang w:eastAsia="sl-SI"/>
              </w:rPr>
            </w:pPr>
            <w:r w:rsidRPr="00256EE3">
              <w:rPr>
                <w:rFonts w:eastAsia="Times New Roman"/>
                <w:b/>
                <w:bCs/>
                <w:color w:val="000000"/>
                <w:sz w:val="18"/>
                <w:szCs w:val="18"/>
                <w:lang w:eastAsia="sl-SI"/>
              </w:rPr>
              <w:t>SKUPAJ</w:t>
            </w:r>
          </w:p>
        </w:tc>
        <w:tc>
          <w:tcPr>
            <w:tcW w:w="15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6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2.390.629,65</w:t>
            </w:r>
          </w:p>
        </w:tc>
        <w:tc>
          <w:tcPr>
            <w:tcW w:w="1780" w:type="dxa"/>
            <w:shd w:val="clear" w:color="auto" w:fill="auto"/>
            <w:vAlign w:val="center"/>
            <w:hideMark/>
          </w:tcPr>
          <w:p w:rsidR="00256EE3" w:rsidRPr="00256EE3" w:rsidRDefault="00256EE3" w:rsidP="00256EE3">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bl>
    <w:p w:rsidR="00256EE3" w:rsidRDefault="00302E2C" w:rsidP="00852390">
      <w:pPr>
        <w:spacing w:after="0"/>
        <w:jc w:val="both"/>
      </w:pPr>
      <w:r>
        <w:t>Opomba: * - podatek se nanaša na leti  2016 in 2017 skupaj</w:t>
      </w:r>
    </w:p>
    <w:p w:rsidR="00256EE3" w:rsidRDefault="00256EE3" w:rsidP="00852390">
      <w:pPr>
        <w:spacing w:after="0"/>
        <w:jc w:val="both"/>
      </w:pPr>
    </w:p>
    <w:p w:rsidR="00B734EE" w:rsidRDefault="00B734EE" w:rsidP="00B734EE">
      <w:pPr>
        <w:spacing w:after="0"/>
        <w:jc w:val="both"/>
        <w:rPr>
          <w:lang w:eastAsia="sl-SI"/>
        </w:rPr>
      </w:pPr>
      <w:r>
        <w:rPr>
          <w:lang w:eastAsia="sl-SI"/>
        </w:rPr>
        <w:t xml:space="preserve">Višina finančnih sredstev za izvedbo ukrepov in instrumentov </w:t>
      </w:r>
      <w:r>
        <w:t xml:space="preserve">Programa </w:t>
      </w:r>
      <w:r w:rsidRPr="007079F8">
        <w:t xml:space="preserve">spodbujanja konkurenčnosti in ukrepov razvojne podpore za problemsko območje z visoko brezposelnostjo Hrastnik, Radeče in Trbovlje v obdobju 2013–2020 </w:t>
      </w:r>
      <w:r>
        <w:t xml:space="preserve"> v letu 2016, je znašala slabih 2,4 mio EUR.</w:t>
      </w:r>
    </w:p>
    <w:p w:rsidR="00B734EE" w:rsidRPr="002867F6" w:rsidRDefault="00B734EE" w:rsidP="00873C1F">
      <w:pPr>
        <w:spacing w:after="0"/>
        <w:rPr>
          <w:rFonts w:cs="Arial"/>
        </w:rPr>
      </w:pPr>
    </w:p>
    <w:p w:rsidR="002867F6" w:rsidRPr="005B43A0" w:rsidRDefault="002867F6" w:rsidP="00873C1F">
      <w:pPr>
        <w:spacing w:after="0"/>
        <w:jc w:val="both"/>
        <w:rPr>
          <w:rFonts w:cs="Arial"/>
        </w:rPr>
      </w:pPr>
      <w:r w:rsidRPr="005B43A0">
        <w:rPr>
          <w:rFonts w:cs="Arial"/>
        </w:rPr>
        <w:t>Socialno – ekonomski položaj se je v obdobju 2013 -2016 v občinah problemskega območja Hrastnik, Radeče in Trbovlje relativno izboljšal. Registrirana stopnja brezposelnosti, ki je bila zelo visoka v l. 2013 in je presegala 17%</w:t>
      </w:r>
      <w:r w:rsidR="00672E03" w:rsidRPr="005B43A0">
        <w:rPr>
          <w:rFonts w:cs="Arial"/>
        </w:rPr>
        <w:t>,</w:t>
      </w:r>
      <w:r w:rsidRPr="005B43A0">
        <w:rPr>
          <w:rFonts w:cs="Arial"/>
        </w:rPr>
        <w:t xml:space="preserve"> kar je bila podlaga za sprejetje Programa, se je v proučevanem obdobju znižala. Kljub vsemu še vedno ostaja problematična predvsem dolgotrajna brezposelnost oseb (daljša od 12 mesecev), starejših od 50 let in tistih z nižjo stopnjo izobrazbe. </w:t>
      </w:r>
      <w:r w:rsidR="00A110D0" w:rsidRPr="005B43A0">
        <w:rPr>
          <w:rFonts w:cs="Arial"/>
        </w:rPr>
        <w:t>Čeprav trend zmanjševanja števila prebivalcev v navedenih občinah ni spodbuden, pa je spodbudno</w:t>
      </w:r>
      <w:r w:rsidR="0017723C" w:rsidRPr="005B43A0">
        <w:rPr>
          <w:rFonts w:cs="Arial"/>
        </w:rPr>
        <w:t xml:space="preserve"> to</w:t>
      </w:r>
      <w:r w:rsidR="00A110D0" w:rsidRPr="005B43A0">
        <w:rPr>
          <w:rFonts w:cs="Arial"/>
        </w:rPr>
        <w:t>, da se povečuje število prebivalce</w:t>
      </w:r>
      <w:r w:rsidR="006D5696">
        <w:rPr>
          <w:rFonts w:cs="Arial"/>
        </w:rPr>
        <w:t>v z visokošolsko izobrazbo.</w:t>
      </w:r>
    </w:p>
    <w:p w:rsidR="002867F6" w:rsidRPr="005B43A0" w:rsidRDefault="002867F6" w:rsidP="00873C1F">
      <w:pPr>
        <w:spacing w:after="0"/>
        <w:rPr>
          <w:rFonts w:cs="Arial"/>
        </w:rPr>
      </w:pPr>
    </w:p>
    <w:p w:rsidR="00920FCB" w:rsidRDefault="009443BD" w:rsidP="00920FCB">
      <w:pPr>
        <w:spacing w:after="0"/>
        <w:jc w:val="both"/>
      </w:pPr>
      <w:r w:rsidRPr="005B43A0">
        <w:rPr>
          <w:rFonts w:cs="Arial"/>
        </w:rPr>
        <w:t>Štev</w:t>
      </w:r>
      <w:r w:rsidR="000A333A" w:rsidRPr="005B43A0">
        <w:rPr>
          <w:rFonts w:cs="Arial"/>
        </w:rPr>
        <w:t>ilo podjetij v obdobju 2013-2015</w:t>
      </w:r>
      <w:r w:rsidRPr="005B43A0">
        <w:rPr>
          <w:rFonts w:cs="Arial"/>
        </w:rPr>
        <w:t xml:space="preserve"> </w:t>
      </w:r>
      <w:r w:rsidR="000A333A" w:rsidRPr="005B43A0">
        <w:rPr>
          <w:rFonts w:cs="Arial"/>
        </w:rPr>
        <w:t xml:space="preserve">(po razpoložljivih podatkih </w:t>
      </w:r>
      <w:proofErr w:type="spellStart"/>
      <w:r w:rsidR="000A333A" w:rsidRPr="005B43A0">
        <w:rPr>
          <w:rFonts w:cs="Arial"/>
        </w:rPr>
        <w:t>SURSa</w:t>
      </w:r>
      <w:proofErr w:type="spellEnd"/>
      <w:r w:rsidR="000A333A" w:rsidRPr="005B43A0">
        <w:rPr>
          <w:rFonts w:cs="Arial"/>
        </w:rPr>
        <w:t xml:space="preserve">) </w:t>
      </w:r>
      <w:r w:rsidRPr="005B43A0">
        <w:rPr>
          <w:rFonts w:cs="Arial"/>
        </w:rPr>
        <w:t>ostaja na enakem nivoju, z izjemo občine Trbovlje kjer se je v l. 2016 število podjetij nek</w:t>
      </w:r>
      <w:r w:rsidR="000A333A" w:rsidRPr="005B43A0">
        <w:rPr>
          <w:rFonts w:cs="Arial"/>
        </w:rPr>
        <w:t xml:space="preserve">oliko povečalo, obseg prihodkov, ki so jih ustvarila podjetja, se je povečeval v občinah Hrastnik in Radeče, medtem ko je bil v Trbovljah v upadu,  opazen pa je tudi upad investicij v osnovna sredstva v letu 2015 glede na </w:t>
      </w:r>
      <w:r w:rsidR="00E8404F" w:rsidRPr="005B43A0">
        <w:rPr>
          <w:rFonts w:cs="Arial"/>
        </w:rPr>
        <w:t>predhodne</w:t>
      </w:r>
      <w:r w:rsidR="000A333A" w:rsidRPr="005B43A0">
        <w:rPr>
          <w:rFonts w:cs="Arial"/>
        </w:rPr>
        <w:t xml:space="preserve"> leto. </w:t>
      </w:r>
      <w:r w:rsidR="004F4D75" w:rsidRPr="005B43A0">
        <w:rPr>
          <w:rFonts w:cs="Arial"/>
        </w:rPr>
        <w:t xml:space="preserve"> V času od začetka izvajanja Programa so podjetja pokazala interes za naslednje instrumente: subvencije za spodbujanje investicij, tako sta bila v letu 2016 izvedena  dva javna razpisa, kjer je sofinanciranje pridobilo skupaj 11 projektov podjetij (največ iz občine Trbovlje; 7 podjetij; Radeče 2 podjetji in Hrastnik; 2 podjetji); instrument subvencije za zagon podjetij, v letu 2016 je bilo na podlagi izvedenega javnega razpisa izbranih 6 podjetij, 3 iz občine </w:t>
      </w:r>
      <w:r w:rsidR="001D2906" w:rsidRPr="005B43A0">
        <w:rPr>
          <w:rFonts w:cs="Arial"/>
        </w:rPr>
        <w:t xml:space="preserve">Trbovlje in 3 iz občine Radeče; ukrep 2: povračilo plačanih prispevkov delodajalca za socialno varnost,  v letu 2016 so bile odločbe o dodelitvi spodbude izdane 10 delodajalcem, ki so </w:t>
      </w:r>
      <w:r w:rsidR="0011056F">
        <w:rPr>
          <w:rFonts w:cs="Arial"/>
        </w:rPr>
        <w:t xml:space="preserve">jih </w:t>
      </w:r>
      <w:r w:rsidR="001D2906" w:rsidRPr="005B43A0">
        <w:rPr>
          <w:rFonts w:cs="Arial"/>
        </w:rPr>
        <w:t xml:space="preserve">uveljavljali </w:t>
      </w:r>
      <w:r w:rsidR="0011056F">
        <w:rPr>
          <w:rFonts w:cs="Arial"/>
        </w:rPr>
        <w:t xml:space="preserve">za </w:t>
      </w:r>
      <w:r w:rsidR="001D2906" w:rsidRPr="005B43A0">
        <w:rPr>
          <w:rFonts w:cs="Arial"/>
        </w:rPr>
        <w:t>zaposlitev 11 oseb</w:t>
      </w:r>
      <w:r w:rsidR="00B74E62" w:rsidRPr="005B43A0">
        <w:t>; 6 delodajalcev je bilo iz občine Trbovlje (za 7 oseb), 3 delodajalci iz Hrastnika (za 3 osebe) in 1 delodajalec iz Radeče (za 1 osebo).</w:t>
      </w:r>
      <w:r w:rsidR="0011056F">
        <w:t xml:space="preserve"> </w:t>
      </w:r>
      <w:r w:rsidR="005512C5" w:rsidRPr="005B43A0">
        <w:t xml:space="preserve">Povečuje se </w:t>
      </w:r>
      <w:r w:rsidR="0042384A">
        <w:t xml:space="preserve">tudi </w:t>
      </w:r>
      <w:r w:rsidR="005512C5" w:rsidRPr="005B43A0">
        <w:t>interes podjetij za ukrep</w:t>
      </w:r>
      <w:r w:rsidR="0042384A">
        <w:t xml:space="preserve"> </w:t>
      </w:r>
      <w:r w:rsidR="005512C5" w:rsidRPr="005B43A0">
        <w:t xml:space="preserve">3 in </w:t>
      </w:r>
      <w:r w:rsidR="0042384A">
        <w:t xml:space="preserve">ukrep </w:t>
      </w:r>
      <w:r w:rsidR="005512C5" w:rsidRPr="005B43A0">
        <w:t>4; davčne olajšave za zaposlovanje in investiranje</w:t>
      </w:r>
      <w:r w:rsidR="005512C5">
        <w:t>. V letu 2016 se je tako povečalo</w:t>
      </w:r>
      <w:r w:rsidR="0042384A">
        <w:t xml:space="preserve"> skupno </w:t>
      </w:r>
      <w:r w:rsidR="005512C5">
        <w:t xml:space="preserve"> število zavezancev, ki so </w:t>
      </w:r>
      <w:r w:rsidR="00823FC5">
        <w:t>koristili</w:t>
      </w:r>
      <w:r w:rsidR="005512C5">
        <w:t xml:space="preserve"> davčno olajšavo (predvsem pravne osebe), medtem ko se je število zavezancev, ki so </w:t>
      </w:r>
      <w:r w:rsidR="00823FC5">
        <w:t>koristili</w:t>
      </w:r>
      <w:r w:rsidR="005512C5">
        <w:t xml:space="preserve"> davčno olajšavo za </w:t>
      </w:r>
      <w:r w:rsidR="005512C5">
        <w:lastRenderedPageBreak/>
        <w:t xml:space="preserve">investiranje zmanjšalo glede na </w:t>
      </w:r>
      <w:r w:rsidR="00823FC5">
        <w:t>predhodni leti, je pa zato znesek koriščenja olajšave precej višji glede na predhodni leti.</w:t>
      </w:r>
      <w:r w:rsidR="005512C5">
        <w:t xml:space="preserve"> </w:t>
      </w:r>
      <w:r w:rsidR="00920FCB">
        <w:t xml:space="preserve">V poslovnem letu 2016 je 16 zavezancev koristilo davčno olajšavo za zaposlovanje v skupnem znesku 132.614 EUR, davčna korist je znašla 23.672 EUR.  Davčno olajšavo za investiranje je v letu 2016 skupaj koristilo 31 zavezancev v skupnem znesku 1.984.508 EUR, davčna korist je znašala 341.640 EUR. </w:t>
      </w:r>
    </w:p>
    <w:p w:rsidR="00F540CE" w:rsidRPr="005B43A0" w:rsidRDefault="00F540CE" w:rsidP="00873C1F">
      <w:pPr>
        <w:spacing w:after="0"/>
        <w:rPr>
          <w:rFonts w:cs="Arial"/>
        </w:rPr>
      </w:pPr>
    </w:p>
    <w:p w:rsidR="00E1474B" w:rsidRDefault="00813D78" w:rsidP="00873C1F">
      <w:pPr>
        <w:spacing w:after="0"/>
        <w:jc w:val="both"/>
        <w:rPr>
          <w:rFonts w:cs="Arial"/>
        </w:rPr>
      </w:pPr>
      <w:r w:rsidRPr="005B43A0">
        <w:t>V skladu s P</w:t>
      </w:r>
      <w:r w:rsidR="00E1474B" w:rsidRPr="005B43A0">
        <w:t xml:space="preserve">rogramom </w:t>
      </w:r>
      <w:r w:rsidR="00E1474B" w:rsidRPr="005B43A0">
        <w:rPr>
          <w:rFonts w:cs="Arial"/>
        </w:rPr>
        <w:t>spodbujanja konkurenčnosti in ukrepov razvojne podpore za območje občin Hrastnik, Radeče in Trbovlje v obdobju 2013–2018</w:t>
      </w:r>
      <w:r w:rsidR="00672E03" w:rsidRPr="005B43A0">
        <w:rPr>
          <w:rFonts w:cs="Arial"/>
        </w:rPr>
        <w:t>,</w:t>
      </w:r>
      <w:r w:rsidR="00E1474B" w:rsidRPr="005B43A0">
        <w:rPr>
          <w:rFonts w:cs="Arial"/>
        </w:rPr>
        <w:t xml:space="preserve"> je bila predvidena izvedba vmesnega vrednotenja v letu 2016. Vmesno vrednotenje je za obdobje od 25.7.2013 do 31.3.2016 izvedlo podjetje MK projekt, d.o.o., Rogaška cesta 25, Šmarje pri Jelšah. Na koncu Poročila </w:t>
      </w:r>
      <w:r w:rsidRPr="005B43A0">
        <w:rPr>
          <w:rFonts w:cs="Arial"/>
        </w:rPr>
        <w:t>je podan povzetek</w:t>
      </w:r>
      <w:r w:rsidR="00E1474B" w:rsidRPr="005B43A0">
        <w:rPr>
          <w:rFonts w:cs="Arial"/>
        </w:rPr>
        <w:t xml:space="preserve"> priporočil za izboljšanje Programa.</w:t>
      </w:r>
      <w:r w:rsidR="00E1474B">
        <w:rPr>
          <w:rFonts w:cs="Arial"/>
        </w:rPr>
        <w:t xml:space="preserve"> </w:t>
      </w:r>
    </w:p>
    <w:p w:rsidR="00A53309" w:rsidRPr="00C156EF" w:rsidRDefault="00CE1753" w:rsidP="00852390">
      <w:pPr>
        <w:pStyle w:val="Naslov1"/>
      </w:pPr>
      <w:r>
        <w:rPr>
          <w:rFonts w:cs="Arial"/>
          <w:sz w:val="24"/>
          <w:szCs w:val="24"/>
        </w:rPr>
        <w:br w:type="page"/>
      </w:r>
      <w:bookmarkStart w:id="0" w:name="_Toc503180592"/>
      <w:r w:rsidR="00CF504B" w:rsidRPr="00C156EF">
        <w:lastRenderedPageBreak/>
        <w:t>Zakonske podlage</w:t>
      </w:r>
      <w:bookmarkEnd w:id="0"/>
    </w:p>
    <w:p w:rsidR="00A53309" w:rsidRPr="00C156EF" w:rsidRDefault="00A53309" w:rsidP="00852390"/>
    <w:p w:rsidR="00FE58B6" w:rsidRPr="00C156EF" w:rsidRDefault="00FE58B6" w:rsidP="00852390">
      <w:pPr>
        <w:tabs>
          <w:tab w:val="left" w:pos="540"/>
          <w:tab w:val="left" w:pos="900"/>
        </w:tabs>
        <w:spacing w:after="0"/>
        <w:jc w:val="both"/>
        <w:rPr>
          <w:rFonts w:cs="Arial"/>
        </w:rPr>
      </w:pPr>
      <w:r w:rsidRPr="00C156EF">
        <w:rPr>
          <w:rFonts w:cs="Arial"/>
        </w:rPr>
        <w:t xml:space="preserve">Zakonska podlaga za pripravo Programa spodbujanja konkurenčnosti in ukrepov razvojne podpore območju občin Hrastnik, Radeče in Trbovlje (v nadaljnjem besedilu: program) je Zakon o spodbujanju skladnega regionalnega razvoja-ZSRR-2 (Uradni list RS, št. 20/11, 57/12 in 46/16), ki v 25., </w:t>
      </w:r>
      <w:smartTag w:uri="urn:schemas-microsoft-com:office:smarttags" w:element="metricconverter">
        <w:smartTagPr>
          <w:attr w:name="ProductID" w:val="27. in"/>
        </w:smartTagPr>
        <w:r w:rsidRPr="00C156EF">
          <w:rPr>
            <w:rFonts w:cs="Arial"/>
          </w:rPr>
          <w:t>27. in</w:t>
        </w:r>
      </w:smartTag>
      <w:r w:rsidRPr="00C156EF">
        <w:rPr>
          <w:rFonts w:cs="Arial"/>
        </w:rPr>
        <w:t xml:space="preserve"> 28. členu določa problemska območja z visoko brezposelnostjo. To so območja, na katerih se zaradi notranjih strukturnih problemov ali zunanjih vplivov gospodarske razmere tako poslabšajo, da stopnja registrirane brezposelnosti doseže kritično mejo. Problemska območja so deležna dodatnih začasnih ukrepov razvojne podpore, ki jih sprejme Vlada Republike Slovenije.</w:t>
      </w:r>
    </w:p>
    <w:p w:rsidR="00FE58B6" w:rsidRPr="00C156EF" w:rsidRDefault="00FE58B6" w:rsidP="00852390">
      <w:pPr>
        <w:tabs>
          <w:tab w:val="left" w:pos="540"/>
          <w:tab w:val="left" w:pos="900"/>
        </w:tabs>
        <w:spacing w:after="0"/>
        <w:jc w:val="both"/>
        <w:rPr>
          <w:rFonts w:cs="Arial"/>
        </w:rPr>
      </w:pPr>
    </w:p>
    <w:p w:rsidR="00FE58B6" w:rsidRPr="00C156EF" w:rsidRDefault="00FE58B6" w:rsidP="00852390">
      <w:pPr>
        <w:tabs>
          <w:tab w:val="left" w:pos="540"/>
          <w:tab w:val="left" w:pos="900"/>
        </w:tabs>
        <w:spacing w:after="0"/>
        <w:jc w:val="both"/>
        <w:rPr>
          <w:rFonts w:cs="Arial"/>
        </w:rPr>
      </w:pPr>
      <w:r w:rsidRPr="00C156EF">
        <w:rPr>
          <w:rFonts w:cs="Arial"/>
        </w:rPr>
        <w:t xml:space="preserve">Podrobneje so način </w:t>
      </w:r>
      <w:r w:rsidR="000A1C3B">
        <w:rPr>
          <w:rFonts w:cs="Arial"/>
        </w:rPr>
        <w:t>identifikacije</w:t>
      </w:r>
      <w:r w:rsidRPr="00C156EF">
        <w:rPr>
          <w:rFonts w:cs="Arial"/>
        </w:rPr>
        <w:t xml:space="preserve"> območij in dodatni začasni ukrepi razvojne podpore določeni v 8. do 10. členu </w:t>
      </w:r>
      <w:r w:rsidR="000A1C3B" w:rsidRPr="000A1C3B">
        <w:rPr>
          <w:rFonts w:cs="Arial"/>
        </w:rPr>
        <w:t>Uredb</w:t>
      </w:r>
      <w:r w:rsidR="000A1C3B">
        <w:rPr>
          <w:rFonts w:cs="Arial"/>
        </w:rPr>
        <w:t>e</w:t>
      </w:r>
      <w:r w:rsidR="000A1C3B" w:rsidRPr="000A1C3B">
        <w:rPr>
          <w:rFonts w:cs="Arial"/>
        </w:rPr>
        <w:t xml:space="preserve"> o spremembah in dopolnitvah Uredbe o izvajanju ukrepov endogene regionalne politike (Uradni list RS, št. </w:t>
      </w:r>
      <w:r w:rsidR="00677077">
        <w:rPr>
          <w:rFonts w:cs="Arial"/>
        </w:rPr>
        <w:t xml:space="preserve"> 16/13 in št. </w:t>
      </w:r>
      <w:r w:rsidR="000A1C3B" w:rsidRPr="000A1C3B">
        <w:rPr>
          <w:rFonts w:cs="Arial"/>
        </w:rPr>
        <w:t>78/15)</w:t>
      </w:r>
      <w:r w:rsidR="000A1C3B">
        <w:rPr>
          <w:rFonts w:cs="Arial"/>
        </w:rPr>
        <w:t xml:space="preserve">. </w:t>
      </w:r>
      <w:r w:rsidRPr="00C156EF">
        <w:rPr>
          <w:rFonts w:cs="Arial"/>
        </w:rPr>
        <w:t xml:space="preserve">Poslabšanje gospodarskih razmer na območju ugotavlja ministrstvo na ravni upravnih enot. </w:t>
      </w:r>
      <w:r w:rsidRPr="00A25BF0">
        <w:rPr>
          <w:rFonts w:cs="Arial"/>
        </w:rPr>
        <w:t>Šteje se, da so se gospodarske razmere na določenem območju poslabšale do stopnje, ko registrirana brezposelnost doseže kritično mejo, če je stopnja registrirane brezposelnosti v upravni enoti najmanj tri zaporedne mesece 17,0-odstotna ali višja</w:t>
      </w:r>
      <w:r w:rsidRPr="00C156EF">
        <w:rPr>
          <w:rFonts w:cs="Arial"/>
          <w:b/>
        </w:rPr>
        <w:t xml:space="preserve">. </w:t>
      </w:r>
      <w:r w:rsidRPr="00C156EF">
        <w:rPr>
          <w:rFonts w:cs="Arial"/>
        </w:rPr>
        <w:t xml:space="preserve">Problemsko območje z visoko brezposelnostjo se lahko določi ožje ali širše od območja upravne enote, v kateri je stopnja brezposelnosti presegla kritično mejo, mora pa biti strnjeno območje enega ali več naselij, na katerem živi najmanj 20 000 prebivalcev. Na podlagi strokovne analize razvojnih problemov ga določi vlada s sklepom, ki ga objavi v Uradnem listu Republike Slovenije. Strokovno analizo razvojnih problemov pripravi ministrstvo v sodelovanju z regionalno razvojno agencijo in razvojnimi institucijami, ki delujejo na območju. </w:t>
      </w:r>
    </w:p>
    <w:p w:rsidR="00FE58B6" w:rsidRPr="00C156EF" w:rsidRDefault="00FE58B6" w:rsidP="00852390">
      <w:pPr>
        <w:spacing w:after="0"/>
        <w:jc w:val="both"/>
        <w:rPr>
          <w:rFonts w:cs="Arial"/>
        </w:rPr>
      </w:pPr>
    </w:p>
    <w:p w:rsidR="00FE58B6" w:rsidRPr="00C156EF" w:rsidRDefault="00FE58B6" w:rsidP="00852390">
      <w:pPr>
        <w:spacing w:after="0"/>
        <w:jc w:val="both"/>
        <w:rPr>
          <w:rFonts w:cs="Arial"/>
        </w:rPr>
      </w:pPr>
      <w:r w:rsidRPr="00C156EF">
        <w:rPr>
          <w:rFonts w:cs="Arial"/>
        </w:rPr>
        <w:t>Skupaj s programom sprejme vlada tudi druge dodatne začasne ukrepe razvojne podpore z okvirnim finančnim in časovnim ovrednotenjem, ki so nujni za odpravo ključnih razvojnih ovir in razvojno aktiviranje območja na podlagi njegovih primerjalnih prednosti. Financirajo jih pristojna ministrstva iz svojih proračunskih postavk. Sprejmejo se ukrepi, ki so sklenjena celota s programom in so nujno potrebni za doseganje zastavljenih ciljev.</w:t>
      </w:r>
    </w:p>
    <w:p w:rsidR="00FE58B6" w:rsidRPr="00C156EF" w:rsidRDefault="00FE58B6" w:rsidP="00852390"/>
    <w:p w:rsidR="00B102D6" w:rsidRPr="00C156EF" w:rsidRDefault="00B102D6" w:rsidP="00852390">
      <w:pPr>
        <w:pStyle w:val="Naslov1"/>
        <w:rPr>
          <w:rFonts w:ascii="Calibri" w:hAnsi="Calibri"/>
        </w:rPr>
      </w:pPr>
      <w:bookmarkStart w:id="1" w:name="_Toc503180593"/>
      <w:r w:rsidRPr="00C156EF">
        <w:rPr>
          <w:rFonts w:ascii="Calibri" w:hAnsi="Calibri"/>
        </w:rPr>
        <w:t>Sklepi Vlade RS</w:t>
      </w:r>
      <w:bookmarkEnd w:id="1"/>
    </w:p>
    <w:p w:rsidR="00B102D6" w:rsidRPr="00C156EF" w:rsidRDefault="00B102D6" w:rsidP="00852390">
      <w:pPr>
        <w:pStyle w:val="Naslov2"/>
        <w:ind w:left="572" w:hanging="391"/>
        <w:rPr>
          <w:rFonts w:ascii="Calibri" w:hAnsi="Calibri"/>
        </w:rPr>
      </w:pPr>
      <w:r w:rsidRPr="00C156EF">
        <w:rPr>
          <w:rFonts w:ascii="Calibri" w:hAnsi="Calibri"/>
        </w:rPr>
        <w:t xml:space="preserve"> </w:t>
      </w:r>
      <w:bookmarkStart w:id="2" w:name="_Toc503180594"/>
      <w:r w:rsidRPr="00C156EF">
        <w:rPr>
          <w:rFonts w:ascii="Calibri" w:hAnsi="Calibri"/>
        </w:rPr>
        <w:t>Sprejem dodatnih začasnih ukrepov razvojne podpore in Programa HRT</w:t>
      </w:r>
      <w:bookmarkEnd w:id="2"/>
      <w:r w:rsidRPr="00C156EF">
        <w:rPr>
          <w:rFonts w:ascii="Calibri" w:hAnsi="Calibri"/>
        </w:rPr>
        <w:t xml:space="preserve"> </w:t>
      </w:r>
    </w:p>
    <w:p w:rsidR="00B102D6" w:rsidRPr="00C156EF" w:rsidRDefault="00B102D6" w:rsidP="00852390">
      <w:pPr>
        <w:tabs>
          <w:tab w:val="left" w:pos="0"/>
        </w:tabs>
        <w:spacing w:after="0"/>
        <w:jc w:val="both"/>
        <w:rPr>
          <w:rFonts w:cs="Arial"/>
        </w:rPr>
      </w:pPr>
      <w:r w:rsidRPr="00C156EF">
        <w:rPr>
          <w:rFonts w:cs="Arial"/>
        </w:rPr>
        <w:t>Vlada RS je sprejela sklep o dodatnih začasnih ukrepih razvojne podpore za problemsko območje z visoko brezposelnostjo območje občin Hrastnik, Radeče, Trbovlje in izvajanje Programa spodbujanja konkurenčnosti in ukrepov razvojne podpore območju občin Hrastnik, Radeče, Trbovlje, na 19. redni seji dne 25.7.2013 (sklep Vlade št. 00726-19/2013/7).</w:t>
      </w:r>
    </w:p>
    <w:p w:rsidR="00B102D6" w:rsidRPr="00C156EF" w:rsidRDefault="00B102D6" w:rsidP="00852390">
      <w:pPr>
        <w:tabs>
          <w:tab w:val="left" w:pos="0"/>
        </w:tabs>
        <w:spacing w:after="0"/>
        <w:jc w:val="both"/>
        <w:rPr>
          <w:rFonts w:cs="Arial"/>
        </w:rPr>
      </w:pPr>
    </w:p>
    <w:p w:rsidR="00B102D6" w:rsidRPr="00677077" w:rsidRDefault="00B102D6" w:rsidP="00852390">
      <w:pPr>
        <w:numPr>
          <w:ilvl w:val="0"/>
          <w:numId w:val="2"/>
        </w:numPr>
        <w:spacing w:after="0"/>
        <w:jc w:val="both"/>
        <w:rPr>
          <w:rFonts w:cs="Arial"/>
        </w:rPr>
      </w:pPr>
      <w:r w:rsidRPr="00677077">
        <w:rPr>
          <w:rFonts w:cs="Arial"/>
        </w:rPr>
        <w:t xml:space="preserve">Poleg instrumentov opredeljenih v samem </w:t>
      </w:r>
      <w:r w:rsidRPr="00677077">
        <w:rPr>
          <w:rFonts w:cs="Arial"/>
          <w:b/>
        </w:rPr>
        <w:t>Programu spodbujanja konkurenčnosti in ukrepov razvojne podpore za območje občin Hrastnik, Radeče in Trbovlje v obdobju 2013–2018</w:t>
      </w:r>
      <w:r w:rsidRPr="00677077">
        <w:rPr>
          <w:rFonts w:cs="Arial"/>
        </w:rPr>
        <w:t xml:space="preserve"> (p</w:t>
      </w:r>
      <w:r w:rsidRPr="00677077">
        <w:rPr>
          <w:rFonts w:cs="Arial"/>
          <w:bCs/>
        </w:rPr>
        <w:t xml:space="preserve">odjetno v svet podjetništva HRT, finančne spodbude za novonastala podjetja, investicije v </w:t>
      </w:r>
      <w:r w:rsidRPr="00677077">
        <w:rPr>
          <w:rFonts w:cs="Arial"/>
          <w:bCs/>
        </w:rPr>
        <w:lastRenderedPageBreak/>
        <w:t xml:space="preserve">razvoj: MSP in velika podjetja, program Radeče papir in </w:t>
      </w:r>
      <w:r w:rsidRPr="00677077">
        <w:rPr>
          <w:rFonts w:cs="Arial"/>
          <w:bCs/>
          <w:color w:val="000000"/>
        </w:rPr>
        <w:t>koordinacija,</w:t>
      </w:r>
      <w:r w:rsidRPr="00677077">
        <w:rPr>
          <w:rFonts w:cs="Arial"/>
          <w:bCs/>
        </w:rPr>
        <w:t xml:space="preserve"> promocija in skrbnik programa) </w:t>
      </w:r>
      <w:r w:rsidRPr="00677077">
        <w:rPr>
          <w:rFonts w:cs="Arial"/>
        </w:rPr>
        <w:t>so predvideni tudi naslednji ukrepi:</w:t>
      </w:r>
    </w:p>
    <w:p w:rsidR="00B102D6" w:rsidRPr="00677077" w:rsidRDefault="00B102D6" w:rsidP="00852390">
      <w:pPr>
        <w:numPr>
          <w:ilvl w:val="0"/>
          <w:numId w:val="2"/>
        </w:numPr>
        <w:spacing w:after="0"/>
        <w:jc w:val="both"/>
        <w:rPr>
          <w:rFonts w:cs="Arial"/>
          <w:b/>
          <w:iCs/>
          <w:lang w:eastAsia="sl-SI"/>
        </w:rPr>
      </w:pPr>
      <w:r w:rsidRPr="00677077">
        <w:rPr>
          <w:rFonts w:cs="Arial"/>
          <w:b/>
          <w:iCs/>
          <w:lang w:eastAsia="sl-SI"/>
        </w:rPr>
        <w:t xml:space="preserve">ukrep 2: </w:t>
      </w:r>
      <w:r w:rsidRPr="00677077">
        <w:rPr>
          <w:rFonts w:cs="Arial"/>
          <w:iCs/>
          <w:lang w:eastAsia="sl-SI"/>
        </w:rPr>
        <w:t>povračilo plačanih prispevkov delodajalca za socialno varnost na podlagi 27. člena ZSRR-2, ki ga izvede Ministrstvo za delo, družino, socialne zadeve in enake možnosti oz. Zavod RS za zaposlovanje;</w:t>
      </w:r>
    </w:p>
    <w:p w:rsidR="00B102D6" w:rsidRPr="00677077" w:rsidRDefault="00B102D6" w:rsidP="00852390">
      <w:pPr>
        <w:numPr>
          <w:ilvl w:val="0"/>
          <w:numId w:val="2"/>
        </w:numPr>
        <w:spacing w:after="0"/>
        <w:jc w:val="both"/>
        <w:rPr>
          <w:rFonts w:cs="Arial"/>
          <w:iCs/>
          <w:lang w:eastAsia="sl-SI"/>
        </w:rPr>
      </w:pPr>
      <w:r w:rsidRPr="00677077">
        <w:rPr>
          <w:rFonts w:cs="Arial"/>
          <w:b/>
          <w:iCs/>
          <w:lang w:eastAsia="sl-SI"/>
        </w:rPr>
        <w:t xml:space="preserve">ukrep 3: </w:t>
      </w:r>
      <w:r w:rsidRPr="00677077">
        <w:rPr>
          <w:rFonts w:cs="Arial"/>
          <w:iCs/>
          <w:lang w:eastAsia="sl-SI"/>
        </w:rPr>
        <w:t>davčne olajšave za zaposlovanje in investiranje na podlagi 28. člena ZSRR-2, izvedba je v pristojnosti (sedanje) Finančne uprave Republike Slovenije</w:t>
      </w:r>
      <w:r w:rsidR="003D7418" w:rsidRPr="00677077">
        <w:rPr>
          <w:rFonts w:cs="Arial"/>
          <w:iCs/>
          <w:lang w:eastAsia="sl-SI"/>
        </w:rPr>
        <w:t xml:space="preserve"> in v sodelovanju z MGRT</w:t>
      </w:r>
      <w:r w:rsidRPr="00677077">
        <w:rPr>
          <w:rFonts w:cs="Arial"/>
          <w:iCs/>
          <w:lang w:eastAsia="sl-SI"/>
        </w:rPr>
        <w:t>;</w:t>
      </w:r>
    </w:p>
    <w:p w:rsidR="00B102D6" w:rsidRPr="00677077" w:rsidRDefault="00B102D6" w:rsidP="00852390">
      <w:pPr>
        <w:numPr>
          <w:ilvl w:val="0"/>
          <w:numId w:val="2"/>
        </w:numPr>
        <w:spacing w:after="0"/>
        <w:jc w:val="both"/>
        <w:rPr>
          <w:rFonts w:cs="Arial"/>
          <w:iCs/>
          <w:lang w:eastAsia="sl-SI"/>
        </w:rPr>
      </w:pPr>
      <w:r w:rsidRPr="00677077">
        <w:rPr>
          <w:rFonts w:cs="Arial"/>
          <w:b/>
          <w:iCs/>
          <w:lang w:eastAsia="sl-SI"/>
        </w:rPr>
        <w:t xml:space="preserve">ukrep 4: </w:t>
      </w:r>
      <w:r w:rsidRPr="00677077">
        <w:rPr>
          <w:rFonts w:cs="Arial"/>
          <w:iCs/>
          <w:lang w:eastAsia="sl-SI"/>
        </w:rPr>
        <w:t>spodbude za trajnostni razvoj podeželja iz Programa razvoja podeželja 2014-2020, izvedba</w:t>
      </w:r>
      <w:r w:rsidRPr="00677077" w:rsidDel="00047B99">
        <w:rPr>
          <w:rFonts w:cs="Arial"/>
          <w:iCs/>
          <w:lang w:eastAsia="sl-SI"/>
        </w:rPr>
        <w:t xml:space="preserve"> </w:t>
      </w:r>
      <w:r w:rsidRPr="00677077">
        <w:rPr>
          <w:rFonts w:cs="Arial"/>
          <w:iCs/>
          <w:lang w:eastAsia="sl-SI"/>
        </w:rPr>
        <w:t>v pristojnosti (sedanjega) Ministrstva za kmetijstvo, gozdarstvo in prehrano;</w:t>
      </w:r>
    </w:p>
    <w:p w:rsidR="00910B2C" w:rsidRPr="00677077" w:rsidRDefault="00B102D6" w:rsidP="00910B2C">
      <w:pPr>
        <w:numPr>
          <w:ilvl w:val="0"/>
          <w:numId w:val="2"/>
        </w:numPr>
        <w:spacing w:after="0"/>
        <w:jc w:val="both"/>
        <w:rPr>
          <w:rFonts w:cs="Arial"/>
          <w:iCs/>
          <w:lang w:eastAsia="sl-SI"/>
        </w:rPr>
      </w:pPr>
      <w:r w:rsidRPr="00677077">
        <w:rPr>
          <w:rFonts w:cs="Arial"/>
          <w:b/>
          <w:iCs/>
          <w:lang w:eastAsia="sl-SI"/>
        </w:rPr>
        <w:t xml:space="preserve">ukrep 5: </w:t>
      </w:r>
      <w:r w:rsidRPr="00677077">
        <w:rPr>
          <w:rFonts w:cs="Arial"/>
          <w:iCs/>
          <w:lang w:eastAsia="sl-SI"/>
        </w:rPr>
        <w:t>prometna infrastruktura, izvedba (sedanje) Ministrstvo za infrastrukturo;</w:t>
      </w:r>
      <w:r w:rsidR="00910B2C" w:rsidRPr="00677077">
        <w:rPr>
          <w:rFonts w:cs="Arial"/>
          <w:iCs/>
          <w:lang w:eastAsia="sl-SI"/>
        </w:rPr>
        <w:t xml:space="preserve"> </w:t>
      </w:r>
    </w:p>
    <w:p w:rsidR="00910B2C" w:rsidRPr="00677077" w:rsidRDefault="00B102D6" w:rsidP="00910B2C">
      <w:pPr>
        <w:numPr>
          <w:ilvl w:val="0"/>
          <w:numId w:val="2"/>
        </w:numPr>
        <w:spacing w:after="0"/>
        <w:jc w:val="both"/>
        <w:rPr>
          <w:rFonts w:cs="Arial"/>
          <w:iCs/>
          <w:lang w:eastAsia="sl-SI"/>
        </w:rPr>
      </w:pPr>
      <w:r w:rsidRPr="00677077">
        <w:rPr>
          <w:rFonts w:cs="Arial"/>
          <w:b/>
          <w:iCs/>
          <w:lang w:eastAsia="sl-SI"/>
        </w:rPr>
        <w:t xml:space="preserve">ukrep 6: </w:t>
      </w:r>
      <w:r w:rsidRPr="00677077">
        <w:rPr>
          <w:rFonts w:cs="Arial"/>
          <w:iCs/>
          <w:lang w:eastAsia="sl-SI"/>
        </w:rPr>
        <w:t>energetska infrastruktura, izvedba v pristojnosti (sedanje)  Ministrstvo za infrastrukturo ( v zvezi s tem je Vlada naložila ministru, pristojnemu za infrastrukturo in prostor, da do 31.7.2013 imenuje delovno skupino, ki bo v pomoč Vla</w:t>
      </w:r>
      <w:r w:rsidR="00A83BBC" w:rsidRPr="00677077">
        <w:rPr>
          <w:rFonts w:cs="Arial"/>
          <w:iCs/>
          <w:lang w:eastAsia="sl-SI"/>
        </w:rPr>
        <w:t>di R</w:t>
      </w:r>
      <w:r w:rsidRPr="00677077">
        <w:rPr>
          <w:rFonts w:cs="Arial"/>
          <w:iCs/>
          <w:lang w:eastAsia="sl-SI"/>
        </w:rPr>
        <w:t>epublike Slovenije pri odločanju o prestrukturiranju energetike v Zasavju, in da do 31.12.2013 pripravi predlog srednje- in dolgoročnega načrta o prestrukturiranju energetike v Zasavju)</w:t>
      </w:r>
      <w:r w:rsidR="00CB1524" w:rsidRPr="00677077">
        <w:rPr>
          <w:rFonts w:cs="Arial"/>
          <w:iCs/>
          <w:lang w:eastAsia="sl-SI"/>
        </w:rPr>
        <w:t>.</w:t>
      </w:r>
      <w:r w:rsidR="00910B2C" w:rsidRPr="00677077">
        <w:rPr>
          <w:rFonts w:cs="Arial"/>
          <w:iCs/>
          <w:lang w:eastAsia="sl-SI"/>
        </w:rPr>
        <w:t xml:space="preserve"> </w:t>
      </w:r>
      <w:r w:rsidR="00910B2C" w:rsidRPr="00677077">
        <w:rPr>
          <w:rFonts w:cs="Calibri"/>
          <w:color w:val="000000"/>
          <w:lang w:eastAsia="sl-SI"/>
        </w:rPr>
        <w:t xml:space="preserve">Ministrstvo za infrastrukturo je predlagalo odpravo sklepa Vlade o pripravi načrta </w:t>
      </w:r>
      <w:r w:rsidR="00CB1524" w:rsidRPr="00677077">
        <w:rPr>
          <w:rFonts w:cs="Arial"/>
          <w:iCs/>
          <w:lang w:eastAsia="sl-SI"/>
        </w:rPr>
        <w:t>prestrukturiranja</w:t>
      </w:r>
      <w:r w:rsidR="00910B2C" w:rsidRPr="00677077">
        <w:rPr>
          <w:rFonts w:cs="Arial"/>
          <w:iCs/>
          <w:lang w:eastAsia="sl-SI"/>
        </w:rPr>
        <w:t xml:space="preserve"> energetike v Zasavju</w:t>
      </w:r>
      <w:r w:rsidR="00CB1524" w:rsidRPr="00677077">
        <w:rPr>
          <w:rFonts w:cs="Arial"/>
          <w:iCs/>
          <w:lang w:eastAsia="sl-SI"/>
        </w:rPr>
        <w:t xml:space="preserve">, zato je </w:t>
      </w:r>
      <w:r w:rsidR="00910B2C" w:rsidRPr="00677077">
        <w:rPr>
          <w:rFonts w:cs="Calibri"/>
          <w:color w:val="000000"/>
          <w:lang w:eastAsia="sl-SI"/>
        </w:rPr>
        <w:t>V</w:t>
      </w:r>
      <w:r w:rsidR="00910B2C" w:rsidRPr="00677077">
        <w:rPr>
          <w:rFonts w:cs="Arial"/>
          <w:color w:val="000000"/>
          <w:lang w:eastAsia="sl-SI"/>
        </w:rPr>
        <w:t>lada RS na seji dne 13.11.2014 sprejela razveljavitev sklepa;</w:t>
      </w:r>
      <w:r w:rsidR="00910B2C" w:rsidRPr="00677077">
        <w:rPr>
          <w:rFonts w:cs="Arial"/>
          <w:b/>
          <w:bCs/>
          <w:i/>
          <w:iCs/>
          <w:color w:val="FF0000"/>
          <w:lang w:eastAsia="sl-SI"/>
        </w:rPr>
        <w:t xml:space="preserve"> </w:t>
      </w:r>
      <w:r w:rsidR="00910B2C" w:rsidRPr="00677077">
        <w:rPr>
          <w:rFonts w:cs="Arial"/>
          <w:bCs/>
          <w:iCs/>
          <w:lang w:eastAsia="sl-SI"/>
        </w:rPr>
        <w:t>razveljavi se 4. točka Sklepa Vlade Republike Slovenije, št. 00726-19/2013/7 z dne 25. 7. 2013</w:t>
      </w:r>
      <w:r w:rsidR="00910B2C" w:rsidRPr="00677077">
        <w:rPr>
          <w:rFonts w:cs="Arial"/>
          <w:lang w:eastAsia="sl-SI"/>
        </w:rPr>
        <w:t>).</w:t>
      </w:r>
    </w:p>
    <w:p w:rsidR="00B102D6" w:rsidRPr="00677077" w:rsidRDefault="00B102D6" w:rsidP="00852390">
      <w:pPr>
        <w:numPr>
          <w:ilvl w:val="0"/>
          <w:numId w:val="2"/>
        </w:numPr>
        <w:spacing w:after="0"/>
        <w:jc w:val="both"/>
        <w:rPr>
          <w:rFonts w:cs="Arial"/>
          <w:iCs/>
          <w:lang w:eastAsia="sl-SI"/>
        </w:rPr>
      </w:pPr>
      <w:r w:rsidRPr="00677077">
        <w:rPr>
          <w:rFonts w:cs="Arial"/>
          <w:b/>
          <w:iCs/>
          <w:lang w:eastAsia="sl-SI"/>
        </w:rPr>
        <w:t>ukrep 7:</w:t>
      </w:r>
      <w:r w:rsidRPr="00677077">
        <w:rPr>
          <w:rFonts w:cs="Arial"/>
          <w:iCs/>
          <w:lang w:eastAsia="sl-SI"/>
        </w:rPr>
        <w:t xml:space="preserve"> seznanitev z urejanjem javne infrastrukture in prenosi državnega premoženja iz države na občine, izvedba v pristojnosti občin Hrastnik, Radeče in Trbovlje.</w:t>
      </w:r>
    </w:p>
    <w:p w:rsidR="00FE58B6" w:rsidRPr="00C156EF" w:rsidRDefault="00FE58B6" w:rsidP="00852390"/>
    <w:p w:rsidR="00B102D6" w:rsidRPr="005B3609" w:rsidRDefault="008A0051" w:rsidP="008A0051">
      <w:pPr>
        <w:pStyle w:val="Napis"/>
      </w:pPr>
      <w:r>
        <w:t xml:space="preserve">Tabela </w:t>
      </w:r>
      <w:fldSimple w:instr=" SEQ Tabela \* ARABIC ">
        <w:r w:rsidR="003218B5">
          <w:rPr>
            <w:noProof/>
          </w:rPr>
          <w:t>2</w:t>
        </w:r>
      </w:fldSimple>
      <w:r w:rsidR="001D28B6" w:rsidRPr="005B3609">
        <w:t xml:space="preserve">: </w:t>
      </w:r>
      <w:r w:rsidR="00B102D6" w:rsidRPr="005B3609">
        <w:t xml:space="preserve">Finančna konstrukcija </w:t>
      </w:r>
      <w:r w:rsidR="001D28B6" w:rsidRPr="005B3609">
        <w:t>P</w:t>
      </w:r>
      <w:r w:rsidR="00B102D6" w:rsidRPr="005B3609">
        <w:t xml:space="preserve">rograma </w:t>
      </w:r>
      <w:r w:rsidR="001D28B6" w:rsidRPr="005B3609">
        <w:t xml:space="preserve">HRT 2013-2018 </w:t>
      </w:r>
      <w:r w:rsidR="00B102D6" w:rsidRPr="005B3609">
        <w:t>kot je bil sprejet na seji Vlade dne 25.7.2013</w:t>
      </w:r>
    </w:p>
    <w:tbl>
      <w:tblPr>
        <w:tblW w:w="9539" w:type="dxa"/>
        <w:tblInd w:w="55" w:type="dxa"/>
        <w:tblLayout w:type="fixed"/>
        <w:tblCellMar>
          <w:left w:w="70" w:type="dxa"/>
          <w:right w:w="70" w:type="dxa"/>
        </w:tblCellMar>
        <w:tblLook w:val="0000" w:firstRow="0" w:lastRow="0" w:firstColumn="0" w:lastColumn="0" w:noHBand="0" w:noVBand="0"/>
      </w:tblPr>
      <w:tblGrid>
        <w:gridCol w:w="1433"/>
        <w:gridCol w:w="1134"/>
        <w:gridCol w:w="1134"/>
        <w:gridCol w:w="1077"/>
        <w:gridCol w:w="1080"/>
        <w:gridCol w:w="1060"/>
        <w:gridCol w:w="1280"/>
        <w:gridCol w:w="1341"/>
      </w:tblGrid>
      <w:tr w:rsidR="00B102D6" w:rsidRPr="00C156EF" w:rsidTr="008E0AD7">
        <w:trPr>
          <w:trHeight w:val="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02D6" w:rsidRPr="00C156EF" w:rsidRDefault="00B102D6" w:rsidP="00852390">
            <w:pPr>
              <w:spacing w:after="0"/>
              <w:rPr>
                <w:rFonts w:cs="Arial"/>
                <w:b/>
                <w:color w:val="000000"/>
                <w:sz w:val="16"/>
                <w:szCs w:val="16"/>
              </w:rPr>
            </w:pPr>
            <w:r w:rsidRPr="00C156EF">
              <w:rPr>
                <w:rFonts w:cs="Arial"/>
                <w:b/>
                <w:color w:val="000000"/>
                <w:sz w:val="16"/>
                <w:szCs w:val="16"/>
              </w:rPr>
              <w:t>Instrument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2014</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2016</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990D96">
            <w:pPr>
              <w:spacing w:after="0"/>
              <w:jc w:val="center"/>
              <w:rPr>
                <w:rFonts w:cs="Arial"/>
                <w:b/>
                <w:color w:val="000000"/>
                <w:sz w:val="16"/>
                <w:szCs w:val="16"/>
              </w:rPr>
            </w:pPr>
            <w:r w:rsidRPr="00C156EF">
              <w:rPr>
                <w:rFonts w:cs="Arial"/>
                <w:b/>
                <w:color w:val="000000"/>
                <w:sz w:val="16"/>
                <w:szCs w:val="16"/>
              </w:rPr>
              <w:t>2018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center"/>
              <w:rPr>
                <w:rFonts w:cs="Arial"/>
                <w:b/>
                <w:color w:val="000000"/>
                <w:sz w:val="16"/>
                <w:szCs w:val="16"/>
              </w:rPr>
            </w:pPr>
            <w:r w:rsidRPr="00C156EF">
              <w:rPr>
                <w:rFonts w:cs="Arial"/>
                <w:b/>
                <w:color w:val="000000"/>
                <w:sz w:val="16"/>
                <w:szCs w:val="16"/>
              </w:rPr>
              <w:t>SKUPAJ</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 xml:space="preserve">1. PVSP HRT </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124.920,00</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374.760,00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1.998.720,00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2. Finančne spodbude za novonastala podjetja</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800.000,00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800.000,00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800.000,00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600.000,00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600.000,00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3.600.000,00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3. Investicije v razvoj</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134"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1.500.000,00</w:t>
            </w:r>
          </w:p>
        </w:tc>
        <w:tc>
          <w:tcPr>
            <w:tcW w:w="1077"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1.428.985,00</w:t>
            </w:r>
          </w:p>
        </w:tc>
        <w:tc>
          <w:tcPr>
            <w:tcW w:w="1080"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500.000,00</w:t>
            </w:r>
          </w:p>
        </w:tc>
        <w:tc>
          <w:tcPr>
            <w:tcW w:w="1060"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500.000,00</w:t>
            </w:r>
          </w:p>
        </w:tc>
        <w:tc>
          <w:tcPr>
            <w:tcW w:w="1280"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415.070,00</w:t>
            </w:r>
          </w:p>
        </w:tc>
        <w:tc>
          <w:tcPr>
            <w:tcW w:w="1341" w:type="dxa"/>
            <w:tcBorders>
              <w:top w:val="nil"/>
              <w:left w:val="nil"/>
              <w:bottom w:val="nil"/>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4.344.055,00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4. Radeče papir</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1.500.000,00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1.500.000,00</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 </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3.000.000,00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color w:val="000000"/>
                <w:sz w:val="16"/>
                <w:szCs w:val="16"/>
              </w:rPr>
            </w:pPr>
            <w:r w:rsidRPr="00C156EF">
              <w:rPr>
                <w:rFonts w:cs="Arial"/>
                <w:color w:val="000000"/>
                <w:sz w:val="16"/>
                <w:szCs w:val="16"/>
              </w:rPr>
              <w:t>5. Koordinacija, promocija in skrbnik programa</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19.225,00</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106.000,00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76.500,00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color w:val="000000"/>
                <w:sz w:val="16"/>
                <w:szCs w:val="16"/>
              </w:rPr>
            </w:pPr>
            <w:r w:rsidRPr="00C156EF">
              <w:rPr>
                <w:rFonts w:cs="Arial"/>
                <w:color w:val="000000"/>
                <w:sz w:val="16"/>
                <w:szCs w:val="16"/>
              </w:rPr>
              <w:t>431.225,00</w:t>
            </w:r>
          </w:p>
        </w:tc>
      </w:tr>
      <w:tr w:rsidR="00B102D6" w:rsidRPr="00C156EF" w:rsidTr="008E0AD7">
        <w:trPr>
          <w:trHeight w:val="20"/>
        </w:trPr>
        <w:tc>
          <w:tcPr>
            <w:tcW w:w="1433" w:type="dxa"/>
            <w:tcBorders>
              <w:top w:val="nil"/>
              <w:left w:val="single" w:sz="4" w:space="0" w:color="auto"/>
              <w:bottom w:val="single" w:sz="4" w:space="0" w:color="auto"/>
              <w:right w:val="single" w:sz="4" w:space="0" w:color="auto"/>
            </w:tcBorders>
            <w:shd w:val="clear" w:color="auto" w:fill="auto"/>
            <w:vAlign w:val="bottom"/>
          </w:tcPr>
          <w:p w:rsidR="00B102D6" w:rsidRPr="00C156EF" w:rsidRDefault="00B102D6" w:rsidP="00852390">
            <w:pPr>
              <w:spacing w:after="0"/>
              <w:rPr>
                <w:rFonts w:cs="Arial"/>
                <w:b/>
                <w:color w:val="000000"/>
                <w:sz w:val="16"/>
                <w:szCs w:val="16"/>
              </w:rPr>
            </w:pPr>
            <w:r w:rsidRPr="00C156EF">
              <w:rPr>
                <w:rFonts w:cs="Arial"/>
                <w:b/>
                <w:color w:val="000000"/>
                <w:sz w:val="16"/>
                <w:szCs w:val="16"/>
              </w:rPr>
              <w:t>Skupaj</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1.644.145,00</w:t>
            </w:r>
          </w:p>
        </w:tc>
        <w:tc>
          <w:tcPr>
            <w:tcW w:w="1134"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4.251.260,00</w:t>
            </w:r>
          </w:p>
        </w:tc>
        <w:tc>
          <w:tcPr>
            <w:tcW w:w="1077"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2.680.245,00</w:t>
            </w:r>
          </w:p>
        </w:tc>
        <w:tc>
          <w:tcPr>
            <w:tcW w:w="10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1.780.760,00</w:t>
            </w:r>
          </w:p>
        </w:tc>
        <w:tc>
          <w:tcPr>
            <w:tcW w:w="106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1.551.260,00</w:t>
            </w:r>
          </w:p>
        </w:tc>
        <w:tc>
          <w:tcPr>
            <w:tcW w:w="1280"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1.466.330,00</w:t>
            </w:r>
          </w:p>
        </w:tc>
        <w:tc>
          <w:tcPr>
            <w:tcW w:w="1341" w:type="dxa"/>
            <w:tcBorders>
              <w:top w:val="nil"/>
              <w:left w:val="nil"/>
              <w:bottom w:val="single" w:sz="4" w:space="0" w:color="auto"/>
              <w:right w:val="single" w:sz="4" w:space="0" w:color="auto"/>
            </w:tcBorders>
            <w:shd w:val="clear" w:color="auto" w:fill="auto"/>
            <w:noWrap/>
            <w:vAlign w:val="bottom"/>
          </w:tcPr>
          <w:p w:rsidR="00B102D6" w:rsidRPr="00C156EF" w:rsidRDefault="00B102D6" w:rsidP="00852390">
            <w:pPr>
              <w:spacing w:after="0"/>
              <w:jc w:val="right"/>
              <w:rPr>
                <w:rFonts w:cs="Arial"/>
                <w:b/>
                <w:color w:val="000000"/>
                <w:sz w:val="16"/>
                <w:szCs w:val="16"/>
              </w:rPr>
            </w:pPr>
            <w:r w:rsidRPr="00C156EF">
              <w:rPr>
                <w:rFonts w:cs="Arial"/>
                <w:color w:val="000000"/>
                <w:sz w:val="16"/>
                <w:szCs w:val="16"/>
              </w:rPr>
              <w:t>13.374.000,00</w:t>
            </w:r>
          </w:p>
        </w:tc>
      </w:tr>
    </w:tbl>
    <w:p w:rsidR="00B102D6" w:rsidRPr="00C156EF" w:rsidRDefault="00B102D6" w:rsidP="00852390"/>
    <w:p w:rsidR="00B102D6" w:rsidRDefault="00B102D6" w:rsidP="00852390"/>
    <w:p w:rsidR="00852390" w:rsidRDefault="00852390" w:rsidP="00852390"/>
    <w:p w:rsidR="00A25BF0" w:rsidRDefault="00A25BF0" w:rsidP="00852390"/>
    <w:p w:rsidR="00A25BF0" w:rsidRPr="00C156EF" w:rsidRDefault="00A25BF0" w:rsidP="00852390"/>
    <w:p w:rsidR="008E0AD7" w:rsidRPr="00C156EF" w:rsidRDefault="00D454F6" w:rsidP="00852390">
      <w:pPr>
        <w:pStyle w:val="Naslov2"/>
        <w:rPr>
          <w:rFonts w:ascii="Calibri" w:hAnsi="Calibri"/>
        </w:rPr>
      </w:pPr>
      <w:bookmarkStart w:id="3" w:name="_Toc503180595"/>
      <w:r w:rsidRPr="00C156EF">
        <w:rPr>
          <w:rFonts w:ascii="Calibri" w:hAnsi="Calibri"/>
        </w:rPr>
        <w:lastRenderedPageBreak/>
        <w:t>Spremembe dodatnih začasnih ukrepov razvojne podpore in Programa HRT</w:t>
      </w:r>
      <w:bookmarkEnd w:id="3"/>
    </w:p>
    <w:p w:rsidR="0093730B" w:rsidRPr="00C156EF" w:rsidRDefault="00A25BF0" w:rsidP="00852390">
      <w:pPr>
        <w:spacing w:after="0"/>
        <w:contextualSpacing/>
        <w:jc w:val="both"/>
      </w:pPr>
      <w:r>
        <w:rPr>
          <w:rFonts w:cs="Arial"/>
        </w:rPr>
        <w:t>Vlada Republike Slovenije je</w:t>
      </w:r>
      <w:r w:rsidR="0093730B" w:rsidRPr="00C156EF">
        <w:rPr>
          <w:rFonts w:cs="Arial"/>
        </w:rPr>
        <w:t xml:space="preserve"> sprejela Sklep o dodatnih začasnih ukrepih razvojne podpore za problemska območja z visoko brezposelnostjo</w:t>
      </w:r>
      <w:r w:rsidR="0093730B" w:rsidRPr="00C156EF">
        <w:t xml:space="preserve"> </w:t>
      </w:r>
      <w:r w:rsidR="0093730B" w:rsidRPr="00C156EF">
        <w:rPr>
          <w:rFonts w:cs="Arial"/>
        </w:rPr>
        <w:t>št. 00726-14/2016/5 z dne 19. 5. 2016 (Uradni list RS, št. 36/16</w:t>
      </w:r>
      <w:r w:rsidR="00B30FD8">
        <w:rPr>
          <w:rFonts w:cs="Arial"/>
        </w:rPr>
        <w:t xml:space="preserve"> in št. 64/16</w:t>
      </w:r>
      <w:r w:rsidR="0093730B" w:rsidRPr="00C156EF">
        <w:rPr>
          <w:rFonts w:cs="Arial"/>
        </w:rPr>
        <w:t xml:space="preserve">). </w:t>
      </w:r>
      <w:r w:rsidR="0093730B" w:rsidRPr="00C156EF">
        <w:t xml:space="preserve">V okviru tega je naveden </w:t>
      </w:r>
      <w:r w:rsidR="0093730B" w:rsidRPr="00C156EF">
        <w:rPr>
          <w:lang w:eastAsia="sl-SI"/>
        </w:rPr>
        <w:t xml:space="preserve">Ukrep 1: Program spodbujanja konkurenčnosti problemskega območja z visoko brezposelnostjo. </w:t>
      </w:r>
      <w:r w:rsidR="0093730B" w:rsidRPr="00C156EF">
        <w:t xml:space="preserve">Z omenjenim sklepom je Program spodbujanja konkurenčnosti in ukrepov razvojne podpore </w:t>
      </w:r>
      <w:r w:rsidR="0093730B" w:rsidRPr="00C156EF">
        <w:rPr>
          <w:bCs/>
          <w:lang w:eastAsia="sl-SI"/>
        </w:rPr>
        <w:t xml:space="preserve">za območje občin Hrastnik, Radeče in Trbovlje v obdobju 2013-2018 </w:t>
      </w:r>
      <w:r w:rsidR="0093730B" w:rsidRPr="00C156EF">
        <w:t xml:space="preserve">podaljšan do leta 2020. </w:t>
      </w:r>
    </w:p>
    <w:p w:rsidR="0093730B" w:rsidRPr="00C156EF" w:rsidRDefault="0093730B" w:rsidP="00852390">
      <w:pPr>
        <w:spacing w:after="0"/>
        <w:contextualSpacing/>
        <w:jc w:val="both"/>
      </w:pPr>
    </w:p>
    <w:p w:rsidR="0093730B" w:rsidRPr="00C156EF" w:rsidRDefault="0093730B" w:rsidP="00852390">
      <w:pPr>
        <w:jc w:val="both"/>
        <w:rPr>
          <w:lang w:eastAsia="sl-SI"/>
        </w:rPr>
      </w:pPr>
      <w:r w:rsidRPr="00C156EF">
        <w:rPr>
          <w:rFonts w:cs="Arial"/>
        </w:rPr>
        <w:t xml:space="preserve">Vlada Republike Slovenije je dne 23.6.2016 </w:t>
      </w:r>
      <w:r w:rsidRPr="00C156EF">
        <w:rPr>
          <w:rFonts w:cs="Arial"/>
          <w:color w:val="000000"/>
        </w:rPr>
        <w:t xml:space="preserve">sprejela Spremembe Programa spodbujanja konkurenčnosti in ukrepov razvojne podpore za območje občin Hrastnik, Radeče in Trbovlje, sklep Vlade RS št. 30301-4/2016/6. </w:t>
      </w:r>
      <w:r w:rsidRPr="00C156EF">
        <w:t xml:space="preserve">S spremembami Programa spodbujanja konkurenčnosti za območje občin Hrastnik, Radeče in Trbovlje v obdobju 2013-2020, se predlagani instrumenti vsebinsko usklajujejo z instrumenti ukrepa št. 1- </w:t>
      </w:r>
      <w:r w:rsidRPr="00C156EF">
        <w:rPr>
          <w:lang w:eastAsia="sl-SI"/>
        </w:rPr>
        <w:t xml:space="preserve">Program spodbujanja konkurenčnosti problemskega območja z visoko brezposelnostjo Sklepa </w:t>
      </w:r>
      <w:r w:rsidRPr="00C156EF">
        <w:t>o dodatnih začasnih ukrepih razvojne podpore za problemska območja z visoko brezposelnostjo, ki ga je sprejela Vlada št. 00726-14/2016/5 (Uradni list RS, št. 36/16</w:t>
      </w:r>
      <w:r w:rsidR="00B30FD8">
        <w:t xml:space="preserve"> in št. 64/16</w:t>
      </w:r>
      <w:r w:rsidRPr="00C156EF">
        <w:t>).</w:t>
      </w:r>
    </w:p>
    <w:p w:rsidR="0093730B" w:rsidRPr="00C156EF" w:rsidRDefault="0093730B" w:rsidP="00852390">
      <w:pPr>
        <w:jc w:val="both"/>
        <w:rPr>
          <w:lang w:eastAsia="sl-SI"/>
        </w:rPr>
      </w:pPr>
      <w:r w:rsidRPr="00C156EF">
        <w:t xml:space="preserve">Program spodbujanja konkurenčnosti za območje občin Hrastnik, Radeče in Trbovlje v obdobju 2013-2020 </w:t>
      </w:r>
      <w:r w:rsidRPr="00C156EF">
        <w:rPr>
          <w:lang w:eastAsia="sl-SI"/>
        </w:rPr>
        <w:t>vključuje naslednje instrumente, ki se sicer izvajajo v vseh problemskih območjih z visoko brezposelnostjo:</w:t>
      </w:r>
    </w:p>
    <w:p w:rsidR="0093730B" w:rsidRPr="00C156EF" w:rsidRDefault="0093730B" w:rsidP="00852390">
      <w:pPr>
        <w:numPr>
          <w:ilvl w:val="0"/>
          <w:numId w:val="6"/>
        </w:numPr>
        <w:spacing w:after="0"/>
        <w:jc w:val="both"/>
        <w:rPr>
          <w:lang w:eastAsia="sl-SI"/>
        </w:rPr>
      </w:pPr>
      <w:r w:rsidRPr="00C156EF">
        <w:rPr>
          <w:lang w:eastAsia="sl-SI"/>
        </w:rPr>
        <w:t>Instrument 1: Subvencije za spodbujanje investicij</w:t>
      </w:r>
    </w:p>
    <w:p w:rsidR="0093730B" w:rsidRPr="00C156EF" w:rsidRDefault="0093730B" w:rsidP="00852390">
      <w:pPr>
        <w:numPr>
          <w:ilvl w:val="0"/>
          <w:numId w:val="6"/>
        </w:numPr>
        <w:spacing w:after="0"/>
        <w:jc w:val="both"/>
        <w:rPr>
          <w:lang w:eastAsia="sl-SI"/>
        </w:rPr>
      </w:pPr>
      <w:r w:rsidRPr="00C156EF">
        <w:rPr>
          <w:lang w:eastAsia="sl-SI"/>
        </w:rPr>
        <w:t>Instrument 2: Ugodni razvojni krediti za investicije</w:t>
      </w:r>
    </w:p>
    <w:p w:rsidR="0093730B" w:rsidRPr="00C156EF" w:rsidRDefault="0093730B" w:rsidP="00852390">
      <w:pPr>
        <w:numPr>
          <w:ilvl w:val="0"/>
          <w:numId w:val="6"/>
        </w:numPr>
        <w:spacing w:after="0"/>
        <w:jc w:val="both"/>
        <w:rPr>
          <w:lang w:eastAsia="sl-SI"/>
        </w:rPr>
      </w:pPr>
      <w:r w:rsidRPr="00C156EF">
        <w:rPr>
          <w:lang w:eastAsia="sl-SI"/>
        </w:rPr>
        <w:t>Instrument 3: Subvencije za zagon podjetij</w:t>
      </w:r>
    </w:p>
    <w:p w:rsidR="0093730B" w:rsidRPr="00C156EF" w:rsidRDefault="0093730B" w:rsidP="00852390">
      <w:pPr>
        <w:numPr>
          <w:ilvl w:val="0"/>
          <w:numId w:val="6"/>
        </w:numPr>
        <w:spacing w:after="0"/>
        <w:jc w:val="both"/>
        <w:rPr>
          <w:lang w:eastAsia="sl-SI"/>
        </w:rPr>
      </w:pPr>
      <w:r w:rsidRPr="00C156EF">
        <w:rPr>
          <w:lang w:eastAsia="sl-SI"/>
        </w:rPr>
        <w:t>Instrument 4: Mikrokrediti</w:t>
      </w:r>
    </w:p>
    <w:p w:rsidR="0093730B" w:rsidRPr="00C156EF" w:rsidRDefault="0093730B" w:rsidP="00852390">
      <w:pPr>
        <w:numPr>
          <w:ilvl w:val="0"/>
          <w:numId w:val="6"/>
        </w:numPr>
        <w:spacing w:after="0"/>
        <w:jc w:val="both"/>
        <w:rPr>
          <w:lang w:eastAsia="sl-SI"/>
        </w:rPr>
      </w:pPr>
      <w:r w:rsidRPr="00C156EF">
        <w:rPr>
          <w:lang w:eastAsia="sl-SI"/>
        </w:rPr>
        <w:t>Instrument 5: Promocija območja, privabljanje tujih in domačih investitorjev ter izvajanje programa</w:t>
      </w:r>
    </w:p>
    <w:p w:rsidR="0093730B" w:rsidRPr="00C156EF" w:rsidRDefault="0093730B" w:rsidP="00852390">
      <w:pPr>
        <w:numPr>
          <w:ilvl w:val="0"/>
          <w:numId w:val="6"/>
        </w:numPr>
        <w:spacing w:after="0"/>
        <w:jc w:val="both"/>
        <w:rPr>
          <w:lang w:eastAsia="sl-SI"/>
        </w:rPr>
      </w:pPr>
      <w:r w:rsidRPr="00C156EF">
        <w:rPr>
          <w:lang w:eastAsia="sl-SI"/>
        </w:rPr>
        <w:t>Instrument 6: Podjetno v svet podjetništva Hrastnik, Radeče, Trbovlje (PVSP HRT), gre za regijsko specifičen instrument.</w:t>
      </w:r>
    </w:p>
    <w:p w:rsidR="001D28B6" w:rsidRPr="008A0051" w:rsidRDefault="00DE06C3" w:rsidP="008A0051">
      <w:pPr>
        <w:pStyle w:val="Napis"/>
      </w:pPr>
      <w:r>
        <w:rPr>
          <w:lang w:eastAsia="sl-SI"/>
        </w:rPr>
        <w:br w:type="page"/>
      </w:r>
      <w:r w:rsidR="008A0051" w:rsidRPr="008A0051">
        <w:lastRenderedPageBreak/>
        <w:t xml:space="preserve">Tabela </w:t>
      </w:r>
      <w:fldSimple w:instr=" SEQ Tabela \* ARABIC ">
        <w:r w:rsidR="003218B5">
          <w:rPr>
            <w:noProof/>
          </w:rPr>
          <w:t>3</w:t>
        </w:r>
      </w:fldSimple>
      <w:r w:rsidR="001D28B6" w:rsidRPr="008A0051">
        <w:t>: Finančna konstrukcija Programa HRT 2013-2020 kot je bil sprejet na seji Vlade dne 23.6.2016</w:t>
      </w:r>
    </w:p>
    <w:p w:rsidR="0093730B" w:rsidRDefault="001E468F" w:rsidP="00852390">
      <w:pPr>
        <w:spacing w:after="0"/>
        <w:contextualSpacing/>
        <w:jc w:val="both"/>
      </w:pPr>
      <w:r>
        <w:rPr>
          <w:noProof/>
          <w:lang w:eastAsia="sl-SI"/>
        </w:rPr>
        <w:drawing>
          <wp:inline distT="0" distB="0" distL="0" distR="0">
            <wp:extent cx="5958840" cy="2788920"/>
            <wp:effectExtent l="0" t="0" r="3810" b="0"/>
            <wp:docPr id="1" name="Slika 1" descr="Tabela 3: Finančna konstrukcija Programa HRT 2013-2020 kot je bil sprejet na seji Vlade dne 23.6.2016" title="Tabela 3: Finančna konstrukcija Programa HRT 201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8840" cy="2788920"/>
                    </a:xfrm>
                    <a:prstGeom prst="rect">
                      <a:avLst/>
                    </a:prstGeom>
                    <a:noFill/>
                    <a:ln>
                      <a:noFill/>
                    </a:ln>
                  </pic:spPr>
                </pic:pic>
              </a:graphicData>
            </a:graphic>
          </wp:inline>
        </w:drawing>
      </w:r>
    </w:p>
    <w:p w:rsidR="00DA46CE" w:rsidRDefault="00DA46CE" w:rsidP="00852390">
      <w:pPr>
        <w:spacing w:after="0"/>
        <w:contextualSpacing/>
        <w:jc w:val="both"/>
      </w:pPr>
    </w:p>
    <w:p w:rsidR="00DA46CE" w:rsidRDefault="00DA46CE" w:rsidP="00852390">
      <w:pPr>
        <w:spacing w:after="0"/>
        <w:contextualSpacing/>
        <w:jc w:val="both"/>
      </w:pPr>
    </w:p>
    <w:p w:rsidR="004640FA" w:rsidRPr="004640FA" w:rsidRDefault="004640FA" w:rsidP="004640FA">
      <w:pPr>
        <w:jc w:val="both"/>
      </w:pPr>
      <w:r w:rsidRPr="004640FA">
        <w:rPr>
          <w:lang w:eastAsia="sl-SI"/>
        </w:rPr>
        <w:t xml:space="preserve">V skladu s četrtim odstavkom 9. člena Uredbe o izvajanju ukrepov endogene regionalne politike (Uradni list RS, št. 16/13 in 78/15) je </w:t>
      </w:r>
      <w:r w:rsidRPr="004640FA">
        <w:rPr>
          <w:rFonts w:cs="Arial"/>
          <w:color w:val="000000"/>
          <w:shd w:val="clear" w:color="auto" w:fill="FFFFFF"/>
        </w:rPr>
        <w:t>MGRT dolžan Vladi RS posredovati</w:t>
      </w:r>
      <w:bookmarkStart w:id="4" w:name="_GoBack"/>
      <w:bookmarkEnd w:id="4"/>
      <w:r w:rsidRPr="004640FA">
        <w:rPr>
          <w:rFonts w:cs="Arial"/>
          <w:color w:val="000000"/>
          <w:shd w:val="clear" w:color="auto" w:fill="FFFFFF"/>
        </w:rPr>
        <w:t xml:space="preserve"> letna poročila o izvajanju dodatnih začasnih ukrepov razvojne podpore. </w:t>
      </w:r>
      <w:r w:rsidRPr="00E16BCF">
        <w:rPr>
          <w:rFonts w:cs="Arial"/>
          <w:color w:val="000000"/>
          <w:shd w:val="clear" w:color="auto" w:fill="FFFFFF"/>
        </w:rPr>
        <w:t xml:space="preserve">Drugo letno poročilo </w:t>
      </w:r>
      <w:r w:rsidRPr="00CD72FD">
        <w:rPr>
          <w:rFonts w:cs="Arial"/>
          <w:color w:val="000000"/>
          <w:shd w:val="clear" w:color="auto" w:fill="FFFFFF"/>
        </w:rPr>
        <w:t>o izvajanju Programa spodbujanja konkurenčnosti in ukrepov razvojne podpore za problemsko območje z visoko brezposelnostjo Hrastnik, Radeče in Trbovlje v obdobju 2013–2020 se nanaša na leto 201</w:t>
      </w:r>
      <w:r w:rsidR="00923C47">
        <w:rPr>
          <w:rFonts w:cs="Arial"/>
          <w:color w:val="000000"/>
          <w:shd w:val="clear" w:color="auto" w:fill="FFFFFF"/>
        </w:rPr>
        <w:t>6.</w:t>
      </w:r>
    </w:p>
    <w:p w:rsidR="004640FA" w:rsidRDefault="004640FA" w:rsidP="00852390">
      <w:pPr>
        <w:spacing w:after="0"/>
        <w:contextualSpacing/>
        <w:jc w:val="both"/>
      </w:pPr>
    </w:p>
    <w:p w:rsidR="00470F84" w:rsidRDefault="00470F84" w:rsidP="00852390">
      <w:pPr>
        <w:spacing w:after="0"/>
        <w:contextualSpacing/>
        <w:jc w:val="both"/>
      </w:pPr>
      <w:r>
        <w:t>Program spodbujanja konkurenčnosti in ukrepov razvojne podpore za območje občin Hrastnik, Radeč</w:t>
      </w:r>
      <w:r w:rsidR="00923C47">
        <w:t>e in Trbovlje v obdobju 2013-2020</w:t>
      </w:r>
      <w:r>
        <w:t xml:space="preserve">  se je začel izvajati v letu </w:t>
      </w:r>
      <w:r w:rsidR="00923C47">
        <w:t xml:space="preserve">2014, v 2016, to je </w:t>
      </w:r>
      <w:r w:rsidR="00CC4324">
        <w:t xml:space="preserve">v </w:t>
      </w:r>
      <w:r w:rsidR="00923C47">
        <w:t>tretjem letu izvajanja program</w:t>
      </w:r>
      <w:r w:rsidR="00CC4324">
        <w:t>a,</w:t>
      </w:r>
      <w:r w:rsidR="00AF5217">
        <w:t xml:space="preserve"> pa</w:t>
      </w:r>
      <w:r w:rsidR="00923C47">
        <w:t xml:space="preserve"> je prišlo do nekaterih vsebinskih sprememb (</w:t>
      </w:r>
      <w:r w:rsidR="00CC4324">
        <w:t xml:space="preserve">vključitev </w:t>
      </w:r>
      <w:r w:rsidR="00923C47">
        <w:t>novi</w:t>
      </w:r>
      <w:r w:rsidR="00CC4324">
        <w:t>h instrumentov</w:t>
      </w:r>
      <w:r w:rsidR="00923C47">
        <w:t xml:space="preserve">), zaradi uskladitve z drugimi programi </w:t>
      </w:r>
      <w:r w:rsidR="00CC4324">
        <w:t>n</w:t>
      </w:r>
      <w:r w:rsidR="00923C47">
        <w:t>a problemsk</w:t>
      </w:r>
      <w:r w:rsidR="00CC4324">
        <w:t>ih</w:t>
      </w:r>
      <w:r w:rsidR="00923C47">
        <w:t xml:space="preserve"> območj</w:t>
      </w:r>
      <w:r w:rsidR="00CC4324">
        <w:t>ih</w:t>
      </w:r>
      <w:r w:rsidR="00923C47">
        <w:t xml:space="preserve"> (Pomurje, </w:t>
      </w:r>
      <w:proofErr w:type="spellStart"/>
      <w:r w:rsidR="00923C47">
        <w:t>Pokolpje</w:t>
      </w:r>
      <w:proofErr w:type="spellEnd"/>
      <w:r w:rsidR="00923C47">
        <w:t xml:space="preserve">, Maribor z okolico), ki jih izvaja MGRT. V spremenjenem </w:t>
      </w:r>
      <w:r w:rsidR="00CC4324">
        <w:t>P</w:t>
      </w:r>
      <w:r w:rsidR="00923C47">
        <w:t xml:space="preserve">rogramu </w:t>
      </w:r>
      <w:r w:rsidR="00CC4324">
        <w:t>spodbujanja konkurenčnosti v občinah problemskega obmo</w:t>
      </w:r>
      <w:r w:rsidR="00D1716D">
        <w:t>čja Hrastnik, Radeče in Trbovlje</w:t>
      </w:r>
      <w:r w:rsidR="00CC4324">
        <w:t xml:space="preserve"> </w:t>
      </w:r>
      <w:r w:rsidR="00923C47">
        <w:t xml:space="preserve">so tako novi naslednji instrumenti: ugodni razvojni krediti za začetne investicije, mikrokrediti in promocija problemskega območja z visoko brezposelnostjo, privabljanje tujih in domačih investitorjev. </w:t>
      </w:r>
      <w:r w:rsidR="00096AAF">
        <w:t xml:space="preserve">V letu 2016 so se kontinuirano izvajali naslednji instrumenti: subvencije za spodbujanje investicij, subvencije za zagon podjetij, izvajanje programa in regijsko specifični instrument: podjetno v svet podjetništva HRT.  V letu 2016 sta </w:t>
      </w:r>
      <w:r w:rsidR="0046449D">
        <w:t>MDDSZ oz. Zavod RS za zaposlovanje izvajala ukrep 2 povračilo plačanih prispevkov, MF-FURS</w:t>
      </w:r>
      <w:r w:rsidR="003D7418">
        <w:t xml:space="preserve"> pa je bil, v sodelovanju z MGRT, </w:t>
      </w:r>
      <w:r w:rsidR="0046449D">
        <w:t xml:space="preserve">izvajalec ukrepa 3: davčne olajšave za zaposlovanje in </w:t>
      </w:r>
      <w:r w:rsidR="00096AAF">
        <w:t xml:space="preserve"> ukrepa 4: davčne olajšave za investiranje</w:t>
      </w:r>
      <w:r w:rsidR="0046449D" w:rsidRPr="00E160F7">
        <w:t xml:space="preserve">. </w:t>
      </w:r>
      <w:r w:rsidR="00BA0F46" w:rsidRPr="00E160F7">
        <w:t>V l. 201</w:t>
      </w:r>
      <w:r w:rsidR="00096AAF" w:rsidRPr="00E160F7">
        <w:t>6</w:t>
      </w:r>
      <w:r w:rsidR="00BA0F46" w:rsidRPr="00E160F7">
        <w:t xml:space="preserve"> so </w:t>
      </w:r>
      <w:r w:rsidR="00AF5217" w:rsidRPr="00E160F7">
        <w:t xml:space="preserve">se je začel izvajati </w:t>
      </w:r>
      <w:r w:rsidR="00587063" w:rsidRPr="00E160F7">
        <w:t xml:space="preserve">ukrep </w:t>
      </w:r>
      <w:r w:rsidR="00096AAF" w:rsidRPr="00E160F7">
        <w:t>5</w:t>
      </w:r>
      <w:r w:rsidR="00BA0F46" w:rsidRPr="00E160F7">
        <w:t>: spodbude za trajnostni razvoj podeželja iz Programa razvoja podeželja 2014 – 2020 (MK</w:t>
      </w:r>
      <w:r w:rsidR="00BA0F46" w:rsidRPr="00D1716D">
        <w:t>GP),</w:t>
      </w:r>
      <w:r w:rsidR="00096AAF">
        <w:t xml:space="preserve"> ukrep 6</w:t>
      </w:r>
      <w:r w:rsidR="00BA0F46">
        <w:t xml:space="preserve">: prometna </w:t>
      </w:r>
      <w:r w:rsidR="00096AAF">
        <w:t xml:space="preserve">in energetska infrastruktura </w:t>
      </w:r>
      <w:r w:rsidR="00BA0F46">
        <w:t xml:space="preserve"> </w:t>
      </w:r>
      <w:r w:rsidR="00096AAF">
        <w:t>pa je v letu 2016 izvajal MZI</w:t>
      </w:r>
      <w:r w:rsidR="00BA0F46">
        <w:t xml:space="preserve">. </w:t>
      </w:r>
      <w:r w:rsidR="00F721FA">
        <w:t xml:space="preserve">Podrobnejša predstavitev izvajanja ukrepov je podana v nadaljevanju Poročila. </w:t>
      </w:r>
    </w:p>
    <w:p w:rsidR="00F721FA" w:rsidRDefault="00F721FA" w:rsidP="00852390">
      <w:pPr>
        <w:spacing w:after="0"/>
        <w:contextualSpacing/>
        <w:jc w:val="both"/>
        <w:rPr>
          <w:rFonts w:cs="Arial"/>
        </w:rPr>
      </w:pPr>
    </w:p>
    <w:p w:rsidR="00F721FA" w:rsidRPr="00C156EF" w:rsidRDefault="00F721FA" w:rsidP="00852390">
      <w:pPr>
        <w:spacing w:after="0"/>
        <w:contextualSpacing/>
        <w:jc w:val="both"/>
        <w:rPr>
          <w:rFonts w:cs="Arial"/>
        </w:rPr>
      </w:pPr>
    </w:p>
    <w:p w:rsidR="005C6524" w:rsidRPr="00C156EF" w:rsidRDefault="009816E3" w:rsidP="00852390">
      <w:pPr>
        <w:pStyle w:val="Naslov1"/>
        <w:rPr>
          <w:rFonts w:ascii="Calibri" w:hAnsi="Calibri"/>
        </w:rPr>
      </w:pPr>
      <w:bookmarkStart w:id="5" w:name="_Toc503180596"/>
      <w:proofErr w:type="spellStart"/>
      <w:r w:rsidRPr="00C156EF">
        <w:rPr>
          <w:rFonts w:ascii="Calibri" w:hAnsi="Calibri"/>
        </w:rPr>
        <w:lastRenderedPageBreak/>
        <w:t>Socio</w:t>
      </w:r>
      <w:proofErr w:type="spellEnd"/>
      <w:r w:rsidRPr="00C156EF">
        <w:rPr>
          <w:rFonts w:ascii="Calibri" w:hAnsi="Calibri"/>
        </w:rPr>
        <w:t>-ekonomski kazalniki občin problemskega območja</w:t>
      </w:r>
      <w:r w:rsidR="00852390">
        <w:rPr>
          <w:rFonts w:ascii="Calibri" w:hAnsi="Calibri"/>
        </w:rPr>
        <w:t xml:space="preserve"> Hrastnik, Radeče, Trbovlje</w:t>
      </w:r>
      <w:bookmarkEnd w:id="5"/>
    </w:p>
    <w:p w:rsidR="005C6524" w:rsidRPr="00C156EF" w:rsidRDefault="005C6524" w:rsidP="00852390">
      <w:pPr>
        <w:spacing w:after="0"/>
        <w:contextualSpacing/>
        <w:jc w:val="both"/>
        <w:rPr>
          <w:rFonts w:cs="Arial"/>
        </w:rPr>
      </w:pPr>
    </w:p>
    <w:p w:rsidR="00783FD9" w:rsidRPr="00C156EF" w:rsidRDefault="003F466F" w:rsidP="003F466F">
      <w:pPr>
        <w:pStyle w:val="Napis"/>
        <w:rPr>
          <w:rFonts w:cs="Arial"/>
        </w:rPr>
      </w:pPr>
      <w:r>
        <w:t xml:space="preserve">Tabela </w:t>
      </w:r>
      <w:fldSimple w:instr=" SEQ Tabela \* ARABIC ">
        <w:r w:rsidR="003218B5">
          <w:rPr>
            <w:noProof/>
          </w:rPr>
          <w:t>4</w:t>
        </w:r>
      </w:fldSimple>
      <w:r w:rsidR="00A030F5">
        <w:t>: Število prebivalcev v občinah problemskega območja v obdobju 201</w:t>
      </w:r>
      <w:r w:rsidR="00BC660E">
        <w:t>4</w:t>
      </w:r>
      <w:r w:rsidR="00A030F5">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1842"/>
        <w:gridCol w:w="1842"/>
        <w:gridCol w:w="1842"/>
      </w:tblGrid>
      <w:tr w:rsidR="00BC660E" w:rsidRPr="00C156EF" w:rsidTr="00E8404F">
        <w:trPr>
          <w:trHeight w:val="297"/>
        </w:trPr>
        <w:tc>
          <w:tcPr>
            <w:tcW w:w="3741" w:type="dxa"/>
            <w:shd w:val="clear" w:color="auto" w:fill="auto"/>
            <w:noWrap/>
            <w:hideMark/>
          </w:tcPr>
          <w:p w:rsidR="00BC660E" w:rsidRPr="00C156EF" w:rsidRDefault="00BC660E" w:rsidP="00852390">
            <w:pPr>
              <w:spacing w:after="0"/>
              <w:rPr>
                <w:b/>
                <w:bCs/>
              </w:rPr>
            </w:pPr>
            <w:r w:rsidRPr="00C156EF">
              <w:rPr>
                <w:b/>
                <w:bCs/>
              </w:rPr>
              <w:t>Število prebivalcev</w:t>
            </w:r>
          </w:p>
        </w:tc>
        <w:tc>
          <w:tcPr>
            <w:tcW w:w="1842" w:type="dxa"/>
            <w:shd w:val="clear" w:color="auto" w:fill="auto"/>
            <w:noWrap/>
            <w:hideMark/>
          </w:tcPr>
          <w:p w:rsidR="00BC660E" w:rsidRPr="00C156EF" w:rsidRDefault="00BC660E" w:rsidP="00BB445E">
            <w:pPr>
              <w:spacing w:after="0"/>
              <w:jc w:val="center"/>
            </w:pPr>
            <w:r w:rsidRPr="00C156EF">
              <w:t>2014</w:t>
            </w:r>
          </w:p>
        </w:tc>
        <w:tc>
          <w:tcPr>
            <w:tcW w:w="1842" w:type="dxa"/>
            <w:shd w:val="clear" w:color="auto" w:fill="auto"/>
            <w:noWrap/>
            <w:hideMark/>
          </w:tcPr>
          <w:p w:rsidR="00BC660E" w:rsidRPr="00C156EF" w:rsidRDefault="00BC660E" w:rsidP="00BB445E">
            <w:pPr>
              <w:spacing w:after="0"/>
              <w:jc w:val="center"/>
            </w:pPr>
            <w:r w:rsidRPr="00C156EF">
              <w:t>2015</w:t>
            </w:r>
          </w:p>
        </w:tc>
        <w:tc>
          <w:tcPr>
            <w:tcW w:w="1842" w:type="dxa"/>
            <w:shd w:val="clear" w:color="auto" w:fill="auto"/>
            <w:noWrap/>
            <w:hideMark/>
          </w:tcPr>
          <w:p w:rsidR="00BC660E" w:rsidRPr="00C156EF" w:rsidRDefault="00BC660E" w:rsidP="00BB445E">
            <w:pPr>
              <w:spacing w:after="0"/>
              <w:jc w:val="center"/>
            </w:pPr>
            <w:r w:rsidRPr="00C156EF">
              <w:t>2016</w:t>
            </w:r>
          </w:p>
        </w:tc>
      </w:tr>
      <w:tr w:rsidR="00BC660E" w:rsidRPr="00C156EF" w:rsidTr="00E8404F">
        <w:trPr>
          <w:trHeight w:val="297"/>
        </w:trPr>
        <w:tc>
          <w:tcPr>
            <w:tcW w:w="3741" w:type="dxa"/>
            <w:shd w:val="clear" w:color="auto" w:fill="auto"/>
            <w:noWrap/>
            <w:hideMark/>
          </w:tcPr>
          <w:p w:rsidR="00BC660E" w:rsidRPr="00C156EF" w:rsidRDefault="00BC660E" w:rsidP="00BC660E">
            <w:pPr>
              <w:spacing w:after="0"/>
            </w:pPr>
            <w:r w:rsidRPr="00C156EF">
              <w:t>Občina Hrastnik</w:t>
            </w:r>
          </w:p>
        </w:tc>
        <w:tc>
          <w:tcPr>
            <w:tcW w:w="1842" w:type="dxa"/>
            <w:shd w:val="clear" w:color="auto" w:fill="auto"/>
            <w:noWrap/>
            <w:vAlign w:val="center"/>
            <w:hideMark/>
          </w:tcPr>
          <w:p w:rsidR="00BC660E" w:rsidRPr="00C156EF" w:rsidRDefault="00BC660E" w:rsidP="00BC660E">
            <w:pPr>
              <w:spacing w:after="0"/>
              <w:jc w:val="right"/>
            </w:pPr>
            <w:r w:rsidRPr="00C156EF">
              <w:t>9</w:t>
            </w:r>
            <w:r>
              <w:t>.</w:t>
            </w:r>
            <w:r w:rsidRPr="00C156EF">
              <w:t>580</w:t>
            </w:r>
          </w:p>
        </w:tc>
        <w:tc>
          <w:tcPr>
            <w:tcW w:w="1842" w:type="dxa"/>
            <w:shd w:val="clear" w:color="auto" w:fill="auto"/>
            <w:noWrap/>
            <w:vAlign w:val="center"/>
            <w:hideMark/>
          </w:tcPr>
          <w:p w:rsidR="00BC660E" w:rsidRPr="00C156EF" w:rsidRDefault="00BC660E" w:rsidP="00BC660E">
            <w:pPr>
              <w:spacing w:after="0"/>
              <w:jc w:val="right"/>
            </w:pPr>
            <w:r w:rsidRPr="00C156EF">
              <w:t>9</w:t>
            </w:r>
            <w:r>
              <w:t>.</w:t>
            </w:r>
            <w:r w:rsidRPr="00C156EF">
              <w:t>440</w:t>
            </w:r>
          </w:p>
        </w:tc>
        <w:tc>
          <w:tcPr>
            <w:tcW w:w="1842" w:type="dxa"/>
            <w:shd w:val="clear" w:color="auto" w:fill="auto"/>
            <w:noWrap/>
            <w:vAlign w:val="center"/>
            <w:hideMark/>
          </w:tcPr>
          <w:p w:rsidR="00BC660E" w:rsidRPr="00C156EF" w:rsidRDefault="00BC660E" w:rsidP="00BC660E">
            <w:pPr>
              <w:spacing w:after="0"/>
              <w:jc w:val="right"/>
            </w:pPr>
            <w:r w:rsidRPr="00C156EF">
              <w:t>9</w:t>
            </w:r>
            <w:r>
              <w:t>.</w:t>
            </w:r>
            <w:r w:rsidRPr="00C156EF">
              <w:t>316</w:t>
            </w:r>
          </w:p>
        </w:tc>
      </w:tr>
      <w:tr w:rsidR="00BC660E" w:rsidRPr="00C156EF" w:rsidTr="00E8404F">
        <w:trPr>
          <w:trHeight w:val="297"/>
        </w:trPr>
        <w:tc>
          <w:tcPr>
            <w:tcW w:w="3741" w:type="dxa"/>
            <w:shd w:val="clear" w:color="auto" w:fill="auto"/>
            <w:noWrap/>
            <w:hideMark/>
          </w:tcPr>
          <w:p w:rsidR="00BC660E" w:rsidRPr="00C156EF" w:rsidRDefault="00BC660E" w:rsidP="00BC660E">
            <w:pPr>
              <w:spacing w:after="0"/>
            </w:pPr>
            <w:r w:rsidRPr="00C156EF">
              <w:t>Občina Radeče</w:t>
            </w:r>
          </w:p>
        </w:tc>
        <w:tc>
          <w:tcPr>
            <w:tcW w:w="1842" w:type="dxa"/>
            <w:shd w:val="clear" w:color="auto" w:fill="auto"/>
            <w:noWrap/>
            <w:vAlign w:val="center"/>
            <w:hideMark/>
          </w:tcPr>
          <w:p w:rsidR="00BC660E" w:rsidRPr="00C156EF" w:rsidRDefault="00BC660E" w:rsidP="00BC660E">
            <w:pPr>
              <w:spacing w:after="0"/>
              <w:jc w:val="right"/>
            </w:pPr>
            <w:r w:rsidRPr="00C156EF">
              <w:t>4</w:t>
            </w:r>
            <w:r>
              <w:t>.</w:t>
            </w:r>
            <w:r w:rsidRPr="00C156EF">
              <w:t>332</w:t>
            </w:r>
          </w:p>
        </w:tc>
        <w:tc>
          <w:tcPr>
            <w:tcW w:w="1842" w:type="dxa"/>
            <w:shd w:val="clear" w:color="auto" w:fill="auto"/>
            <w:noWrap/>
            <w:vAlign w:val="center"/>
            <w:hideMark/>
          </w:tcPr>
          <w:p w:rsidR="00BC660E" w:rsidRPr="00C156EF" w:rsidRDefault="00BC660E" w:rsidP="00BC660E">
            <w:pPr>
              <w:spacing w:after="0"/>
              <w:jc w:val="right"/>
            </w:pPr>
            <w:r w:rsidRPr="00C156EF">
              <w:t>4</w:t>
            </w:r>
            <w:r>
              <w:t>.</w:t>
            </w:r>
            <w:r w:rsidRPr="00C156EF">
              <w:t>282</w:t>
            </w:r>
          </w:p>
        </w:tc>
        <w:tc>
          <w:tcPr>
            <w:tcW w:w="1842" w:type="dxa"/>
            <w:shd w:val="clear" w:color="auto" w:fill="auto"/>
            <w:noWrap/>
            <w:vAlign w:val="center"/>
            <w:hideMark/>
          </w:tcPr>
          <w:p w:rsidR="00BC660E" w:rsidRPr="00C156EF" w:rsidRDefault="00BC660E" w:rsidP="00BC660E">
            <w:pPr>
              <w:spacing w:after="0"/>
              <w:jc w:val="right"/>
            </w:pPr>
            <w:r w:rsidRPr="00C156EF">
              <w:t>4</w:t>
            </w:r>
            <w:r>
              <w:t>.</w:t>
            </w:r>
            <w:r w:rsidRPr="00C156EF">
              <w:t>279</w:t>
            </w:r>
          </w:p>
        </w:tc>
      </w:tr>
      <w:tr w:rsidR="00BC660E" w:rsidRPr="00C156EF" w:rsidTr="00E8404F">
        <w:trPr>
          <w:trHeight w:val="297"/>
        </w:trPr>
        <w:tc>
          <w:tcPr>
            <w:tcW w:w="3741" w:type="dxa"/>
            <w:shd w:val="clear" w:color="auto" w:fill="auto"/>
            <w:noWrap/>
            <w:hideMark/>
          </w:tcPr>
          <w:p w:rsidR="00BC660E" w:rsidRPr="00C156EF" w:rsidRDefault="00BC660E" w:rsidP="00852390">
            <w:pPr>
              <w:spacing w:after="0"/>
            </w:pPr>
            <w:r w:rsidRPr="00C156EF">
              <w:t>Občina Trbovlje</w:t>
            </w:r>
          </w:p>
        </w:tc>
        <w:tc>
          <w:tcPr>
            <w:tcW w:w="1842" w:type="dxa"/>
            <w:shd w:val="clear" w:color="auto" w:fill="auto"/>
            <w:noWrap/>
            <w:vAlign w:val="center"/>
            <w:hideMark/>
          </w:tcPr>
          <w:p w:rsidR="00BC660E" w:rsidRPr="00C156EF" w:rsidRDefault="00BC660E" w:rsidP="00852390">
            <w:pPr>
              <w:spacing w:after="0"/>
              <w:jc w:val="right"/>
            </w:pPr>
            <w:r w:rsidRPr="00C156EF">
              <w:t>16</w:t>
            </w:r>
            <w:r>
              <w:t>.</w:t>
            </w:r>
            <w:r w:rsidRPr="00C156EF">
              <w:t>628</w:t>
            </w:r>
          </w:p>
        </w:tc>
        <w:tc>
          <w:tcPr>
            <w:tcW w:w="1842" w:type="dxa"/>
            <w:shd w:val="clear" w:color="auto" w:fill="auto"/>
            <w:noWrap/>
            <w:vAlign w:val="center"/>
            <w:hideMark/>
          </w:tcPr>
          <w:p w:rsidR="00BC660E" w:rsidRPr="00C156EF" w:rsidRDefault="00BC660E" w:rsidP="00852390">
            <w:pPr>
              <w:spacing w:after="0"/>
              <w:jc w:val="right"/>
            </w:pPr>
            <w:r w:rsidRPr="00C156EF">
              <w:t>16</w:t>
            </w:r>
            <w:r>
              <w:t>.</w:t>
            </w:r>
            <w:r w:rsidRPr="00C156EF">
              <w:t>490</w:t>
            </w:r>
          </w:p>
        </w:tc>
        <w:tc>
          <w:tcPr>
            <w:tcW w:w="1842" w:type="dxa"/>
            <w:shd w:val="clear" w:color="auto" w:fill="auto"/>
            <w:noWrap/>
            <w:vAlign w:val="center"/>
            <w:hideMark/>
          </w:tcPr>
          <w:p w:rsidR="00BC660E" w:rsidRPr="00C156EF" w:rsidRDefault="00BC660E" w:rsidP="00852390">
            <w:pPr>
              <w:spacing w:after="0"/>
              <w:jc w:val="right"/>
            </w:pPr>
            <w:r w:rsidRPr="00C156EF">
              <w:t>16</w:t>
            </w:r>
            <w:r>
              <w:t>.</w:t>
            </w:r>
            <w:r w:rsidRPr="00C156EF">
              <w:t>339</w:t>
            </w:r>
          </w:p>
        </w:tc>
      </w:tr>
    </w:tbl>
    <w:p w:rsidR="009816E3" w:rsidRPr="00C156EF" w:rsidRDefault="009816E3" w:rsidP="002C3ECE">
      <w:pPr>
        <w:tabs>
          <w:tab w:val="left" w:pos="3128"/>
        </w:tabs>
        <w:spacing w:after="0"/>
        <w:jc w:val="both"/>
        <w:rPr>
          <w:sz w:val="18"/>
        </w:rPr>
      </w:pPr>
      <w:r w:rsidRPr="00C156EF">
        <w:rPr>
          <w:sz w:val="18"/>
        </w:rPr>
        <w:t>VIR: Statis</w:t>
      </w:r>
      <w:r w:rsidR="00BC660E">
        <w:rPr>
          <w:sz w:val="18"/>
        </w:rPr>
        <w:t>tični urad Republike Slovenije</w:t>
      </w:r>
    </w:p>
    <w:p w:rsidR="009816E3" w:rsidRDefault="009816E3" w:rsidP="00852390">
      <w:pPr>
        <w:spacing w:after="0"/>
      </w:pPr>
    </w:p>
    <w:p w:rsidR="00752DB5" w:rsidRDefault="00752DB5" w:rsidP="00F540CE">
      <w:pPr>
        <w:spacing w:after="0"/>
        <w:jc w:val="both"/>
      </w:pPr>
      <w:r>
        <w:t>Iz zgornjih podatkov je razvidno, da se število prebivalcev v občinah problemskega območja od leta 201</w:t>
      </w:r>
      <w:r w:rsidR="00AF31CF">
        <w:t>4</w:t>
      </w:r>
      <w:r>
        <w:t xml:space="preserve"> dalje zmanjšuje.</w:t>
      </w:r>
    </w:p>
    <w:p w:rsidR="00752DB5" w:rsidRDefault="00752DB5" w:rsidP="00852390">
      <w:pPr>
        <w:spacing w:after="0"/>
      </w:pPr>
    </w:p>
    <w:p w:rsidR="003B37F9" w:rsidRPr="00C156EF" w:rsidRDefault="003B37F9" w:rsidP="00852390">
      <w:pPr>
        <w:spacing w:after="0"/>
      </w:pPr>
    </w:p>
    <w:p w:rsidR="009816E3" w:rsidRPr="00C156EF" w:rsidRDefault="003F466F" w:rsidP="003F466F">
      <w:pPr>
        <w:pStyle w:val="Napis"/>
      </w:pPr>
      <w:r>
        <w:t xml:space="preserve">Tabela </w:t>
      </w:r>
      <w:fldSimple w:instr=" SEQ Tabela \* ARABIC ">
        <w:r w:rsidR="003218B5">
          <w:rPr>
            <w:noProof/>
          </w:rPr>
          <w:t>5</w:t>
        </w:r>
      </w:fldSimple>
      <w:r w:rsidR="00703993">
        <w:t xml:space="preserve">: Število prebivalcev z </w:t>
      </w:r>
      <w:r w:rsidR="00BC660E">
        <w:t xml:space="preserve">višje in </w:t>
      </w:r>
      <w:r w:rsidR="00703993">
        <w:t>visokošolsko izobrazbo v občinah problemskega območja v obdobju 20</w:t>
      </w:r>
      <w:r w:rsidR="004D2118">
        <w:t>1</w:t>
      </w:r>
      <w:r w:rsidR="00BC660E">
        <w:t>4</w:t>
      </w:r>
      <w:r w:rsidR="004D2118">
        <w:t>-201</w:t>
      </w:r>
      <w:r w:rsidR="00AF31CF">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1821"/>
        <w:gridCol w:w="1821"/>
        <w:gridCol w:w="1821"/>
      </w:tblGrid>
      <w:tr w:rsidR="00BC660E" w:rsidRPr="00C156EF" w:rsidTr="00BC660E">
        <w:trPr>
          <w:trHeight w:val="300"/>
        </w:trPr>
        <w:tc>
          <w:tcPr>
            <w:tcW w:w="3699" w:type="dxa"/>
            <w:shd w:val="clear" w:color="auto" w:fill="auto"/>
            <w:noWrap/>
            <w:hideMark/>
          </w:tcPr>
          <w:p w:rsidR="00BC660E" w:rsidRPr="00C156EF" w:rsidRDefault="00BC660E" w:rsidP="00852390">
            <w:pPr>
              <w:spacing w:after="0"/>
              <w:rPr>
                <w:b/>
                <w:bCs/>
              </w:rPr>
            </w:pPr>
            <w:r w:rsidRPr="00C156EF">
              <w:rPr>
                <w:b/>
                <w:bCs/>
              </w:rPr>
              <w:t xml:space="preserve">Št. preb. z </w:t>
            </w:r>
            <w:r w:rsidR="008E7F77">
              <w:rPr>
                <w:b/>
                <w:bCs/>
              </w:rPr>
              <w:t xml:space="preserve"> višje in </w:t>
            </w:r>
            <w:r w:rsidRPr="00C156EF">
              <w:rPr>
                <w:b/>
                <w:bCs/>
              </w:rPr>
              <w:t>visokošolsko izobrazbo</w:t>
            </w:r>
          </w:p>
        </w:tc>
        <w:tc>
          <w:tcPr>
            <w:tcW w:w="1821" w:type="dxa"/>
            <w:shd w:val="clear" w:color="auto" w:fill="auto"/>
            <w:noWrap/>
            <w:hideMark/>
          </w:tcPr>
          <w:p w:rsidR="00BC660E" w:rsidRPr="00C156EF" w:rsidRDefault="00BC660E" w:rsidP="00BB445E">
            <w:pPr>
              <w:spacing w:after="0"/>
              <w:jc w:val="center"/>
            </w:pPr>
            <w:r w:rsidRPr="00C156EF">
              <w:t>2014</w:t>
            </w:r>
          </w:p>
        </w:tc>
        <w:tc>
          <w:tcPr>
            <w:tcW w:w="1821" w:type="dxa"/>
            <w:shd w:val="clear" w:color="auto" w:fill="auto"/>
            <w:noWrap/>
            <w:hideMark/>
          </w:tcPr>
          <w:p w:rsidR="00BC660E" w:rsidRPr="00C156EF" w:rsidRDefault="00BC660E" w:rsidP="00BB445E">
            <w:pPr>
              <w:spacing w:after="0"/>
              <w:jc w:val="center"/>
            </w:pPr>
            <w:r w:rsidRPr="00C156EF">
              <w:t>2015</w:t>
            </w:r>
          </w:p>
        </w:tc>
        <w:tc>
          <w:tcPr>
            <w:tcW w:w="1821" w:type="dxa"/>
          </w:tcPr>
          <w:p w:rsidR="00BC660E" w:rsidRPr="00C156EF" w:rsidRDefault="00BC660E" w:rsidP="00BB445E">
            <w:pPr>
              <w:spacing w:after="0"/>
              <w:jc w:val="center"/>
            </w:pPr>
            <w:r>
              <w:t>2016</w:t>
            </w:r>
          </w:p>
        </w:tc>
      </w:tr>
      <w:tr w:rsidR="00BC660E" w:rsidRPr="00C156EF" w:rsidTr="00BC660E">
        <w:trPr>
          <w:trHeight w:val="300"/>
        </w:trPr>
        <w:tc>
          <w:tcPr>
            <w:tcW w:w="3699" w:type="dxa"/>
            <w:shd w:val="clear" w:color="auto" w:fill="auto"/>
            <w:noWrap/>
            <w:hideMark/>
          </w:tcPr>
          <w:p w:rsidR="00BC660E" w:rsidRPr="00C156EF" w:rsidRDefault="00BC660E" w:rsidP="00BC660E">
            <w:pPr>
              <w:spacing w:after="0"/>
            </w:pPr>
            <w:r w:rsidRPr="00C156EF">
              <w:t>Občina Hrastnik</w:t>
            </w:r>
          </w:p>
        </w:tc>
        <w:tc>
          <w:tcPr>
            <w:tcW w:w="1821" w:type="dxa"/>
            <w:shd w:val="clear" w:color="auto" w:fill="auto"/>
            <w:noWrap/>
            <w:vAlign w:val="center"/>
            <w:hideMark/>
          </w:tcPr>
          <w:p w:rsidR="00BC660E" w:rsidRPr="00C156EF" w:rsidRDefault="00BC660E" w:rsidP="00BC660E">
            <w:pPr>
              <w:spacing w:after="0"/>
              <w:jc w:val="right"/>
            </w:pPr>
            <w:r w:rsidRPr="00C156EF">
              <w:t>1</w:t>
            </w:r>
            <w:r>
              <w:t>.</w:t>
            </w:r>
            <w:r w:rsidRPr="00C156EF">
              <w:t>154</w:t>
            </w:r>
          </w:p>
        </w:tc>
        <w:tc>
          <w:tcPr>
            <w:tcW w:w="1821" w:type="dxa"/>
            <w:shd w:val="clear" w:color="auto" w:fill="auto"/>
            <w:noWrap/>
            <w:vAlign w:val="center"/>
            <w:hideMark/>
          </w:tcPr>
          <w:p w:rsidR="00BC660E" w:rsidRPr="00C156EF" w:rsidRDefault="00BC660E" w:rsidP="00BC660E">
            <w:pPr>
              <w:spacing w:after="0"/>
              <w:jc w:val="right"/>
            </w:pPr>
            <w:r w:rsidRPr="00C156EF">
              <w:t>1</w:t>
            </w:r>
            <w:r>
              <w:t>.</w:t>
            </w:r>
            <w:r w:rsidRPr="00C156EF">
              <w:t>193</w:t>
            </w:r>
          </w:p>
        </w:tc>
        <w:tc>
          <w:tcPr>
            <w:tcW w:w="1821" w:type="dxa"/>
          </w:tcPr>
          <w:p w:rsidR="00BC660E" w:rsidRPr="00C156EF" w:rsidRDefault="00BC660E" w:rsidP="00BC660E">
            <w:pPr>
              <w:spacing w:after="0"/>
              <w:jc w:val="right"/>
            </w:pPr>
            <w:r>
              <w:t>1.215</w:t>
            </w:r>
          </w:p>
        </w:tc>
      </w:tr>
      <w:tr w:rsidR="00BC660E" w:rsidRPr="00C156EF" w:rsidTr="00BC660E">
        <w:trPr>
          <w:trHeight w:val="300"/>
        </w:trPr>
        <w:tc>
          <w:tcPr>
            <w:tcW w:w="3699" w:type="dxa"/>
            <w:shd w:val="clear" w:color="auto" w:fill="auto"/>
            <w:noWrap/>
            <w:hideMark/>
          </w:tcPr>
          <w:p w:rsidR="00BC660E" w:rsidRPr="00C156EF" w:rsidRDefault="00BC660E" w:rsidP="00BC660E">
            <w:pPr>
              <w:spacing w:after="0"/>
            </w:pPr>
            <w:r w:rsidRPr="00C156EF">
              <w:t>Občina Radeče</w:t>
            </w:r>
          </w:p>
        </w:tc>
        <w:tc>
          <w:tcPr>
            <w:tcW w:w="1821" w:type="dxa"/>
            <w:shd w:val="clear" w:color="auto" w:fill="auto"/>
            <w:noWrap/>
            <w:vAlign w:val="center"/>
            <w:hideMark/>
          </w:tcPr>
          <w:p w:rsidR="00BC660E" w:rsidRPr="00C156EF" w:rsidRDefault="00BC660E" w:rsidP="00BC660E">
            <w:pPr>
              <w:spacing w:after="0"/>
              <w:jc w:val="right"/>
            </w:pPr>
            <w:r w:rsidRPr="00C156EF">
              <w:t>579</w:t>
            </w:r>
          </w:p>
        </w:tc>
        <w:tc>
          <w:tcPr>
            <w:tcW w:w="1821" w:type="dxa"/>
            <w:shd w:val="clear" w:color="auto" w:fill="auto"/>
            <w:noWrap/>
            <w:vAlign w:val="center"/>
            <w:hideMark/>
          </w:tcPr>
          <w:p w:rsidR="00BC660E" w:rsidRPr="00C156EF" w:rsidRDefault="00BC660E" w:rsidP="00BC660E">
            <w:pPr>
              <w:spacing w:after="0"/>
              <w:jc w:val="right"/>
            </w:pPr>
            <w:r w:rsidRPr="00C156EF">
              <w:t>600</w:t>
            </w:r>
          </w:p>
        </w:tc>
        <w:tc>
          <w:tcPr>
            <w:tcW w:w="1821" w:type="dxa"/>
          </w:tcPr>
          <w:p w:rsidR="00BC660E" w:rsidRPr="00C156EF" w:rsidRDefault="00BC660E" w:rsidP="00BC660E">
            <w:pPr>
              <w:spacing w:after="0"/>
              <w:jc w:val="right"/>
            </w:pPr>
            <w:r>
              <w:t>618</w:t>
            </w:r>
          </w:p>
        </w:tc>
      </w:tr>
      <w:tr w:rsidR="00BC660E" w:rsidRPr="00C156EF" w:rsidTr="00BC660E">
        <w:trPr>
          <w:trHeight w:val="300"/>
        </w:trPr>
        <w:tc>
          <w:tcPr>
            <w:tcW w:w="3699" w:type="dxa"/>
            <w:shd w:val="clear" w:color="auto" w:fill="auto"/>
            <w:noWrap/>
            <w:hideMark/>
          </w:tcPr>
          <w:p w:rsidR="00BC660E" w:rsidRPr="00C156EF" w:rsidRDefault="00BC660E" w:rsidP="00852390">
            <w:pPr>
              <w:spacing w:after="0"/>
            </w:pPr>
            <w:r w:rsidRPr="00C156EF">
              <w:t>Občina Trbovlje</w:t>
            </w:r>
          </w:p>
        </w:tc>
        <w:tc>
          <w:tcPr>
            <w:tcW w:w="1821" w:type="dxa"/>
            <w:shd w:val="clear" w:color="auto" w:fill="auto"/>
            <w:noWrap/>
            <w:vAlign w:val="center"/>
            <w:hideMark/>
          </w:tcPr>
          <w:p w:rsidR="00BC660E" w:rsidRPr="00C156EF" w:rsidRDefault="00BC660E" w:rsidP="00852390">
            <w:pPr>
              <w:spacing w:after="0"/>
              <w:jc w:val="right"/>
            </w:pPr>
            <w:r w:rsidRPr="00C156EF">
              <w:t>2</w:t>
            </w:r>
            <w:r>
              <w:t>.</w:t>
            </w:r>
            <w:r w:rsidRPr="00C156EF">
              <w:t>454</w:t>
            </w:r>
          </w:p>
        </w:tc>
        <w:tc>
          <w:tcPr>
            <w:tcW w:w="1821" w:type="dxa"/>
            <w:shd w:val="clear" w:color="auto" w:fill="auto"/>
            <w:noWrap/>
            <w:vAlign w:val="center"/>
            <w:hideMark/>
          </w:tcPr>
          <w:p w:rsidR="00BC660E" w:rsidRPr="00C156EF" w:rsidRDefault="00BC660E" w:rsidP="00852390">
            <w:pPr>
              <w:spacing w:after="0"/>
              <w:jc w:val="right"/>
            </w:pPr>
            <w:r w:rsidRPr="00C156EF">
              <w:t>2</w:t>
            </w:r>
            <w:r>
              <w:t>.</w:t>
            </w:r>
            <w:r w:rsidRPr="00C156EF">
              <w:t>515</w:t>
            </w:r>
          </w:p>
        </w:tc>
        <w:tc>
          <w:tcPr>
            <w:tcW w:w="1821" w:type="dxa"/>
          </w:tcPr>
          <w:p w:rsidR="00BC660E" w:rsidRPr="00C156EF" w:rsidRDefault="00BC660E" w:rsidP="00852390">
            <w:pPr>
              <w:spacing w:after="0"/>
              <w:jc w:val="right"/>
            </w:pPr>
            <w:r>
              <w:t>2.573</w:t>
            </w:r>
          </w:p>
        </w:tc>
      </w:tr>
    </w:tbl>
    <w:p w:rsidR="0063090F" w:rsidRPr="00C156EF" w:rsidRDefault="0063090F" w:rsidP="002C3ECE">
      <w:pPr>
        <w:spacing w:after="0"/>
        <w:jc w:val="both"/>
        <w:rPr>
          <w:sz w:val="18"/>
          <w:szCs w:val="18"/>
        </w:rPr>
      </w:pPr>
      <w:r w:rsidRPr="002C3ECE">
        <w:rPr>
          <w:sz w:val="18"/>
          <w:szCs w:val="18"/>
        </w:rPr>
        <w:t>VIR:Statis</w:t>
      </w:r>
      <w:r w:rsidR="00BC660E">
        <w:rPr>
          <w:sz w:val="18"/>
          <w:szCs w:val="18"/>
        </w:rPr>
        <w:t>tični urad Republike Slovenije</w:t>
      </w:r>
    </w:p>
    <w:p w:rsidR="0063090F" w:rsidRDefault="0063090F" w:rsidP="00852390">
      <w:pPr>
        <w:tabs>
          <w:tab w:val="left" w:pos="3128"/>
        </w:tabs>
        <w:spacing w:after="0"/>
      </w:pPr>
    </w:p>
    <w:p w:rsidR="003B37F9" w:rsidRDefault="003B37F9" w:rsidP="00852390">
      <w:pPr>
        <w:tabs>
          <w:tab w:val="left" w:pos="3128"/>
        </w:tabs>
        <w:spacing w:after="0"/>
      </w:pPr>
    </w:p>
    <w:p w:rsidR="00752DB5" w:rsidRDefault="00752DB5" w:rsidP="002253F0">
      <w:pPr>
        <w:tabs>
          <w:tab w:val="left" w:pos="3128"/>
        </w:tabs>
        <w:spacing w:after="0"/>
        <w:jc w:val="both"/>
      </w:pPr>
      <w:r>
        <w:t>V občinah problemskega območja</w:t>
      </w:r>
      <w:r w:rsidR="002253F0">
        <w:t xml:space="preserve"> se število prebivalcev z visoko</w:t>
      </w:r>
      <w:r>
        <w:t>šolsko stopnjo izobrazbe povečuje v obdobju 201</w:t>
      </w:r>
      <w:r w:rsidR="00BC660E">
        <w:t>4-2016.</w:t>
      </w:r>
    </w:p>
    <w:p w:rsidR="00752DB5" w:rsidRDefault="00752DB5" w:rsidP="00852390">
      <w:pPr>
        <w:tabs>
          <w:tab w:val="left" w:pos="3128"/>
        </w:tabs>
        <w:spacing w:after="0"/>
      </w:pPr>
    </w:p>
    <w:p w:rsidR="003B37F9" w:rsidRPr="00C156EF" w:rsidRDefault="003B37F9" w:rsidP="00852390">
      <w:pPr>
        <w:tabs>
          <w:tab w:val="left" w:pos="3128"/>
        </w:tabs>
        <w:spacing w:after="0"/>
      </w:pPr>
    </w:p>
    <w:p w:rsidR="009816E3" w:rsidRPr="00C156EF" w:rsidRDefault="00F004CA" w:rsidP="00F004CA">
      <w:pPr>
        <w:pStyle w:val="Napis"/>
      </w:pPr>
      <w:r>
        <w:t xml:space="preserve">Tabela </w:t>
      </w:r>
      <w:fldSimple w:instr=" SEQ Tabela \* ARABIC ">
        <w:r w:rsidR="003218B5">
          <w:rPr>
            <w:noProof/>
          </w:rPr>
          <w:t>6</w:t>
        </w:r>
      </w:fldSimple>
      <w:r w:rsidR="00D034FD">
        <w:t>: Š</w:t>
      </w:r>
      <w:r w:rsidR="00603EEB">
        <w:t xml:space="preserve">tevilo registriranih brezposelnih oseb v občinah problemskega območja v obdobju </w:t>
      </w:r>
      <w:r w:rsidR="005E37A6">
        <w:t xml:space="preserve"> 2014-2016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57"/>
        <w:gridCol w:w="1776"/>
        <w:gridCol w:w="1776"/>
      </w:tblGrid>
      <w:tr w:rsidR="005E37A6" w:rsidRPr="00C156EF" w:rsidTr="00E8404F">
        <w:trPr>
          <w:trHeight w:val="606"/>
        </w:trPr>
        <w:tc>
          <w:tcPr>
            <w:tcW w:w="3775" w:type="dxa"/>
            <w:shd w:val="clear" w:color="auto" w:fill="auto"/>
            <w:hideMark/>
          </w:tcPr>
          <w:p w:rsidR="005E37A6" w:rsidRPr="00C156EF" w:rsidRDefault="005E37A6" w:rsidP="00852390">
            <w:pPr>
              <w:spacing w:after="0"/>
              <w:rPr>
                <w:b/>
                <w:bCs/>
              </w:rPr>
            </w:pPr>
            <w:r w:rsidRPr="00C156EF">
              <w:rPr>
                <w:b/>
                <w:bCs/>
              </w:rPr>
              <w:t>Število registriranih brezposelnih oseb</w:t>
            </w:r>
          </w:p>
        </w:tc>
        <w:tc>
          <w:tcPr>
            <w:tcW w:w="1857" w:type="dxa"/>
            <w:shd w:val="clear" w:color="auto" w:fill="auto"/>
            <w:noWrap/>
            <w:hideMark/>
          </w:tcPr>
          <w:p w:rsidR="005E37A6" w:rsidRPr="00C156EF" w:rsidRDefault="005E37A6" w:rsidP="00BB445E">
            <w:pPr>
              <w:spacing w:after="0"/>
              <w:jc w:val="center"/>
            </w:pPr>
            <w:r w:rsidRPr="00C156EF">
              <w:t>2014</w:t>
            </w:r>
          </w:p>
        </w:tc>
        <w:tc>
          <w:tcPr>
            <w:tcW w:w="1776" w:type="dxa"/>
            <w:shd w:val="clear" w:color="auto" w:fill="auto"/>
            <w:noWrap/>
            <w:hideMark/>
          </w:tcPr>
          <w:p w:rsidR="005E37A6" w:rsidRPr="00C156EF" w:rsidRDefault="005E37A6" w:rsidP="00BB445E">
            <w:pPr>
              <w:spacing w:after="0"/>
              <w:jc w:val="center"/>
            </w:pPr>
            <w:r w:rsidRPr="00C156EF">
              <w:t>2015</w:t>
            </w:r>
          </w:p>
        </w:tc>
        <w:tc>
          <w:tcPr>
            <w:tcW w:w="1776" w:type="dxa"/>
            <w:shd w:val="clear" w:color="auto" w:fill="auto"/>
            <w:noWrap/>
            <w:hideMark/>
          </w:tcPr>
          <w:p w:rsidR="005E37A6" w:rsidRPr="00C156EF" w:rsidRDefault="005E37A6" w:rsidP="00BB445E">
            <w:pPr>
              <w:spacing w:after="0"/>
              <w:jc w:val="center"/>
            </w:pPr>
            <w:r w:rsidRPr="00C156EF">
              <w:t>2016</w:t>
            </w:r>
          </w:p>
        </w:tc>
      </w:tr>
      <w:tr w:rsidR="005E37A6" w:rsidRPr="00C156EF" w:rsidTr="00E8404F">
        <w:trPr>
          <w:trHeight w:val="303"/>
        </w:trPr>
        <w:tc>
          <w:tcPr>
            <w:tcW w:w="3775" w:type="dxa"/>
            <w:shd w:val="clear" w:color="auto" w:fill="auto"/>
            <w:noWrap/>
            <w:hideMark/>
          </w:tcPr>
          <w:p w:rsidR="005E37A6" w:rsidRPr="00C156EF" w:rsidRDefault="005E37A6" w:rsidP="00FC77D7">
            <w:pPr>
              <w:spacing w:after="0"/>
            </w:pPr>
            <w:r w:rsidRPr="00C156EF">
              <w:t>Občina Hrastnik</w:t>
            </w:r>
          </w:p>
        </w:tc>
        <w:tc>
          <w:tcPr>
            <w:tcW w:w="1857" w:type="dxa"/>
            <w:shd w:val="clear" w:color="auto" w:fill="auto"/>
            <w:noWrap/>
            <w:vAlign w:val="center"/>
          </w:tcPr>
          <w:p w:rsidR="005E37A6" w:rsidRPr="00C156EF" w:rsidRDefault="005E37A6" w:rsidP="00FC77D7">
            <w:pPr>
              <w:spacing w:after="0"/>
              <w:jc w:val="right"/>
            </w:pPr>
            <w:r>
              <w:t>791</w:t>
            </w:r>
          </w:p>
        </w:tc>
        <w:tc>
          <w:tcPr>
            <w:tcW w:w="1776" w:type="dxa"/>
            <w:shd w:val="clear" w:color="auto" w:fill="auto"/>
            <w:noWrap/>
            <w:vAlign w:val="center"/>
          </w:tcPr>
          <w:p w:rsidR="005E37A6" w:rsidRPr="00C156EF" w:rsidRDefault="005E37A6" w:rsidP="00FC77D7">
            <w:pPr>
              <w:spacing w:after="0"/>
              <w:jc w:val="right"/>
            </w:pPr>
            <w:r>
              <w:t>709</w:t>
            </w:r>
          </w:p>
        </w:tc>
        <w:tc>
          <w:tcPr>
            <w:tcW w:w="1776" w:type="dxa"/>
            <w:shd w:val="clear" w:color="auto" w:fill="auto"/>
            <w:noWrap/>
            <w:vAlign w:val="center"/>
          </w:tcPr>
          <w:p w:rsidR="005E37A6" w:rsidRPr="00C156EF" w:rsidRDefault="005E37A6" w:rsidP="00FC77D7">
            <w:pPr>
              <w:spacing w:after="0"/>
              <w:jc w:val="right"/>
            </w:pPr>
            <w:r>
              <w:t>626</w:t>
            </w:r>
          </w:p>
        </w:tc>
      </w:tr>
      <w:tr w:rsidR="005E37A6" w:rsidRPr="00C156EF" w:rsidTr="00E8404F">
        <w:trPr>
          <w:trHeight w:val="303"/>
        </w:trPr>
        <w:tc>
          <w:tcPr>
            <w:tcW w:w="3775" w:type="dxa"/>
            <w:shd w:val="clear" w:color="auto" w:fill="auto"/>
            <w:noWrap/>
            <w:hideMark/>
          </w:tcPr>
          <w:p w:rsidR="005E37A6" w:rsidRPr="00C156EF" w:rsidRDefault="005E37A6" w:rsidP="00FC77D7">
            <w:pPr>
              <w:spacing w:after="0"/>
            </w:pPr>
            <w:r w:rsidRPr="00C156EF">
              <w:t>Občina Radeče</w:t>
            </w:r>
          </w:p>
        </w:tc>
        <w:tc>
          <w:tcPr>
            <w:tcW w:w="1857" w:type="dxa"/>
            <w:shd w:val="clear" w:color="auto" w:fill="auto"/>
            <w:noWrap/>
            <w:vAlign w:val="center"/>
          </w:tcPr>
          <w:p w:rsidR="005E37A6" w:rsidRPr="00C156EF" w:rsidRDefault="005E37A6" w:rsidP="00FC77D7">
            <w:pPr>
              <w:spacing w:after="0"/>
              <w:jc w:val="right"/>
            </w:pPr>
            <w:r>
              <w:t>320</w:t>
            </w:r>
          </w:p>
        </w:tc>
        <w:tc>
          <w:tcPr>
            <w:tcW w:w="1776" w:type="dxa"/>
            <w:shd w:val="clear" w:color="auto" w:fill="auto"/>
            <w:noWrap/>
            <w:vAlign w:val="center"/>
          </w:tcPr>
          <w:p w:rsidR="005E37A6" w:rsidRPr="00C156EF" w:rsidRDefault="005E37A6" w:rsidP="00FC77D7">
            <w:pPr>
              <w:spacing w:after="0"/>
              <w:jc w:val="right"/>
            </w:pPr>
            <w:r>
              <w:t>240</w:t>
            </w:r>
          </w:p>
        </w:tc>
        <w:tc>
          <w:tcPr>
            <w:tcW w:w="1776" w:type="dxa"/>
            <w:shd w:val="clear" w:color="auto" w:fill="auto"/>
            <w:noWrap/>
            <w:vAlign w:val="center"/>
          </w:tcPr>
          <w:p w:rsidR="005E37A6" w:rsidRPr="00C156EF" w:rsidRDefault="005E37A6" w:rsidP="00FC77D7">
            <w:pPr>
              <w:spacing w:after="0"/>
              <w:jc w:val="right"/>
            </w:pPr>
            <w:r>
              <w:t>226</w:t>
            </w:r>
          </w:p>
        </w:tc>
      </w:tr>
      <w:tr w:rsidR="005E37A6" w:rsidRPr="00C156EF" w:rsidTr="00E8404F">
        <w:trPr>
          <w:trHeight w:val="303"/>
        </w:trPr>
        <w:tc>
          <w:tcPr>
            <w:tcW w:w="3775" w:type="dxa"/>
            <w:shd w:val="clear" w:color="auto" w:fill="auto"/>
            <w:noWrap/>
            <w:hideMark/>
          </w:tcPr>
          <w:p w:rsidR="005E37A6" w:rsidRPr="00C156EF" w:rsidRDefault="005E37A6" w:rsidP="00852390">
            <w:pPr>
              <w:spacing w:after="0"/>
            </w:pPr>
            <w:r w:rsidRPr="00C156EF">
              <w:t>Občina Trbovlje</w:t>
            </w:r>
          </w:p>
        </w:tc>
        <w:tc>
          <w:tcPr>
            <w:tcW w:w="1857" w:type="dxa"/>
            <w:shd w:val="clear" w:color="auto" w:fill="auto"/>
            <w:noWrap/>
            <w:vAlign w:val="center"/>
          </w:tcPr>
          <w:p w:rsidR="005E37A6" w:rsidRPr="00C156EF" w:rsidRDefault="005E37A6" w:rsidP="00852390">
            <w:pPr>
              <w:spacing w:after="0"/>
              <w:jc w:val="right"/>
            </w:pPr>
            <w:r>
              <w:t>1.483</w:t>
            </w:r>
          </w:p>
        </w:tc>
        <w:tc>
          <w:tcPr>
            <w:tcW w:w="1776" w:type="dxa"/>
            <w:shd w:val="clear" w:color="auto" w:fill="auto"/>
            <w:noWrap/>
            <w:vAlign w:val="center"/>
          </w:tcPr>
          <w:p w:rsidR="005E37A6" w:rsidRPr="00C156EF" w:rsidRDefault="005E37A6" w:rsidP="00852390">
            <w:pPr>
              <w:spacing w:after="0"/>
              <w:jc w:val="right"/>
            </w:pPr>
            <w:r>
              <w:t>1.441</w:t>
            </w:r>
          </w:p>
        </w:tc>
        <w:tc>
          <w:tcPr>
            <w:tcW w:w="1776" w:type="dxa"/>
            <w:shd w:val="clear" w:color="auto" w:fill="auto"/>
            <w:noWrap/>
            <w:vAlign w:val="center"/>
          </w:tcPr>
          <w:p w:rsidR="005E37A6" w:rsidRPr="00C156EF" w:rsidRDefault="005E37A6" w:rsidP="00852390">
            <w:pPr>
              <w:spacing w:after="0"/>
              <w:jc w:val="right"/>
            </w:pPr>
            <w:r>
              <w:t>1.344</w:t>
            </w:r>
          </w:p>
        </w:tc>
      </w:tr>
    </w:tbl>
    <w:p w:rsidR="00D710B0" w:rsidRPr="002C3ECE" w:rsidRDefault="005E37A6" w:rsidP="002C3ECE">
      <w:pPr>
        <w:spacing w:after="0"/>
        <w:jc w:val="both"/>
        <w:rPr>
          <w:sz w:val="18"/>
          <w:szCs w:val="18"/>
        </w:rPr>
      </w:pPr>
      <w:r>
        <w:rPr>
          <w:sz w:val="18"/>
          <w:szCs w:val="18"/>
        </w:rPr>
        <w:t xml:space="preserve">VIR: </w:t>
      </w:r>
      <w:r w:rsidRPr="00C156EF">
        <w:rPr>
          <w:sz w:val="18"/>
        </w:rPr>
        <w:t>Statis</w:t>
      </w:r>
      <w:r>
        <w:rPr>
          <w:sz w:val="18"/>
        </w:rPr>
        <w:t>tični urad Republike Slovenije</w:t>
      </w:r>
    </w:p>
    <w:p w:rsidR="009816E3" w:rsidRDefault="009816E3" w:rsidP="00852390">
      <w:pPr>
        <w:spacing w:after="0"/>
      </w:pPr>
    </w:p>
    <w:p w:rsidR="003B37F9" w:rsidRDefault="003B37F9" w:rsidP="00852390">
      <w:pPr>
        <w:spacing w:after="0"/>
      </w:pPr>
    </w:p>
    <w:p w:rsidR="004C0E89" w:rsidRDefault="004C0E89" w:rsidP="003B37F9">
      <w:pPr>
        <w:spacing w:after="0"/>
        <w:jc w:val="both"/>
      </w:pPr>
      <w:r>
        <w:t>Število registriranih brezposelnih oseb se v občinah problemskega območja zmanjšuje od leta 201</w:t>
      </w:r>
      <w:r w:rsidR="00AF31CF">
        <w:t>4</w:t>
      </w:r>
      <w:r>
        <w:t xml:space="preserve"> dalje.</w:t>
      </w:r>
    </w:p>
    <w:p w:rsidR="004C0E89" w:rsidRDefault="004C0E89" w:rsidP="00852390">
      <w:pPr>
        <w:spacing w:after="0"/>
      </w:pPr>
    </w:p>
    <w:p w:rsidR="003B37F9" w:rsidRPr="00C156EF" w:rsidRDefault="003B37F9" w:rsidP="00852390">
      <w:pPr>
        <w:spacing w:after="0"/>
      </w:pPr>
    </w:p>
    <w:p w:rsidR="009816E3" w:rsidRPr="00C156EF" w:rsidRDefault="00F004CA" w:rsidP="00F004CA">
      <w:pPr>
        <w:pStyle w:val="Napis"/>
      </w:pPr>
      <w:r>
        <w:t xml:space="preserve">Tabela </w:t>
      </w:r>
      <w:fldSimple w:instr=" SEQ Tabela \* ARABIC ">
        <w:r w:rsidR="003218B5">
          <w:rPr>
            <w:noProof/>
          </w:rPr>
          <w:t>7</w:t>
        </w:r>
      </w:fldSimple>
      <w:r w:rsidR="00D034FD">
        <w:t xml:space="preserve">: </w:t>
      </w:r>
      <w:r w:rsidR="0087149B">
        <w:t>Stopnja registriranih brezposelnih oseb v občinah problemskega območja v obdobju 201</w:t>
      </w:r>
      <w:r w:rsidR="00FC77D7">
        <w:t>4</w:t>
      </w:r>
      <w:r w:rsidR="0087149B">
        <w:t>-2016</w:t>
      </w:r>
      <w:r w:rsidR="00BB445E">
        <w:t>, v %</w:t>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1539"/>
        <w:gridCol w:w="1542"/>
        <w:gridCol w:w="1319"/>
      </w:tblGrid>
      <w:tr w:rsidR="00A3650E" w:rsidRPr="00C156EF" w:rsidTr="00E8404F">
        <w:trPr>
          <w:trHeight w:val="647"/>
        </w:trPr>
        <w:tc>
          <w:tcPr>
            <w:tcW w:w="4788" w:type="dxa"/>
            <w:vMerge w:val="restart"/>
            <w:shd w:val="clear" w:color="auto" w:fill="auto"/>
            <w:hideMark/>
          </w:tcPr>
          <w:p w:rsidR="00A3650E" w:rsidRPr="00C156EF" w:rsidRDefault="00A3650E" w:rsidP="00852390">
            <w:pPr>
              <w:spacing w:after="0"/>
            </w:pPr>
            <w:r w:rsidRPr="00C156EF">
              <w:t>Stopnja registriran</w:t>
            </w:r>
            <w:r>
              <w:t>ih</w:t>
            </w:r>
            <w:r w:rsidRPr="00C156EF">
              <w:t xml:space="preserve"> brezposelnih oseb</w:t>
            </w:r>
          </w:p>
        </w:tc>
        <w:tc>
          <w:tcPr>
            <w:tcW w:w="1539" w:type="dxa"/>
            <w:vMerge w:val="restart"/>
            <w:shd w:val="clear" w:color="auto" w:fill="auto"/>
            <w:noWrap/>
            <w:hideMark/>
          </w:tcPr>
          <w:p w:rsidR="00A3650E" w:rsidRPr="00C156EF" w:rsidRDefault="00A3650E" w:rsidP="00BB445E">
            <w:pPr>
              <w:spacing w:after="0"/>
              <w:jc w:val="center"/>
            </w:pPr>
            <w:r w:rsidRPr="00C156EF">
              <w:t>2014</w:t>
            </w:r>
          </w:p>
        </w:tc>
        <w:tc>
          <w:tcPr>
            <w:tcW w:w="1542" w:type="dxa"/>
            <w:vMerge w:val="restart"/>
            <w:shd w:val="clear" w:color="auto" w:fill="auto"/>
            <w:noWrap/>
            <w:hideMark/>
          </w:tcPr>
          <w:p w:rsidR="00A3650E" w:rsidRPr="00C156EF" w:rsidRDefault="00A3650E" w:rsidP="00BB445E">
            <w:pPr>
              <w:spacing w:after="0"/>
              <w:jc w:val="center"/>
            </w:pPr>
            <w:r w:rsidRPr="00C156EF">
              <w:t>2015</w:t>
            </w:r>
          </w:p>
        </w:tc>
        <w:tc>
          <w:tcPr>
            <w:tcW w:w="1319" w:type="dxa"/>
            <w:vMerge w:val="restart"/>
            <w:shd w:val="clear" w:color="auto" w:fill="auto"/>
            <w:noWrap/>
            <w:hideMark/>
          </w:tcPr>
          <w:p w:rsidR="00A3650E" w:rsidRPr="00C156EF" w:rsidRDefault="00A3650E" w:rsidP="00BB445E">
            <w:pPr>
              <w:spacing w:after="0"/>
              <w:jc w:val="center"/>
            </w:pPr>
            <w:r w:rsidRPr="00C156EF">
              <w:t>2016</w:t>
            </w:r>
          </w:p>
        </w:tc>
      </w:tr>
      <w:tr w:rsidR="00A3650E" w:rsidRPr="00C156EF" w:rsidTr="00E8404F">
        <w:trPr>
          <w:trHeight w:val="647"/>
        </w:trPr>
        <w:tc>
          <w:tcPr>
            <w:tcW w:w="4788" w:type="dxa"/>
            <w:vMerge/>
            <w:shd w:val="clear" w:color="auto" w:fill="auto"/>
          </w:tcPr>
          <w:p w:rsidR="00A3650E" w:rsidRPr="00C156EF" w:rsidRDefault="00A3650E" w:rsidP="00852390">
            <w:pPr>
              <w:spacing w:after="0"/>
            </w:pPr>
          </w:p>
        </w:tc>
        <w:tc>
          <w:tcPr>
            <w:tcW w:w="1539" w:type="dxa"/>
            <w:vMerge/>
            <w:shd w:val="clear" w:color="auto" w:fill="auto"/>
            <w:noWrap/>
          </w:tcPr>
          <w:p w:rsidR="00A3650E" w:rsidRPr="00C156EF" w:rsidRDefault="00A3650E" w:rsidP="00BB445E">
            <w:pPr>
              <w:spacing w:after="0"/>
              <w:jc w:val="center"/>
            </w:pPr>
          </w:p>
        </w:tc>
        <w:tc>
          <w:tcPr>
            <w:tcW w:w="1542" w:type="dxa"/>
            <w:vMerge/>
            <w:shd w:val="clear" w:color="auto" w:fill="auto"/>
            <w:noWrap/>
          </w:tcPr>
          <w:p w:rsidR="00A3650E" w:rsidRPr="00C156EF" w:rsidRDefault="00A3650E" w:rsidP="00BB445E">
            <w:pPr>
              <w:spacing w:after="0"/>
              <w:jc w:val="center"/>
            </w:pPr>
          </w:p>
        </w:tc>
        <w:tc>
          <w:tcPr>
            <w:tcW w:w="1319" w:type="dxa"/>
            <w:vMerge/>
            <w:shd w:val="clear" w:color="auto" w:fill="auto"/>
            <w:noWrap/>
          </w:tcPr>
          <w:p w:rsidR="00A3650E" w:rsidRPr="00C156EF" w:rsidRDefault="00A3650E" w:rsidP="00BB445E">
            <w:pPr>
              <w:spacing w:after="0"/>
              <w:jc w:val="center"/>
            </w:pPr>
          </w:p>
        </w:tc>
      </w:tr>
      <w:tr w:rsidR="00A3650E" w:rsidRPr="00C156EF" w:rsidTr="00E8404F">
        <w:trPr>
          <w:trHeight w:val="323"/>
        </w:trPr>
        <w:tc>
          <w:tcPr>
            <w:tcW w:w="4788" w:type="dxa"/>
            <w:shd w:val="clear" w:color="auto" w:fill="auto"/>
            <w:noWrap/>
            <w:hideMark/>
          </w:tcPr>
          <w:p w:rsidR="00A3650E" w:rsidRPr="00C156EF" w:rsidRDefault="00A3650E" w:rsidP="00FC77D7">
            <w:pPr>
              <w:spacing w:after="0"/>
            </w:pPr>
            <w:r w:rsidRPr="00C156EF">
              <w:t>Občina Hrastnik</w:t>
            </w:r>
          </w:p>
        </w:tc>
        <w:tc>
          <w:tcPr>
            <w:tcW w:w="1539" w:type="dxa"/>
            <w:shd w:val="clear" w:color="auto" w:fill="auto"/>
            <w:noWrap/>
            <w:vAlign w:val="center"/>
            <w:hideMark/>
          </w:tcPr>
          <w:p w:rsidR="00A3650E" w:rsidRPr="00C156EF" w:rsidRDefault="00A3650E" w:rsidP="00FC77D7">
            <w:pPr>
              <w:spacing w:after="0"/>
              <w:jc w:val="right"/>
            </w:pPr>
            <w:r w:rsidRPr="00C156EF">
              <w:t>19,1</w:t>
            </w:r>
          </w:p>
        </w:tc>
        <w:tc>
          <w:tcPr>
            <w:tcW w:w="1542" w:type="dxa"/>
            <w:shd w:val="clear" w:color="auto" w:fill="auto"/>
            <w:noWrap/>
            <w:vAlign w:val="center"/>
            <w:hideMark/>
          </w:tcPr>
          <w:p w:rsidR="00A3650E" w:rsidRPr="00C156EF" w:rsidRDefault="00A3650E" w:rsidP="00FC77D7">
            <w:pPr>
              <w:spacing w:after="0"/>
              <w:jc w:val="right"/>
            </w:pPr>
            <w:r>
              <w:t>17,6</w:t>
            </w:r>
          </w:p>
        </w:tc>
        <w:tc>
          <w:tcPr>
            <w:tcW w:w="1319" w:type="dxa"/>
            <w:shd w:val="clear" w:color="auto" w:fill="auto"/>
            <w:noWrap/>
            <w:vAlign w:val="center"/>
            <w:hideMark/>
          </w:tcPr>
          <w:p w:rsidR="00A3650E" w:rsidRPr="00C156EF" w:rsidRDefault="00A3650E" w:rsidP="00FC77D7">
            <w:pPr>
              <w:spacing w:after="0"/>
              <w:jc w:val="right"/>
            </w:pPr>
            <w:r>
              <w:t>15,6</w:t>
            </w:r>
          </w:p>
        </w:tc>
      </w:tr>
      <w:tr w:rsidR="00A3650E" w:rsidRPr="00C156EF" w:rsidTr="00E8404F">
        <w:trPr>
          <w:trHeight w:val="323"/>
        </w:trPr>
        <w:tc>
          <w:tcPr>
            <w:tcW w:w="4788" w:type="dxa"/>
            <w:shd w:val="clear" w:color="auto" w:fill="auto"/>
            <w:noWrap/>
            <w:hideMark/>
          </w:tcPr>
          <w:p w:rsidR="00A3650E" w:rsidRPr="00C156EF" w:rsidRDefault="00A3650E" w:rsidP="00FC77D7">
            <w:pPr>
              <w:spacing w:after="0"/>
            </w:pPr>
            <w:r w:rsidRPr="00C156EF">
              <w:t>Občina Radeče</w:t>
            </w:r>
          </w:p>
        </w:tc>
        <w:tc>
          <w:tcPr>
            <w:tcW w:w="1539" w:type="dxa"/>
            <w:shd w:val="clear" w:color="auto" w:fill="auto"/>
            <w:noWrap/>
            <w:vAlign w:val="center"/>
            <w:hideMark/>
          </w:tcPr>
          <w:p w:rsidR="00A3650E" w:rsidRPr="00C156EF" w:rsidRDefault="00A3650E" w:rsidP="00FC77D7">
            <w:pPr>
              <w:spacing w:after="0"/>
              <w:jc w:val="right"/>
            </w:pPr>
            <w:r>
              <w:t>16,2</w:t>
            </w:r>
          </w:p>
        </w:tc>
        <w:tc>
          <w:tcPr>
            <w:tcW w:w="1542" w:type="dxa"/>
            <w:shd w:val="clear" w:color="auto" w:fill="auto"/>
            <w:noWrap/>
            <w:vAlign w:val="center"/>
            <w:hideMark/>
          </w:tcPr>
          <w:p w:rsidR="00A3650E" w:rsidRPr="00C156EF" w:rsidRDefault="00A3650E" w:rsidP="00FC77D7">
            <w:pPr>
              <w:spacing w:after="0"/>
              <w:jc w:val="right"/>
            </w:pPr>
            <w:r>
              <w:t>12,3</w:t>
            </w:r>
          </w:p>
        </w:tc>
        <w:tc>
          <w:tcPr>
            <w:tcW w:w="1319" w:type="dxa"/>
            <w:shd w:val="clear" w:color="auto" w:fill="auto"/>
            <w:noWrap/>
            <w:vAlign w:val="center"/>
            <w:hideMark/>
          </w:tcPr>
          <w:p w:rsidR="00A3650E" w:rsidRPr="00C156EF" w:rsidRDefault="00A3650E" w:rsidP="00FC77D7">
            <w:pPr>
              <w:spacing w:after="0"/>
              <w:jc w:val="right"/>
            </w:pPr>
            <w:r>
              <w:t>11,6</w:t>
            </w:r>
          </w:p>
        </w:tc>
      </w:tr>
      <w:tr w:rsidR="00A3650E" w:rsidRPr="00C156EF" w:rsidTr="00E8404F">
        <w:trPr>
          <w:trHeight w:val="323"/>
        </w:trPr>
        <w:tc>
          <w:tcPr>
            <w:tcW w:w="4788" w:type="dxa"/>
            <w:shd w:val="clear" w:color="auto" w:fill="auto"/>
            <w:noWrap/>
            <w:hideMark/>
          </w:tcPr>
          <w:p w:rsidR="00A3650E" w:rsidRPr="00C156EF" w:rsidRDefault="00A3650E" w:rsidP="00852390">
            <w:pPr>
              <w:spacing w:after="0"/>
            </w:pPr>
            <w:r w:rsidRPr="00C156EF">
              <w:t>Občina Trbovlje</w:t>
            </w:r>
          </w:p>
        </w:tc>
        <w:tc>
          <w:tcPr>
            <w:tcW w:w="1539" w:type="dxa"/>
            <w:shd w:val="clear" w:color="auto" w:fill="auto"/>
            <w:noWrap/>
            <w:vAlign w:val="center"/>
            <w:hideMark/>
          </w:tcPr>
          <w:p w:rsidR="00A3650E" w:rsidRPr="00C156EF" w:rsidRDefault="00A3650E" w:rsidP="00852390">
            <w:pPr>
              <w:spacing w:after="0"/>
              <w:jc w:val="right"/>
            </w:pPr>
            <w:r>
              <w:t>20,6</w:t>
            </w:r>
          </w:p>
        </w:tc>
        <w:tc>
          <w:tcPr>
            <w:tcW w:w="1542" w:type="dxa"/>
            <w:shd w:val="clear" w:color="auto" w:fill="auto"/>
            <w:noWrap/>
            <w:vAlign w:val="center"/>
            <w:hideMark/>
          </w:tcPr>
          <w:p w:rsidR="00A3650E" w:rsidRPr="00C156EF" w:rsidRDefault="00A3650E" w:rsidP="00852390">
            <w:pPr>
              <w:spacing w:after="0"/>
              <w:jc w:val="right"/>
            </w:pPr>
            <w:r>
              <w:t>20,1</w:t>
            </w:r>
          </w:p>
        </w:tc>
        <w:tc>
          <w:tcPr>
            <w:tcW w:w="1319" w:type="dxa"/>
            <w:shd w:val="clear" w:color="auto" w:fill="auto"/>
            <w:noWrap/>
            <w:vAlign w:val="center"/>
            <w:hideMark/>
          </w:tcPr>
          <w:p w:rsidR="00A3650E" w:rsidRPr="00C156EF" w:rsidRDefault="00A3650E" w:rsidP="00852390">
            <w:pPr>
              <w:spacing w:after="0"/>
              <w:jc w:val="right"/>
            </w:pPr>
            <w:r>
              <w:t>19,0</w:t>
            </w:r>
          </w:p>
        </w:tc>
      </w:tr>
      <w:tr w:rsidR="00A3650E" w:rsidRPr="00C156EF" w:rsidTr="00E8404F">
        <w:trPr>
          <w:trHeight w:val="323"/>
        </w:trPr>
        <w:tc>
          <w:tcPr>
            <w:tcW w:w="4788" w:type="dxa"/>
            <w:shd w:val="clear" w:color="auto" w:fill="auto"/>
            <w:noWrap/>
            <w:hideMark/>
          </w:tcPr>
          <w:p w:rsidR="00A3650E" w:rsidRPr="00C156EF" w:rsidRDefault="00A3650E" w:rsidP="00852390">
            <w:pPr>
              <w:spacing w:after="0"/>
            </w:pPr>
            <w:r w:rsidRPr="00C156EF">
              <w:t>Slovenija</w:t>
            </w:r>
          </w:p>
        </w:tc>
        <w:tc>
          <w:tcPr>
            <w:tcW w:w="1539" w:type="dxa"/>
            <w:shd w:val="clear" w:color="auto" w:fill="auto"/>
            <w:noWrap/>
            <w:vAlign w:val="center"/>
            <w:hideMark/>
          </w:tcPr>
          <w:p w:rsidR="00A3650E" w:rsidRPr="00C156EF" w:rsidRDefault="00A3650E" w:rsidP="00FC77D7">
            <w:pPr>
              <w:spacing w:after="0"/>
              <w:jc w:val="right"/>
            </w:pPr>
            <w:r w:rsidRPr="00C156EF">
              <w:t>13,</w:t>
            </w:r>
            <w:r>
              <w:t>1</w:t>
            </w:r>
          </w:p>
        </w:tc>
        <w:tc>
          <w:tcPr>
            <w:tcW w:w="1542" w:type="dxa"/>
            <w:shd w:val="clear" w:color="auto" w:fill="auto"/>
            <w:noWrap/>
            <w:vAlign w:val="center"/>
            <w:hideMark/>
          </w:tcPr>
          <w:p w:rsidR="00A3650E" w:rsidRPr="00C156EF" w:rsidRDefault="00A3650E" w:rsidP="00852390">
            <w:pPr>
              <w:spacing w:after="0"/>
              <w:jc w:val="right"/>
            </w:pPr>
            <w:r w:rsidRPr="00C156EF">
              <w:t>12,3</w:t>
            </w:r>
          </w:p>
        </w:tc>
        <w:tc>
          <w:tcPr>
            <w:tcW w:w="1319" w:type="dxa"/>
            <w:shd w:val="clear" w:color="auto" w:fill="auto"/>
            <w:noWrap/>
            <w:vAlign w:val="center"/>
            <w:hideMark/>
          </w:tcPr>
          <w:p w:rsidR="00A3650E" w:rsidRPr="00C156EF" w:rsidRDefault="00A3650E" w:rsidP="00FC77D7">
            <w:pPr>
              <w:spacing w:after="0"/>
              <w:jc w:val="right"/>
            </w:pPr>
            <w:r w:rsidRPr="00C156EF">
              <w:t>11,</w:t>
            </w:r>
            <w:r>
              <w:t>2</w:t>
            </w:r>
          </w:p>
        </w:tc>
      </w:tr>
    </w:tbl>
    <w:p w:rsidR="00FC77D7" w:rsidRPr="002C3ECE" w:rsidRDefault="006F2154" w:rsidP="00FC77D7">
      <w:pPr>
        <w:spacing w:after="0"/>
        <w:jc w:val="both"/>
        <w:rPr>
          <w:sz w:val="18"/>
          <w:szCs w:val="18"/>
        </w:rPr>
      </w:pPr>
      <w:r w:rsidRPr="003D38A1">
        <w:rPr>
          <w:sz w:val="18"/>
          <w:szCs w:val="18"/>
        </w:rPr>
        <w:t xml:space="preserve">VIR: </w:t>
      </w:r>
      <w:r w:rsidR="00FC77D7" w:rsidRPr="00C156EF">
        <w:rPr>
          <w:sz w:val="18"/>
        </w:rPr>
        <w:t>Statis</w:t>
      </w:r>
      <w:r w:rsidR="00FC77D7">
        <w:rPr>
          <w:sz w:val="18"/>
        </w:rPr>
        <w:t>tični urad Republike Slovenije</w:t>
      </w:r>
    </w:p>
    <w:p w:rsidR="003B37F9" w:rsidRPr="003D38A1" w:rsidRDefault="003B37F9" w:rsidP="00852390">
      <w:pPr>
        <w:spacing w:after="0"/>
        <w:rPr>
          <w:sz w:val="18"/>
          <w:szCs w:val="18"/>
        </w:rPr>
      </w:pPr>
    </w:p>
    <w:p w:rsidR="0029451A" w:rsidRDefault="003D38A1" w:rsidP="003D38A1">
      <w:pPr>
        <w:spacing w:after="0"/>
        <w:jc w:val="both"/>
      </w:pPr>
      <w:r w:rsidRPr="00AF31CF">
        <w:t>Podobno kot pri absolutnih podatkih o številu brezposelnih oseb, se tudi stopnja registrirane brezposelnosti v občinah p</w:t>
      </w:r>
      <w:r w:rsidR="00782BB0" w:rsidRPr="00AF31CF">
        <w:t>roblemskega območja od leta 2014</w:t>
      </w:r>
      <w:r w:rsidRPr="00AF31CF">
        <w:t xml:space="preserve"> zmanjšuje.</w:t>
      </w:r>
      <w:r>
        <w:t xml:space="preserve"> </w:t>
      </w:r>
    </w:p>
    <w:p w:rsidR="00B77D25" w:rsidRPr="00C156EF" w:rsidRDefault="00B77D25" w:rsidP="00852390">
      <w:pPr>
        <w:spacing w:after="0"/>
      </w:pPr>
    </w:p>
    <w:p w:rsidR="00783FD9" w:rsidRPr="00C156EF" w:rsidRDefault="00F004CA" w:rsidP="00F004CA">
      <w:pPr>
        <w:pStyle w:val="Napis"/>
      </w:pPr>
      <w:r>
        <w:t xml:space="preserve">Tabela </w:t>
      </w:r>
      <w:fldSimple w:instr=" SEQ Tabela \* ARABIC ">
        <w:r w:rsidR="003218B5">
          <w:rPr>
            <w:noProof/>
          </w:rPr>
          <w:t>8</w:t>
        </w:r>
      </w:fldSimple>
      <w:r w:rsidR="0029451A">
        <w:t xml:space="preserve">: </w:t>
      </w:r>
      <w:r w:rsidR="00FD46F3">
        <w:t xml:space="preserve">Povprečna bruto mesečna plača </w:t>
      </w:r>
      <w:r w:rsidR="00FD46F3" w:rsidRPr="000C143C">
        <w:t>v občinah problems</w:t>
      </w:r>
      <w:r w:rsidR="00FD46F3">
        <w:t>kega območja v obdobju 201</w:t>
      </w:r>
      <w:r w:rsidR="00627478">
        <w:t>4</w:t>
      </w:r>
      <w:r w:rsidR="00FD46F3">
        <w:t>-201</w:t>
      </w:r>
      <w:r w:rsidR="00627478">
        <w:t>6</w:t>
      </w:r>
      <w:r w:rsidR="00052DF2">
        <w:t>, v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834"/>
        <w:gridCol w:w="1834"/>
        <w:gridCol w:w="1824"/>
      </w:tblGrid>
      <w:tr w:rsidR="00627478" w:rsidRPr="00C156EF" w:rsidTr="00627478">
        <w:trPr>
          <w:trHeight w:val="288"/>
        </w:trPr>
        <w:tc>
          <w:tcPr>
            <w:tcW w:w="3796" w:type="dxa"/>
            <w:shd w:val="clear" w:color="auto" w:fill="auto"/>
            <w:hideMark/>
          </w:tcPr>
          <w:p w:rsidR="00627478" w:rsidRPr="00C156EF" w:rsidRDefault="00627478" w:rsidP="00852390">
            <w:pPr>
              <w:spacing w:after="0"/>
              <w:rPr>
                <w:b/>
                <w:bCs/>
              </w:rPr>
            </w:pPr>
            <w:r w:rsidRPr="00C156EF">
              <w:rPr>
                <w:b/>
                <w:bCs/>
              </w:rPr>
              <w:t>Povprečna bruto mesečna plača</w:t>
            </w:r>
            <w:r>
              <w:rPr>
                <w:b/>
                <w:bCs/>
              </w:rPr>
              <w:t xml:space="preserve"> v EUR</w:t>
            </w:r>
          </w:p>
        </w:tc>
        <w:tc>
          <w:tcPr>
            <w:tcW w:w="1834" w:type="dxa"/>
            <w:shd w:val="clear" w:color="auto" w:fill="auto"/>
            <w:noWrap/>
            <w:hideMark/>
          </w:tcPr>
          <w:p w:rsidR="00627478" w:rsidRPr="00BB445E" w:rsidRDefault="00627478" w:rsidP="00BB445E">
            <w:pPr>
              <w:spacing w:after="0"/>
              <w:jc w:val="center"/>
              <w:rPr>
                <w:bCs/>
              </w:rPr>
            </w:pPr>
            <w:r w:rsidRPr="00BB445E">
              <w:rPr>
                <w:bCs/>
              </w:rPr>
              <w:t>2014</w:t>
            </w:r>
          </w:p>
        </w:tc>
        <w:tc>
          <w:tcPr>
            <w:tcW w:w="1834" w:type="dxa"/>
            <w:shd w:val="clear" w:color="auto" w:fill="auto"/>
            <w:noWrap/>
            <w:hideMark/>
          </w:tcPr>
          <w:p w:rsidR="00627478" w:rsidRPr="00BB445E" w:rsidRDefault="00627478" w:rsidP="00BB445E">
            <w:pPr>
              <w:spacing w:after="0"/>
              <w:jc w:val="center"/>
              <w:rPr>
                <w:bCs/>
              </w:rPr>
            </w:pPr>
            <w:r w:rsidRPr="00BB445E">
              <w:rPr>
                <w:bCs/>
              </w:rPr>
              <w:t>2015</w:t>
            </w:r>
          </w:p>
        </w:tc>
        <w:tc>
          <w:tcPr>
            <w:tcW w:w="1824" w:type="dxa"/>
          </w:tcPr>
          <w:p w:rsidR="00627478" w:rsidRPr="00BB445E" w:rsidRDefault="00627478" w:rsidP="00BB445E">
            <w:pPr>
              <w:spacing w:after="0"/>
              <w:jc w:val="center"/>
              <w:rPr>
                <w:bCs/>
              </w:rPr>
            </w:pPr>
            <w:r>
              <w:rPr>
                <w:bCs/>
              </w:rPr>
              <w:t>2016</w:t>
            </w:r>
          </w:p>
        </w:tc>
      </w:tr>
      <w:tr w:rsidR="00627478" w:rsidRPr="00C156EF" w:rsidTr="00627478">
        <w:trPr>
          <w:trHeight w:val="288"/>
        </w:trPr>
        <w:tc>
          <w:tcPr>
            <w:tcW w:w="3796" w:type="dxa"/>
            <w:shd w:val="clear" w:color="auto" w:fill="auto"/>
            <w:noWrap/>
          </w:tcPr>
          <w:p w:rsidR="00627478" w:rsidRPr="00C156EF" w:rsidRDefault="00627478" w:rsidP="00852390">
            <w:pPr>
              <w:spacing w:after="0"/>
            </w:pPr>
            <w:r w:rsidRPr="00C156EF">
              <w:t>Občina Hrastnik</w:t>
            </w:r>
          </w:p>
        </w:tc>
        <w:tc>
          <w:tcPr>
            <w:tcW w:w="1834" w:type="dxa"/>
            <w:shd w:val="clear" w:color="auto" w:fill="auto"/>
            <w:noWrap/>
            <w:vAlign w:val="center"/>
          </w:tcPr>
          <w:p w:rsidR="00627478" w:rsidRPr="00C156EF" w:rsidRDefault="00627478" w:rsidP="00852390">
            <w:pPr>
              <w:spacing w:after="0"/>
              <w:jc w:val="right"/>
            </w:pPr>
            <w:r>
              <w:t>1.311,53</w:t>
            </w:r>
          </w:p>
        </w:tc>
        <w:tc>
          <w:tcPr>
            <w:tcW w:w="1834" w:type="dxa"/>
            <w:shd w:val="clear" w:color="auto" w:fill="auto"/>
            <w:noWrap/>
            <w:vAlign w:val="center"/>
          </w:tcPr>
          <w:p w:rsidR="00627478" w:rsidRPr="00C156EF" w:rsidRDefault="00627478" w:rsidP="00852390">
            <w:pPr>
              <w:spacing w:after="0"/>
              <w:jc w:val="right"/>
            </w:pPr>
            <w:r>
              <w:t>1.342,35</w:t>
            </w:r>
          </w:p>
        </w:tc>
        <w:tc>
          <w:tcPr>
            <w:tcW w:w="1824" w:type="dxa"/>
          </w:tcPr>
          <w:p w:rsidR="00627478" w:rsidRPr="00C156EF" w:rsidRDefault="00627478" w:rsidP="00852390">
            <w:pPr>
              <w:spacing w:after="0"/>
              <w:jc w:val="right"/>
            </w:pPr>
            <w:r>
              <w:t>1.376,90</w:t>
            </w:r>
          </w:p>
        </w:tc>
      </w:tr>
      <w:tr w:rsidR="00627478" w:rsidRPr="00C156EF" w:rsidTr="00627478">
        <w:trPr>
          <w:trHeight w:val="288"/>
        </w:trPr>
        <w:tc>
          <w:tcPr>
            <w:tcW w:w="3796" w:type="dxa"/>
            <w:shd w:val="clear" w:color="auto" w:fill="auto"/>
            <w:noWrap/>
            <w:hideMark/>
          </w:tcPr>
          <w:p w:rsidR="00627478" w:rsidRPr="00C156EF" w:rsidRDefault="00627478" w:rsidP="00852390">
            <w:pPr>
              <w:spacing w:after="0"/>
            </w:pPr>
            <w:r w:rsidRPr="00C156EF">
              <w:t>Občina Radeče</w:t>
            </w:r>
          </w:p>
        </w:tc>
        <w:tc>
          <w:tcPr>
            <w:tcW w:w="1834" w:type="dxa"/>
            <w:shd w:val="clear" w:color="auto" w:fill="auto"/>
            <w:noWrap/>
            <w:vAlign w:val="center"/>
          </w:tcPr>
          <w:p w:rsidR="00627478" w:rsidRPr="00C156EF" w:rsidRDefault="00627478" w:rsidP="00852390">
            <w:pPr>
              <w:spacing w:after="0"/>
              <w:jc w:val="right"/>
            </w:pPr>
            <w:r>
              <w:t>1.301,64</w:t>
            </w:r>
          </w:p>
        </w:tc>
        <w:tc>
          <w:tcPr>
            <w:tcW w:w="1834" w:type="dxa"/>
            <w:shd w:val="clear" w:color="auto" w:fill="auto"/>
            <w:noWrap/>
            <w:vAlign w:val="center"/>
          </w:tcPr>
          <w:p w:rsidR="00627478" w:rsidRPr="00C156EF" w:rsidRDefault="00627478" w:rsidP="00852390">
            <w:pPr>
              <w:spacing w:after="0"/>
              <w:jc w:val="right"/>
            </w:pPr>
            <w:r>
              <w:t>1.320,50</w:t>
            </w:r>
          </w:p>
        </w:tc>
        <w:tc>
          <w:tcPr>
            <w:tcW w:w="1824" w:type="dxa"/>
          </w:tcPr>
          <w:p w:rsidR="00627478" w:rsidRPr="00C156EF" w:rsidRDefault="00627478" w:rsidP="00852390">
            <w:pPr>
              <w:spacing w:after="0"/>
              <w:jc w:val="right"/>
            </w:pPr>
            <w:r>
              <w:t>1.379,68</w:t>
            </w:r>
          </w:p>
        </w:tc>
      </w:tr>
      <w:tr w:rsidR="00627478" w:rsidRPr="00C156EF" w:rsidTr="00627478">
        <w:trPr>
          <w:trHeight w:val="288"/>
        </w:trPr>
        <w:tc>
          <w:tcPr>
            <w:tcW w:w="3796" w:type="dxa"/>
            <w:shd w:val="clear" w:color="auto" w:fill="auto"/>
            <w:noWrap/>
            <w:hideMark/>
          </w:tcPr>
          <w:p w:rsidR="00627478" w:rsidRPr="00C156EF" w:rsidRDefault="00627478" w:rsidP="00852390">
            <w:pPr>
              <w:spacing w:after="0"/>
            </w:pPr>
            <w:r w:rsidRPr="00C156EF">
              <w:t>Občina Trbovlje</w:t>
            </w:r>
          </w:p>
        </w:tc>
        <w:tc>
          <w:tcPr>
            <w:tcW w:w="1834" w:type="dxa"/>
            <w:shd w:val="clear" w:color="auto" w:fill="auto"/>
            <w:noWrap/>
            <w:vAlign w:val="center"/>
          </w:tcPr>
          <w:p w:rsidR="00627478" w:rsidRPr="00C156EF" w:rsidRDefault="00627478" w:rsidP="00852390">
            <w:pPr>
              <w:spacing w:after="0"/>
              <w:jc w:val="right"/>
            </w:pPr>
            <w:r>
              <w:t>1.562,67</w:t>
            </w:r>
          </w:p>
        </w:tc>
        <w:tc>
          <w:tcPr>
            <w:tcW w:w="1834" w:type="dxa"/>
            <w:shd w:val="clear" w:color="auto" w:fill="auto"/>
            <w:noWrap/>
            <w:vAlign w:val="center"/>
          </w:tcPr>
          <w:p w:rsidR="00627478" w:rsidRPr="00C156EF" w:rsidRDefault="00627478" w:rsidP="00852390">
            <w:pPr>
              <w:spacing w:after="0"/>
              <w:jc w:val="right"/>
            </w:pPr>
            <w:r>
              <w:t>1.558,06</w:t>
            </w:r>
          </w:p>
        </w:tc>
        <w:tc>
          <w:tcPr>
            <w:tcW w:w="1824" w:type="dxa"/>
          </w:tcPr>
          <w:p w:rsidR="00627478" w:rsidRPr="00C156EF" w:rsidRDefault="00627478" w:rsidP="00852390">
            <w:pPr>
              <w:spacing w:after="0"/>
              <w:jc w:val="right"/>
            </w:pPr>
            <w:r>
              <w:t>1.569,06</w:t>
            </w:r>
          </w:p>
        </w:tc>
      </w:tr>
      <w:tr w:rsidR="00627478" w:rsidRPr="00C156EF" w:rsidTr="00627478">
        <w:trPr>
          <w:trHeight w:val="288"/>
        </w:trPr>
        <w:tc>
          <w:tcPr>
            <w:tcW w:w="3796" w:type="dxa"/>
            <w:shd w:val="clear" w:color="auto" w:fill="auto"/>
            <w:noWrap/>
            <w:hideMark/>
          </w:tcPr>
          <w:p w:rsidR="00627478" w:rsidRPr="00C156EF" w:rsidRDefault="00627478" w:rsidP="00852390">
            <w:pPr>
              <w:spacing w:after="0"/>
            </w:pPr>
            <w:r w:rsidRPr="00C156EF">
              <w:t>Slovenija</w:t>
            </w:r>
          </w:p>
        </w:tc>
        <w:tc>
          <w:tcPr>
            <w:tcW w:w="1834" w:type="dxa"/>
            <w:shd w:val="clear" w:color="auto" w:fill="auto"/>
            <w:noWrap/>
            <w:vAlign w:val="center"/>
          </w:tcPr>
          <w:p w:rsidR="00627478" w:rsidRPr="00C156EF" w:rsidRDefault="00627478" w:rsidP="00852390">
            <w:pPr>
              <w:spacing w:after="0"/>
              <w:jc w:val="right"/>
            </w:pPr>
            <w:r>
              <w:t>1.540,25</w:t>
            </w:r>
          </w:p>
        </w:tc>
        <w:tc>
          <w:tcPr>
            <w:tcW w:w="1834" w:type="dxa"/>
            <w:shd w:val="clear" w:color="auto" w:fill="auto"/>
            <w:noWrap/>
            <w:vAlign w:val="center"/>
          </w:tcPr>
          <w:p w:rsidR="00627478" w:rsidRPr="00C156EF" w:rsidRDefault="00627478" w:rsidP="00852390">
            <w:pPr>
              <w:spacing w:after="0"/>
              <w:jc w:val="right"/>
            </w:pPr>
            <w:r>
              <w:t>1.555,89</w:t>
            </w:r>
          </w:p>
        </w:tc>
        <w:tc>
          <w:tcPr>
            <w:tcW w:w="1824" w:type="dxa"/>
          </w:tcPr>
          <w:p w:rsidR="00627478" w:rsidRPr="00C156EF" w:rsidRDefault="00627478" w:rsidP="00852390">
            <w:pPr>
              <w:spacing w:after="0"/>
              <w:jc w:val="right"/>
            </w:pPr>
            <w:r>
              <w:t>1.584,66</w:t>
            </w:r>
          </w:p>
        </w:tc>
      </w:tr>
    </w:tbl>
    <w:p w:rsidR="00821A53" w:rsidRPr="002C3ECE" w:rsidRDefault="00821A53" w:rsidP="00821A53">
      <w:pPr>
        <w:spacing w:after="0"/>
        <w:jc w:val="both"/>
        <w:rPr>
          <w:sz w:val="18"/>
          <w:szCs w:val="18"/>
        </w:rPr>
      </w:pPr>
      <w:r w:rsidRPr="003D38A1">
        <w:rPr>
          <w:sz w:val="18"/>
          <w:szCs w:val="18"/>
        </w:rPr>
        <w:t xml:space="preserve">VIR: </w:t>
      </w:r>
      <w:r w:rsidRPr="00C156EF">
        <w:rPr>
          <w:sz w:val="18"/>
        </w:rPr>
        <w:t>Statis</w:t>
      </w:r>
      <w:r>
        <w:rPr>
          <w:sz w:val="18"/>
        </w:rPr>
        <w:t>tični urad Republike Slovenije</w:t>
      </w:r>
    </w:p>
    <w:p w:rsidR="00852CFD" w:rsidRDefault="00852CFD" w:rsidP="00852390">
      <w:pPr>
        <w:tabs>
          <w:tab w:val="left" w:pos="3114"/>
        </w:tabs>
        <w:spacing w:after="0"/>
      </w:pPr>
    </w:p>
    <w:p w:rsidR="00052DF2" w:rsidRDefault="00EE6AE2" w:rsidP="00672378">
      <w:pPr>
        <w:tabs>
          <w:tab w:val="left" w:pos="3114"/>
        </w:tabs>
        <w:spacing w:after="0"/>
        <w:jc w:val="both"/>
      </w:pPr>
      <w:r w:rsidRPr="003D3D03">
        <w:t>Najvišjo</w:t>
      </w:r>
      <w:r w:rsidR="00052DF2" w:rsidRPr="003D3D03">
        <w:t xml:space="preserve"> povprečn</w:t>
      </w:r>
      <w:r w:rsidRPr="003D3D03">
        <w:t>o</w:t>
      </w:r>
      <w:r w:rsidR="00052DF2" w:rsidRPr="003D3D03">
        <w:t xml:space="preserve"> bruto</w:t>
      </w:r>
      <w:r w:rsidRPr="003D3D03">
        <w:t xml:space="preserve"> mesečno </w:t>
      </w:r>
      <w:r w:rsidR="00052DF2" w:rsidRPr="003D3D03">
        <w:t>plač</w:t>
      </w:r>
      <w:r w:rsidRPr="003D3D03">
        <w:t>o</w:t>
      </w:r>
      <w:r w:rsidR="00052DF2" w:rsidRPr="003D3D03">
        <w:t xml:space="preserve"> beležijo v občini Trbovlje,</w:t>
      </w:r>
      <w:r w:rsidR="003D3D03" w:rsidRPr="003D3D03">
        <w:t xml:space="preserve"> sicer pa se v vseh treh občinah postopoma povečuje v obdobju 2014-2016</w:t>
      </w:r>
      <w:r w:rsidR="00067849" w:rsidRPr="003D3D03">
        <w:t>.</w:t>
      </w:r>
      <w:r w:rsidR="00067849">
        <w:t xml:space="preserve"> </w:t>
      </w:r>
    </w:p>
    <w:p w:rsidR="00052DF2" w:rsidRDefault="00052DF2" w:rsidP="00852390">
      <w:pPr>
        <w:tabs>
          <w:tab w:val="left" w:pos="3114"/>
        </w:tabs>
        <w:spacing w:after="0"/>
      </w:pPr>
    </w:p>
    <w:p w:rsidR="00783FD9" w:rsidRPr="00C156EF" w:rsidRDefault="00EC6D83" w:rsidP="00EC6D83">
      <w:pPr>
        <w:pStyle w:val="Napis"/>
      </w:pPr>
      <w:r>
        <w:t xml:space="preserve">Tabela </w:t>
      </w:r>
      <w:fldSimple w:instr=" SEQ Tabela \* ARABIC ">
        <w:r w:rsidR="003218B5">
          <w:rPr>
            <w:noProof/>
          </w:rPr>
          <w:t>9</w:t>
        </w:r>
      </w:fldSimple>
      <w:r w:rsidR="00C774B2">
        <w:t xml:space="preserve"> </w:t>
      </w:r>
      <w:r w:rsidR="005E58B6">
        <w:t xml:space="preserve">: Število podjetij </w:t>
      </w:r>
      <w:r w:rsidR="005E58B6" w:rsidRPr="000C143C">
        <w:t>v občinah problems</w:t>
      </w:r>
      <w:r w:rsidR="005E58B6">
        <w:t>kega območja v obdobju 201</w:t>
      </w:r>
      <w:r w:rsidR="00627478">
        <w:t>3</w:t>
      </w:r>
      <w:r w:rsidR="005E58B6">
        <w:t>-201</w:t>
      </w:r>
      <w:r w:rsidR="00627478">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1815"/>
        <w:gridCol w:w="1815"/>
        <w:gridCol w:w="1815"/>
      </w:tblGrid>
      <w:tr w:rsidR="00627478" w:rsidRPr="00C156EF" w:rsidTr="00FC3CA8">
        <w:trPr>
          <w:trHeight w:val="288"/>
        </w:trPr>
        <w:tc>
          <w:tcPr>
            <w:tcW w:w="3687" w:type="dxa"/>
            <w:shd w:val="clear" w:color="auto" w:fill="auto"/>
            <w:hideMark/>
          </w:tcPr>
          <w:p w:rsidR="00627478" w:rsidRPr="00C156EF" w:rsidRDefault="00627478" w:rsidP="00852390">
            <w:pPr>
              <w:spacing w:after="0"/>
              <w:rPr>
                <w:b/>
                <w:bCs/>
              </w:rPr>
            </w:pPr>
            <w:r w:rsidRPr="00C156EF">
              <w:rPr>
                <w:b/>
                <w:bCs/>
              </w:rPr>
              <w:t xml:space="preserve">Število podjetij </w:t>
            </w:r>
          </w:p>
        </w:tc>
        <w:tc>
          <w:tcPr>
            <w:tcW w:w="1815" w:type="dxa"/>
            <w:shd w:val="clear" w:color="auto" w:fill="auto"/>
            <w:noWrap/>
            <w:hideMark/>
          </w:tcPr>
          <w:p w:rsidR="00627478" w:rsidRPr="00BB445E" w:rsidRDefault="00627478" w:rsidP="00665B53">
            <w:pPr>
              <w:spacing w:after="0"/>
              <w:jc w:val="center"/>
              <w:rPr>
                <w:bCs/>
              </w:rPr>
            </w:pPr>
            <w:r w:rsidRPr="00BB445E">
              <w:rPr>
                <w:bCs/>
              </w:rPr>
              <w:t>2013</w:t>
            </w:r>
          </w:p>
        </w:tc>
        <w:tc>
          <w:tcPr>
            <w:tcW w:w="1815" w:type="dxa"/>
            <w:shd w:val="clear" w:color="auto" w:fill="auto"/>
            <w:noWrap/>
            <w:hideMark/>
          </w:tcPr>
          <w:p w:rsidR="00627478" w:rsidRPr="00BB445E" w:rsidRDefault="00627478" w:rsidP="00665B53">
            <w:pPr>
              <w:spacing w:after="0"/>
              <w:jc w:val="center"/>
              <w:rPr>
                <w:bCs/>
              </w:rPr>
            </w:pPr>
            <w:r w:rsidRPr="00BB445E">
              <w:rPr>
                <w:bCs/>
              </w:rPr>
              <w:t>2014</w:t>
            </w:r>
          </w:p>
        </w:tc>
        <w:tc>
          <w:tcPr>
            <w:tcW w:w="1815" w:type="dxa"/>
          </w:tcPr>
          <w:p w:rsidR="00627478" w:rsidRPr="00BB445E" w:rsidRDefault="00627478" w:rsidP="00665B53">
            <w:pPr>
              <w:spacing w:after="0"/>
              <w:jc w:val="center"/>
              <w:rPr>
                <w:bCs/>
              </w:rPr>
            </w:pPr>
            <w:r>
              <w:rPr>
                <w:bCs/>
              </w:rPr>
              <w:t>2015</w:t>
            </w:r>
          </w:p>
        </w:tc>
      </w:tr>
      <w:tr w:rsidR="00944AB5" w:rsidRPr="00C156EF" w:rsidTr="001009B2">
        <w:trPr>
          <w:trHeight w:val="288"/>
        </w:trPr>
        <w:tc>
          <w:tcPr>
            <w:tcW w:w="3687" w:type="dxa"/>
            <w:shd w:val="clear" w:color="auto" w:fill="auto"/>
            <w:noWrap/>
            <w:hideMark/>
          </w:tcPr>
          <w:p w:rsidR="00944AB5" w:rsidRPr="00C156EF" w:rsidRDefault="00944AB5" w:rsidP="001009B2">
            <w:pPr>
              <w:spacing w:after="0"/>
            </w:pPr>
            <w:r w:rsidRPr="00C156EF">
              <w:t>Občina Hrastnik</w:t>
            </w:r>
          </w:p>
        </w:tc>
        <w:tc>
          <w:tcPr>
            <w:tcW w:w="1815" w:type="dxa"/>
            <w:shd w:val="clear" w:color="auto" w:fill="auto"/>
            <w:noWrap/>
            <w:vAlign w:val="center"/>
            <w:hideMark/>
          </w:tcPr>
          <w:p w:rsidR="00944AB5" w:rsidRPr="00C156EF" w:rsidRDefault="00944AB5" w:rsidP="001009B2">
            <w:pPr>
              <w:spacing w:after="0"/>
              <w:jc w:val="right"/>
            </w:pPr>
            <w:r w:rsidRPr="00C156EF">
              <w:t>486</w:t>
            </w:r>
          </w:p>
        </w:tc>
        <w:tc>
          <w:tcPr>
            <w:tcW w:w="1815" w:type="dxa"/>
            <w:shd w:val="clear" w:color="auto" w:fill="auto"/>
            <w:noWrap/>
            <w:vAlign w:val="center"/>
            <w:hideMark/>
          </w:tcPr>
          <w:p w:rsidR="00944AB5" w:rsidRPr="00C156EF" w:rsidRDefault="00944AB5" w:rsidP="001009B2">
            <w:pPr>
              <w:spacing w:after="0"/>
              <w:jc w:val="right"/>
            </w:pPr>
            <w:r w:rsidRPr="00C156EF">
              <w:t>500</w:t>
            </w:r>
          </w:p>
        </w:tc>
        <w:tc>
          <w:tcPr>
            <w:tcW w:w="1815" w:type="dxa"/>
          </w:tcPr>
          <w:p w:rsidR="00944AB5" w:rsidRPr="00C156EF" w:rsidRDefault="00944AB5" w:rsidP="001009B2">
            <w:pPr>
              <w:spacing w:after="0"/>
              <w:jc w:val="right"/>
            </w:pPr>
            <w:r>
              <w:t>499</w:t>
            </w:r>
          </w:p>
        </w:tc>
      </w:tr>
      <w:tr w:rsidR="00944AB5" w:rsidRPr="00C156EF" w:rsidTr="001009B2">
        <w:trPr>
          <w:trHeight w:val="288"/>
        </w:trPr>
        <w:tc>
          <w:tcPr>
            <w:tcW w:w="3687" w:type="dxa"/>
            <w:shd w:val="clear" w:color="auto" w:fill="auto"/>
            <w:noWrap/>
            <w:hideMark/>
          </w:tcPr>
          <w:p w:rsidR="00944AB5" w:rsidRPr="00C156EF" w:rsidRDefault="00944AB5" w:rsidP="001009B2">
            <w:pPr>
              <w:spacing w:after="0"/>
            </w:pPr>
            <w:r w:rsidRPr="00C156EF">
              <w:t>Občina Radeče</w:t>
            </w:r>
          </w:p>
        </w:tc>
        <w:tc>
          <w:tcPr>
            <w:tcW w:w="1815" w:type="dxa"/>
            <w:shd w:val="clear" w:color="auto" w:fill="auto"/>
            <w:noWrap/>
            <w:vAlign w:val="center"/>
            <w:hideMark/>
          </w:tcPr>
          <w:p w:rsidR="00944AB5" w:rsidRPr="00C156EF" w:rsidRDefault="00944AB5" w:rsidP="001009B2">
            <w:pPr>
              <w:spacing w:after="0"/>
              <w:jc w:val="right"/>
            </w:pPr>
            <w:r w:rsidRPr="00C156EF">
              <w:t>312</w:t>
            </w:r>
          </w:p>
        </w:tc>
        <w:tc>
          <w:tcPr>
            <w:tcW w:w="1815" w:type="dxa"/>
            <w:shd w:val="clear" w:color="auto" w:fill="auto"/>
            <w:noWrap/>
            <w:vAlign w:val="center"/>
            <w:hideMark/>
          </w:tcPr>
          <w:p w:rsidR="00944AB5" w:rsidRPr="00C156EF" w:rsidRDefault="00944AB5" w:rsidP="001009B2">
            <w:pPr>
              <w:spacing w:after="0"/>
              <w:jc w:val="right"/>
            </w:pPr>
            <w:r w:rsidRPr="00C156EF">
              <w:t>316</w:t>
            </w:r>
          </w:p>
        </w:tc>
        <w:tc>
          <w:tcPr>
            <w:tcW w:w="1815" w:type="dxa"/>
          </w:tcPr>
          <w:p w:rsidR="00944AB5" w:rsidRPr="00C156EF" w:rsidRDefault="00944AB5" w:rsidP="001009B2">
            <w:pPr>
              <w:spacing w:after="0"/>
              <w:jc w:val="right"/>
            </w:pPr>
            <w:r>
              <w:t>315</w:t>
            </w:r>
          </w:p>
        </w:tc>
      </w:tr>
      <w:tr w:rsidR="00944AB5" w:rsidRPr="00C156EF" w:rsidTr="001009B2">
        <w:trPr>
          <w:trHeight w:val="288"/>
        </w:trPr>
        <w:tc>
          <w:tcPr>
            <w:tcW w:w="3687" w:type="dxa"/>
            <w:shd w:val="clear" w:color="auto" w:fill="auto"/>
            <w:noWrap/>
            <w:hideMark/>
          </w:tcPr>
          <w:p w:rsidR="00944AB5" w:rsidRPr="00C156EF" w:rsidRDefault="00944AB5" w:rsidP="001009B2">
            <w:pPr>
              <w:spacing w:after="0"/>
            </w:pPr>
            <w:r w:rsidRPr="00C156EF">
              <w:t>Občina Trbovlje</w:t>
            </w:r>
          </w:p>
        </w:tc>
        <w:tc>
          <w:tcPr>
            <w:tcW w:w="1815" w:type="dxa"/>
            <w:shd w:val="clear" w:color="auto" w:fill="auto"/>
            <w:noWrap/>
            <w:vAlign w:val="center"/>
            <w:hideMark/>
          </w:tcPr>
          <w:p w:rsidR="00944AB5" w:rsidRPr="00C156EF" w:rsidRDefault="00944AB5" w:rsidP="001009B2">
            <w:pPr>
              <w:spacing w:after="0"/>
              <w:jc w:val="right"/>
            </w:pPr>
            <w:r w:rsidRPr="00C156EF">
              <w:t>1</w:t>
            </w:r>
            <w:r>
              <w:t>.</w:t>
            </w:r>
            <w:r w:rsidRPr="00C156EF">
              <w:t>030</w:t>
            </w:r>
          </w:p>
        </w:tc>
        <w:tc>
          <w:tcPr>
            <w:tcW w:w="1815" w:type="dxa"/>
            <w:shd w:val="clear" w:color="auto" w:fill="auto"/>
            <w:noWrap/>
            <w:vAlign w:val="center"/>
            <w:hideMark/>
          </w:tcPr>
          <w:p w:rsidR="00944AB5" w:rsidRPr="00C156EF" w:rsidRDefault="00944AB5" w:rsidP="001009B2">
            <w:pPr>
              <w:spacing w:after="0"/>
              <w:jc w:val="right"/>
            </w:pPr>
            <w:r w:rsidRPr="00C156EF">
              <w:t>1</w:t>
            </w:r>
            <w:r>
              <w:t>.</w:t>
            </w:r>
            <w:r w:rsidRPr="00C156EF">
              <w:t>031</w:t>
            </w:r>
          </w:p>
        </w:tc>
        <w:tc>
          <w:tcPr>
            <w:tcW w:w="1815" w:type="dxa"/>
          </w:tcPr>
          <w:p w:rsidR="00944AB5" w:rsidRPr="00C156EF" w:rsidRDefault="00944AB5" w:rsidP="001009B2">
            <w:pPr>
              <w:spacing w:after="0"/>
              <w:jc w:val="right"/>
            </w:pPr>
            <w:r>
              <w:t>1</w:t>
            </w:r>
            <w:r w:rsidR="00770DD3">
              <w:t>.</w:t>
            </w:r>
            <w:r>
              <w:t>065</w:t>
            </w:r>
          </w:p>
        </w:tc>
      </w:tr>
    </w:tbl>
    <w:p w:rsidR="00BD43D4" w:rsidRDefault="00B65A05" w:rsidP="00367226">
      <w:pPr>
        <w:spacing w:after="0"/>
        <w:jc w:val="both"/>
        <w:rPr>
          <w:sz w:val="18"/>
          <w:szCs w:val="18"/>
        </w:rPr>
      </w:pPr>
      <w:r w:rsidRPr="005E58B6">
        <w:rPr>
          <w:sz w:val="18"/>
          <w:szCs w:val="18"/>
        </w:rPr>
        <w:t>VIR: Statis</w:t>
      </w:r>
      <w:r w:rsidR="00944AB5">
        <w:rPr>
          <w:sz w:val="18"/>
          <w:szCs w:val="18"/>
        </w:rPr>
        <w:t>tični urad Republike Slovenije</w:t>
      </w:r>
    </w:p>
    <w:p w:rsidR="00944AB5" w:rsidRPr="005E58B6" w:rsidRDefault="00944AB5" w:rsidP="00367226">
      <w:pPr>
        <w:spacing w:after="0"/>
        <w:jc w:val="both"/>
        <w:rPr>
          <w:sz w:val="18"/>
          <w:szCs w:val="18"/>
        </w:rPr>
      </w:pPr>
    </w:p>
    <w:p w:rsidR="00B65A05" w:rsidRDefault="00B65A05" w:rsidP="00852390">
      <w:pPr>
        <w:tabs>
          <w:tab w:val="left" w:pos="3128"/>
        </w:tabs>
        <w:spacing w:after="0"/>
      </w:pPr>
    </w:p>
    <w:p w:rsidR="00367226" w:rsidRDefault="0070756B" w:rsidP="00852390">
      <w:pPr>
        <w:tabs>
          <w:tab w:val="left" w:pos="3128"/>
        </w:tabs>
        <w:spacing w:after="0"/>
      </w:pPr>
      <w:r>
        <w:t>Število podjetij se je v obdobju 201</w:t>
      </w:r>
      <w:r w:rsidR="00C774B2">
        <w:t>3</w:t>
      </w:r>
      <w:r>
        <w:t>-201</w:t>
      </w:r>
      <w:r w:rsidR="00C774B2">
        <w:t>5</w:t>
      </w:r>
      <w:r>
        <w:t xml:space="preserve"> </w:t>
      </w:r>
      <w:r w:rsidR="00770DD3">
        <w:t>najbolj povečalo v občini Trbovlje.</w:t>
      </w:r>
    </w:p>
    <w:p w:rsidR="0070756B" w:rsidRDefault="0070756B" w:rsidP="00852390">
      <w:pPr>
        <w:tabs>
          <w:tab w:val="left" w:pos="3128"/>
        </w:tabs>
        <w:spacing w:after="0"/>
      </w:pPr>
    </w:p>
    <w:p w:rsidR="006E099C" w:rsidRDefault="006E099C" w:rsidP="00852390">
      <w:pPr>
        <w:tabs>
          <w:tab w:val="left" w:pos="3128"/>
        </w:tabs>
        <w:spacing w:after="0"/>
      </w:pPr>
    </w:p>
    <w:p w:rsidR="006E099C" w:rsidRDefault="006E099C" w:rsidP="00852390">
      <w:pPr>
        <w:tabs>
          <w:tab w:val="left" w:pos="3128"/>
        </w:tabs>
        <w:spacing w:after="0"/>
      </w:pPr>
    </w:p>
    <w:p w:rsidR="006E099C" w:rsidRDefault="006E099C" w:rsidP="00852390">
      <w:pPr>
        <w:tabs>
          <w:tab w:val="left" w:pos="3128"/>
        </w:tabs>
        <w:spacing w:after="0"/>
      </w:pPr>
    </w:p>
    <w:p w:rsidR="006E099C" w:rsidRDefault="006E099C" w:rsidP="00852390">
      <w:pPr>
        <w:tabs>
          <w:tab w:val="left" w:pos="3128"/>
        </w:tabs>
        <w:spacing w:after="0"/>
      </w:pPr>
    </w:p>
    <w:p w:rsidR="009816E3" w:rsidRPr="00C156EF" w:rsidRDefault="00EC6D83" w:rsidP="00EC6D83">
      <w:pPr>
        <w:pStyle w:val="Napis"/>
      </w:pPr>
      <w:r>
        <w:lastRenderedPageBreak/>
        <w:t xml:space="preserve">Tabela </w:t>
      </w:r>
      <w:fldSimple w:instr=" SEQ Tabela \* ARABIC ">
        <w:r w:rsidR="003218B5">
          <w:rPr>
            <w:noProof/>
          </w:rPr>
          <w:t>10</w:t>
        </w:r>
      </w:fldSimple>
      <w:r w:rsidR="0018216D">
        <w:t xml:space="preserve">: Prihodki podjetij </w:t>
      </w:r>
      <w:r w:rsidR="0018216D" w:rsidRPr="000C143C">
        <w:t>v občinah pro</w:t>
      </w:r>
      <w:r w:rsidR="007F523F">
        <w:t>blemskega območja v obdobju 2013</w:t>
      </w:r>
      <w:r w:rsidR="0018216D" w:rsidRPr="000C143C">
        <w:t>-201</w:t>
      </w:r>
      <w:r w:rsidR="007F523F">
        <w:t>5</w:t>
      </w:r>
      <w:r w:rsidR="0018216D">
        <w:t xml:space="preserve"> (v 1000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1915"/>
        <w:gridCol w:w="1742"/>
        <w:gridCol w:w="1742"/>
      </w:tblGrid>
      <w:tr w:rsidR="00C774B2" w:rsidRPr="00C156EF" w:rsidTr="001009B2">
        <w:trPr>
          <w:trHeight w:val="572"/>
        </w:trPr>
        <w:tc>
          <w:tcPr>
            <w:tcW w:w="3625" w:type="dxa"/>
            <w:shd w:val="clear" w:color="auto" w:fill="auto"/>
            <w:hideMark/>
          </w:tcPr>
          <w:p w:rsidR="00C774B2" w:rsidRPr="00C156EF" w:rsidRDefault="00C774B2" w:rsidP="00852390">
            <w:pPr>
              <w:spacing w:after="0"/>
              <w:rPr>
                <w:b/>
                <w:bCs/>
              </w:rPr>
            </w:pPr>
            <w:r w:rsidRPr="00C156EF">
              <w:rPr>
                <w:b/>
                <w:bCs/>
              </w:rPr>
              <w:t>Prihodki podjetij (v 1000 EUR)</w:t>
            </w:r>
          </w:p>
        </w:tc>
        <w:tc>
          <w:tcPr>
            <w:tcW w:w="1915" w:type="dxa"/>
            <w:shd w:val="clear" w:color="auto" w:fill="auto"/>
            <w:noWrap/>
            <w:hideMark/>
          </w:tcPr>
          <w:p w:rsidR="00C774B2" w:rsidRPr="00BB445E" w:rsidRDefault="00C774B2" w:rsidP="00665B53">
            <w:pPr>
              <w:spacing w:after="0"/>
              <w:jc w:val="center"/>
              <w:rPr>
                <w:bCs/>
              </w:rPr>
            </w:pPr>
            <w:r w:rsidRPr="00BB445E">
              <w:rPr>
                <w:bCs/>
              </w:rPr>
              <w:t>2013</w:t>
            </w:r>
          </w:p>
        </w:tc>
        <w:tc>
          <w:tcPr>
            <w:tcW w:w="1742" w:type="dxa"/>
            <w:shd w:val="clear" w:color="auto" w:fill="auto"/>
            <w:noWrap/>
            <w:hideMark/>
          </w:tcPr>
          <w:p w:rsidR="00C774B2" w:rsidRPr="00BB445E" w:rsidRDefault="00C774B2" w:rsidP="00665B53">
            <w:pPr>
              <w:spacing w:after="0"/>
              <w:jc w:val="center"/>
              <w:rPr>
                <w:bCs/>
              </w:rPr>
            </w:pPr>
            <w:r w:rsidRPr="00BB445E">
              <w:rPr>
                <w:bCs/>
              </w:rPr>
              <w:t>2014</w:t>
            </w:r>
          </w:p>
        </w:tc>
        <w:tc>
          <w:tcPr>
            <w:tcW w:w="1742" w:type="dxa"/>
          </w:tcPr>
          <w:p w:rsidR="00C774B2" w:rsidRPr="00BB445E" w:rsidRDefault="00C774B2" w:rsidP="00665B53">
            <w:pPr>
              <w:spacing w:after="0"/>
              <w:jc w:val="center"/>
              <w:rPr>
                <w:bCs/>
              </w:rPr>
            </w:pPr>
            <w:r>
              <w:rPr>
                <w:bCs/>
              </w:rPr>
              <w:t>2015</w:t>
            </w:r>
          </w:p>
        </w:tc>
      </w:tr>
      <w:tr w:rsidR="00C774B2" w:rsidRPr="00C156EF" w:rsidTr="001009B2">
        <w:trPr>
          <w:trHeight w:val="286"/>
        </w:trPr>
        <w:tc>
          <w:tcPr>
            <w:tcW w:w="3625" w:type="dxa"/>
            <w:shd w:val="clear" w:color="auto" w:fill="auto"/>
            <w:noWrap/>
            <w:hideMark/>
          </w:tcPr>
          <w:p w:rsidR="00C774B2" w:rsidRPr="00C156EF" w:rsidRDefault="00C774B2" w:rsidP="001009B2">
            <w:pPr>
              <w:spacing w:after="0"/>
            </w:pPr>
            <w:r w:rsidRPr="00C156EF">
              <w:t>Občina Hrastnik</w:t>
            </w:r>
          </w:p>
        </w:tc>
        <w:tc>
          <w:tcPr>
            <w:tcW w:w="1915" w:type="dxa"/>
            <w:shd w:val="clear" w:color="auto" w:fill="auto"/>
            <w:noWrap/>
            <w:vAlign w:val="center"/>
            <w:hideMark/>
          </w:tcPr>
          <w:p w:rsidR="00C774B2" w:rsidRPr="00C156EF" w:rsidRDefault="00C774B2" w:rsidP="001009B2">
            <w:pPr>
              <w:spacing w:after="0"/>
              <w:jc w:val="right"/>
            </w:pPr>
            <w:r w:rsidRPr="00C156EF">
              <w:t>128</w:t>
            </w:r>
            <w:r>
              <w:t>.</w:t>
            </w:r>
            <w:r w:rsidRPr="00C156EF">
              <w:t>807</w:t>
            </w:r>
          </w:p>
        </w:tc>
        <w:tc>
          <w:tcPr>
            <w:tcW w:w="1742" w:type="dxa"/>
            <w:shd w:val="clear" w:color="auto" w:fill="auto"/>
            <w:noWrap/>
            <w:vAlign w:val="center"/>
            <w:hideMark/>
          </w:tcPr>
          <w:p w:rsidR="00C774B2" w:rsidRPr="00C156EF" w:rsidRDefault="00C774B2" w:rsidP="001009B2">
            <w:pPr>
              <w:spacing w:after="0"/>
              <w:jc w:val="right"/>
            </w:pPr>
            <w:r w:rsidRPr="00C156EF">
              <w:t>123</w:t>
            </w:r>
            <w:r>
              <w:t>.</w:t>
            </w:r>
            <w:r w:rsidRPr="00C156EF">
              <w:t>820</w:t>
            </w:r>
          </w:p>
        </w:tc>
        <w:tc>
          <w:tcPr>
            <w:tcW w:w="1742" w:type="dxa"/>
          </w:tcPr>
          <w:p w:rsidR="00C774B2" w:rsidRPr="00C156EF" w:rsidRDefault="00C774B2" w:rsidP="001009B2">
            <w:pPr>
              <w:spacing w:after="0"/>
              <w:jc w:val="right"/>
            </w:pPr>
            <w:r>
              <w:t>137.800</w:t>
            </w:r>
          </w:p>
        </w:tc>
      </w:tr>
      <w:tr w:rsidR="00C774B2" w:rsidRPr="00C156EF" w:rsidTr="001009B2">
        <w:trPr>
          <w:trHeight w:val="286"/>
        </w:trPr>
        <w:tc>
          <w:tcPr>
            <w:tcW w:w="3625" w:type="dxa"/>
            <w:shd w:val="clear" w:color="auto" w:fill="auto"/>
            <w:noWrap/>
            <w:hideMark/>
          </w:tcPr>
          <w:p w:rsidR="00C774B2" w:rsidRPr="00C156EF" w:rsidRDefault="00C774B2" w:rsidP="001009B2">
            <w:pPr>
              <w:spacing w:after="0"/>
            </w:pPr>
            <w:r w:rsidRPr="00C156EF">
              <w:t>Občina Radeče</w:t>
            </w:r>
          </w:p>
        </w:tc>
        <w:tc>
          <w:tcPr>
            <w:tcW w:w="1915" w:type="dxa"/>
            <w:shd w:val="clear" w:color="auto" w:fill="auto"/>
            <w:noWrap/>
            <w:vAlign w:val="center"/>
            <w:hideMark/>
          </w:tcPr>
          <w:p w:rsidR="00C774B2" w:rsidRPr="00C156EF" w:rsidRDefault="00C774B2" w:rsidP="001009B2">
            <w:pPr>
              <w:spacing w:after="0"/>
              <w:jc w:val="right"/>
            </w:pPr>
            <w:r w:rsidRPr="00C156EF">
              <w:t>40</w:t>
            </w:r>
            <w:r>
              <w:t>.</w:t>
            </w:r>
            <w:r w:rsidRPr="00C156EF">
              <w:t>084</w:t>
            </w:r>
          </w:p>
        </w:tc>
        <w:tc>
          <w:tcPr>
            <w:tcW w:w="1742" w:type="dxa"/>
            <w:shd w:val="clear" w:color="auto" w:fill="auto"/>
            <w:noWrap/>
            <w:vAlign w:val="center"/>
            <w:hideMark/>
          </w:tcPr>
          <w:p w:rsidR="00C774B2" w:rsidRPr="00C156EF" w:rsidRDefault="00C774B2" w:rsidP="001009B2">
            <w:pPr>
              <w:spacing w:after="0"/>
              <w:jc w:val="right"/>
            </w:pPr>
            <w:r w:rsidRPr="00C156EF">
              <w:t>58</w:t>
            </w:r>
            <w:r>
              <w:t>.</w:t>
            </w:r>
            <w:r w:rsidRPr="00C156EF">
              <w:t>313</w:t>
            </w:r>
          </w:p>
        </w:tc>
        <w:tc>
          <w:tcPr>
            <w:tcW w:w="1742" w:type="dxa"/>
          </w:tcPr>
          <w:p w:rsidR="00C774B2" w:rsidRPr="00C156EF" w:rsidRDefault="00C774B2" w:rsidP="001009B2">
            <w:pPr>
              <w:spacing w:after="0"/>
              <w:jc w:val="right"/>
            </w:pPr>
            <w:r>
              <w:t>75.494</w:t>
            </w:r>
          </w:p>
        </w:tc>
      </w:tr>
      <w:tr w:rsidR="00C774B2" w:rsidRPr="00C156EF" w:rsidTr="001009B2">
        <w:trPr>
          <w:trHeight w:val="286"/>
        </w:trPr>
        <w:tc>
          <w:tcPr>
            <w:tcW w:w="3625" w:type="dxa"/>
            <w:shd w:val="clear" w:color="auto" w:fill="auto"/>
            <w:noWrap/>
            <w:hideMark/>
          </w:tcPr>
          <w:p w:rsidR="00C774B2" w:rsidRPr="00C156EF" w:rsidRDefault="00C774B2" w:rsidP="00852390">
            <w:pPr>
              <w:spacing w:after="0"/>
            </w:pPr>
            <w:r w:rsidRPr="00C156EF">
              <w:t>Občina Trbovlje</w:t>
            </w:r>
          </w:p>
        </w:tc>
        <w:tc>
          <w:tcPr>
            <w:tcW w:w="1915" w:type="dxa"/>
            <w:shd w:val="clear" w:color="auto" w:fill="auto"/>
            <w:noWrap/>
            <w:vAlign w:val="center"/>
            <w:hideMark/>
          </w:tcPr>
          <w:p w:rsidR="00C774B2" w:rsidRPr="00C156EF" w:rsidRDefault="00C774B2" w:rsidP="00852390">
            <w:pPr>
              <w:spacing w:after="0"/>
              <w:jc w:val="right"/>
            </w:pPr>
            <w:r w:rsidRPr="00C156EF">
              <w:t>317</w:t>
            </w:r>
            <w:r>
              <w:t>.</w:t>
            </w:r>
            <w:r w:rsidRPr="00C156EF">
              <w:t>528</w:t>
            </w:r>
          </w:p>
        </w:tc>
        <w:tc>
          <w:tcPr>
            <w:tcW w:w="1742" w:type="dxa"/>
            <w:shd w:val="clear" w:color="auto" w:fill="auto"/>
            <w:noWrap/>
            <w:vAlign w:val="center"/>
            <w:hideMark/>
          </w:tcPr>
          <w:p w:rsidR="00C774B2" w:rsidRPr="00C156EF" w:rsidRDefault="00C774B2" w:rsidP="00852390">
            <w:pPr>
              <w:spacing w:after="0"/>
              <w:jc w:val="right"/>
            </w:pPr>
            <w:r w:rsidRPr="00C156EF">
              <w:t>307</w:t>
            </w:r>
            <w:r>
              <w:t>.</w:t>
            </w:r>
            <w:r w:rsidRPr="00C156EF">
              <w:t>464</w:t>
            </w:r>
          </w:p>
        </w:tc>
        <w:tc>
          <w:tcPr>
            <w:tcW w:w="1742" w:type="dxa"/>
          </w:tcPr>
          <w:p w:rsidR="00C774B2" w:rsidRPr="00C156EF" w:rsidRDefault="00C774B2" w:rsidP="00852390">
            <w:pPr>
              <w:spacing w:after="0"/>
              <w:jc w:val="right"/>
            </w:pPr>
            <w:r>
              <w:t>280.789</w:t>
            </w:r>
          </w:p>
        </w:tc>
      </w:tr>
    </w:tbl>
    <w:p w:rsidR="00D302A9" w:rsidRDefault="00D302A9" w:rsidP="00936583">
      <w:pPr>
        <w:spacing w:after="0"/>
        <w:jc w:val="both"/>
        <w:rPr>
          <w:sz w:val="18"/>
          <w:szCs w:val="18"/>
        </w:rPr>
      </w:pPr>
      <w:r w:rsidRPr="00080B08">
        <w:rPr>
          <w:sz w:val="18"/>
          <w:szCs w:val="18"/>
        </w:rPr>
        <w:t>VIR:Statis</w:t>
      </w:r>
      <w:r w:rsidR="000A333A">
        <w:rPr>
          <w:sz w:val="18"/>
          <w:szCs w:val="18"/>
        </w:rPr>
        <w:t>tični urad Republike Slovenije</w:t>
      </w:r>
    </w:p>
    <w:p w:rsidR="00C774B2" w:rsidRDefault="00C774B2" w:rsidP="00936583">
      <w:pPr>
        <w:spacing w:after="0"/>
        <w:jc w:val="both"/>
        <w:rPr>
          <w:sz w:val="18"/>
          <w:szCs w:val="18"/>
        </w:rPr>
      </w:pPr>
    </w:p>
    <w:p w:rsidR="00C774B2" w:rsidRPr="00080B08" w:rsidRDefault="00C774B2" w:rsidP="00936583">
      <w:pPr>
        <w:spacing w:after="0"/>
        <w:jc w:val="both"/>
        <w:rPr>
          <w:sz w:val="18"/>
          <w:szCs w:val="18"/>
        </w:rPr>
      </w:pPr>
    </w:p>
    <w:p w:rsidR="00F320E8" w:rsidRDefault="00F20E39" w:rsidP="003759C3">
      <w:pPr>
        <w:tabs>
          <w:tab w:val="left" w:pos="3031"/>
        </w:tabs>
        <w:spacing w:after="0"/>
        <w:jc w:val="both"/>
      </w:pPr>
      <w:r>
        <w:t xml:space="preserve">Največ prihodkov ustvarjajo podjetja iz občine Trbovlje, </w:t>
      </w:r>
      <w:r w:rsidR="007F523F">
        <w:t xml:space="preserve">vendar se njihova višina zmanjšuje, medtem ko se obseg prihodkov podjetij v občinah Hrastnik in Trbovlje povečuje. </w:t>
      </w:r>
    </w:p>
    <w:p w:rsidR="00F320E8" w:rsidRDefault="00F320E8" w:rsidP="00852390">
      <w:pPr>
        <w:tabs>
          <w:tab w:val="left" w:pos="3031"/>
        </w:tabs>
        <w:spacing w:after="0"/>
      </w:pPr>
    </w:p>
    <w:p w:rsidR="00914C87" w:rsidRDefault="00914C87" w:rsidP="00852390">
      <w:pPr>
        <w:tabs>
          <w:tab w:val="left" w:pos="3031"/>
        </w:tabs>
        <w:spacing w:after="0"/>
      </w:pPr>
    </w:p>
    <w:p w:rsidR="009816E3" w:rsidRPr="00C156EF" w:rsidRDefault="00EC6D83" w:rsidP="00EC6D83">
      <w:pPr>
        <w:pStyle w:val="Napis"/>
      </w:pPr>
      <w:r>
        <w:t xml:space="preserve">Tabela </w:t>
      </w:r>
      <w:fldSimple w:instr=" SEQ Tabela \* ARABIC ">
        <w:r w:rsidR="003218B5">
          <w:rPr>
            <w:noProof/>
          </w:rPr>
          <w:t>11</w:t>
        </w:r>
      </w:fldSimple>
      <w:r w:rsidR="00BF600E">
        <w:t xml:space="preserve">: </w:t>
      </w:r>
      <w:r w:rsidR="008C5F38">
        <w:t>I</w:t>
      </w:r>
      <w:r w:rsidR="00BF600E">
        <w:t xml:space="preserve">nvesticije v osnovna sredstva </w:t>
      </w:r>
      <w:r w:rsidR="00731FF3">
        <w:t xml:space="preserve">podjetij v </w:t>
      </w:r>
      <w:r w:rsidR="00BF600E" w:rsidRPr="000C143C">
        <w:t>občinah problems</w:t>
      </w:r>
      <w:r w:rsidR="00BF600E">
        <w:t>kega območja v obdobju 201</w:t>
      </w:r>
      <w:r w:rsidR="00CC0BC2">
        <w:t>3</w:t>
      </w:r>
      <w:r w:rsidR="00BF600E">
        <w:t>-201</w:t>
      </w:r>
      <w:r w:rsidR="00CC0BC2">
        <w:t>5</w:t>
      </w:r>
      <w:r w:rsidR="00BF600E">
        <w:t xml:space="preserve"> (v 1000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830"/>
        <w:gridCol w:w="1830"/>
        <w:gridCol w:w="1830"/>
      </w:tblGrid>
      <w:tr w:rsidR="00C774B2" w:rsidRPr="00C156EF" w:rsidTr="001009B2">
        <w:trPr>
          <w:trHeight w:val="586"/>
        </w:trPr>
        <w:tc>
          <w:tcPr>
            <w:tcW w:w="3717" w:type="dxa"/>
            <w:shd w:val="clear" w:color="auto" w:fill="auto"/>
            <w:hideMark/>
          </w:tcPr>
          <w:p w:rsidR="00C774B2" w:rsidRPr="00C156EF" w:rsidRDefault="00C774B2" w:rsidP="00852390">
            <w:pPr>
              <w:spacing w:after="0"/>
              <w:rPr>
                <w:b/>
                <w:bCs/>
              </w:rPr>
            </w:pPr>
            <w:r w:rsidRPr="00C156EF">
              <w:rPr>
                <w:b/>
                <w:bCs/>
              </w:rPr>
              <w:t>Investicije v osnovna sredstva (v 1000 EUR)</w:t>
            </w:r>
          </w:p>
        </w:tc>
        <w:tc>
          <w:tcPr>
            <w:tcW w:w="1830" w:type="dxa"/>
            <w:shd w:val="clear" w:color="auto" w:fill="auto"/>
            <w:noWrap/>
            <w:hideMark/>
          </w:tcPr>
          <w:p w:rsidR="00C774B2" w:rsidRPr="00C156EF" w:rsidRDefault="00C774B2" w:rsidP="00963BC8">
            <w:pPr>
              <w:spacing w:after="0"/>
              <w:jc w:val="center"/>
            </w:pPr>
            <w:r>
              <w:t>2013</w:t>
            </w:r>
          </w:p>
        </w:tc>
        <w:tc>
          <w:tcPr>
            <w:tcW w:w="1830" w:type="dxa"/>
            <w:shd w:val="clear" w:color="auto" w:fill="auto"/>
            <w:noWrap/>
            <w:hideMark/>
          </w:tcPr>
          <w:p w:rsidR="00C774B2" w:rsidRPr="00C156EF" w:rsidRDefault="00C774B2" w:rsidP="00963BC8">
            <w:pPr>
              <w:spacing w:after="0"/>
              <w:jc w:val="center"/>
            </w:pPr>
            <w:r>
              <w:t>2014</w:t>
            </w:r>
          </w:p>
        </w:tc>
        <w:tc>
          <w:tcPr>
            <w:tcW w:w="1830" w:type="dxa"/>
          </w:tcPr>
          <w:p w:rsidR="00C774B2" w:rsidRDefault="00C774B2" w:rsidP="00963BC8">
            <w:pPr>
              <w:spacing w:after="0"/>
              <w:jc w:val="center"/>
            </w:pPr>
            <w:r>
              <w:t>2015</w:t>
            </w:r>
          </w:p>
        </w:tc>
      </w:tr>
      <w:tr w:rsidR="00C774B2" w:rsidRPr="00C156EF" w:rsidTr="001009B2">
        <w:trPr>
          <w:trHeight w:val="293"/>
        </w:trPr>
        <w:tc>
          <w:tcPr>
            <w:tcW w:w="3717" w:type="dxa"/>
            <w:shd w:val="clear" w:color="auto" w:fill="auto"/>
            <w:noWrap/>
            <w:hideMark/>
          </w:tcPr>
          <w:p w:rsidR="00C774B2" w:rsidRPr="00C156EF" w:rsidRDefault="00C774B2" w:rsidP="00852390">
            <w:pPr>
              <w:spacing w:after="0"/>
            </w:pPr>
            <w:r w:rsidRPr="00C156EF">
              <w:t>Občina Hrastnik</w:t>
            </w:r>
          </w:p>
        </w:tc>
        <w:tc>
          <w:tcPr>
            <w:tcW w:w="1830" w:type="dxa"/>
            <w:shd w:val="clear" w:color="auto" w:fill="auto"/>
            <w:noWrap/>
            <w:vAlign w:val="center"/>
            <w:hideMark/>
          </w:tcPr>
          <w:p w:rsidR="00C774B2" w:rsidRPr="00C156EF" w:rsidRDefault="00C774B2" w:rsidP="00852390">
            <w:pPr>
              <w:spacing w:after="0"/>
              <w:jc w:val="right"/>
            </w:pPr>
            <w:r w:rsidRPr="00C156EF">
              <w:t>16</w:t>
            </w:r>
            <w:r>
              <w:t>.</w:t>
            </w:r>
            <w:r w:rsidRPr="00C156EF">
              <w:t>474</w:t>
            </w:r>
          </w:p>
        </w:tc>
        <w:tc>
          <w:tcPr>
            <w:tcW w:w="1830" w:type="dxa"/>
            <w:shd w:val="clear" w:color="auto" w:fill="auto"/>
            <w:noWrap/>
            <w:vAlign w:val="center"/>
            <w:hideMark/>
          </w:tcPr>
          <w:p w:rsidR="00C774B2" w:rsidRPr="00C156EF" w:rsidRDefault="00C774B2" w:rsidP="00852390">
            <w:pPr>
              <w:spacing w:after="0"/>
              <w:jc w:val="right"/>
            </w:pPr>
            <w:r w:rsidRPr="00C156EF">
              <w:t>17</w:t>
            </w:r>
            <w:r>
              <w:t>.</w:t>
            </w:r>
            <w:r w:rsidRPr="00C156EF">
              <w:t>207</w:t>
            </w:r>
          </w:p>
        </w:tc>
        <w:tc>
          <w:tcPr>
            <w:tcW w:w="1830" w:type="dxa"/>
          </w:tcPr>
          <w:p w:rsidR="00C774B2" w:rsidRPr="00C156EF" w:rsidRDefault="00C774B2" w:rsidP="00852390">
            <w:pPr>
              <w:spacing w:after="0"/>
              <w:jc w:val="right"/>
            </w:pPr>
            <w:r>
              <w:t>16.436</w:t>
            </w:r>
          </w:p>
        </w:tc>
      </w:tr>
      <w:tr w:rsidR="00C774B2" w:rsidRPr="00C156EF" w:rsidTr="001009B2">
        <w:trPr>
          <w:trHeight w:val="293"/>
        </w:trPr>
        <w:tc>
          <w:tcPr>
            <w:tcW w:w="3717" w:type="dxa"/>
            <w:shd w:val="clear" w:color="auto" w:fill="auto"/>
            <w:noWrap/>
            <w:hideMark/>
          </w:tcPr>
          <w:p w:rsidR="00C774B2" w:rsidRPr="00C156EF" w:rsidRDefault="00C774B2" w:rsidP="00852390">
            <w:pPr>
              <w:spacing w:after="0"/>
            </w:pPr>
            <w:r w:rsidRPr="00C156EF">
              <w:t>Občina Radeče</w:t>
            </w:r>
          </w:p>
        </w:tc>
        <w:tc>
          <w:tcPr>
            <w:tcW w:w="1830" w:type="dxa"/>
            <w:shd w:val="clear" w:color="auto" w:fill="auto"/>
            <w:noWrap/>
            <w:vAlign w:val="center"/>
            <w:hideMark/>
          </w:tcPr>
          <w:p w:rsidR="00C774B2" w:rsidRPr="00C156EF" w:rsidRDefault="00C774B2" w:rsidP="00852390">
            <w:pPr>
              <w:spacing w:after="0"/>
              <w:jc w:val="right"/>
            </w:pPr>
            <w:r w:rsidRPr="00C156EF">
              <w:t>2</w:t>
            </w:r>
            <w:r>
              <w:t>.</w:t>
            </w:r>
            <w:r w:rsidRPr="00C156EF">
              <w:t>060</w:t>
            </w:r>
          </w:p>
        </w:tc>
        <w:tc>
          <w:tcPr>
            <w:tcW w:w="1830" w:type="dxa"/>
            <w:shd w:val="clear" w:color="auto" w:fill="auto"/>
            <w:noWrap/>
            <w:vAlign w:val="center"/>
            <w:hideMark/>
          </w:tcPr>
          <w:p w:rsidR="00C774B2" w:rsidRPr="00C156EF" w:rsidRDefault="00C774B2" w:rsidP="00852390">
            <w:pPr>
              <w:spacing w:after="0"/>
              <w:jc w:val="right"/>
            </w:pPr>
            <w:r w:rsidRPr="00C156EF">
              <w:t>6</w:t>
            </w:r>
            <w:r>
              <w:t>.</w:t>
            </w:r>
            <w:r w:rsidRPr="00C156EF">
              <w:t>272</w:t>
            </w:r>
          </w:p>
        </w:tc>
        <w:tc>
          <w:tcPr>
            <w:tcW w:w="1830" w:type="dxa"/>
          </w:tcPr>
          <w:p w:rsidR="00C774B2" w:rsidRPr="00C156EF" w:rsidRDefault="00C774B2" w:rsidP="00852390">
            <w:pPr>
              <w:spacing w:after="0"/>
              <w:jc w:val="right"/>
            </w:pPr>
            <w:r>
              <w:t>2.709</w:t>
            </w:r>
          </w:p>
        </w:tc>
      </w:tr>
      <w:tr w:rsidR="00C774B2" w:rsidRPr="00C156EF" w:rsidTr="001009B2">
        <w:trPr>
          <w:trHeight w:val="293"/>
        </w:trPr>
        <w:tc>
          <w:tcPr>
            <w:tcW w:w="3717" w:type="dxa"/>
            <w:shd w:val="clear" w:color="auto" w:fill="auto"/>
            <w:noWrap/>
            <w:hideMark/>
          </w:tcPr>
          <w:p w:rsidR="00C774B2" w:rsidRPr="00C156EF" w:rsidRDefault="00C774B2" w:rsidP="001009B2">
            <w:pPr>
              <w:spacing w:after="0"/>
            </w:pPr>
            <w:r w:rsidRPr="00C156EF">
              <w:t>Občina Trbovlje</w:t>
            </w:r>
          </w:p>
        </w:tc>
        <w:tc>
          <w:tcPr>
            <w:tcW w:w="1830" w:type="dxa"/>
            <w:shd w:val="clear" w:color="auto" w:fill="auto"/>
            <w:noWrap/>
            <w:vAlign w:val="center"/>
            <w:hideMark/>
          </w:tcPr>
          <w:p w:rsidR="00C774B2" w:rsidRPr="00C156EF" w:rsidRDefault="00C774B2" w:rsidP="001009B2">
            <w:pPr>
              <w:spacing w:after="0"/>
              <w:jc w:val="right"/>
            </w:pPr>
            <w:r w:rsidRPr="00C156EF">
              <w:t>10</w:t>
            </w:r>
            <w:r>
              <w:t>.</w:t>
            </w:r>
            <w:r w:rsidRPr="00C156EF">
              <w:t>192</w:t>
            </w:r>
          </w:p>
        </w:tc>
        <w:tc>
          <w:tcPr>
            <w:tcW w:w="1830" w:type="dxa"/>
            <w:shd w:val="clear" w:color="auto" w:fill="auto"/>
            <w:noWrap/>
            <w:vAlign w:val="center"/>
            <w:hideMark/>
          </w:tcPr>
          <w:p w:rsidR="00C774B2" w:rsidRPr="00C156EF" w:rsidRDefault="00C774B2" w:rsidP="001009B2">
            <w:pPr>
              <w:spacing w:after="0"/>
              <w:jc w:val="right"/>
            </w:pPr>
            <w:r w:rsidRPr="00C156EF">
              <w:t>21</w:t>
            </w:r>
            <w:r>
              <w:t>.</w:t>
            </w:r>
            <w:r w:rsidRPr="00C156EF">
              <w:t>056</w:t>
            </w:r>
          </w:p>
        </w:tc>
        <w:tc>
          <w:tcPr>
            <w:tcW w:w="1830" w:type="dxa"/>
          </w:tcPr>
          <w:p w:rsidR="00C774B2" w:rsidRPr="00C156EF" w:rsidRDefault="00C774B2" w:rsidP="001009B2">
            <w:pPr>
              <w:spacing w:after="0"/>
              <w:jc w:val="right"/>
            </w:pPr>
            <w:r>
              <w:t>12.379</w:t>
            </w:r>
          </w:p>
        </w:tc>
      </w:tr>
    </w:tbl>
    <w:p w:rsidR="00D302A9" w:rsidRPr="00080B08" w:rsidRDefault="00D302A9" w:rsidP="00B64C31">
      <w:pPr>
        <w:spacing w:after="0"/>
        <w:jc w:val="both"/>
        <w:rPr>
          <w:sz w:val="18"/>
          <w:szCs w:val="18"/>
        </w:rPr>
      </w:pPr>
      <w:r w:rsidRPr="00080B08">
        <w:rPr>
          <w:sz w:val="18"/>
          <w:szCs w:val="18"/>
        </w:rPr>
        <w:t>VIR:  Statistični urad R</w:t>
      </w:r>
      <w:r w:rsidR="00C774B2">
        <w:rPr>
          <w:sz w:val="18"/>
          <w:szCs w:val="18"/>
        </w:rPr>
        <w:t>epublike Slovenije</w:t>
      </w:r>
    </w:p>
    <w:p w:rsidR="008834D7" w:rsidRDefault="008834D7" w:rsidP="00374D35">
      <w:pPr>
        <w:tabs>
          <w:tab w:val="left" w:pos="3128"/>
        </w:tabs>
        <w:spacing w:after="0"/>
        <w:jc w:val="both"/>
      </w:pPr>
    </w:p>
    <w:p w:rsidR="00B64C31" w:rsidRDefault="00CC0BC2" w:rsidP="00CC0BC2">
      <w:pPr>
        <w:tabs>
          <w:tab w:val="left" w:pos="3128"/>
        </w:tabs>
        <w:spacing w:after="0"/>
        <w:jc w:val="both"/>
      </w:pPr>
      <w:r>
        <w:t>Obseg investicij v osnovna sredstva se je v letu 2015 zmanjšal v vseh treh občinah glede na predhodne leto.</w:t>
      </w:r>
    </w:p>
    <w:p w:rsidR="00237CEB" w:rsidRPr="00C156EF" w:rsidRDefault="00237CEB" w:rsidP="00852390">
      <w:pPr>
        <w:spacing w:after="0"/>
      </w:pPr>
    </w:p>
    <w:p w:rsidR="009816E3" w:rsidRPr="00C156EF" w:rsidRDefault="00935AED" w:rsidP="00852390">
      <w:pPr>
        <w:pStyle w:val="Naslov2"/>
        <w:rPr>
          <w:rFonts w:ascii="Calibri" w:hAnsi="Calibri"/>
        </w:rPr>
      </w:pPr>
      <w:bookmarkStart w:id="6" w:name="_Toc503180597"/>
      <w:r w:rsidRPr="00C156EF">
        <w:rPr>
          <w:rFonts w:ascii="Calibri" w:hAnsi="Calibri"/>
        </w:rPr>
        <w:t>Stopnja registrirane brezposelnosti</w:t>
      </w:r>
      <w:bookmarkEnd w:id="6"/>
    </w:p>
    <w:p w:rsidR="00935AED" w:rsidRPr="00C156EF" w:rsidRDefault="00935AED" w:rsidP="00852390">
      <w:pPr>
        <w:spacing w:after="0"/>
        <w:jc w:val="both"/>
        <w:rPr>
          <w:rFonts w:cs="Arial"/>
          <w:bCs/>
        </w:rPr>
      </w:pPr>
      <w:r w:rsidRPr="00C156EF">
        <w:rPr>
          <w:rFonts w:cs="Arial"/>
          <w:bCs/>
        </w:rPr>
        <w:t>Problemsko območje z visoko brezposelnostjo je lahko le strnjeno območje več občin, na katerem živi najmanj 20.000 prebivalcev. Šteje se, da so se gospodarske razmere na določenem območju poslabšale do stopnje, ko registrirana brezposelnost doseže kritično mejo, če je stopnja registrirane brezposelnosti v upravni enoti najmanj tri zaporedne mesece 17,0-odstotna ali višja.</w:t>
      </w:r>
    </w:p>
    <w:p w:rsidR="00935AED" w:rsidRPr="00C156EF" w:rsidRDefault="00935AED" w:rsidP="00852390">
      <w:pPr>
        <w:spacing w:after="0"/>
        <w:jc w:val="both"/>
        <w:rPr>
          <w:rFonts w:cs="Arial"/>
          <w:bCs/>
        </w:rPr>
      </w:pPr>
    </w:p>
    <w:p w:rsidR="00935AED" w:rsidRPr="00C156EF" w:rsidRDefault="00FD6ACC" w:rsidP="00FD6ACC">
      <w:pPr>
        <w:pStyle w:val="Napis"/>
      </w:pPr>
      <w:r>
        <w:t xml:space="preserve">Tabela </w:t>
      </w:r>
      <w:fldSimple w:instr=" SEQ Tabela \* ARABIC ">
        <w:r w:rsidR="003218B5">
          <w:rPr>
            <w:noProof/>
          </w:rPr>
          <w:t>12</w:t>
        </w:r>
      </w:fldSimple>
      <w:r w:rsidR="00935AED" w:rsidRPr="00C156EF">
        <w:t>: Stopnja registrirane brezposelnosti v Občinah, Hrastnik, Radeče, Trbovlje,  v %</w:t>
      </w: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
        <w:gridCol w:w="992"/>
        <w:gridCol w:w="950"/>
        <w:gridCol w:w="1093"/>
        <w:gridCol w:w="772"/>
        <w:gridCol w:w="1296"/>
        <w:gridCol w:w="992"/>
        <w:gridCol w:w="1134"/>
        <w:gridCol w:w="1062"/>
      </w:tblGrid>
      <w:tr w:rsidR="00935AED" w:rsidRPr="00A3650E" w:rsidTr="00D672B0">
        <w:trPr>
          <w:trHeight w:val="300"/>
        </w:trPr>
        <w:tc>
          <w:tcPr>
            <w:tcW w:w="866" w:type="dxa"/>
            <w:shd w:val="clear" w:color="auto" w:fill="D9D9D9"/>
            <w:noWrap/>
            <w:vAlign w:val="bottom"/>
            <w:hideMark/>
          </w:tcPr>
          <w:p w:rsidR="00935AED" w:rsidRPr="00A3650E" w:rsidRDefault="00935AED" w:rsidP="00852390">
            <w:pPr>
              <w:spacing w:after="0"/>
              <w:rPr>
                <w:rFonts w:eastAsia="Times New Roman"/>
                <w:color w:val="000000"/>
                <w:sz w:val="18"/>
                <w:szCs w:val="18"/>
                <w:lang w:eastAsia="sl-SI"/>
              </w:rPr>
            </w:pPr>
            <w:r w:rsidRPr="00A3650E">
              <w:rPr>
                <w:rFonts w:eastAsia="Times New Roman"/>
                <w:color w:val="000000"/>
                <w:sz w:val="18"/>
                <w:szCs w:val="18"/>
                <w:lang w:eastAsia="sl-SI"/>
              </w:rPr>
              <w:t> </w:t>
            </w:r>
          </w:p>
        </w:tc>
        <w:tc>
          <w:tcPr>
            <w:tcW w:w="992" w:type="dxa"/>
            <w:shd w:val="clear" w:color="auto" w:fill="D9D9D9"/>
            <w:noWrap/>
            <w:vAlign w:val="bottom"/>
            <w:hideMark/>
          </w:tcPr>
          <w:p w:rsidR="00935AED" w:rsidRPr="00A3650E" w:rsidRDefault="00935AED" w:rsidP="00852390">
            <w:pPr>
              <w:spacing w:after="0"/>
              <w:rPr>
                <w:rFonts w:eastAsia="Times New Roman"/>
                <w:color w:val="000000"/>
                <w:sz w:val="18"/>
                <w:szCs w:val="18"/>
                <w:lang w:eastAsia="sl-SI"/>
              </w:rPr>
            </w:pPr>
            <w:r w:rsidRPr="00A3650E">
              <w:rPr>
                <w:rFonts w:eastAsia="Times New Roman"/>
                <w:color w:val="000000"/>
                <w:sz w:val="18"/>
                <w:szCs w:val="18"/>
                <w:lang w:eastAsia="sl-SI"/>
              </w:rPr>
              <w:t> </w:t>
            </w:r>
          </w:p>
        </w:tc>
        <w:tc>
          <w:tcPr>
            <w:tcW w:w="950" w:type="dxa"/>
            <w:shd w:val="clear" w:color="auto" w:fill="D9D9D9"/>
          </w:tcPr>
          <w:p w:rsidR="00935AED" w:rsidRPr="00A3650E" w:rsidRDefault="00935AED" w:rsidP="00852390">
            <w:pPr>
              <w:spacing w:after="0"/>
              <w:jc w:val="center"/>
              <w:rPr>
                <w:rFonts w:eastAsia="Times New Roman"/>
                <w:color w:val="000000"/>
                <w:sz w:val="18"/>
                <w:szCs w:val="18"/>
                <w:lang w:eastAsia="sl-SI"/>
              </w:rPr>
            </w:pPr>
          </w:p>
        </w:tc>
        <w:tc>
          <w:tcPr>
            <w:tcW w:w="1093" w:type="dxa"/>
            <w:shd w:val="clear" w:color="auto" w:fill="D9D9D9"/>
          </w:tcPr>
          <w:p w:rsidR="00935AED" w:rsidRPr="00A3650E" w:rsidRDefault="00935AED" w:rsidP="00852390">
            <w:pPr>
              <w:spacing w:after="0"/>
              <w:jc w:val="center"/>
              <w:rPr>
                <w:rFonts w:eastAsia="Times New Roman"/>
                <w:color w:val="000000"/>
                <w:sz w:val="18"/>
                <w:szCs w:val="18"/>
                <w:lang w:eastAsia="sl-SI"/>
              </w:rPr>
            </w:pPr>
            <w:r w:rsidRPr="00A3650E">
              <w:rPr>
                <w:rFonts w:eastAsia="Times New Roman"/>
                <w:color w:val="000000"/>
                <w:sz w:val="18"/>
                <w:szCs w:val="18"/>
                <w:lang w:eastAsia="sl-SI"/>
              </w:rPr>
              <w:t>2012*</w:t>
            </w:r>
          </w:p>
        </w:tc>
        <w:tc>
          <w:tcPr>
            <w:tcW w:w="2068" w:type="dxa"/>
            <w:gridSpan w:val="2"/>
            <w:shd w:val="clear" w:color="auto" w:fill="D9D9D9"/>
          </w:tcPr>
          <w:p w:rsidR="00935AED" w:rsidRPr="00A3650E" w:rsidRDefault="00935AED" w:rsidP="00852390">
            <w:pPr>
              <w:spacing w:after="0"/>
              <w:jc w:val="center"/>
              <w:rPr>
                <w:rFonts w:eastAsia="Times New Roman"/>
                <w:color w:val="000000"/>
                <w:sz w:val="18"/>
                <w:szCs w:val="18"/>
                <w:lang w:eastAsia="sl-SI"/>
              </w:rPr>
            </w:pPr>
            <w:r w:rsidRPr="00A3650E">
              <w:rPr>
                <w:rFonts w:eastAsia="Times New Roman"/>
                <w:color w:val="000000"/>
                <w:sz w:val="18"/>
                <w:szCs w:val="18"/>
                <w:lang w:eastAsia="sl-SI"/>
              </w:rPr>
              <w:t>2013*</w:t>
            </w:r>
          </w:p>
        </w:tc>
        <w:tc>
          <w:tcPr>
            <w:tcW w:w="3188" w:type="dxa"/>
            <w:gridSpan w:val="3"/>
            <w:shd w:val="clear" w:color="auto" w:fill="D9D9D9"/>
            <w:noWrap/>
            <w:vAlign w:val="bottom"/>
            <w:hideMark/>
          </w:tcPr>
          <w:p w:rsidR="00935AED" w:rsidRPr="00A3650E" w:rsidRDefault="00374D35" w:rsidP="00852390">
            <w:pPr>
              <w:spacing w:after="0"/>
              <w:jc w:val="center"/>
              <w:rPr>
                <w:rFonts w:eastAsia="Times New Roman"/>
                <w:color w:val="000000"/>
                <w:sz w:val="18"/>
                <w:szCs w:val="18"/>
                <w:lang w:eastAsia="sl-SI"/>
              </w:rPr>
            </w:pPr>
            <w:r w:rsidRPr="00A3650E">
              <w:rPr>
                <w:rFonts w:eastAsia="Times New Roman"/>
                <w:color w:val="000000"/>
                <w:sz w:val="18"/>
                <w:szCs w:val="18"/>
                <w:lang w:eastAsia="sl-SI"/>
              </w:rPr>
              <w:t>2016</w:t>
            </w:r>
          </w:p>
        </w:tc>
      </w:tr>
      <w:tr w:rsidR="00A3650E" w:rsidRPr="00A3650E" w:rsidTr="001009B2">
        <w:trPr>
          <w:trHeight w:val="300"/>
        </w:trPr>
        <w:tc>
          <w:tcPr>
            <w:tcW w:w="866" w:type="dxa"/>
            <w:shd w:val="clear" w:color="auto" w:fill="D9D9D9"/>
            <w:noWrap/>
            <w:vAlign w:val="bottom"/>
          </w:tcPr>
          <w:p w:rsidR="00A3650E" w:rsidRPr="00A3650E" w:rsidRDefault="00A3650E" w:rsidP="00852390">
            <w:pPr>
              <w:spacing w:after="0"/>
              <w:rPr>
                <w:rFonts w:eastAsia="Times New Roman"/>
                <w:color w:val="000000"/>
                <w:sz w:val="18"/>
                <w:szCs w:val="18"/>
                <w:lang w:eastAsia="sl-SI"/>
              </w:rPr>
            </w:pPr>
          </w:p>
        </w:tc>
        <w:tc>
          <w:tcPr>
            <w:tcW w:w="992" w:type="dxa"/>
            <w:shd w:val="clear" w:color="auto" w:fill="D9D9D9"/>
            <w:noWrap/>
            <w:vAlign w:val="bottom"/>
          </w:tcPr>
          <w:p w:rsidR="00A3650E" w:rsidRPr="00A3650E" w:rsidRDefault="00A3650E" w:rsidP="00852390">
            <w:pPr>
              <w:spacing w:after="0"/>
              <w:rPr>
                <w:rFonts w:eastAsia="Times New Roman"/>
                <w:color w:val="000000"/>
                <w:sz w:val="18"/>
                <w:szCs w:val="18"/>
                <w:lang w:eastAsia="sl-SI"/>
              </w:rPr>
            </w:pPr>
          </w:p>
        </w:tc>
        <w:tc>
          <w:tcPr>
            <w:tcW w:w="950" w:type="dxa"/>
            <w:shd w:val="clear" w:color="auto" w:fill="D9D9D9"/>
          </w:tcPr>
          <w:p w:rsidR="00A3650E" w:rsidRPr="00A3650E" w:rsidRDefault="00A3650E" w:rsidP="00852390">
            <w:pPr>
              <w:spacing w:after="0"/>
              <w:jc w:val="center"/>
              <w:rPr>
                <w:rFonts w:eastAsia="Times New Roman"/>
                <w:color w:val="000000"/>
                <w:sz w:val="18"/>
                <w:szCs w:val="18"/>
                <w:lang w:eastAsia="sl-SI"/>
              </w:rPr>
            </w:pPr>
            <w:r w:rsidRPr="00A3650E">
              <w:rPr>
                <w:rFonts w:eastAsia="Times New Roman"/>
                <w:color w:val="000000"/>
                <w:sz w:val="18"/>
                <w:szCs w:val="18"/>
                <w:lang w:eastAsia="sl-SI"/>
              </w:rPr>
              <w:t>UE</w:t>
            </w:r>
          </w:p>
        </w:tc>
        <w:tc>
          <w:tcPr>
            <w:tcW w:w="1093" w:type="dxa"/>
            <w:shd w:val="clear" w:color="auto" w:fill="D9D9D9"/>
            <w:vAlign w:val="center"/>
          </w:tcPr>
          <w:p w:rsidR="00A3650E" w:rsidRPr="00A3650E" w:rsidRDefault="00A3650E" w:rsidP="00852390">
            <w:pPr>
              <w:spacing w:after="0"/>
              <w:jc w:val="center"/>
              <w:rPr>
                <w:rFonts w:eastAsia="Times New Roman"/>
                <w:color w:val="000000"/>
                <w:sz w:val="18"/>
                <w:szCs w:val="18"/>
                <w:lang w:eastAsia="sl-SI"/>
              </w:rPr>
            </w:pPr>
            <w:r w:rsidRPr="00A3650E">
              <w:rPr>
                <w:rFonts w:eastAsia="Times New Roman"/>
                <w:color w:val="000000"/>
                <w:sz w:val="18"/>
                <w:szCs w:val="18"/>
                <w:lang w:eastAsia="sl-SI"/>
              </w:rPr>
              <w:t>december</w:t>
            </w:r>
          </w:p>
        </w:tc>
        <w:tc>
          <w:tcPr>
            <w:tcW w:w="772" w:type="dxa"/>
            <w:shd w:val="clear" w:color="auto" w:fill="D9D9D9"/>
            <w:vAlign w:val="center"/>
          </w:tcPr>
          <w:p w:rsidR="00A3650E" w:rsidRPr="00A3650E" w:rsidRDefault="00A3650E" w:rsidP="00852390">
            <w:pPr>
              <w:spacing w:after="0"/>
              <w:jc w:val="center"/>
              <w:rPr>
                <w:rFonts w:eastAsia="Times New Roman"/>
                <w:color w:val="000000"/>
                <w:sz w:val="18"/>
                <w:szCs w:val="18"/>
                <w:lang w:eastAsia="sl-SI"/>
              </w:rPr>
            </w:pPr>
            <w:r w:rsidRPr="00A3650E">
              <w:rPr>
                <w:rFonts w:eastAsia="Times New Roman"/>
                <w:color w:val="000000"/>
                <w:sz w:val="18"/>
                <w:szCs w:val="18"/>
                <w:lang w:eastAsia="sl-SI"/>
              </w:rPr>
              <w:t>januar</w:t>
            </w:r>
          </w:p>
        </w:tc>
        <w:tc>
          <w:tcPr>
            <w:tcW w:w="1296" w:type="dxa"/>
            <w:shd w:val="clear" w:color="auto" w:fill="D9D9D9"/>
            <w:vAlign w:val="center"/>
          </w:tcPr>
          <w:p w:rsidR="00A3650E" w:rsidRPr="00A3650E" w:rsidRDefault="00A3650E" w:rsidP="00852390">
            <w:pPr>
              <w:spacing w:after="0"/>
              <w:jc w:val="center"/>
              <w:rPr>
                <w:rFonts w:eastAsia="Times New Roman"/>
                <w:color w:val="000000"/>
                <w:sz w:val="18"/>
                <w:szCs w:val="18"/>
                <w:lang w:eastAsia="sl-SI"/>
              </w:rPr>
            </w:pPr>
            <w:r w:rsidRPr="00A3650E">
              <w:rPr>
                <w:rFonts w:eastAsia="Times New Roman"/>
                <w:color w:val="000000"/>
                <w:sz w:val="18"/>
                <w:szCs w:val="18"/>
                <w:lang w:eastAsia="sl-SI"/>
              </w:rPr>
              <w:t>februar</w:t>
            </w:r>
          </w:p>
        </w:tc>
        <w:tc>
          <w:tcPr>
            <w:tcW w:w="992" w:type="dxa"/>
            <w:shd w:val="clear" w:color="auto" w:fill="D9D9D9"/>
            <w:noWrap/>
          </w:tcPr>
          <w:p w:rsidR="00A3650E" w:rsidRPr="00A3650E" w:rsidRDefault="00A3650E" w:rsidP="001009B2">
            <w:pPr>
              <w:spacing w:after="0"/>
              <w:jc w:val="center"/>
              <w:rPr>
                <w:sz w:val="18"/>
                <w:szCs w:val="18"/>
              </w:rPr>
            </w:pPr>
            <w:r w:rsidRPr="00A3650E">
              <w:rPr>
                <w:sz w:val="18"/>
                <w:szCs w:val="18"/>
              </w:rPr>
              <w:t>oktober</w:t>
            </w:r>
          </w:p>
        </w:tc>
        <w:tc>
          <w:tcPr>
            <w:tcW w:w="1134" w:type="dxa"/>
            <w:shd w:val="clear" w:color="auto" w:fill="D9D9D9"/>
            <w:noWrap/>
          </w:tcPr>
          <w:p w:rsidR="00A3650E" w:rsidRPr="00A3650E" w:rsidRDefault="00A3650E" w:rsidP="001009B2">
            <w:pPr>
              <w:spacing w:after="0"/>
              <w:jc w:val="center"/>
              <w:rPr>
                <w:sz w:val="18"/>
                <w:szCs w:val="18"/>
              </w:rPr>
            </w:pPr>
            <w:r w:rsidRPr="00A3650E">
              <w:rPr>
                <w:sz w:val="18"/>
                <w:szCs w:val="18"/>
              </w:rPr>
              <w:t>november</w:t>
            </w:r>
          </w:p>
        </w:tc>
        <w:tc>
          <w:tcPr>
            <w:tcW w:w="1062" w:type="dxa"/>
            <w:shd w:val="clear" w:color="auto" w:fill="D9D9D9"/>
            <w:noWrap/>
          </w:tcPr>
          <w:p w:rsidR="00A3650E" w:rsidRPr="00A3650E" w:rsidRDefault="00A3650E" w:rsidP="001009B2">
            <w:pPr>
              <w:spacing w:after="0"/>
              <w:jc w:val="center"/>
              <w:rPr>
                <w:sz w:val="18"/>
                <w:szCs w:val="18"/>
              </w:rPr>
            </w:pPr>
            <w:r w:rsidRPr="00A3650E">
              <w:rPr>
                <w:sz w:val="18"/>
                <w:szCs w:val="18"/>
              </w:rPr>
              <w:t>december</w:t>
            </w:r>
          </w:p>
        </w:tc>
      </w:tr>
      <w:tr w:rsidR="00A3650E" w:rsidRPr="00A3650E" w:rsidTr="001009B2">
        <w:trPr>
          <w:trHeight w:val="300"/>
        </w:trPr>
        <w:tc>
          <w:tcPr>
            <w:tcW w:w="866" w:type="dxa"/>
            <w:vMerge w:val="restart"/>
            <w:shd w:val="clear" w:color="auto" w:fill="auto"/>
            <w:vAlign w:val="bottom"/>
            <w:hideMark/>
          </w:tcPr>
          <w:p w:rsidR="00A3650E" w:rsidRPr="00A3650E" w:rsidRDefault="00A3650E" w:rsidP="00852390">
            <w:pPr>
              <w:spacing w:after="0"/>
              <w:rPr>
                <w:rFonts w:eastAsia="Times New Roman"/>
                <w:color w:val="000000"/>
                <w:sz w:val="18"/>
                <w:szCs w:val="18"/>
                <w:lang w:eastAsia="sl-SI"/>
              </w:rPr>
            </w:pPr>
            <w:r w:rsidRPr="00A3650E">
              <w:rPr>
                <w:rFonts w:eastAsia="Times New Roman"/>
                <w:color w:val="000000"/>
                <w:sz w:val="18"/>
                <w:szCs w:val="18"/>
                <w:lang w:eastAsia="sl-SI"/>
              </w:rPr>
              <w:t>Spol - SKUPAJ</w:t>
            </w:r>
          </w:p>
        </w:tc>
        <w:tc>
          <w:tcPr>
            <w:tcW w:w="992" w:type="dxa"/>
            <w:shd w:val="clear" w:color="auto" w:fill="auto"/>
            <w:vAlign w:val="bottom"/>
            <w:hideMark/>
          </w:tcPr>
          <w:p w:rsidR="00A3650E" w:rsidRPr="00A3650E" w:rsidRDefault="00A3650E" w:rsidP="00852390">
            <w:pPr>
              <w:spacing w:after="0"/>
              <w:rPr>
                <w:rFonts w:eastAsia="Times New Roman"/>
                <w:color w:val="000000"/>
                <w:sz w:val="18"/>
                <w:szCs w:val="18"/>
                <w:lang w:eastAsia="sl-SI"/>
              </w:rPr>
            </w:pPr>
            <w:r w:rsidRPr="00A3650E">
              <w:rPr>
                <w:rFonts w:eastAsia="Times New Roman"/>
                <w:color w:val="000000"/>
                <w:sz w:val="18"/>
                <w:szCs w:val="18"/>
                <w:lang w:eastAsia="sl-SI"/>
              </w:rPr>
              <w:t>Hrastnik</w:t>
            </w:r>
          </w:p>
        </w:tc>
        <w:tc>
          <w:tcPr>
            <w:tcW w:w="950" w:type="dxa"/>
          </w:tcPr>
          <w:p w:rsidR="00A3650E" w:rsidRPr="00A3650E" w:rsidRDefault="00A3650E" w:rsidP="00852390">
            <w:pPr>
              <w:spacing w:after="0"/>
              <w:jc w:val="center"/>
              <w:rPr>
                <w:rFonts w:eastAsia="Times New Roman"/>
                <w:sz w:val="18"/>
                <w:szCs w:val="18"/>
                <w:lang w:eastAsia="sl-SI"/>
              </w:rPr>
            </w:pPr>
            <w:r w:rsidRPr="00A3650E">
              <w:rPr>
                <w:rFonts w:eastAsia="Times New Roman"/>
                <w:sz w:val="18"/>
                <w:szCs w:val="18"/>
                <w:lang w:eastAsia="sl-SI"/>
              </w:rPr>
              <w:t>Hrastnik</w:t>
            </w:r>
          </w:p>
        </w:tc>
        <w:tc>
          <w:tcPr>
            <w:tcW w:w="1093"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17,7</w:t>
            </w:r>
          </w:p>
        </w:tc>
        <w:tc>
          <w:tcPr>
            <w:tcW w:w="772"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18,2</w:t>
            </w:r>
          </w:p>
        </w:tc>
        <w:tc>
          <w:tcPr>
            <w:tcW w:w="1296"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18,4</w:t>
            </w:r>
          </w:p>
        </w:tc>
        <w:tc>
          <w:tcPr>
            <w:tcW w:w="992" w:type="dxa"/>
            <w:shd w:val="clear" w:color="auto" w:fill="auto"/>
            <w:noWrap/>
          </w:tcPr>
          <w:p w:rsidR="00A3650E" w:rsidRPr="00A3650E" w:rsidRDefault="00A3650E" w:rsidP="001009B2">
            <w:pPr>
              <w:spacing w:after="0"/>
              <w:jc w:val="right"/>
              <w:rPr>
                <w:sz w:val="18"/>
                <w:szCs w:val="18"/>
              </w:rPr>
            </w:pPr>
            <w:r w:rsidRPr="00A3650E">
              <w:rPr>
                <w:sz w:val="18"/>
                <w:szCs w:val="18"/>
              </w:rPr>
              <w:t>14,6</w:t>
            </w:r>
          </w:p>
        </w:tc>
        <w:tc>
          <w:tcPr>
            <w:tcW w:w="1134" w:type="dxa"/>
            <w:shd w:val="clear" w:color="auto" w:fill="auto"/>
            <w:noWrap/>
          </w:tcPr>
          <w:p w:rsidR="00A3650E" w:rsidRPr="00A3650E" w:rsidRDefault="00A3650E" w:rsidP="001009B2">
            <w:pPr>
              <w:spacing w:after="0"/>
              <w:jc w:val="right"/>
              <w:rPr>
                <w:sz w:val="18"/>
                <w:szCs w:val="18"/>
              </w:rPr>
            </w:pPr>
            <w:r w:rsidRPr="00A3650E">
              <w:rPr>
                <w:sz w:val="18"/>
                <w:szCs w:val="18"/>
              </w:rPr>
              <w:t>14,2</w:t>
            </w:r>
          </w:p>
        </w:tc>
        <w:tc>
          <w:tcPr>
            <w:tcW w:w="1062" w:type="dxa"/>
            <w:shd w:val="clear" w:color="auto" w:fill="auto"/>
            <w:noWrap/>
          </w:tcPr>
          <w:p w:rsidR="00A3650E" w:rsidRPr="00A3650E" w:rsidRDefault="00A3650E" w:rsidP="001009B2">
            <w:pPr>
              <w:spacing w:after="0"/>
              <w:jc w:val="right"/>
              <w:rPr>
                <w:sz w:val="18"/>
                <w:szCs w:val="18"/>
              </w:rPr>
            </w:pPr>
            <w:r w:rsidRPr="00A3650E">
              <w:rPr>
                <w:sz w:val="18"/>
                <w:szCs w:val="18"/>
              </w:rPr>
              <w:t>14,3</w:t>
            </w:r>
          </w:p>
        </w:tc>
      </w:tr>
      <w:tr w:rsidR="00A3650E" w:rsidRPr="00A3650E" w:rsidTr="001009B2">
        <w:trPr>
          <w:trHeight w:val="300"/>
        </w:trPr>
        <w:tc>
          <w:tcPr>
            <w:tcW w:w="866" w:type="dxa"/>
            <w:vMerge/>
            <w:vAlign w:val="center"/>
            <w:hideMark/>
          </w:tcPr>
          <w:p w:rsidR="00A3650E" w:rsidRPr="00A3650E" w:rsidRDefault="00A3650E" w:rsidP="00852390">
            <w:pPr>
              <w:spacing w:after="0"/>
              <w:rPr>
                <w:rFonts w:eastAsia="Times New Roman"/>
                <w:color w:val="000000"/>
                <w:sz w:val="18"/>
                <w:szCs w:val="18"/>
                <w:lang w:eastAsia="sl-SI"/>
              </w:rPr>
            </w:pPr>
          </w:p>
        </w:tc>
        <w:tc>
          <w:tcPr>
            <w:tcW w:w="992" w:type="dxa"/>
            <w:shd w:val="clear" w:color="auto" w:fill="auto"/>
            <w:vAlign w:val="bottom"/>
            <w:hideMark/>
          </w:tcPr>
          <w:p w:rsidR="00A3650E" w:rsidRPr="00A3650E" w:rsidRDefault="00A3650E" w:rsidP="00852390">
            <w:pPr>
              <w:spacing w:after="0"/>
              <w:rPr>
                <w:rFonts w:eastAsia="Times New Roman"/>
                <w:color w:val="000000"/>
                <w:sz w:val="18"/>
                <w:szCs w:val="18"/>
                <w:lang w:eastAsia="sl-SI"/>
              </w:rPr>
            </w:pPr>
            <w:r w:rsidRPr="00A3650E">
              <w:rPr>
                <w:rFonts w:eastAsia="Times New Roman"/>
                <w:color w:val="000000"/>
                <w:sz w:val="18"/>
                <w:szCs w:val="18"/>
                <w:lang w:eastAsia="sl-SI"/>
              </w:rPr>
              <w:t>Radeče</w:t>
            </w:r>
          </w:p>
        </w:tc>
        <w:tc>
          <w:tcPr>
            <w:tcW w:w="950" w:type="dxa"/>
          </w:tcPr>
          <w:p w:rsidR="00A3650E" w:rsidRPr="00A3650E" w:rsidRDefault="00A3650E" w:rsidP="00852390">
            <w:pPr>
              <w:spacing w:after="0"/>
              <w:jc w:val="center"/>
              <w:rPr>
                <w:rFonts w:eastAsia="Times New Roman"/>
                <w:sz w:val="18"/>
                <w:szCs w:val="18"/>
                <w:lang w:eastAsia="sl-SI"/>
              </w:rPr>
            </w:pPr>
            <w:r w:rsidRPr="00A3650E">
              <w:rPr>
                <w:rFonts w:eastAsia="Times New Roman"/>
                <w:sz w:val="18"/>
                <w:szCs w:val="18"/>
                <w:lang w:eastAsia="sl-SI"/>
              </w:rPr>
              <w:t>Laško</w:t>
            </w:r>
          </w:p>
        </w:tc>
        <w:tc>
          <w:tcPr>
            <w:tcW w:w="1093"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19,0</w:t>
            </w:r>
          </w:p>
        </w:tc>
        <w:tc>
          <w:tcPr>
            <w:tcW w:w="772"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19,3</w:t>
            </w:r>
          </w:p>
        </w:tc>
        <w:tc>
          <w:tcPr>
            <w:tcW w:w="1296"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19,4</w:t>
            </w:r>
          </w:p>
        </w:tc>
        <w:tc>
          <w:tcPr>
            <w:tcW w:w="992" w:type="dxa"/>
            <w:shd w:val="clear" w:color="auto" w:fill="auto"/>
            <w:noWrap/>
          </w:tcPr>
          <w:p w:rsidR="00A3650E" w:rsidRPr="00A3650E" w:rsidRDefault="00A3650E" w:rsidP="001009B2">
            <w:pPr>
              <w:spacing w:after="0"/>
              <w:jc w:val="right"/>
              <w:rPr>
                <w:sz w:val="18"/>
                <w:szCs w:val="18"/>
              </w:rPr>
            </w:pPr>
            <w:r w:rsidRPr="00A3650E">
              <w:rPr>
                <w:sz w:val="18"/>
                <w:szCs w:val="18"/>
              </w:rPr>
              <w:t>11,3</w:t>
            </w:r>
          </w:p>
        </w:tc>
        <w:tc>
          <w:tcPr>
            <w:tcW w:w="1134" w:type="dxa"/>
            <w:shd w:val="clear" w:color="auto" w:fill="auto"/>
            <w:noWrap/>
          </w:tcPr>
          <w:p w:rsidR="00A3650E" w:rsidRPr="00A3650E" w:rsidRDefault="00A3650E" w:rsidP="001009B2">
            <w:pPr>
              <w:spacing w:after="0"/>
              <w:jc w:val="right"/>
              <w:rPr>
                <w:sz w:val="18"/>
                <w:szCs w:val="18"/>
              </w:rPr>
            </w:pPr>
            <w:r w:rsidRPr="00A3650E">
              <w:rPr>
                <w:sz w:val="18"/>
                <w:szCs w:val="18"/>
              </w:rPr>
              <w:t>11,4</w:t>
            </w:r>
          </w:p>
        </w:tc>
        <w:tc>
          <w:tcPr>
            <w:tcW w:w="1062" w:type="dxa"/>
            <w:shd w:val="clear" w:color="auto" w:fill="auto"/>
            <w:noWrap/>
          </w:tcPr>
          <w:p w:rsidR="00A3650E" w:rsidRPr="00A3650E" w:rsidRDefault="00A3650E" w:rsidP="001009B2">
            <w:pPr>
              <w:spacing w:after="0"/>
              <w:jc w:val="right"/>
              <w:rPr>
                <w:sz w:val="18"/>
                <w:szCs w:val="18"/>
              </w:rPr>
            </w:pPr>
            <w:r w:rsidRPr="00A3650E">
              <w:rPr>
                <w:sz w:val="18"/>
                <w:szCs w:val="18"/>
              </w:rPr>
              <w:t>11,8</w:t>
            </w:r>
          </w:p>
        </w:tc>
      </w:tr>
      <w:tr w:rsidR="00A3650E" w:rsidRPr="00A3650E" w:rsidTr="001009B2">
        <w:trPr>
          <w:trHeight w:val="300"/>
        </w:trPr>
        <w:tc>
          <w:tcPr>
            <w:tcW w:w="866" w:type="dxa"/>
            <w:vMerge/>
            <w:vAlign w:val="center"/>
            <w:hideMark/>
          </w:tcPr>
          <w:p w:rsidR="00A3650E" w:rsidRPr="00A3650E" w:rsidRDefault="00A3650E" w:rsidP="00852390">
            <w:pPr>
              <w:spacing w:after="0"/>
              <w:rPr>
                <w:rFonts w:eastAsia="Times New Roman"/>
                <w:color w:val="000000"/>
                <w:sz w:val="18"/>
                <w:szCs w:val="18"/>
                <w:lang w:eastAsia="sl-SI"/>
              </w:rPr>
            </w:pPr>
          </w:p>
        </w:tc>
        <w:tc>
          <w:tcPr>
            <w:tcW w:w="992" w:type="dxa"/>
            <w:shd w:val="clear" w:color="auto" w:fill="auto"/>
            <w:vAlign w:val="bottom"/>
            <w:hideMark/>
          </w:tcPr>
          <w:p w:rsidR="00A3650E" w:rsidRPr="00A3650E" w:rsidRDefault="00A3650E" w:rsidP="00852390">
            <w:pPr>
              <w:spacing w:after="0"/>
              <w:rPr>
                <w:rFonts w:eastAsia="Times New Roman"/>
                <w:color w:val="000000"/>
                <w:sz w:val="18"/>
                <w:szCs w:val="18"/>
                <w:lang w:eastAsia="sl-SI"/>
              </w:rPr>
            </w:pPr>
            <w:r w:rsidRPr="00A3650E">
              <w:rPr>
                <w:rFonts w:eastAsia="Times New Roman"/>
                <w:color w:val="000000"/>
                <w:sz w:val="18"/>
                <w:szCs w:val="18"/>
                <w:lang w:eastAsia="sl-SI"/>
              </w:rPr>
              <w:t>Trbovlje</w:t>
            </w:r>
          </w:p>
        </w:tc>
        <w:tc>
          <w:tcPr>
            <w:tcW w:w="950" w:type="dxa"/>
          </w:tcPr>
          <w:p w:rsidR="00A3650E" w:rsidRPr="00A3650E" w:rsidRDefault="00A3650E" w:rsidP="00852390">
            <w:pPr>
              <w:spacing w:after="0"/>
              <w:jc w:val="center"/>
              <w:rPr>
                <w:rFonts w:eastAsia="Times New Roman"/>
                <w:sz w:val="18"/>
                <w:szCs w:val="18"/>
                <w:lang w:eastAsia="sl-SI"/>
              </w:rPr>
            </w:pPr>
            <w:r w:rsidRPr="00A3650E">
              <w:rPr>
                <w:rFonts w:eastAsia="Times New Roman"/>
                <w:sz w:val="18"/>
                <w:szCs w:val="18"/>
                <w:lang w:eastAsia="sl-SI"/>
              </w:rPr>
              <w:t>Trbovlje</w:t>
            </w:r>
          </w:p>
        </w:tc>
        <w:tc>
          <w:tcPr>
            <w:tcW w:w="1093"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18,7</w:t>
            </w:r>
          </w:p>
        </w:tc>
        <w:tc>
          <w:tcPr>
            <w:tcW w:w="772"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19,4</w:t>
            </w:r>
          </w:p>
        </w:tc>
        <w:tc>
          <w:tcPr>
            <w:tcW w:w="1296" w:type="dxa"/>
            <w:vAlign w:val="center"/>
          </w:tcPr>
          <w:p w:rsidR="00A3650E" w:rsidRPr="00A3650E" w:rsidRDefault="00A3650E" w:rsidP="00852390">
            <w:pPr>
              <w:spacing w:after="0"/>
              <w:jc w:val="right"/>
              <w:rPr>
                <w:rFonts w:eastAsia="Times New Roman"/>
                <w:sz w:val="18"/>
                <w:szCs w:val="18"/>
                <w:lang w:eastAsia="sl-SI"/>
              </w:rPr>
            </w:pPr>
            <w:r w:rsidRPr="00A3650E">
              <w:rPr>
                <w:rFonts w:eastAsia="Times New Roman"/>
                <w:sz w:val="18"/>
                <w:szCs w:val="18"/>
                <w:lang w:eastAsia="sl-SI"/>
              </w:rPr>
              <w:t>19,4</w:t>
            </w:r>
          </w:p>
        </w:tc>
        <w:tc>
          <w:tcPr>
            <w:tcW w:w="992" w:type="dxa"/>
            <w:shd w:val="clear" w:color="auto" w:fill="auto"/>
            <w:noWrap/>
          </w:tcPr>
          <w:p w:rsidR="00A3650E" w:rsidRPr="00A3650E" w:rsidRDefault="00A3650E" w:rsidP="001009B2">
            <w:pPr>
              <w:spacing w:after="0"/>
              <w:jc w:val="right"/>
              <w:rPr>
                <w:sz w:val="18"/>
                <w:szCs w:val="18"/>
              </w:rPr>
            </w:pPr>
            <w:r w:rsidRPr="00A3650E">
              <w:rPr>
                <w:sz w:val="18"/>
                <w:szCs w:val="18"/>
              </w:rPr>
              <w:t>17,4</w:t>
            </w:r>
          </w:p>
        </w:tc>
        <w:tc>
          <w:tcPr>
            <w:tcW w:w="1134" w:type="dxa"/>
            <w:shd w:val="clear" w:color="auto" w:fill="auto"/>
            <w:noWrap/>
          </w:tcPr>
          <w:p w:rsidR="00A3650E" w:rsidRPr="00A3650E" w:rsidRDefault="00A3650E" w:rsidP="001009B2">
            <w:pPr>
              <w:spacing w:after="0"/>
              <w:jc w:val="right"/>
              <w:rPr>
                <w:sz w:val="18"/>
                <w:szCs w:val="18"/>
              </w:rPr>
            </w:pPr>
            <w:r w:rsidRPr="00A3650E">
              <w:rPr>
                <w:sz w:val="18"/>
                <w:szCs w:val="18"/>
              </w:rPr>
              <w:t>18,1</w:t>
            </w:r>
          </w:p>
        </w:tc>
        <w:tc>
          <w:tcPr>
            <w:tcW w:w="1062" w:type="dxa"/>
            <w:shd w:val="clear" w:color="auto" w:fill="auto"/>
            <w:noWrap/>
          </w:tcPr>
          <w:p w:rsidR="00A3650E" w:rsidRPr="00A3650E" w:rsidRDefault="00A3650E" w:rsidP="001009B2">
            <w:pPr>
              <w:spacing w:after="0"/>
              <w:jc w:val="right"/>
              <w:rPr>
                <w:sz w:val="18"/>
                <w:szCs w:val="18"/>
              </w:rPr>
            </w:pPr>
            <w:r w:rsidRPr="00A3650E">
              <w:rPr>
                <w:sz w:val="18"/>
                <w:szCs w:val="18"/>
              </w:rPr>
              <w:t>18,3</w:t>
            </w:r>
          </w:p>
        </w:tc>
      </w:tr>
    </w:tbl>
    <w:p w:rsidR="00935AED" w:rsidRPr="00BB445E" w:rsidRDefault="00935AED" w:rsidP="00852390">
      <w:pPr>
        <w:spacing w:after="0"/>
        <w:jc w:val="both"/>
        <w:rPr>
          <w:sz w:val="18"/>
          <w:szCs w:val="18"/>
        </w:rPr>
      </w:pPr>
      <w:r w:rsidRPr="00BB445E">
        <w:rPr>
          <w:sz w:val="18"/>
          <w:szCs w:val="18"/>
        </w:rPr>
        <w:t>Opombe- * statistični podatki, ki so bili podlaga za pripravo Programa spodbujanja konkurenčnosti in ukrepov razvojne podpore za območje občin Hrastnik, Radeče in Trbovlje v obdobju 2013-2018</w:t>
      </w:r>
    </w:p>
    <w:p w:rsidR="00935AED" w:rsidRPr="00BB445E" w:rsidRDefault="00935AED" w:rsidP="00852390">
      <w:pPr>
        <w:spacing w:after="0"/>
        <w:jc w:val="both"/>
        <w:rPr>
          <w:sz w:val="18"/>
          <w:szCs w:val="18"/>
        </w:rPr>
      </w:pPr>
      <w:r w:rsidRPr="00BB445E">
        <w:rPr>
          <w:sz w:val="18"/>
          <w:szCs w:val="18"/>
        </w:rPr>
        <w:t>Vir: Zavod RS za zaposlovanje, Statistični urad RS</w:t>
      </w:r>
    </w:p>
    <w:p w:rsidR="00672378" w:rsidRPr="00C156EF" w:rsidRDefault="00672378" w:rsidP="00852390">
      <w:pPr>
        <w:spacing w:after="0"/>
        <w:jc w:val="both"/>
      </w:pPr>
    </w:p>
    <w:p w:rsidR="00935AED" w:rsidRPr="00C156EF" w:rsidRDefault="00935AED" w:rsidP="00852390">
      <w:pPr>
        <w:spacing w:after="0"/>
        <w:jc w:val="both"/>
      </w:pPr>
      <w:r w:rsidRPr="00C156EF">
        <w:lastRenderedPageBreak/>
        <w:t xml:space="preserve">Kot izhaja iz </w:t>
      </w:r>
      <w:r w:rsidR="003759C3">
        <w:t>z</w:t>
      </w:r>
      <w:r w:rsidRPr="00C156EF">
        <w:t xml:space="preserve">gornje tabele je stopnja registrirane brezposelnosti v vseh treh občinah problemskega območja znašala prek 17,0% v času nastajanja Programa. V obdobju </w:t>
      </w:r>
      <w:r w:rsidR="003545DB">
        <w:t>oktober-december</w:t>
      </w:r>
      <w:r w:rsidR="00E75915" w:rsidRPr="00C156EF">
        <w:t xml:space="preserve"> 2016</w:t>
      </w:r>
      <w:r w:rsidRPr="00C156EF">
        <w:t>, se je stopnja registrirane brezposelnosti, v primerjavi z letom 2013</w:t>
      </w:r>
      <w:r w:rsidR="00E75915" w:rsidRPr="00C156EF">
        <w:t xml:space="preserve"> znižala v vseh treh občinah problemskega območja.</w:t>
      </w:r>
    </w:p>
    <w:p w:rsidR="00935AED" w:rsidRPr="00C156EF" w:rsidRDefault="00935AED" w:rsidP="00852390">
      <w:pPr>
        <w:spacing w:after="0"/>
        <w:jc w:val="both"/>
      </w:pPr>
    </w:p>
    <w:p w:rsidR="00935AED" w:rsidRDefault="00FD6ACC" w:rsidP="00FD6ACC">
      <w:pPr>
        <w:pStyle w:val="Napis"/>
      </w:pPr>
      <w:r>
        <w:t xml:space="preserve">Tabela </w:t>
      </w:r>
      <w:fldSimple w:instr=" SEQ Tabela \* ARABIC ">
        <w:r w:rsidR="003218B5">
          <w:rPr>
            <w:noProof/>
          </w:rPr>
          <w:t>13</w:t>
        </w:r>
      </w:fldSimple>
      <w:r w:rsidR="00935AED" w:rsidRPr="00C156EF">
        <w:t xml:space="preserve">: Registrirane brezposelne osebe, glede na dolžino trajanja brezposelnosti, starostno strukturo in stopnjo izobrazbe v obdobju </w:t>
      </w:r>
      <w:r w:rsidR="00904796">
        <w:t xml:space="preserve">november- december  </w:t>
      </w:r>
      <w:r w:rsidR="004435BA">
        <w:t>2016</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143"/>
        <w:gridCol w:w="992"/>
        <w:gridCol w:w="1134"/>
        <w:gridCol w:w="924"/>
        <w:gridCol w:w="919"/>
        <w:gridCol w:w="992"/>
        <w:gridCol w:w="1134"/>
        <w:gridCol w:w="958"/>
      </w:tblGrid>
      <w:tr w:rsidR="00904796" w:rsidRPr="00C178F6" w:rsidTr="001009B2">
        <w:trPr>
          <w:trHeight w:val="300"/>
        </w:trPr>
        <w:tc>
          <w:tcPr>
            <w:tcW w:w="1092" w:type="dxa"/>
            <w:shd w:val="clear" w:color="auto" w:fill="auto"/>
            <w:noWrap/>
          </w:tcPr>
          <w:p w:rsidR="00904796" w:rsidRPr="00C178F6" w:rsidRDefault="00904796" w:rsidP="001009B2">
            <w:pPr>
              <w:spacing w:after="0"/>
              <w:rPr>
                <w:b/>
                <w:bCs/>
                <w:sz w:val="18"/>
                <w:szCs w:val="18"/>
              </w:rPr>
            </w:pPr>
          </w:p>
        </w:tc>
        <w:tc>
          <w:tcPr>
            <w:tcW w:w="8196" w:type="dxa"/>
            <w:gridSpan w:val="8"/>
            <w:shd w:val="clear" w:color="auto" w:fill="auto"/>
            <w:noWrap/>
          </w:tcPr>
          <w:p w:rsidR="00904796" w:rsidRPr="00C178F6" w:rsidRDefault="00904796" w:rsidP="001009B2">
            <w:pPr>
              <w:spacing w:after="0"/>
              <w:jc w:val="center"/>
              <w:rPr>
                <w:sz w:val="18"/>
                <w:szCs w:val="18"/>
              </w:rPr>
            </w:pPr>
            <w:r>
              <w:rPr>
                <w:sz w:val="18"/>
                <w:szCs w:val="18"/>
              </w:rPr>
              <w:t>november 2016</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b/>
                <w:bCs/>
                <w:sz w:val="18"/>
                <w:szCs w:val="18"/>
              </w:rPr>
            </w:pPr>
          </w:p>
        </w:tc>
        <w:tc>
          <w:tcPr>
            <w:tcW w:w="1143" w:type="dxa"/>
            <w:shd w:val="clear" w:color="auto" w:fill="auto"/>
            <w:noWrap/>
          </w:tcPr>
          <w:p w:rsidR="00904796" w:rsidRPr="00C178F6" w:rsidRDefault="00904796" w:rsidP="001009B2">
            <w:pPr>
              <w:spacing w:after="0"/>
              <w:jc w:val="center"/>
              <w:rPr>
                <w:sz w:val="18"/>
                <w:szCs w:val="18"/>
              </w:rPr>
            </w:pPr>
            <w:r w:rsidRPr="00C178F6">
              <w:rPr>
                <w:sz w:val="18"/>
                <w:szCs w:val="18"/>
              </w:rPr>
              <w:t>Reg.</w:t>
            </w:r>
            <w:proofErr w:type="spellStart"/>
            <w:r w:rsidRPr="00C178F6">
              <w:rPr>
                <w:sz w:val="18"/>
                <w:szCs w:val="18"/>
              </w:rPr>
              <w:t>brezp</w:t>
            </w:r>
            <w:proofErr w:type="spellEnd"/>
            <w:r w:rsidRPr="00C178F6">
              <w:rPr>
                <w:sz w:val="18"/>
                <w:szCs w:val="18"/>
              </w:rPr>
              <w:t>. osebe, skupaj</w:t>
            </w:r>
          </w:p>
        </w:tc>
        <w:tc>
          <w:tcPr>
            <w:tcW w:w="992" w:type="dxa"/>
            <w:shd w:val="clear" w:color="auto" w:fill="auto"/>
            <w:noWrap/>
          </w:tcPr>
          <w:p w:rsidR="00904796" w:rsidRPr="00C178F6" w:rsidRDefault="00904796" w:rsidP="001009B2">
            <w:pPr>
              <w:spacing w:after="0"/>
              <w:jc w:val="center"/>
              <w:rPr>
                <w:sz w:val="18"/>
                <w:szCs w:val="18"/>
              </w:rPr>
            </w:pPr>
            <w:r w:rsidRPr="00C178F6">
              <w:rPr>
                <w:sz w:val="18"/>
                <w:szCs w:val="18"/>
              </w:rPr>
              <w:t>ženske</w:t>
            </w:r>
          </w:p>
        </w:tc>
        <w:tc>
          <w:tcPr>
            <w:tcW w:w="1134" w:type="dxa"/>
          </w:tcPr>
          <w:p w:rsidR="00904796" w:rsidRPr="00C178F6" w:rsidRDefault="00904796" w:rsidP="001009B2">
            <w:pPr>
              <w:spacing w:after="0"/>
              <w:jc w:val="center"/>
              <w:rPr>
                <w:sz w:val="18"/>
                <w:szCs w:val="18"/>
              </w:rPr>
            </w:pPr>
            <w:r w:rsidRPr="00C178F6">
              <w:rPr>
                <w:sz w:val="18"/>
                <w:szCs w:val="18"/>
              </w:rPr>
              <w:t>Dolgotrajno brezposelni</w:t>
            </w:r>
          </w:p>
        </w:tc>
        <w:tc>
          <w:tcPr>
            <w:tcW w:w="924" w:type="dxa"/>
          </w:tcPr>
          <w:p w:rsidR="00904796" w:rsidRPr="00C178F6" w:rsidRDefault="00904796" w:rsidP="001009B2">
            <w:pPr>
              <w:spacing w:after="0"/>
              <w:jc w:val="center"/>
              <w:rPr>
                <w:sz w:val="18"/>
                <w:szCs w:val="18"/>
              </w:rPr>
            </w:pPr>
            <w:r w:rsidRPr="00C178F6">
              <w:rPr>
                <w:sz w:val="18"/>
                <w:szCs w:val="18"/>
              </w:rPr>
              <w:t xml:space="preserve">Stari </w:t>
            </w:r>
          </w:p>
          <w:p w:rsidR="00904796" w:rsidRPr="00C178F6" w:rsidRDefault="00904796" w:rsidP="001009B2">
            <w:pPr>
              <w:spacing w:after="0"/>
              <w:jc w:val="center"/>
              <w:rPr>
                <w:sz w:val="18"/>
                <w:szCs w:val="18"/>
              </w:rPr>
            </w:pPr>
            <w:r w:rsidRPr="00C178F6">
              <w:rPr>
                <w:sz w:val="18"/>
                <w:szCs w:val="18"/>
              </w:rPr>
              <w:t>15-29 let</w:t>
            </w:r>
          </w:p>
        </w:tc>
        <w:tc>
          <w:tcPr>
            <w:tcW w:w="919" w:type="dxa"/>
          </w:tcPr>
          <w:p w:rsidR="00904796" w:rsidRPr="00C178F6" w:rsidRDefault="00904796" w:rsidP="001009B2">
            <w:pPr>
              <w:spacing w:after="0"/>
              <w:jc w:val="center"/>
              <w:rPr>
                <w:sz w:val="18"/>
                <w:szCs w:val="18"/>
              </w:rPr>
            </w:pPr>
            <w:r w:rsidRPr="00C178F6">
              <w:rPr>
                <w:sz w:val="18"/>
                <w:szCs w:val="18"/>
              </w:rPr>
              <w:t>Stari 50 let ali več</w:t>
            </w:r>
          </w:p>
        </w:tc>
        <w:tc>
          <w:tcPr>
            <w:tcW w:w="992" w:type="dxa"/>
          </w:tcPr>
          <w:p w:rsidR="00904796" w:rsidRPr="00C178F6" w:rsidRDefault="00904796" w:rsidP="001009B2">
            <w:pPr>
              <w:spacing w:after="0"/>
              <w:jc w:val="center"/>
              <w:rPr>
                <w:sz w:val="18"/>
                <w:szCs w:val="18"/>
              </w:rPr>
            </w:pPr>
            <w:r w:rsidRPr="00C178F6">
              <w:rPr>
                <w:sz w:val="18"/>
                <w:szCs w:val="18"/>
              </w:rPr>
              <w:t>1+2 OŠ ali manj</w:t>
            </w:r>
          </w:p>
        </w:tc>
        <w:tc>
          <w:tcPr>
            <w:tcW w:w="1134" w:type="dxa"/>
          </w:tcPr>
          <w:p w:rsidR="00904796" w:rsidRPr="00C178F6" w:rsidRDefault="00904796" w:rsidP="001009B2">
            <w:pPr>
              <w:spacing w:after="0"/>
              <w:jc w:val="center"/>
              <w:rPr>
                <w:sz w:val="18"/>
                <w:szCs w:val="18"/>
              </w:rPr>
            </w:pPr>
            <w:r w:rsidRPr="00C178F6">
              <w:rPr>
                <w:sz w:val="18"/>
                <w:szCs w:val="18"/>
              </w:rPr>
              <w:t xml:space="preserve">3+4+5 </w:t>
            </w:r>
            <w:proofErr w:type="spellStart"/>
            <w:r w:rsidRPr="00C178F6">
              <w:rPr>
                <w:sz w:val="18"/>
                <w:szCs w:val="18"/>
              </w:rPr>
              <w:t>srednješol.izobrazba</w:t>
            </w:r>
            <w:proofErr w:type="spellEnd"/>
          </w:p>
        </w:tc>
        <w:tc>
          <w:tcPr>
            <w:tcW w:w="958" w:type="dxa"/>
          </w:tcPr>
          <w:p w:rsidR="00904796" w:rsidRPr="00C178F6" w:rsidRDefault="00904796" w:rsidP="001009B2">
            <w:pPr>
              <w:spacing w:after="0"/>
              <w:jc w:val="center"/>
              <w:rPr>
                <w:sz w:val="18"/>
                <w:szCs w:val="18"/>
              </w:rPr>
            </w:pPr>
            <w:r w:rsidRPr="00C178F6">
              <w:rPr>
                <w:sz w:val="18"/>
                <w:szCs w:val="18"/>
              </w:rPr>
              <w:t xml:space="preserve">6+7+8 višje-, visoko-šol. </w:t>
            </w:r>
            <w:proofErr w:type="spellStart"/>
            <w:r w:rsidRPr="00C178F6">
              <w:rPr>
                <w:sz w:val="18"/>
                <w:szCs w:val="18"/>
              </w:rPr>
              <w:t>Izobr</w:t>
            </w:r>
            <w:proofErr w:type="spellEnd"/>
            <w:r w:rsidRPr="00C178F6">
              <w:rPr>
                <w:sz w:val="18"/>
                <w:szCs w:val="18"/>
              </w:rPr>
              <w:t xml:space="preserve"> </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sz w:val="18"/>
                <w:szCs w:val="18"/>
              </w:rPr>
            </w:pPr>
            <w:r w:rsidRPr="00C178F6">
              <w:rPr>
                <w:sz w:val="18"/>
                <w:szCs w:val="18"/>
              </w:rPr>
              <w:t>Občina Hrastnik</w:t>
            </w:r>
          </w:p>
        </w:tc>
        <w:tc>
          <w:tcPr>
            <w:tcW w:w="1143" w:type="dxa"/>
            <w:shd w:val="clear" w:color="auto" w:fill="auto"/>
            <w:noWrap/>
            <w:vAlign w:val="center"/>
          </w:tcPr>
          <w:p w:rsidR="00904796" w:rsidRPr="00C178F6" w:rsidRDefault="00904796" w:rsidP="001009B2">
            <w:pPr>
              <w:spacing w:after="0"/>
              <w:jc w:val="right"/>
              <w:rPr>
                <w:sz w:val="18"/>
                <w:szCs w:val="18"/>
              </w:rPr>
            </w:pPr>
            <w:r>
              <w:rPr>
                <w:sz w:val="18"/>
                <w:szCs w:val="18"/>
              </w:rPr>
              <w:t>573</w:t>
            </w:r>
          </w:p>
        </w:tc>
        <w:tc>
          <w:tcPr>
            <w:tcW w:w="992" w:type="dxa"/>
            <w:shd w:val="clear" w:color="auto" w:fill="auto"/>
            <w:noWrap/>
            <w:vAlign w:val="center"/>
          </w:tcPr>
          <w:p w:rsidR="00904796" w:rsidRPr="00C178F6" w:rsidRDefault="00904796" w:rsidP="001009B2">
            <w:pPr>
              <w:spacing w:after="0"/>
              <w:jc w:val="right"/>
              <w:rPr>
                <w:sz w:val="18"/>
                <w:szCs w:val="18"/>
              </w:rPr>
            </w:pPr>
            <w:r>
              <w:rPr>
                <w:sz w:val="18"/>
                <w:szCs w:val="18"/>
              </w:rPr>
              <w:t>289</w:t>
            </w:r>
          </w:p>
        </w:tc>
        <w:tc>
          <w:tcPr>
            <w:tcW w:w="1134" w:type="dxa"/>
          </w:tcPr>
          <w:p w:rsidR="00904796" w:rsidRPr="00C178F6" w:rsidRDefault="00904796" w:rsidP="001009B2">
            <w:pPr>
              <w:spacing w:after="0"/>
              <w:jc w:val="right"/>
              <w:rPr>
                <w:sz w:val="18"/>
                <w:szCs w:val="18"/>
              </w:rPr>
            </w:pPr>
            <w:r>
              <w:rPr>
                <w:sz w:val="18"/>
                <w:szCs w:val="18"/>
              </w:rPr>
              <w:t>339</w:t>
            </w:r>
          </w:p>
        </w:tc>
        <w:tc>
          <w:tcPr>
            <w:tcW w:w="924" w:type="dxa"/>
          </w:tcPr>
          <w:p w:rsidR="00904796" w:rsidRPr="00C178F6" w:rsidRDefault="00904796" w:rsidP="001009B2">
            <w:pPr>
              <w:spacing w:after="0"/>
              <w:jc w:val="right"/>
              <w:rPr>
                <w:sz w:val="18"/>
                <w:szCs w:val="18"/>
              </w:rPr>
            </w:pPr>
            <w:r>
              <w:rPr>
                <w:sz w:val="18"/>
                <w:szCs w:val="18"/>
              </w:rPr>
              <w:t>145</w:t>
            </w:r>
          </w:p>
        </w:tc>
        <w:tc>
          <w:tcPr>
            <w:tcW w:w="919" w:type="dxa"/>
          </w:tcPr>
          <w:p w:rsidR="00904796" w:rsidRPr="00C178F6" w:rsidRDefault="00904796" w:rsidP="001009B2">
            <w:pPr>
              <w:spacing w:after="0"/>
              <w:jc w:val="right"/>
              <w:rPr>
                <w:sz w:val="18"/>
                <w:szCs w:val="18"/>
              </w:rPr>
            </w:pPr>
            <w:r>
              <w:rPr>
                <w:sz w:val="18"/>
                <w:szCs w:val="18"/>
              </w:rPr>
              <w:t>173</w:t>
            </w:r>
          </w:p>
        </w:tc>
        <w:tc>
          <w:tcPr>
            <w:tcW w:w="992" w:type="dxa"/>
          </w:tcPr>
          <w:p w:rsidR="00904796" w:rsidRPr="00C178F6" w:rsidRDefault="00904796" w:rsidP="001009B2">
            <w:pPr>
              <w:spacing w:after="0"/>
              <w:jc w:val="right"/>
              <w:rPr>
                <w:sz w:val="18"/>
                <w:szCs w:val="18"/>
              </w:rPr>
            </w:pPr>
            <w:r>
              <w:rPr>
                <w:sz w:val="18"/>
                <w:szCs w:val="18"/>
              </w:rPr>
              <w:t>194</w:t>
            </w:r>
          </w:p>
        </w:tc>
        <w:tc>
          <w:tcPr>
            <w:tcW w:w="1134" w:type="dxa"/>
          </w:tcPr>
          <w:p w:rsidR="00904796" w:rsidRPr="00C178F6" w:rsidRDefault="00904796" w:rsidP="001009B2">
            <w:pPr>
              <w:spacing w:after="0"/>
              <w:jc w:val="right"/>
              <w:rPr>
                <w:sz w:val="18"/>
                <w:szCs w:val="18"/>
              </w:rPr>
            </w:pPr>
            <w:r>
              <w:rPr>
                <w:sz w:val="18"/>
                <w:szCs w:val="18"/>
              </w:rPr>
              <w:t>302</w:t>
            </w:r>
          </w:p>
        </w:tc>
        <w:tc>
          <w:tcPr>
            <w:tcW w:w="958" w:type="dxa"/>
          </w:tcPr>
          <w:p w:rsidR="00904796" w:rsidRPr="00C178F6" w:rsidRDefault="00904796" w:rsidP="001009B2">
            <w:pPr>
              <w:spacing w:after="0"/>
              <w:jc w:val="right"/>
              <w:rPr>
                <w:sz w:val="18"/>
                <w:szCs w:val="18"/>
              </w:rPr>
            </w:pPr>
            <w:r>
              <w:rPr>
                <w:sz w:val="18"/>
                <w:szCs w:val="18"/>
              </w:rPr>
              <w:t>77</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sz w:val="18"/>
                <w:szCs w:val="18"/>
              </w:rPr>
            </w:pPr>
            <w:r w:rsidRPr="00C178F6">
              <w:rPr>
                <w:sz w:val="18"/>
                <w:szCs w:val="18"/>
              </w:rPr>
              <w:t>Občina Radeče</w:t>
            </w:r>
          </w:p>
        </w:tc>
        <w:tc>
          <w:tcPr>
            <w:tcW w:w="1143" w:type="dxa"/>
            <w:shd w:val="clear" w:color="auto" w:fill="auto"/>
            <w:noWrap/>
            <w:vAlign w:val="center"/>
          </w:tcPr>
          <w:p w:rsidR="00904796" w:rsidRPr="00C178F6" w:rsidRDefault="00904796" w:rsidP="001009B2">
            <w:pPr>
              <w:spacing w:after="0"/>
              <w:jc w:val="right"/>
              <w:rPr>
                <w:sz w:val="18"/>
                <w:szCs w:val="18"/>
              </w:rPr>
            </w:pPr>
            <w:r>
              <w:rPr>
                <w:sz w:val="18"/>
                <w:szCs w:val="18"/>
              </w:rPr>
              <w:t>223</w:t>
            </w:r>
          </w:p>
        </w:tc>
        <w:tc>
          <w:tcPr>
            <w:tcW w:w="992" w:type="dxa"/>
            <w:shd w:val="clear" w:color="auto" w:fill="auto"/>
            <w:noWrap/>
            <w:vAlign w:val="center"/>
          </w:tcPr>
          <w:p w:rsidR="00904796" w:rsidRPr="00C178F6" w:rsidRDefault="00904796" w:rsidP="001009B2">
            <w:pPr>
              <w:spacing w:after="0"/>
              <w:jc w:val="right"/>
              <w:rPr>
                <w:sz w:val="18"/>
                <w:szCs w:val="18"/>
              </w:rPr>
            </w:pPr>
            <w:r>
              <w:rPr>
                <w:sz w:val="18"/>
                <w:szCs w:val="18"/>
              </w:rPr>
              <w:t>118</w:t>
            </w:r>
          </w:p>
        </w:tc>
        <w:tc>
          <w:tcPr>
            <w:tcW w:w="1134" w:type="dxa"/>
          </w:tcPr>
          <w:p w:rsidR="00904796" w:rsidRPr="00C178F6" w:rsidRDefault="00904796" w:rsidP="001009B2">
            <w:pPr>
              <w:spacing w:after="0"/>
              <w:jc w:val="right"/>
              <w:rPr>
                <w:sz w:val="18"/>
                <w:szCs w:val="18"/>
              </w:rPr>
            </w:pPr>
            <w:r>
              <w:rPr>
                <w:sz w:val="18"/>
                <w:szCs w:val="18"/>
              </w:rPr>
              <w:t>123</w:t>
            </w:r>
          </w:p>
        </w:tc>
        <w:tc>
          <w:tcPr>
            <w:tcW w:w="924" w:type="dxa"/>
          </w:tcPr>
          <w:p w:rsidR="00904796" w:rsidRPr="00C178F6" w:rsidRDefault="00904796" w:rsidP="001009B2">
            <w:pPr>
              <w:spacing w:after="0"/>
              <w:jc w:val="right"/>
              <w:rPr>
                <w:sz w:val="18"/>
                <w:szCs w:val="18"/>
              </w:rPr>
            </w:pPr>
            <w:r>
              <w:rPr>
                <w:sz w:val="18"/>
                <w:szCs w:val="18"/>
              </w:rPr>
              <w:t>52</w:t>
            </w:r>
          </w:p>
        </w:tc>
        <w:tc>
          <w:tcPr>
            <w:tcW w:w="919" w:type="dxa"/>
          </w:tcPr>
          <w:p w:rsidR="00904796" w:rsidRPr="00C178F6" w:rsidRDefault="00904796" w:rsidP="001009B2">
            <w:pPr>
              <w:spacing w:after="0"/>
              <w:jc w:val="right"/>
              <w:rPr>
                <w:sz w:val="18"/>
                <w:szCs w:val="18"/>
              </w:rPr>
            </w:pPr>
            <w:r>
              <w:rPr>
                <w:sz w:val="18"/>
                <w:szCs w:val="18"/>
              </w:rPr>
              <w:t>84</w:t>
            </w:r>
          </w:p>
        </w:tc>
        <w:tc>
          <w:tcPr>
            <w:tcW w:w="992" w:type="dxa"/>
          </w:tcPr>
          <w:p w:rsidR="00904796" w:rsidRPr="00C178F6" w:rsidRDefault="00904796" w:rsidP="001009B2">
            <w:pPr>
              <w:spacing w:after="0"/>
              <w:jc w:val="right"/>
              <w:rPr>
                <w:sz w:val="18"/>
                <w:szCs w:val="18"/>
              </w:rPr>
            </w:pPr>
            <w:r>
              <w:rPr>
                <w:sz w:val="18"/>
                <w:szCs w:val="18"/>
              </w:rPr>
              <w:t>63</w:t>
            </w:r>
          </w:p>
        </w:tc>
        <w:tc>
          <w:tcPr>
            <w:tcW w:w="1134" w:type="dxa"/>
          </w:tcPr>
          <w:p w:rsidR="00904796" w:rsidRPr="00C178F6" w:rsidRDefault="00904796" w:rsidP="001009B2">
            <w:pPr>
              <w:spacing w:after="0"/>
              <w:jc w:val="right"/>
              <w:rPr>
                <w:sz w:val="18"/>
                <w:szCs w:val="18"/>
              </w:rPr>
            </w:pPr>
            <w:r>
              <w:rPr>
                <w:sz w:val="18"/>
                <w:szCs w:val="18"/>
              </w:rPr>
              <w:t>126</w:t>
            </w:r>
          </w:p>
        </w:tc>
        <w:tc>
          <w:tcPr>
            <w:tcW w:w="958" w:type="dxa"/>
          </w:tcPr>
          <w:p w:rsidR="00904796" w:rsidRPr="00C178F6" w:rsidRDefault="00904796" w:rsidP="001009B2">
            <w:pPr>
              <w:spacing w:after="0"/>
              <w:jc w:val="right"/>
              <w:rPr>
                <w:sz w:val="18"/>
                <w:szCs w:val="18"/>
              </w:rPr>
            </w:pPr>
            <w:r>
              <w:rPr>
                <w:sz w:val="18"/>
                <w:szCs w:val="18"/>
              </w:rPr>
              <w:t>34</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sz w:val="18"/>
                <w:szCs w:val="18"/>
              </w:rPr>
            </w:pPr>
            <w:r w:rsidRPr="00C178F6">
              <w:rPr>
                <w:sz w:val="18"/>
                <w:szCs w:val="18"/>
              </w:rPr>
              <w:t>Občina Trbovlje</w:t>
            </w:r>
          </w:p>
        </w:tc>
        <w:tc>
          <w:tcPr>
            <w:tcW w:w="1143" w:type="dxa"/>
            <w:shd w:val="clear" w:color="auto" w:fill="auto"/>
            <w:noWrap/>
            <w:vAlign w:val="center"/>
          </w:tcPr>
          <w:p w:rsidR="00904796" w:rsidRPr="00C178F6" w:rsidRDefault="00904796" w:rsidP="001009B2">
            <w:pPr>
              <w:spacing w:after="0"/>
              <w:jc w:val="right"/>
              <w:rPr>
                <w:sz w:val="18"/>
                <w:szCs w:val="18"/>
              </w:rPr>
            </w:pPr>
            <w:r>
              <w:rPr>
                <w:sz w:val="18"/>
                <w:szCs w:val="18"/>
              </w:rPr>
              <w:t>1.276</w:t>
            </w:r>
          </w:p>
        </w:tc>
        <w:tc>
          <w:tcPr>
            <w:tcW w:w="992" w:type="dxa"/>
            <w:shd w:val="clear" w:color="auto" w:fill="auto"/>
            <w:noWrap/>
            <w:vAlign w:val="center"/>
          </w:tcPr>
          <w:p w:rsidR="00904796" w:rsidRPr="00C178F6" w:rsidRDefault="00904796" w:rsidP="001009B2">
            <w:pPr>
              <w:spacing w:after="0"/>
              <w:jc w:val="right"/>
              <w:rPr>
                <w:sz w:val="18"/>
                <w:szCs w:val="18"/>
              </w:rPr>
            </w:pPr>
            <w:r>
              <w:rPr>
                <w:sz w:val="18"/>
                <w:szCs w:val="18"/>
              </w:rPr>
              <w:t>618</w:t>
            </w:r>
          </w:p>
        </w:tc>
        <w:tc>
          <w:tcPr>
            <w:tcW w:w="1134" w:type="dxa"/>
          </w:tcPr>
          <w:p w:rsidR="00904796" w:rsidRPr="00C178F6" w:rsidRDefault="00904796" w:rsidP="001009B2">
            <w:pPr>
              <w:spacing w:after="0"/>
              <w:jc w:val="right"/>
              <w:rPr>
                <w:sz w:val="18"/>
                <w:szCs w:val="18"/>
              </w:rPr>
            </w:pPr>
            <w:r>
              <w:rPr>
                <w:sz w:val="18"/>
                <w:szCs w:val="18"/>
              </w:rPr>
              <w:t>715</w:t>
            </w:r>
          </w:p>
        </w:tc>
        <w:tc>
          <w:tcPr>
            <w:tcW w:w="924" w:type="dxa"/>
          </w:tcPr>
          <w:p w:rsidR="00904796" w:rsidRPr="00C178F6" w:rsidRDefault="00904796" w:rsidP="001009B2">
            <w:pPr>
              <w:spacing w:after="0"/>
              <w:jc w:val="right"/>
              <w:rPr>
                <w:sz w:val="18"/>
                <w:szCs w:val="18"/>
              </w:rPr>
            </w:pPr>
            <w:r>
              <w:rPr>
                <w:sz w:val="18"/>
                <w:szCs w:val="18"/>
              </w:rPr>
              <w:t>312</w:t>
            </w:r>
          </w:p>
        </w:tc>
        <w:tc>
          <w:tcPr>
            <w:tcW w:w="919" w:type="dxa"/>
          </w:tcPr>
          <w:p w:rsidR="00904796" w:rsidRPr="00C178F6" w:rsidRDefault="00904796" w:rsidP="001009B2">
            <w:pPr>
              <w:spacing w:after="0"/>
              <w:jc w:val="right"/>
              <w:rPr>
                <w:sz w:val="18"/>
                <w:szCs w:val="18"/>
              </w:rPr>
            </w:pPr>
            <w:r>
              <w:rPr>
                <w:sz w:val="18"/>
                <w:szCs w:val="18"/>
              </w:rPr>
              <w:t>438</w:t>
            </w:r>
          </w:p>
        </w:tc>
        <w:tc>
          <w:tcPr>
            <w:tcW w:w="992" w:type="dxa"/>
          </w:tcPr>
          <w:p w:rsidR="00904796" w:rsidRPr="00C178F6" w:rsidRDefault="00904796" w:rsidP="001009B2">
            <w:pPr>
              <w:spacing w:after="0"/>
              <w:jc w:val="right"/>
              <w:rPr>
                <w:sz w:val="18"/>
                <w:szCs w:val="18"/>
              </w:rPr>
            </w:pPr>
            <w:r>
              <w:rPr>
                <w:sz w:val="18"/>
                <w:szCs w:val="18"/>
              </w:rPr>
              <w:t>382</w:t>
            </w:r>
          </w:p>
        </w:tc>
        <w:tc>
          <w:tcPr>
            <w:tcW w:w="1134" w:type="dxa"/>
          </w:tcPr>
          <w:p w:rsidR="00904796" w:rsidRPr="00C178F6" w:rsidRDefault="00904796" w:rsidP="001009B2">
            <w:pPr>
              <w:spacing w:after="0"/>
              <w:jc w:val="right"/>
              <w:rPr>
                <w:sz w:val="18"/>
                <w:szCs w:val="18"/>
              </w:rPr>
            </w:pPr>
            <w:r>
              <w:rPr>
                <w:sz w:val="18"/>
                <w:szCs w:val="18"/>
              </w:rPr>
              <w:t>707</w:t>
            </w:r>
          </w:p>
        </w:tc>
        <w:tc>
          <w:tcPr>
            <w:tcW w:w="958" w:type="dxa"/>
          </w:tcPr>
          <w:p w:rsidR="00904796" w:rsidRPr="00C178F6" w:rsidRDefault="00904796" w:rsidP="001009B2">
            <w:pPr>
              <w:spacing w:after="0"/>
              <w:jc w:val="right"/>
              <w:rPr>
                <w:sz w:val="18"/>
                <w:szCs w:val="18"/>
              </w:rPr>
            </w:pPr>
            <w:r>
              <w:rPr>
                <w:sz w:val="18"/>
                <w:szCs w:val="18"/>
              </w:rPr>
              <w:t>187</w:t>
            </w:r>
          </w:p>
        </w:tc>
      </w:tr>
    </w:tbl>
    <w:p w:rsidR="00904796" w:rsidRDefault="00904796" w:rsidP="00904796">
      <w:pPr>
        <w:spacing w:after="0"/>
      </w:pPr>
    </w:p>
    <w:p w:rsidR="00904796" w:rsidRDefault="00904796" w:rsidP="00904796">
      <w:pPr>
        <w:spacing w:after="0"/>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143"/>
        <w:gridCol w:w="992"/>
        <w:gridCol w:w="1134"/>
        <w:gridCol w:w="924"/>
        <w:gridCol w:w="919"/>
        <w:gridCol w:w="992"/>
        <w:gridCol w:w="1134"/>
        <w:gridCol w:w="958"/>
      </w:tblGrid>
      <w:tr w:rsidR="00904796" w:rsidRPr="00C178F6" w:rsidTr="001009B2">
        <w:trPr>
          <w:trHeight w:val="300"/>
        </w:trPr>
        <w:tc>
          <w:tcPr>
            <w:tcW w:w="1092" w:type="dxa"/>
            <w:shd w:val="clear" w:color="auto" w:fill="auto"/>
            <w:noWrap/>
          </w:tcPr>
          <w:p w:rsidR="00904796" w:rsidRPr="00C178F6" w:rsidRDefault="00904796" w:rsidP="001009B2">
            <w:pPr>
              <w:spacing w:after="0"/>
              <w:rPr>
                <w:b/>
                <w:bCs/>
                <w:sz w:val="18"/>
                <w:szCs w:val="18"/>
              </w:rPr>
            </w:pPr>
          </w:p>
        </w:tc>
        <w:tc>
          <w:tcPr>
            <w:tcW w:w="8196" w:type="dxa"/>
            <w:gridSpan w:val="8"/>
            <w:shd w:val="clear" w:color="auto" w:fill="auto"/>
            <w:noWrap/>
          </w:tcPr>
          <w:p w:rsidR="00904796" w:rsidRPr="00C178F6" w:rsidRDefault="00904796" w:rsidP="001009B2">
            <w:pPr>
              <w:spacing w:after="0"/>
              <w:jc w:val="center"/>
              <w:rPr>
                <w:sz w:val="18"/>
                <w:szCs w:val="18"/>
              </w:rPr>
            </w:pPr>
            <w:r>
              <w:rPr>
                <w:sz w:val="18"/>
                <w:szCs w:val="18"/>
              </w:rPr>
              <w:t>december 2016</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b/>
                <w:bCs/>
                <w:sz w:val="18"/>
                <w:szCs w:val="18"/>
              </w:rPr>
            </w:pPr>
          </w:p>
        </w:tc>
        <w:tc>
          <w:tcPr>
            <w:tcW w:w="1143" w:type="dxa"/>
            <w:shd w:val="clear" w:color="auto" w:fill="auto"/>
            <w:noWrap/>
          </w:tcPr>
          <w:p w:rsidR="00904796" w:rsidRPr="00C178F6" w:rsidRDefault="00904796" w:rsidP="001009B2">
            <w:pPr>
              <w:spacing w:after="0"/>
              <w:jc w:val="center"/>
              <w:rPr>
                <w:sz w:val="18"/>
                <w:szCs w:val="18"/>
              </w:rPr>
            </w:pPr>
            <w:r w:rsidRPr="00C178F6">
              <w:rPr>
                <w:sz w:val="18"/>
                <w:szCs w:val="18"/>
              </w:rPr>
              <w:t>Reg.</w:t>
            </w:r>
            <w:proofErr w:type="spellStart"/>
            <w:r w:rsidRPr="00C178F6">
              <w:rPr>
                <w:sz w:val="18"/>
                <w:szCs w:val="18"/>
              </w:rPr>
              <w:t>brezp</w:t>
            </w:r>
            <w:proofErr w:type="spellEnd"/>
            <w:r w:rsidRPr="00C178F6">
              <w:rPr>
                <w:sz w:val="18"/>
                <w:szCs w:val="18"/>
              </w:rPr>
              <w:t>. osebe, skupaj</w:t>
            </w:r>
          </w:p>
        </w:tc>
        <w:tc>
          <w:tcPr>
            <w:tcW w:w="992" w:type="dxa"/>
            <w:shd w:val="clear" w:color="auto" w:fill="auto"/>
            <w:noWrap/>
          </w:tcPr>
          <w:p w:rsidR="00904796" w:rsidRPr="00C178F6" w:rsidRDefault="00904796" w:rsidP="001009B2">
            <w:pPr>
              <w:spacing w:after="0"/>
              <w:jc w:val="center"/>
              <w:rPr>
                <w:sz w:val="18"/>
                <w:szCs w:val="18"/>
              </w:rPr>
            </w:pPr>
            <w:r w:rsidRPr="00C178F6">
              <w:rPr>
                <w:sz w:val="18"/>
                <w:szCs w:val="18"/>
              </w:rPr>
              <w:t>ženske</w:t>
            </w:r>
          </w:p>
        </w:tc>
        <w:tc>
          <w:tcPr>
            <w:tcW w:w="1134" w:type="dxa"/>
          </w:tcPr>
          <w:p w:rsidR="00904796" w:rsidRPr="00C178F6" w:rsidRDefault="00904796" w:rsidP="001009B2">
            <w:pPr>
              <w:spacing w:after="0"/>
              <w:jc w:val="center"/>
              <w:rPr>
                <w:sz w:val="18"/>
                <w:szCs w:val="18"/>
              </w:rPr>
            </w:pPr>
            <w:r w:rsidRPr="00C178F6">
              <w:rPr>
                <w:sz w:val="18"/>
                <w:szCs w:val="18"/>
              </w:rPr>
              <w:t>Dolgotrajno brezposelni</w:t>
            </w:r>
          </w:p>
        </w:tc>
        <w:tc>
          <w:tcPr>
            <w:tcW w:w="924" w:type="dxa"/>
          </w:tcPr>
          <w:p w:rsidR="00904796" w:rsidRPr="00C178F6" w:rsidRDefault="00904796" w:rsidP="001009B2">
            <w:pPr>
              <w:spacing w:after="0"/>
              <w:jc w:val="center"/>
              <w:rPr>
                <w:sz w:val="18"/>
                <w:szCs w:val="18"/>
              </w:rPr>
            </w:pPr>
            <w:r w:rsidRPr="00C178F6">
              <w:rPr>
                <w:sz w:val="18"/>
                <w:szCs w:val="18"/>
              </w:rPr>
              <w:t xml:space="preserve">Stari </w:t>
            </w:r>
          </w:p>
          <w:p w:rsidR="00904796" w:rsidRPr="00C178F6" w:rsidRDefault="00904796" w:rsidP="001009B2">
            <w:pPr>
              <w:spacing w:after="0"/>
              <w:jc w:val="center"/>
              <w:rPr>
                <w:sz w:val="18"/>
                <w:szCs w:val="18"/>
              </w:rPr>
            </w:pPr>
            <w:r w:rsidRPr="00C178F6">
              <w:rPr>
                <w:sz w:val="18"/>
                <w:szCs w:val="18"/>
              </w:rPr>
              <w:t>15-29 let</w:t>
            </w:r>
          </w:p>
        </w:tc>
        <w:tc>
          <w:tcPr>
            <w:tcW w:w="919" w:type="dxa"/>
          </w:tcPr>
          <w:p w:rsidR="00904796" w:rsidRPr="00C178F6" w:rsidRDefault="00904796" w:rsidP="001009B2">
            <w:pPr>
              <w:spacing w:after="0"/>
              <w:jc w:val="center"/>
              <w:rPr>
                <w:sz w:val="18"/>
                <w:szCs w:val="18"/>
              </w:rPr>
            </w:pPr>
            <w:r w:rsidRPr="00C178F6">
              <w:rPr>
                <w:sz w:val="18"/>
                <w:szCs w:val="18"/>
              </w:rPr>
              <w:t>Stari 50 let ali več</w:t>
            </w:r>
          </w:p>
        </w:tc>
        <w:tc>
          <w:tcPr>
            <w:tcW w:w="992" w:type="dxa"/>
          </w:tcPr>
          <w:p w:rsidR="00904796" w:rsidRPr="00C178F6" w:rsidRDefault="00904796" w:rsidP="001009B2">
            <w:pPr>
              <w:spacing w:after="0"/>
              <w:jc w:val="center"/>
              <w:rPr>
                <w:sz w:val="18"/>
                <w:szCs w:val="18"/>
              </w:rPr>
            </w:pPr>
            <w:r w:rsidRPr="00C178F6">
              <w:rPr>
                <w:sz w:val="18"/>
                <w:szCs w:val="18"/>
              </w:rPr>
              <w:t>1+2 OŠ ali manj</w:t>
            </w:r>
          </w:p>
        </w:tc>
        <w:tc>
          <w:tcPr>
            <w:tcW w:w="1134" w:type="dxa"/>
          </w:tcPr>
          <w:p w:rsidR="00904796" w:rsidRPr="00C178F6" w:rsidRDefault="00904796" w:rsidP="001009B2">
            <w:pPr>
              <w:spacing w:after="0"/>
              <w:jc w:val="center"/>
              <w:rPr>
                <w:sz w:val="18"/>
                <w:szCs w:val="18"/>
              </w:rPr>
            </w:pPr>
            <w:r w:rsidRPr="00C178F6">
              <w:rPr>
                <w:sz w:val="18"/>
                <w:szCs w:val="18"/>
              </w:rPr>
              <w:t xml:space="preserve">3+4+5 </w:t>
            </w:r>
            <w:proofErr w:type="spellStart"/>
            <w:r w:rsidRPr="00C178F6">
              <w:rPr>
                <w:sz w:val="18"/>
                <w:szCs w:val="18"/>
              </w:rPr>
              <w:t>srednješol.izobrazba</w:t>
            </w:r>
            <w:proofErr w:type="spellEnd"/>
          </w:p>
        </w:tc>
        <w:tc>
          <w:tcPr>
            <w:tcW w:w="958" w:type="dxa"/>
          </w:tcPr>
          <w:p w:rsidR="00904796" w:rsidRPr="00C178F6" w:rsidRDefault="00904796" w:rsidP="001009B2">
            <w:pPr>
              <w:spacing w:after="0"/>
              <w:jc w:val="center"/>
              <w:rPr>
                <w:sz w:val="18"/>
                <w:szCs w:val="18"/>
              </w:rPr>
            </w:pPr>
            <w:r w:rsidRPr="00C178F6">
              <w:rPr>
                <w:sz w:val="18"/>
                <w:szCs w:val="18"/>
              </w:rPr>
              <w:t xml:space="preserve">6+7+8 višje-, visoko-šol. </w:t>
            </w:r>
            <w:proofErr w:type="spellStart"/>
            <w:r w:rsidRPr="00C178F6">
              <w:rPr>
                <w:sz w:val="18"/>
                <w:szCs w:val="18"/>
              </w:rPr>
              <w:t>Izobr</w:t>
            </w:r>
            <w:proofErr w:type="spellEnd"/>
            <w:r w:rsidRPr="00C178F6">
              <w:rPr>
                <w:sz w:val="18"/>
                <w:szCs w:val="18"/>
              </w:rPr>
              <w:t xml:space="preserve"> </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sz w:val="18"/>
                <w:szCs w:val="18"/>
              </w:rPr>
            </w:pPr>
            <w:r w:rsidRPr="00C178F6">
              <w:rPr>
                <w:sz w:val="18"/>
                <w:szCs w:val="18"/>
              </w:rPr>
              <w:t>Občina Hrastnik</w:t>
            </w:r>
          </w:p>
        </w:tc>
        <w:tc>
          <w:tcPr>
            <w:tcW w:w="1143" w:type="dxa"/>
            <w:shd w:val="clear" w:color="auto" w:fill="auto"/>
            <w:noWrap/>
            <w:vAlign w:val="center"/>
          </w:tcPr>
          <w:p w:rsidR="00904796" w:rsidRPr="00C178F6" w:rsidRDefault="00904796" w:rsidP="001009B2">
            <w:pPr>
              <w:spacing w:after="0"/>
              <w:jc w:val="right"/>
              <w:rPr>
                <w:sz w:val="18"/>
                <w:szCs w:val="18"/>
              </w:rPr>
            </w:pPr>
            <w:r>
              <w:rPr>
                <w:sz w:val="18"/>
                <w:szCs w:val="18"/>
              </w:rPr>
              <w:t>571</w:t>
            </w:r>
          </w:p>
        </w:tc>
        <w:tc>
          <w:tcPr>
            <w:tcW w:w="992" w:type="dxa"/>
            <w:shd w:val="clear" w:color="auto" w:fill="auto"/>
            <w:noWrap/>
            <w:vAlign w:val="center"/>
          </w:tcPr>
          <w:p w:rsidR="00904796" w:rsidRPr="00C178F6" w:rsidRDefault="00904796" w:rsidP="001009B2">
            <w:pPr>
              <w:spacing w:after="0"/>
              <w:jc w:val="right"/>
              <w:rPr>
                <w:sz w:val="18"/>
                <w:szCs w:val="18"/>
              </w:rPr>
            </w:pPr>
            <w:r>
              <w:rPr>
                <w:sz w:val="18"/>
                <w:szCs w:val="18"/>
              </w:rPr>
              <w:t>293</w:t>
            </w:r>
          </w:p>
        </w:tc>
        <w:tc>
          <w:tcPr>
            <w:tcW w:w="1134" w:type="dxa"/>
          </w:tcPr>
          <w:p w:rsidR="00904796" w:rsidRPr="00C178F6" w:rsidRDefault="00904796" w:rsidP="001009B2">
            <w:pPr>
              <w:spacing w:after="0"/>
              <w:jc w:val="right"/>
              <w:rPr>
                <w:sz w:val="18"/>
                <w:szCs w:val="18"/>
              </w:rPr>
            </w:pPr>
            <w:r>
              <w:rPr>
                <w:sz w:val="18"/>
                <w:szCs w:val="18"/>
              </w:rPr>
              <w:t>328</w:t>
            </w:r>
          </w:p>
        </w:tc>
        <w:tc>
          <w:tcPr>
            <w:tcW w:w="924" w:type="dxa"/>
          </w:tcPr>
          <w:p w:rsidR="00904796" w:rsidRPr="00C178F6" w:rsidRDefault="00904796" w:rsidP="001009B2">
            <w:pPr>
              <w:spacing w:after="0"/>
              <w:jc w:val="right"/>
              <w:rPr>
                <w:sz w:val="18"/>
                <w:szCs w:val="18"/>
              </w:rPr>
            </w:pPr>
            <w:r>
              <w:rPr>
                <w:sz w:val="18"/>
                <w:szCs w:val="18"/>
              </w:rPr>
              <w:t>141</w:t>
            </w:r>
          </w:p>
        </w:tc>
        <w:tc>
          <w:tcPr>
            <w:tcW w:w="919" w:type="dxa"/>
          </w:tcPr>
          <w:p w:rsidR="00904796" w:rsidRPr="00C178F6" w:rsidRDefault="00904796" w:rsidP="001009B2">
            <w:pPr>
              <w:spacing w:after="0"/>
              <w:jc w:val="right"/>
              <w:rPr>
                <w:sz w:val="18"/>
                <w:szCs w:val="18"/>
              </w:rPr>
            </w:pPr>
            <w:r>
              <w:rPr>
                <w:sz w:val="18"/>
                <w:szCs w:val="18"/>
              </w:rPr>
              <w:t>174</w:t>
            </w:r>
          </w:p>
        </w:tc>
        <w:tc>
          <w:tcPr>
            <w:tcW w:w="992" w:type="dxa"/>
          </w:tcPr>
          <w:p w:rsidR="00904796" w:rsidRPr="00C178F6" w:rsidRDefault="00904796" w:rsidP="001009B2">
            <w:pPr>
              <w:spacing w:after="0"/>
              <w:jc w:val="right"/>
              <w:rPr>
                <w:sz w:val="18"/>
                <w:szCs w:val="18"/>
              </w:rPr>
            </w:pPr>
            <w:r>
              <w:rPr>
                <w:sz w:val="18"/>
                <w:szCs w:val="18"/>
              </w:rPr>
              <w:t>200</w:t>
            </w:r>
          </w:p>
        </w:tc>
        <w:tc>
          <w:tcPr>
            <w:tcW w:w="1134" w:type="dxa"/>
          </w:tcPr>
          <w:p w:rsidR="00904796" w:rsidRPr="00C178F6" w:rsidRDefault="00904796" w:rsidP="001009B2">
            <w:pPr>
              <w:spacing w:after="0"/>
              <w:jc w:val="right"/>
              <w:rPr>
                <w:sz w:val="18"/>
                <w:szCs w:val="18"/>
              </w:rPr>
            </w:pPr>
            <w:r>
              <w:rPr>
                <w:sz w:val="18"/>
                <w:szCs w:val="18"/>
              </w:rPr>
              <w:t>297</w:t>
            </w:r>
          </w:p>
        </w:tc>
        <w:tc>
          <w:tcPr>
            <w:tcW w:w="958" w:type="dxa"/>
          </w:tcPr>
          <w:p w:rsidR="00904796" w:rsidRPr="00C178F6" w:rsidRDefault="00904796" w:rsidP="001009B2">
            <w:pPr>
              <w:spacing w:after="0"/>
              <w:jc w:val="right"/>
              <w:rPr>
                <w:sz w:val="18"/>
                <w:szCs w:val="18"/>
              </w:rPr>
            </w:pPr>
            <w:r>
              <w:rPr>
                <w:sz w:val="18"/>
                <w:szCs w:val="18"/>
              </w:rPr>
              <w:t>74</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sz w:val="18"/>
                <w:szCs w:val="18"/>
              </w:rPr>
            </w:pPr>
            <w:r w:rsidRPr="00C178F6">
              <w:rPr>
                <w:sz w:val="18"/>
                <w:szCs w:val="18"/>
              </w:rPr>
              <w:t>Občina Radeče</w:t>
            </w:r>
          </w:p>
        </w:tc>
        <w:tc>
          <w:tcPr>
            <w:tcW w:w="1143" w:type="dxa"/>
            <w:shd w:val="clear" w:color="auto" w:fill="auto"/>
            <w:noWrap/>
            <w:vAlign w:val="center"/>
          </w:tcPr>
          <w:p w:rsidR="00904796" w:rsidRPr="00C178F6" w:rsidRDefault="00904796" w:rsidP="001009B2">
            <w:pPr>
              <w:spacing w:after="0"/>
              <w:jc w:val="right"/>
              <w:rPr>
                <w:sz w:val="18"/>
                <w:szCs w:val="18"/>
              </w:rPr>
            </w:pPr>
            <w:r>
              <w:rPr>
                <w:sz w:val="18"/>
                <w:szCs w:val="18"/>
              </w:rPr>
              <w:t>230</w:t>
            </w:r>
          </w:p>
        </w:tc>
        <w:tc>
          <w:tcPr>
            <w:tcW w:w="992" w:type="dxa"/>
            <w:shd w:val="clear" w:color="auto" w:fill="auto"/>
            <w:noWrap/>
            <w:vAlign w:val="center"/>
          </w:tcPr>
          <w:p w:rsidR="00904796" w:rsidRPr="00C178F6" w:rsidRDefault="00904796" w:rsidP="001009B2">
            <w:pPr>
              <w:spacing w:after="0"/>
              <w:jc w:val="right"/>
              <w:rPr>
                <w:sz w:val="18"/>
                <w:szCs w:val="18"/>
              </w:rPr>
            </w:pPr>
            <w:r>
              <w:rPr>
                <w:sz w:val="18"/>
                <w:szCs w:val="18"/>
              </w:rPr>
              <w:t>120</w:t>
            </w:r>
          </w:p>
        </w:tc>
        <w:tc>
          <w:tcPr>
            <w:tcW w:w="1134" w:type="dxa"/>
          </w:tcPr>
          <w:p w:rsidR="00904796" w:rsidRPr="00C178F6" w:rsidRDefault="00904796" w:rsidP="001009B2">
            <w:pPr>
              <w:spacing w:after="0"/>
              <w:jc w:val="right"/>
              <w:rPr>
                <w:sz w:val="18"/>
                <w:szCs w:val="18"/>
              </w:rPr>
            </w:pPr>
            <w:r>
              <w:rPr>
                <w:sz w:val="18"/>
                <w:szCs w:val="18"/>
              </w:rPr>
              <w:t>126</w:t>
            </w:r>
          </w:p>
        </w:tc>
        <w:tc>
          <w:tcPr>
            <w:tcW w:w="924" w:type="dxa"/>
          </w:tcPr>
          <w:p w:rsidR="00904796" w:rsidRPr="00C178F6" w:rsidRDefault="00904796" w:rsidP="001009B2">
            <w:pPr>
              <w:spacing w:after="0"/>
              <w:jc w:val="right"/>
              <w:rPr>
                <w:sz w:val="18"/>
                <w:szCs w:val="18"/>
              </w:rPr>
            </w:pPr>
            <w:r>
              <w:rPr>
                <w:sz w:val="18"/>
                <w:szCs w:val="18"/>
              </w:rPr>
              <w:t>54</w:t>
            </w:r>
          </w:p>
        </w:tc>
        <w:tc>
          <w:tcPr>
            <w:tcW w:w="919" w:type="dxa"/>
          </w:tcPr>
          <w:p w:rsidR="00904796" w:rsidRPr="00C178F6" w:rsidRDefault="00904796" w:rsidP="001009B2">
            <w:pPr>
              <w:spacing w:after="0"/>
              <w:jc w:val="right"/>
              <w:rPr>
                <w:sz w:val="18"/>
                <w:szCs w:val="18"/>
              </w:rPr>
            </w:pPr>
            <w:r>
              <w:rPr>
                <w:sz w:val="18"/>
                <w:szCs w:val="18"/>
              </w:rPr>
              <w:t>84</w:t>
            </w:r>
          </w:p>
        </w:tc>
        <w:tc>
          <w:tcPr>
            <w:tcW w:w="992" w:type="dxa"/>
          </w:tcPr>
          <w:p w:rsidR="00904796" w:rsidRPr="00C178F6" w:rsidRDefault="00904796" w:rsidP="001009B2">
            <w:pPr>
              <w:spacing w:after="0"/>
              <w:jc w:val="right"/>
              <w:rPr>
                <w:sz w:val="18"/>
                <w:szCs w:val="18"/>
              </w:rPr>
            </w:pPr>
            <w:r>
              <w:rPr>
                <w:sz w:val="18"/>
                <w:szCs w:val="18"/>
              </w:rPr>
              <w:t>66</w:t>
            </w:r>
          </w:p>
        </w:tc>
        <w:tc>
          <w:tcPr>
            <w:tcW w:w="1134" w:type="dxa"/>
          </w:tcPr>
          <w:p w:rsidR="00904796" w:rsidRPr="00C178F6" w:rsidRDefault="00904796" w:rsidP="001009B2">
            <w:pPr>
              <w:spacing w:after="0"/>
              <w:jc w:val="right"/>
              <w:rPr>
                <w:sz w:val="18"/>
                <w:szCs w:val="18"/>
              </w:rPr>
            </w:pPr>
            <w:r>
              <w:rPr>
                <w:sz w:val="18"/>
                <w:szCs w:val="18"/>
              </w:rPr>
              <w:t>126</w:t>
            </w:r>
          </w:p>
        </w:tc>
        <w:tc>
          <w:tcPr>
            <w:tcW w:w="958" w:type="dxa"/>
          </w:tcPr>
          <w:p w:rsidR="00904796" w:rsidRPr="00C178F6" w:rsidRDefault="00904796" w:rsidP="001009B2">
            <w:pPr>
              <w:spacing w:after="0"/>
              <w:jc w:val="right"/>
              <w:rPr>
                <w:sz w:val="18"/>
                <w:szCs w:val="18"/>
              </w:rPr>
            </w:pPr>
            <w:r>
              <w:rPr>
                <w:sz w:val="18"/>
                <w:szCs w:val="18"/>
              </w:rPr>
              <w:t>38</w:t>
            </w:r>
          </w:p>
        </w:tc>
      </w:tr>
      <w:tr w:rsidR="00904796" w:rsidRPr="00C178F6" w:rsidTr="001009B2">
        <w:trPr>
          <w:trHeight w:val="300"/>
        </w:trPr>
        <w:tc>
          <w:tcPr>
            <w:tcW w:w="1092" w:type="dxa"/>
            <w:shd w:val="clear" w:color="auto" w:fill="auto"/>
            <w:noWrap/>
            <w:hideMark/>
          </w:tcPr>
          <w:p w:rsidR="00904796" w:rsidRPr="00C178F6" w:rsidRDefault="00904796" w:rsidP="001009B2">
            <w:pPr>
              <w:spacing w:after="0"/>
              <w:rPr>
                <w:sz w:val="18"/>
                <w:szCs w:val="18"/>
              </w:rPr>
            </w:pPr>
            <w:r w:rsidRPr="00C178F6">
              <w:rPr>
                <w:sz w:val="18"/>
                <w:szCs w:val="18"/>
              </w:rPr>
              <w:t>Občina Trbovlje</w:t>
            </w:r>
          </w:p>
        </w:tc>
        <w:tc>
          <w:tcPr>
            <w:tcW w:w="1143" w:type="dxa"/>
            <w:shd w:val="clear" w:color="auto" w:fill="auto"/>
            <w:noWrap/>
            <w:vAlign w:val="center"/>
          </w:tcPr>
          <w:p w:rsidR="00904796" w:rsidRPr="00C178F6" w:rsidRDefault="00904796" w:rsidP="001009B2">
            <w:pPr>
              <w:spacing w:after="0"/>
              <w:jc w:val="right"/>
              <w:rPr>
                <w:sz w:val="18"/>
                <w:szCs w:val="18"/>
              </w:rPr>
            </w:pPr>
            <w:r>
              <w:rPr>
                <w:sz w:val="18"/>
                <w:szCs w:val="18"/>
              </w:rPr>
              <w:t>1.289</w:t>
            </w:r>
          </w:p>
        </w:tc>
        <w:tc>
          <w:tcPr>
            <w:tcW w:w="992" w:type="dxa"/>
            <w:shd w:val="clear" w:color="auto" w:fill="auto"/>
            <w:noWrap/>
            <w:vAlign w:val="center"/>
          </w:tcPr>
          <w:p w:rsidR="00904796" w:rsidRPr="00C178F6" w:rsidRDefault="00904796" w:rsidP="001009B2">
            <w:pPr>
              <w:spacing w:after="0"/>
              <w:jc w:val="right"/>
              <w:rPr>
                <w:sz w:val="18"/>
                <w:szCs w:val="18"/>
              </w:rPr>
            </w:pPr>
            <w:r>
              <w:rPr>
                <w:sz w:val="18"/>
                <w:szCs w:val="18"/>
              </w:rPr>
              <w:t>611</w:t>
            </w:r>
          </w:p>
        </w:tc>
        <w:tc>
          <w:tcPr>
            <w:tcW w:w="1134" w:type="dxa"/>
          </w:tcPr>
          <w:p w:rsidR="00904796" w:rsidRPr="00C178F6" w:rsidRDefault="00904796" w:rsidP="001009B2">
            <w:pPr>
              <w:spacing w:after="0"/>
              <w:jc w:val="right"/>
              <w:rPr>
                <w:sz w:val="18"/>
                <w:szCs w:val="18"/>
              </w:rPr>
            </w:pPr>
            <w:r>
              <w:rPr>
                <w:sz w:val="18"/>
                <w:szCs w:val="18"/>
              </w:rPr>
              <w:t>707</w:t>
            </w:r>
          </w:p>
        </w:tc>
        <w:tc>
          <w:tcPr>
            <w:tcW w:w="924" w:type="dxa"/>
          </w:tcPr>
          <w:p w:rsidR="00904796" w:rsidRPr="00C178F6" w:rsidRDefault="00904796" w:rsidP="001009B2">
            <w:pPr>
              <w:spacing w:after="0"/>
              <w:jc w:val="right"/>
              <w:rPr>
                <w:sz w:val="18"/>
                <w:szCs w:val="18"/>
              </w:rPr>
            </w:pPr>
            <w:r>
              <w:rPr>
                <w:sz w:val="18"/>
                <w:szCs w:val="18"/>
              </w:rPr>
              <w:t>308</w:t>
            </w:r>
          </w:p>
        </w:tc>
        <w:tc>
          <w:tcPr>
            <w:tcW w:w="919" w:type="dxa"/>
          </w:tcPr>
          <w:p w:rsidR="00904796" w:rsidRPr="00C178F6" w:rsidRDefault="00904796" w:rsidP="001009B2">
            <w:pPr>
              <w:spacing w:after="0"/>
              <w:jc w:val="right"/>
              <w:rPr>
                <w:sz w:val="18"/>
                <w:szCs w:val="18"/>
              </w:rPr>
            </w:pPr>
            <w:r>
              <w:rPr>
                <w:sz w:val="18"/>
                <w:szCs w:val="18"/>
              </w:rPr>
              <w:t>450</w:t>
            </w:r>
          </w:p>
        </w:tc>
        <w:tc>
          <w:tcPr>
            <w:tcW w:w="992" w:type="dxa"/>
          </w:tcPr>
          <w:p w:rsidR="00904796" w:rsidRPr="00C178F6" w:rsidRDefault="00904796" w:rsidP="001009B2">
            <w:pPr>
              <w:spacing w:after="0"/>
              <w:jc w:val="right"/>
              <w:rPr>
                <w:sz w:val="18"/>
                <w:szCs w:val="18"/>
              </w:rPr>
            </w:pPr>
            <w:r>
              <w:rPr>
                <w:sz w:val="18"/>
                <w:szCs w:val="18"/>
              </w:rPr>
              <w:t>406</w:t>
            </w:r>
          </w:p>
        </w:tc>
        <w:tc>
          <w:tcPr>
            <w:tcW w:w="1134" w:type="dxa"/>
          </w:tcPr>
          <w:p w:rsidR="00904796" w:rsidRPr="00C178F6" w:rsidRDefault="00904796" w:rsidP="001009B2">
            <w:pPr>
              <w:spacing w:after="0"/>
              <w:jc w:val="right"/>
              <w:rPr>
                <w:sz w:val="18"/>
                <w:szCs w:val="18"/>
              </w:rPr>
            </w:pPr>
            <w:r>
              <w:rPr>
                <w:sz w:val="18"/>
                <w:szCs w:val="18"/>
              </w:rPr>
              <w:t>694</w:t>
            </w:r>
          </w:p>
        </w:tc>
        <w:tc>
          <w:tcPr>
            <w:tcW w:w="958" w:type="dxa"/>
          </w:tcPr>
          <w:p w:rsidR="00904796" w:rsidRPr="00C178F6" w:rsidRDefault="00904796" w:rsidP="001009B2">
            <w:pPr>
              <w:spacing w:after="0"/>
              <w:jc w:val="right"/>
              <w:rPr>
                <w:sz w:val="18"/>
                <w:szCs w:val="18"/>
              </w:rPr>
            </w:pPr>
            <w:r>
              <w:rPr>
                <w:sz w:val="18"/>
                <w:szCs w:val="18"/>
              </w:rPr>
              <w:t>189</w:t>
            </w:r>
          </w:p>
        </w:tc>
      </w:tr>
    </w:tbl>
    <w:p w:rsidR="00904796" w:rsidRDefault="00904796" w:rsidP="00904796">
      <w:pPr>
        <w:spacing w:after="0"/>
      </w:pPr>
      <w:r>
        <w:t>Vir: Zavod RS za zaposlovanje, mesečne informacije</w:t>
      </w:r>
    </w:p>
    <w:p w:rsidR="00904796" w:rsidRDefault="00904796" w:rsidP="00852390">
      <w:pPr>
        <w:spacing w:after="0"/>
        <w:jc w:val="both"/>
        <w:rPr>
          <w:sz w:val="20"/>
        </w:rPr>
      </w:pPr>
    </w:p>
    <w:p w:rsidR="00672378" w:rsidRDefault="00672378" w:rsidP="00852390">
      <w:pPr>
        <w:spacing w:after="0"/>
        <w:jc w:val="both"/>
      </w:pPr>
    </w:p>
    <w:p w:rsidR="00935AED" w:rsidRPr="00C156EF" w:rsidRDefault="00935AED" w:rsidP="00852390">
      <w:pPr>
        <w:spacing w:after="0"/>
        <w:jc w:val="both"/>
      </w:pPr>
      <w:r w:rsidRPr="009D715E">
        <w:t>Analiza brezposelnosti po strukturi pokaže na velik delež dolgotrajno brezposelnih (več kot 50%) v strukturi registriranih brezposelnih oseb. Delež žensk se giblje okoli 50% v strukturi registriranih brezposelnih.  Glede na starost brezposelnih oseb je problematika brezposelnosti tako med mladimi (15- 29 let) kot tudi starejšimi (50 let ali več). Glede na izobrazbeno strukturo pa med registriranimi brezposelnimi osebami prevladujejo tist</w:t>
      </w:r>
      <w:r w:rsidR="00DD1E8E">
        <w:t>e</w:t>
      </w:r>
      <w:r w:rsidRPr="009D715E">
        <w:t xml:space="preserve"> s srednješolsko izobrazbo ali manj.</w:t>
      </w:r>
      <w:r w:rsidRPr="00C156EF">
        <w:t xml:space="preserve"> </w:t>
      </w:r>
    </w:p>
    <w:p w:rsidR="00935AED" w:rsidRDefault="00935AED" w:rsidP="00852390">
      <w:pPr>
        <w:spacing w:after="0"/>
        <w:jc w:val="both"/>
      </w:pPr>
    </w:p>
    <w:p w:rsidR="00935AED" w:rsidRPr="00C156EF" w:rsidRDefault="0099536C" w:rsidP="0099536C">
      <w:pPr>
        <w:pStyle w:val="Naslov1"/>
      </w:pPr>
      <w:r>
        <w:br w:type="page"/>
      </w:r>
      <w:bookmarkStart w:id="7" w:name="_Toc503180598"/>
      <w:r w:rsidR="001119C5" w:rsidRPr="00C156EF">
        <w:lastRenderedPageBreak/>
        <w:t>Izvajanje instrumentov in ukrepov</w:t>
      </w:r>
      <w:bookmarkEnd w:id="7"/>
    </w:p>
    <w:p w:rsidR="001119C5" w:rsidRDefault="00383453" w:rsidP="00852390">
      <w:pPr>
        <w:pStyle w:val="Naslov2"/>
        <w:rPr>
          <w:rFonts w:ascii="Calibri" w:hAnsi="Calibri"/>
        </w:rPr>
      </w:pPr>
      <w:bookmarkStart w:id="8" w:name="_Toc503180599"/>
      <w:r w:rsidRPr="00C156EF">
        <w:rPr>
          <w:rFonts w:ascii="Calibri" w:hAnsi="Calibri"/>
        </w:rPr>
        <w:t>Program spodbujanja konkurenčnosti in ukrepov razvojne podpore za območje občin Hrastnik, Radeče in Trbovlje v obdobju 2013-20</w:t>
      </w:r>
      <w:r w:rsidR="007A6D99">
        <w:rPr>
          <w:rFonts w:ascii="Calibri" w:hAnsi="Calibri"/>
        </w:rPr>
        <w:t>20</w:t>
      </w:r>
      <w:bookmarkEnd w:id="8"/>
    </w:p>
    <w:p w:rsidR="007A6D99" w:rsidRDefault="007A6D99" w:rsidP="001009B2">
      <w:pPr>
        <w:jc w:val="both"/>
      </w:pPr>
      <w:r w:rsidRPr="00570111">
        <w:rPr>
          <w:rFonts w:cs="Arial"/>
        </w:rPr>
        <w:t>Vlada Republike Slovenije je sprejela Sklep o dodatnih začasnih ukrepih razvojne podpore za problemska območja z visoko brezposelnostjo</w:t>
      </w:r>
      <w:r w:rsidRPr="00570111">
        <w:t xml:space="preserve"> </w:t>
      </w:r>
      <w:r w:rsidRPr="00570111">
        <w:rPr>
          <w:rFonts w:cs="Arial"/>
        </w:rPr>
        <w:t>št. 00726-14/2016/5 z dne 19. 5. 2016 (Uradni list RS, št. 36/16</w:t>
      </w:r>
      <w:r w:rsidR="005B435E" w:rsidRPr="00570111">
        <w:rPr>
          <w:rFonts w:cs="Arial"/>
        </w:rPr>
        <w:t xml:space="preserve"> in 64/16</w:t>
      </w:r>
      <w:r w:rsidRPr="00570111">
        <w:rPr>
          <w:rFonts w:cs="Arial"/>
        </w:rPr>
        <w:t xml:space="preserve">). </w:t>
      </w:r>
      <w:r w:rsidRPr="00570111">
        <w:t xml:space="preserve">V okviru tega je naveden </w:t>
      </w:r>
      <w:r w:rsidRPr="00570111">
        <w:rPr>
          <w:lang w:eastAsia="sl-SI"/>
        </w:rPr>
        <w:t xml:space="preserve">Ukrep 1: Program spodbujanja konkurenčnosti problemskega območja z visoko brezposelnostjo. </w:t>
      </w:r>
      <w:r w:rsidRPr="00570111">
        <w:t xml:space="preserve">Z omenjenim sklepom je Program spodbujanja konkurenčnosti in ukrepov razvojne podpore </w:t>
      </w:r>
      <w:r w:rsidRPr="00570111">
        <w:rPr>
          <w:bCs/>
          <w:lang w:eastAsia="sl-SI"/>
        </w:rPr>
        <w:t xml:space="preserve">za območje občin Hrastnik, Radeče in Trbovlje v obdobju 2013-2018 </w:t>
      </w:r>
      <w:r w:rsidRPr="00570111">
        <w:t xml:space="preserve">podaljšan do leta 2020. </w:t>
      </w:r>
      <w:r w:rsidRPr="00570111">
        <w:rPr>
          <w:rFonts w:cs="Arial"/>
        </w:rPr>
        <w:t xml:space="preserve">Vlada Republike Slovenije je dne 23.6.2016 </w:t>
      </w:r>
      <w:r w:rsidRPr="00570111">
        <w:rPr>
          <w:rFonts w:cs="Arial"/>
          <w:color w:val="000000"/>
        </w:rPr>
        <w:t>sprejela Spremembe Programa spodbujanja konkurenčnosti in ukrepov razvojne podpore za območje občin Hrastnik, Radeče in Trbovlje, sklep Vlade RS št. 30301-4/2016/6</w:t>
      </w:r>
      <w:r w:rsidR="00A56405" w:rsidRPr="00570111">
        <w:rPr>
          <w:rFonts w:cs="Arial"/>
          <w:color w:val="000000"/>
        </w:rPr>
        <w:t xml:space="preserve">. Ker je prišlo </w:t>
      </w:r>
      <w:r w:rsidR="00DD1E8E">
        <w:rPr>
          <w:rFonts w:cs="Arial"/>
          <w:color w:val="000000"/>
        </w:rPr>
        <w:t>v letu 2016 do</w:t>
      </w:r>
      <w:r w:rsidR="00A56405" w:rsidRPr="00570111">
        <w:rPr>
          <w:rFonts w:cs="Arial"/>
          <w:color w:val="000000"/>
        </w:rPr>
        <w:t xml:space="preserve"> vsebinskih sprememb znotraj ukrepa 1- </w:t>
      </w:r>
      <w:r w:rsidR="00A56405" w:rsidRPr="00570111">
        <w:t xml:space="preserve">Program spodbujanja konkurenčnosti in ukrepov razvojne podpore </w:t>
      </w:r>
      <w:r w:rsidR="00A56405" w:rsidRPr="00570111">
        <w:rPr>
          <w:bCs/>
          <w:lang w:eastAsia="sl-SI"/>
        </w:rPr>
        <w:t>za območje občin Hrastnik, Radeče in Trbovlje za obdobje 2013-2020,  je 3</w:t>
      </w:r>
      <w:r w:rsidR="00A56405" w:rsidRPr="00570111">
        <w:t>. letno poročilo pripravljeno v skladu s</w:t>
      </w:r>
      <w:r w:rsidR="001009B2" w:rsidRPr="00570111">
        <w:t xml:space="preserve"> to spremembo</w:t>
      </w:r>
      <w:r w:rsidR="00A56405" w:rsidRPr="00570111">
        <w:t>.</w:t>
      </w:r>
      <w:r w:rsidR="00A56405">
        <w:t xml:space="preserve"> </w:t>
      </w:r>
    </w:p>
    <w:p w:rsidR="006E099C" w:rsidRDefault="006E099C" w:rsidP="001009B2">
      <w:pPr>
        <w:jc w:val="both"/>
      </w:pPr>
    </w:p>
    <w:p w:rsidR="00C41131" w:rsidRDefault="001C716E" w:rsidP="00852390">
      <w:pPr>
        <w:pStyle w:val="Naslov3"/>
      </w:pPr>
      <w:bookmarkStart w:id="9" w:name="_Toc503180600"/>
      <w:r>
        <w:t xml:space="preserve">Instrument 1: </w:t>
      </w:r>
      <w:r w:rsidR="00C41131" w:rsidRPr="00C41131">
        <w:rPr>
          <w:rFonts w:cs="Arial"/>
          <w:color w:val="000000"/>
          <w:szCs w:val="18"/>
        </w:rPr>
        <w:t>subvencije za spodbujanje investicij</w:t>
      </w:r>
      <w:bookmarkEnd w:id="9"/>
    </w:p>
    <w:p w:rsidR="001D4514" w:rsidRDefault="00655741" w:rsidP="00570111">
      <w:pPr>
        <w:jc w:val="both"/>
        <w:rPr>
          <w:rFonts w:cs="Arial"/>
          <w:color w:val="000000"/>
          <w:szCs w:val="24"/>
          <w:lang w:eastAsia="sl-SI"/>
        </w:rPr>
      </w:pPr>
      <w:r>
        <w:t>I</w:t>
      </w:r>
      <w:r w:rsidR="001D4514">
        <w:t xml:space="preserve">zvaja </w:t>
      </w:r>
      <w:r>
        <w:t xml:space="preserve">se </w:t>
      </w:r>
      <w:r w:rsidR="001D4514">
        <w:t xml:space="preserve">preko javnih razpisov </w:t>
      </w:r>
      <w:r w:rsidR="001D4514" w:rsidRPr="00C72AF7">
        <w:t xml:space="preserve"> za sofinanciranje začetnih investicij podjetij in ustvarjanja novih delovnih mest na območju občin Hrastnik, Radeče in</w:t>
      </w:r>
      <w:r w:rsidR="001D4514">
        <w:t xml:space="preserve"> Trbovlje. </w:t>
      </w:r>
      <w:r w:rsidR="001D4514" w:rsidRPr="00852390">
        <w:rPr>
          <w:szCs w:val="24"/>
        </w:rPr>
        <w:t xml:space="preserve">MGRT je do sedaj objavil </w:t>
      </w:r>
      <w:r>
        <w:rPr>
          <w:szCs w:val="24"/>
        </w:rPr>
        <w:t>tri</w:t>
      </w:r>
      <w:r w:rsidR="001D4514">
        <w:rPr>
          <w:szCs w:val="24"/>
        </w:rPr>
        <w:t xml:space="preserve"> </w:t>
      </w:r>
      <w:r w:rsidR="001D4514" w:rsidRPr="00852390">
        <w:rPr>
          <w:szCs w:val="24"/>
        </w:rPr>
        <w:t xml:space="preserve"> javne razpise; enega v letu 2014, za obdobje 2014-2015 in dva v letu 2016. </w:t>
      </w:r>
      <w:r w:rsidR="001D4514">
        <w:rPr>
          <w:szCs w:val="24"/>
        </w:rPr>
        <w:t xml:space="preserve">Na prvem </w:t>
      </w:r>
      <w:r w:rsidR="001D4514" w:rsidRPr="00852390">
        <w:rPr>
          <w:rFonts w:cs="DejaVu Sans"/>
          <w:szCs w:val="24"/>
        </w:rPr>
        <w:t xml:space="preserve"> JR v letu 2016 je bilo odobreno sofinanciranje 4</w:t>
      </w:r>
      <w:r w:rsidR="001D4514">
        <w:rPr>
          <w:rFonts w:cs="DejaVu Sans"/>
          <w:szCs w:val="24"/>
        </w:rPr>
        <w:t xml:space="preserve"> </w:t>
      </w:r>
      <w:r w:rsidR="001D4514" w:rsidRPr="00852390">
        <w:rPr>
          <w:rFonts w:cs="DejaVu Sans"/>
          <w:szCs w:val="24"/>
        </w:rPr>
        <w:t xml:space="preserve">projektov v skupni višini 586.875,14  EUR, na </w:t>
      </w:r>
      <w:r w:rsidR="001D4514">
        <w:rPr>
          <w:rFonts w:cs="DejaVu Sans"/>
          <w:szCs w:val="24"/>
        </w:rPr>
        <w:t>drugem</w:t>
      </w:r>
      <w:r w:rsidR="001D4514" w:rsidRPr="00852390">
        <w:rPr>
          <w:rFonts w:cs="DejaVu Sans"/>
          <w:szCs w:val="24"/>
        </w:rPr>
        <w:t xml:space="preserve"> JR v l. 2016 je bilo odobreno sofinanciranje 7</w:t>
      </w:r>
      <w:r w:rsidR="001D4514">
        <w:rPr>
          <w:rFonts w:cs="DejaVu Sans"/>
          <w:szCs w:val="24"/>
        </w:rPr>
        <w:t xml:space="preserve"> </w:t>
      </w:r>
      <w:r w:rsidR="001D4514" w:rsidRPr="00852390">
        <w:rPr>
          <w:rFonts w:cs="DejaVu Sans"/>
          <w:szCs w:val="24"/>
        </w:rPr>
        <w:t xml:space="preserve">projektov v skupni višini </w:t>
      </w:r>
      <w:r w:rsidR="001D4514" w:rsidRPr="00852390">
        <w:rPr>
          <w:rFonts w:cs="Arial"/>
          <w:color w:val="000000"/>
          <w:szCs w:val="24"/>
          <w:lang w:eastAsia="sl-SI"/>
        </w:rPr>
        <w:t xml:space="preserve">429.377,02 EUR. </w:t>
      </w:r>
    </w:p>
    <w:p w:rsidR="001D4514" w:rsidRPr="00852390" w:rsidRDefault="001D4514" w:rsidP="001D4514">
      <w:pPr>
        <w:rPr>
          <w:szCs w:val="24"/>
        </w:rPr>
      </w:pPr>
    </w:p>
    <w:p w:rsidR="001D4514" w:rsidRDefault="00FD6ACC" w:rsidP="00FD6ACC">
      <w:pPr>
        <w:pStyle w:val="Napis"/>
      </w:pPr>
      <w:r>
        <w:t xml:space="preserve">Tabela </w:t>
      </w:r>
      <w:fldSimple w:instr=" SEQ Tabela \* ARABIC ">
        <w:r w:rsidR="003218B5">
          <w:rPr>
            <w:noProof/>
          </w:rPr>
          <w:t>14</w:t>
        </w:r>
      </w:fldSimple>
      <w:r w:rsidR="001D4514">
        <w:t xml:space="preserve">: število izbranih projektov podjetij </w:t>
      </w:r>
      <w:r w:rsidR="00655741">
        <w:t>na</w:t>
      </w:r>
      <w:r w:rsidR="001D4514">
        <w:t xml:space="preserve"> javnih razpisih za sofinanciranje začetnih investicij podjetij v občinah problemskega območja HRT</w:t>
      </w:r>
      <w:r w:rsidR="00655741">
        <w:t xml:space="preserve"> v letu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2445"/>
        <w:gridCol w:w="2445"/>
      </w:tblGrid>
      <w:tr w:rsidR="001D4514" w:rsidTr="00D01327">
        <w:tc>
          <w:tcPr>
            <w:tcW w:w="1954" w:type="dxa"/>
            <w:shd w:val="clear" w:color="auto" w:fill="auto"/>
          </w:tcPr>
          <w:p w:rsidR="001D4514" w:rsidRDefault="001D4514" w:rsidP="00D01327">
            <w:pPr>
              <w:spacing w:after="0"/>
              <w:ind w:left="360"/>
            </w:pPr>
          </w:p>
        </w:tc>
        <w:tc>
          <w:tcPr>
            <w:tcW w:w="2445" w:type="dxa"/>
            <w:shd w:val="clear" w:color="auto" w:fill="auto"/>
          </w:tcPr>
          <w:p w:rsidR="001D4514" w:rsidRDefault="001D4514" w:rsidP="00D01327">
            <w:pPr>
              <w:numPr>
                <w:ilvl w:val="0"/>
                <w:numId w:val="9"/>
              </w:numPr>
              <w:spacing w:after="0"/>
            </w:pPr>
            <w:r>
              <w:t>JR (2016)</w:t>
            </w:r>
          </w:p>
        </w:tc>
        <w:tc>
          <w:tcPr>
            <w:tcW w:w="2445" w:type="dxa"/>
            <w:shd w:val="clear" w:color="auto" w:fill="auto"/>
          </w:tcPr>
          <w:p w:rsidR="001D4514" w:rsidRDefault="001D4514" w:rsidP="00D01327">
            <w:pPr>
              <w:numPr>
                <w:ilvl w:val="0"/>
                <w:numId w:val="9"/>
              </w:numPr>
              <w:spacing w:after="0"/>
            </w:pPr>
            <w:r>
              <w:t>JR (2016)</w:t>
            </w:r>
          </w:p>
        </w:tc>
      </w:tr>
      <w:tr w:rsidR="001D4514" w:rsidTr="00D01327">
        <w:tc>
          <w:tcPr>
            <w:tcW w:w="1954" w:type="dxa"/>
            <w:shd w:val="clear" w:color="auto" w:fill="auto"/>
          </w:tcPr>
          <w:p w:rsidR="001D4514" w:rsidRDefault="001D4514" w:rsidP="00D01327">
            <w:pPr>
              <w:spacing w:after="0"/>
            </w:pPr>
            <w:r>
              <w:t>Hrastnik</w:t>
            </w:r>
          </w:p>
        </w:tc>
        <w:tc>
          <w:tcPr>
            <w:tcW w:w="2445" w:type="dxa"/>
            <w:shd w:val="clear" w:color="auto" w:fill="auto"/>
            <w:vAlign w:val="center"/>
          </w:tcPr>
          <w:p w:rsidR="001D4514" w:rsidRDefault="001D4514" w:rsidP="00D01327">
            <w:pPr>
              <w:spacing w:after="0"/>
              <w:jc w:val="center"/>
            </w:pPr>
            <w:r>
              <w:t>0</w:t>
            </w:r>
          </w:p>
        </w:tc>
        <w:tc>
          <w:tcPr>
            <w:tcW w:w="2445" w:type="dxa"/>
            <w:shd w:val="clear" w:color="auto" w:fill="auto"/>
            <w:vAlign w:val="center"/>
          </w:tcPr>
          <w:p w:rsidR="001D4514" w:rsidRDefault="001D4514" w:rsidP="00D01327">
            <w:pPr>
              <w:spacing w:after="0"/>
              <w:jc w:val="center"/>
            </w:pPr>
            <w:r>
              <w:t>2</w:t>
            </w:r>
          </w:p>
        </w:tc>
      </w:tr>
      <w:tr w:rsidR="001D4514" w:rsidTr="00D01327">
        <w:tc>
          <w:tcPr>
            <w:tcW w:w="1954" w:type="dxa"/>
            <w:shd w:val="clear" w:color="auto" w:fill="auto"/>
          </w:tcPr>
          <w:p w:rsidR="001D4514" w:rsidRDefault="001D4514" w:rsidP="00D01327">
            <w:pPr>
              <w:spacing w:after="0"/>
            </w:pPr>
            <w:r>
              <w:t>Radeče</w:t>
            </w:r>
          </w:p>
        </w:tc>
        <w:tc>
          <w:tcPr>
            <w:tcW w:w="2445" w:type="dxa"/>
            <w:shd w:val="clear" w:color="auto" w:fill="auto"/>
            <w:vAlign w:val="center"/>
          </w:tcPr>
          <w:p w:rsidR="001D4514" w:rsidRDefault="001D4514" w:rsidP="00D01327">
            <w:pPr>
              <w:spacing w:after="0"/>
              <w:jc w:val="center"/>
            </w:pPr>
            <w:r>
              <w:t>1</w:t>
            </w:r>
          </w:p>
        </w:tc>
        <w:tc>
          <w:tcPr>
            <w:tcW w:w="2445" w:type="dxa"/>
            <w:shd w:val="clear" w:color="auto" w:fill="auto"/>
            <w:vAlign w:val="center"/>
          </w:tcPr>
          <w:p w:rsidR="001D4514" w:rsidRDefault="001D4514" w:rsidP="00D01327">
            <w:pPr>
              <w:spacing w:after="0"/>
              <w:jc w:val="center"/>
            </w:pPr>
            <w:r>
              <w:t>1</w:t>
            </w:r>
          </w:p>
        </w:tc>
      </w:tr>
      <w:tr w:rsidR="001D4514" w:rsidTr="00D01327">
        <w:tc>
          <w:tcPr>
            <w:tcW w:w="1954" w:type="dxa"/>
            <w:shd w:val="clear" w:color="auto" w:fill="auto"/>
          </w:tcPr>
          <w:p w:rsidR="001D4514" w:rsidRDefault="001D4514" w:rsidP="00D01327">
            <w:pPr>
              <w:spacing w:after="0"/>
            </w:pPr>
            <w:r>
              <w:t>Trbovlje</w:t>
            </w:r>
          </w:p>
        </w:tc>
        <w:tc>
          <w:tcPr>
            <w:tcW w:w="2445" w:type="dxa"/>
            <w:shd w:val="clear" w:color="auto" w:fill="auto"/>
            <w:vAlign w:val="center"/>
          </w:tcPr>
          <w:p w:rsidR="001D4514" w:rsidRDefault="001D4514" w:rsidP="00D01327">
            <w:pPr>
              <w:spacing w:after="0"/>
              <w:jc w:val="center"/>
            </w:pPr>
            <w:r>
              <w:t>3</w:t>
            </w:r>
          </w:p>
        </w:tc>
        <w:tc>
          <w:tcPr>
            <w:tcW w:w="2445" w:type="dxa"/>
            <w:shd w:val="clear" w:color="auto" w:fill="auto"/>
            <w:vAlign w:val="center"/>
          </w:tcPr>
          <w:p w:rsidR="001D4514" w:rsidRDefault="001D4514" w:rsidP="00D01327">
            <w:pPr>
              <w:spacing w:after="0"/>
              <w:jc w:val="center"/>
            </w:pPr>
            <w:r>
              <w:t>4</w:t>
            </w:r>
          </w:p>
        </w:tc>
      </w:tr>
      <w:tr w:rsidR="001D4514" w:rsidTr="00D01327">
        <w:tc>
          <w:tcPr>
            <w:tcW w:w="1954" w:type="dxa"/>
            <w:shd w:val="clear" w:color="auto" w:fill="auto"/>
          </w:tcPr>
          <w:p w:rsidR="001D4514" w:rsidRDefault="001D4514" w:rsidP="00D01327">
            <w:pPr>
              <w:spacing w:after="0"/>
            </w:pPr>
            <w:r>
              <w:t>Skupaj</w:t>
            </w:r>
          </w:p>
        </w:tc>
        <w:tc>
          <w:tcPr>
            <w:tcW w:w="2445" w:type="dxa"/>
            <w:shd w:val="clear" w:color="auto" w:fill="auto"/>
            <w:vAlign w:val="center"/>
          </w:tcPr>
          <w:p w:rsidR="001D4514" w:rsidRDefault="001D4514" w:rsidP="00D01327">
            <w:pPr>
              <w:spacing w:after="0"/>
              <w:jc w:val="center"/>
            </w:pPr>
            <w:r>
              <w:t>4</w:t>
            </w:r>
          </w:p>
        </w:tc>
        <w:tc>
          <w:tcPr>
            <w:tcW w:w="2445" w:type="dxa"/>
            <w:shd w:val="clear" w:color="auto" w:fill="auto"/>
            <w:vAlign w:val="center"/>
          </w:tcPr>
          <w:p w:rsidR="001D4514" w:rsidRDefault="001D4514" w:rsidP="00D01327">
            <w:pPr>
              <w:spacing w:after="0"/>
              <w:jc w:val="center"/>
            </w:pPr>
            <w:r>
              <w:t>7</w:t>
            </w:r>
          </w:p>
        </w:tc>
      </w:tr>
    </w:tbl>
    <w:p w:rsidR="001D4514" w:rsidRPr="0007246F" w:rsidRDefault="001D4514" w:rsidP="001D4514">
      <w:pPr>
        <w:spacing w:after="0" w:line="240" w:lineRule="auto"/>
        <w:rPr>
          <w:sz w:val="18"/>
          <w:szCs w:val="18"/>
        </w:rPr>
      </w:pPr>
      <w:r>
        <w:rPr>
          <w:sz w:val="18"/>
          <w:szCs w:val="18"/>
        </w:rPr>
        <w:t>Vir: MGRT</w:t>
      </w:r>
    </w:p>
    <w:p w:rsidR="001D4514" w:rsidRDefault="001D4514" w:rsidP="001D4514"/>
    <w:p w:rsidR="002D5DB3" w:rsidRDefault="002D5DB3" w:rsidP="001D4514">
      <w:r>
        <w:t>Za oba javna razpisa</w:t>
      </w:r>
      <w:r w:rsidR="00655741">
        <w:t xml:space="preserve">, ki sta bila izvedena v letu 2016, </w:t>
      </w:r>
      <w:r>
        <w:t xml:space="preserve">je predvideno, da bodo izbrani projekti ustvarili </w:t>
      </w:r>
      <w:r w:rsidR="00655741">
        <w:t xml:space="preserve">skupaj </w:t>
      </w:r>
      <w:r>
        <w:t>33 delovnih mest.</w:t>
      </w:r>
    </w:p>
    <w:p w:rsidR="005B435E" w:rsidRDefault="005B435E" w:rsidP="001D4514">
      <w:pPr>
        <w:rPr>
          <w:u w:val="single"/>
        </w:rPr>
      </w:pPr>
    </w:p>
    <w:p w:rsidR="002D5DB3" w:rsidRPr="005B435E" w:rsidRDefault="005B435E" w:rsidP="001D4514">
      <w:pPr>
        <w:rPr>
          <w:u w:val="single"/>
        </w:rPr>
      </w:pPr>
      <w:r w:rsidRPr="005B435E">
        <w:rPr>
          <w:u w:val="single"/>
        </w:rPr>
        <w:t>Status: instrument se izvaja</w:t>
      </w:r>
    </w:p>
    <w:p w:rsidR="005B435E" w:rsidRDefault="005B435E" w:rsidP="001D4514">
      <w:pPr>
        <w:jc w:val="both"/>
      </w:pPr>
    </w:p>
    <w:p w:rsidR="001D4514" w:rsidRPr="00387564" w:rsidRDefault="001D4514" w:rsidP="001D4514">
      <w:pPr>
        <w:jc w:val="both"/>
      </w:pPr>
      <w:r w:rsidRPr="00387564">
        <w:t xml:space="preserve">Instrument se je financiral iz proračunske postavke </w:t>
      </w:r>
      <w:r w:rsidRPr="00387564">
        <w:rPr>
          <w:rFonts w:cs="Arial"/>
        </w:rPr>
        <w:t xml:space="preserve">št. 989110 - </w:t>
      </w:r>
      <w:r w:rsidRPr="00387564">
        <w:rPr>
          <w:rFonts w:cs="Arial"/>
          <w:shd w:val="clear" w:color="auto" w:fill="FFFFFF"/>
        </w:rPr>
        <w:t xml:space="preserve">Dodatni ukrepi za problemska območja. </w:t>
      </w:r>
      <w:r>
        <w:rPr>
          <w:rFonts w:cs="Arial"/>
          <w:shd w:val="clear" w:color="auto" w:fill="FFFFFF"/>
        </w:rPr>
        <w:t>Javna razpisa v letu 2016</w:t>
      </w:r>
      <w:r w:rsidRPr="00387564">
        <w:rPr>
          <w:rFonts w:cs="Arial"/>
          <w:shd w:val="clear" w:color="auto" w:fill="FFFFFF"/>
        </w:rPr>
        <w:t xml:space="preserve"> sta bila objavljena na podlagi </w:t>
      </w:r>
      <w:r w:rsidRPr="00387564">
        <w:rPr>
          <w:rFonts w:cs="Arial"/>
        </w:rPr>
        <w:t>sheme državnih pomoči: Regionalna shema državnih pomoči (št. priglasitve: BE02-2399245-2014).</w:t>
      </w:r>
      <w:r w:rsidR="002D5DB3">
        <w:rPr>
          <w:rFonts w:cs="Arial"/>
        </w:rPr>
        <w:t xml:space="preserve"> </w:t>
      </w:r>
    </w:p>
    <w:p w:rsidR="00C41131" w:rsidRDefault="00C41131" w:rsidP="00C41131"/>
    <w:p w:rsidR="009A6812" w:rsidRDefault="002456E4" w:rsidP="00852390">
      <w:pPr>
        <w:pStyle w:val="Naslov3"/>
      </w:pPr>
      <w:r w:rsidRPr="00CB51E7">
        <w:t xml:space="preserve"> </w:t>
      </w:r>
      <w:bookmarkStart w:id="10" w:name="_Toc503180601"/>
      <w:r w:rsidR="009A6812">
        <w:t>Instrument 2: ugodni razvojni krediti za investicije</w:t>
      </w:r>
      <w:bookmarkEnd w:id="10"/>
    </w:p>
    <w:p w:rsidR="009A6812" w:rsidRDefault="009A6812" w:rsidP="009A6812">
      <w:pPr>
        <w:jc w:val="both"/>
      </w:pPr>
      <w:r>
        <w:t xml:space="preserve">Gre za nov instrument, ki je bil vključen v Spremembo programa </w:t>
      </w:r>
      <w:r w:rsidR="00182696">
        <w:t xml:space="preserve">spodbujanja konkurenčnosti </w:t>
      </w:r>
      <w:r>
        <w:t xml:space="preserve">HRT 2013-2020 in se v letu 2016 ni izvajal. Instrument se je začel izvajati v letu 2017, z objavo javnega razpisa za ugodna razvojna posojila začetnim podjetniškim projektom na problemskih območjih v Republiki Sloveniji, ki ga je objavil Slovenski regionalno razvojni sklad. Javni razpis je objavljen na podlagi </w:t>
      </w:r>
      <w:r w:rsidRPr="009A6812">
        <w:t>regionalne sheme državnih pomoči št.: BE02-2399245-2014</w:t>
      </w:r>
      <w:r>
        <w:t>.</w:t>
      </w:r>
    </w:p>
    <w:p w:rsidR="005B435E" w:rsidRDefault="005B435E" w:rsidP="009A6812">
      <w:pPr>
        <w:jc w:val="both"/>
      </w:pPr>
    </w:p>
    <w:p w:rsidR="005B435E" w:rsidRPr="005B435E" w:rsidRDefault="005B435E" w:rsidP="005B435E">
      <w:pPr>
        <w:rPr>
          <w:u w:val="single"/>
        </w:rPr>
      </w:pPr>
      <w:r w:rsidRPr="005B435E">
        <w:rPr>
          <w:u w:val="single"/>
        </w:rPr>
        <w:t xml:space="preserve">Status: instrument </w:t>
      </w:r>
      <w:r>
        <w:rPr>
          <w:u w:val="single"/>
        </w:rPr>
        <w:t>v pripravi</w:t>
      </w:r>
    </w:p>
    <w:p w:rsidR="000F3DD4" w:rsidRDefault="000F3DD4" w:rsidP="009A6812"/>
    <w:p w:rsidR="000F3DD4" w:rsidRDefault="000F3DD4" w:rsidP="00852390">
      <w:pPr>
        <w:pStyle w:val="Naslov3"/>
      </w:pPr>
      <w:bookmarkStart w:id="11" w:name="_Toc503180602"/>
      <w:r>
        <w:t>Instrument 3: subvencije za zagon podjetij</w:t>
      </w:r>
      <w:bookmarkEnd w:id="11"/>
      <w:r>
        <w:t xml:space="preserve"> </w:t>
      </w:r>
    </w:p>
    <w:p w:rsidR="000F3DD4" w:rsidRPr="00852390" w:rsidRDefault="000F3DD4" w:rsidP="000F3DD4">
      <w:pPr>
        <w:jc w:val="both"/>
        <w:rPr>
          <w:sz w:val="20"/>
        </w:rPr>
      </w:pPr>
      <w:r>
        <w:t>Instrument se je prej izvajal kot f</w:t>
      </w:r>
      <w:r w:rsidRPr="00C156EF">
        <w:t>inančne spodbude za novonastala podjetja</w:t>
      </w:r>
      <w:r>
        <w:t>, ki  se d</w:t>
      </w:r>
      <w:r w:rsidRPr="00C156EF">
        <w:t xml:space="preserve">odeljujejo na </w:t>
      </w:r>
      <w:r w:rsidR="00B52DFF">
        <w:t>podlagi</w:t>
      </w:r>
      <w:r w:rsidRPr="00C156EF">
        <w:t xml:space="preserve"> javnih razpisov, ki jih razpisuje Slovenski podjetniški sklad. </w:t>
      </w:r>
      <w:r>
        <w:rPr>
          <w:rFonts w:cs="DejaVu Sans"/>
          <w:szCs w:val="24"/>
        </w:rPr>
        <w:t>Dne 29.7.2016</w:t>
      </w:r>
      <w:r w:rsidRPr="00852390">
        <w:rPr>
          <w:rFonts w:cs="DejaVu Sans"/>
          <w:szCs w:val="24"/>
        </w:rPr>
        <w:t xml:space="preserve"> je </w:t>
      </w:r>
      <w:r>
        <w:rPr>
          <w:rFonts w:cs="DejaVu Sans"/>
          <w:szCs w:val="24"/>
        </w:rPr>
        <w:t>Slovenski podjetniški sklad</w:t>
      </w:r>
      <w:r w:rsidRPr="00852390">
        <w:rPr>
          <w:rFonts w:cs="DejaVu Sans"/>
          <w:szCs w:val="24"/>
        </w:rPr>
        <w:t xml:space="preserve"> objavil JR za spodbude za zagon podjetij v problemskih območjih z visoko brezposelnostjo za obdobje 2016-2017</w:t>
      </w:r>
      <w:r>
        <w:rPr>
          <w:rFonts w:cs="DejaVu Sans"/>
          <w:szCs w:val="24"/>
        </w:rPr>
        <w:t xml:space="preserve"> za vsa štiri problemska območja skupaj</w:t>
      </w:r>
      <w:r w:rsidRPr="00852390">
        <w:rPr>
          <w:rFonts w:cs="DejaVu Sans"/>
          <w:szCs w:val="24"/>
        </w:rPr>
        <w:t xml:space="preserve">. Izbranih je bilo skupaj 81 vlog v skupni višini 3.103.044,57 EUR, od tega 1.122.844,41 EUR v l. 2016 in 1.980.200,16 EUR v l. 2017. Iz področja občin HRT je  bilo izbrano 6 podjetij, 3 iz občine Trbovlje in 3 iz občine Radeče, ki so pridobila sofinanciranje v skupnem znesku 230.275,00 EUR. </w:t>
      </w:r>
    </w:p>
    <w:p w:rsidR="000F3DD4" w:rsidRDefault="000F3DD4" w:rsidP="000F3DD4">
      <w:pPr>
        <w:rPr>
          <w:u w:val="single"/>
        </w:rPr>
      </w:pPr>
    </w:p>
    <w:p w:rsidR="000F3DD4" w:rsidRPr="00C72AF7" w:rsidRDefault="000F3DD4" w:rsidP="000F3DD4">
      <w:pPr>
        <w:spacing w:after="0"/>
        <w:jc w:val="both"/>
      </w:pPr>
      <w:r w:rsidRPr="00C72AF7">
        <w:rPr>
          <w:u w:val="single"/>
        </w:rPr>
        <w:t>Status: instrument se izvaja</w:t>
      </w:r>
    </w:p>
    <w:p w:rsidR="000F3DD4" w:rsidRDefault="000F3DD4" w:rsidP="000F3DD4"/>
    <w:p w:rsidR="000F3DD4" w:rsidRDefault="001367D9" w:rsidP="000F3DD4">
      <w:pPr>
        <w:jc w:val="both"/>
      </w:pPr>
      <w:r>
        <w:t>Instrument se je</w:t>
      </w:r>
      <w:r w:rsidR="000F3DD4">
        <w:t xml:space="preserve"> v letu 201</w:t>
      </w:r>
      <w:r w:rsidR="0092594F">
        <w:t xml:space="preserve">6 </w:t>
      </w:r>
      <w:r w:rsidR="000F3DD4">
        <w:t xml:space="preserve"> financiral iz </w:t>
      </w:r>
      <w:r>
        <w:t xml:space="preserve">evropskih sredstev oziroma </w:t>
      </w:r>
      <w:r w:rsidR="0092594F">
        <w:t xml:space="preserve"> </w:t>
      </w:r>
      <w:r w:rsidRPr="00216004">
        <w:t>proračunske postavke</w:t>
      </w:r>
      <w:r>
        <w:t xml:space="preserve"> </w:t>
      </w:r>
      <w:r w:rsidR="0092594F">
        <w:t xml:space="preserve">160063- </w:t>
      </w:r>
      <w:proofErr w:type="spellStart"/>
      <w:r w:rsidR="0092594F">
        <w:t>PN3.1</w:t>
      </w:r>
      <w:proofErr w:type="spellEnd"/>
      <w:r w:rsidR="0092594F">
        <w:t xml:space="preserve"> - Spodbujanje podjetništva-V-14-20-EU  in 160064 - </w:t>
      </w:r>
      <w:proofErr w:type="spellStart"/>
      <w:r w:rsidR="0092594F">
        <w:t>PN3.1</w:t>
      </w:r>
      <w:proofErr w:type="spellEnd"/>
      <w:r w:rsidR="0092594F">
        <w:t xml:space="preserve"> - Spodbujanje podjetništva-V-14-20-SLO ter sheme državne pomoči Programa izvajanja finančnih spodbud MGRT - de </w:t>
      </w:r>
      <w:proofErr w:type="spellStart"/>
      <w:r w:rsidR="0092594F">
        <w:t>minimis</w:t>
      </w:r>
      <w:proofErr w:type="spellEnd"/>
      <w:r w:rsidR="0092594F">
        <w:t xml:space="preserve"> (št. priglasitve: M001-2399245-2015/I.) </w:t>
      </w:r>
    </w:p>
    <w:p w:rsidR="006E099C" w:rsidRDefault="006E099C" w:rsidP="000F3DD4">
      <w:pPr>
        <w:jc w:val="both"/>
      </w:pPr>
    </w:p>
    <w:p w:rsidR="006E099C" w:rsidRDefault="006E099C" w:rsidP="000F3DD4">
      <w:pPr>
        <w:jc w:val="both"/>
      </w:pPr>
    </w:p>
    <w:p w:rsidR="006E099C" w:rsidRDefault="006E099C" w:rsidP="000F3DD4">
      <w:pPr>
        <w:jc w:val="both"/>
      </w:pPr>
    </w:p>
    <w:p w:rsidR="000F53C5" w:rsidRPr="00CB51E7" w:rsidRDefault="000F53C5" w:rsidP="000F53C5">
      <w:pPr>
        <w:pStyle w:val="Naslov3"/>
      </w:pPr>
      <w:bookmarkStart w:id="12" w:name="_Toc503180603"/>
      <w:r>
        <w:lastRenderedPageBreak/>
        <w:t>Instrument 4: mikrokrediti</w:t>
      </w:r>
      <w:bookmarkEnd w:id="12"/>
    </w:p>
    <w:p w:rsidR="00B42D05" w:rsidRPr="00D469EB" w:rsidRDefault="00182696" w:rsidP="00B42D05">
      <w:pPr>
        <w:jc w:val="both"/>
        <w:rPr>
          <w:shd w:val="clear" w:color="auto" w:fill="FFFFFF"/>
        </w:rPr>
      </w:pPr>
      <w:r>
        <w:t>Gre za nov instrument, ki je bil vključen v Spremembo programa spodbujanja konkurenčnosti HRT 2013-2020</w:t>
      </w:r>
      <w:r w:rsidR="00B42D05">
        <w:t>.</w:t>
      </w:r>
      <w:r w:rsidR="00B42D05" w:rsidRPr="00B42D05">
        <w:rPr>
          <w:bCs/>
          <w:lang w:eastAsia="sl-SI"/>
        </w:rPr>
        <w:t xml:space="preserve"> </w:t>
      </w:r>
      <w:r w:rsidR="00B42D05" w:rsidRPr="00D469EB">
        <w:rPr>
          <w:bCs/>
          <w:lang w:eastAsia="sl-SI"/>
        </w:rPr>
        <w:t xml:space="preserve">Instrument rešuje problem likvidnosti ter povečevanja stroškov financiranja </w:t>
      </w:r>
      <w:proofErr w:type="spellStart"/>
      <w:r w:rsidR="00B42D05" w:rsidRPr="00D469EB">
        <w:rPr>
          <w:bCs/>
          <w:lang w:eastAsia="sl-SI"/>
        </w:rPr>
        <w:t>mikro</w:t>
      </w:r>
      <w:proofErr w:type="spellEnd"/>
      <w:r w:rsidR="00B42D05" w:rsidRPr="00D469EB">
        <w:rPr>
          <w:bCs/>
          <w:lang w:eastAsia="sl-SI"/>
        </w:rPr>
        <w:t>, malih in srednje velikih podjetij na problemskem območju HRT.</w:t>
      </w:r>
      <w:r w:rsidR="00B42D05" w:rsidRPr="00D469EB">
        <w:t xml:space="preserve"> Namen instrumenta</w:t>
      </w:r>
      <w:r w:rsidR="00B42D05" w:rsidRPr="00D469EB">
        <w:rPr>
          <w:shd w:val="clear" w:color="auto" w:fill="FFFFFF"/>
        </w:rPr>
        <w:t xml:space="preserve"> je dejavno poseči na trg dostopa do virov financiranja v segmentu </w:t>
      </w:r>
      <w:proofErr w:type="spellStart"/>
      <w:r w:rsidR="00B42D05" w:rsidRPr="00D469EB">
        <w:rPr>
          <w:shd w:val="clear" w:color="auto" w:fill="FFFFFF"/>
        </w:rPr>
        <w:t>mikro</w:t>
      </w:r>
      <w:proofErr w:type="spellEnd"/>
      <w:r w:rsidR="00B42D05" w:rsidRPr="00D469EB">
        <w:rPr>
          <w:shd w:val="clear" w:color="auto" w:fill="FFFFFF"/>
        </w:rPr>
        <w:t xml:space="preserve">, malih in srednje velikih podjetij (MSP) za preprečevanje njihove finančne izključenosti. </w:t>
      </w:r>
    </w:p>
    <w:p w:rsidR="00570111" w:rsidRDefault="00570111" w:rsidP="00570111">
      <w:pPr>
        <w:spacing w:after="0"/>
        <w:jc w:val="both"/>
        <w:rPr>
          <w:u w:val="single"/>
        </w:rPr>
      </w:pPr>
    </w:p>
    <w:p w:rsidR="00570111" w:rsidRPr="00C72AF7" w:rsidRDefault="00570111" w:rsidP="00570111">
      <w:pPr>
        <w:spacing w:after="0"/>
        <w:jc w:val="both"/>
      </w:pPr>
      <w:r w:rsidRPr="00C72AF7">
        <w:rPr>
          <w:u w:val="single"/>
        </w:rPr>
        <w:t>Status: instrument se izvaja</w:t>
      </w:r>
    </w:p>
    <w:p w:rsidR="00B42D05" w:rsidRDefault="00B42D05" w:rsidP="000F3DD4"/>
    <w:p w:rsidR="00E05B92" w:rsidRDefault="00B42D05" w:rsidP="00E05B92">
      <w:pPr>
        <w:jc w:val="both"/>
      </w:pPr>
      <w:r w:rsidRPr="00AA26F8">
        <w:t>K</w:t>
      </w:r>
      <w:r w:rsidR="00182696" w:rsidRPr="00AA26F8">
        <w:t>onec leta 2016 je Slovenski podjetniški sklad objavil javni razpis za mikrokredite na problemskih območjih v Republ</w:t>
      </w:r>
      <w:r w:rsidRPr="00AA26F8">
        <w:t>iki Sloveniji</w:t>
      </w:r>
      <w:r w:rsidR="001367D9">
        <w:t>, iz proračunskih sredstev (B-bilanca)</w:t>
      </w:r>
      <w:r w:rsidR="00E05B92">
        <w:t xml:space="preserve">. </w:t>
      </w:r>
      <w:r w:rsidR="00E05B92">
        <w:rPr>
          <w:shd w:val="clear" w:color="auto" w:fill="FFFFFF"/>
        </w:rPr>
        <w:t xml:space="preserve">Višina razpisanih sredstev za problemsko območje HRT je znašala  1.950.000,00 EUR, na </w:t>
      </w:r>
      <w:r w:rsidR="00E05B92" w:rsidRPr="00247C2F">
        <w:rPr>
          <w:shd w:val="clear" w:color="auto" w:fill="FFFFFF"/>
        </w:rPr>
        <w:t xml:space="preserve">prvih šestih odpiranjih </w:t>
      </w:r>
      <w:r w:rsidR="00E05B92">
        <w:rPr>
          <w:shd w:val="clear" w:color="auto" w:fill="FFFFFF"/>
        </w:rPr>
        <w:t xml:space="preserve">je bilo </w:t>
      </w:r>
      <w:r w:rsidR="00E05B92" w:rsidRPr="00247C2F">
        <w:rPr>
          <w:shd w:val="clear" w:color="auto" w:fill="FFFFFF"/>
        </w:rPr>
        <w:t>7 prejemnikov iz področja HRT, in sicer v višini 141.000</w:t>
      </w:r>
      <w:r w:rsidR="00A446E7">
        <w:rPr>
          <w:shd w:val="clear" w:color="auto" w:fill="FFFFFF"/>
        </w:rPr>
        <w:t>,00</w:t>
      </w:r>
      <w:r w:rsidR="00E05B92" w:rsidRPr="00247C2F">
        <w:rPr>
          <w:shd w:val="clear" w:color="auto" w:fill="FFFFFF"/>
        </w:rPr>
        <w:t xml:space="preserve"> EUR odobrenih mikrokreditov</w:t>
      </w:r>
      <w:r w:rsidR="00E05B92">
        <w:rPr>
          <w:shd w:val="clear" w:color="auto" w:fill="FFFFFF"/>
        </w:rPr>
        <w:t xml:space="preserve"> oz. 7% razpisanega zneska, tako na voljo ostaja še 1.809.000,00 EUR.</w:t>
      </w:r>
    </w:p>
    <w:p w:rsidR="00B42D05" w:rsidRPr="00AA26F8" w:rsidRDefault="00E05B92" w:rsidP="00B42D05">
      <w:pPr>
        <w:jc w:val="both"/>
      </w:pPr>
      <w:r>
        <w:t>J</w:t>
      </w:r>
      <w:r w:rsidR="00B42D05" w:rsidRPr="00AA26F8">
        <w:t xml:space="preserve">avni razpis se izvaja na podlagi </w:t>
      </w:r>
      <w:r w:rsidR="00B42D05" w:rsidRPr="00AA26F8">
        <w:rPr>
          <w:rFonts w:eastAsia="Times New Roman" w:cs="Tahoma"/>
          <w:bCs/>
          <w:lang w:eastAsia="x-none"/>
        </w:rPr>
        <w:t xml:space="preserve"> mnenja o skladnosti sheme de </w:t>
      </w:r>
      <w:proofErr w:type="spellStart"/>
      <w:r w:rsidR="00B42D05" w:rsidRPr="00AA26F8">
        <w:rPr>
          <w:rFonts w:eastAsia="Times New Roman" w:cs="Tahoma"/>
          <w:bCs/>
          <w:lang w:eastAsia="x-none"/>
        </w:rPr>
        <w:t>minimis</w:t>
      </w:r>
      <w:proofErr w:type="spellEnd"/>
      <w:r w:rsidR="00B42D05" w:rsidRPr="00AA26F8">
        <w:rPr>
          <w:rFonts w:eastAsia="Times New Roman" w:cs="Tahoma"/>
          <w:bCs/>
          <w:lang w:eastAsia="x-none"/>
        </w:rPr>
        <w:t xml:space="preserve"> pomoči </w:t>
      </w:r>
      <w:r w:rsidR="00B42D05" w:rsidRPr="00AA26F8">
        <w:rPr>
          <w:rFonts w:cs="Tahoma"/>
          <w:bCs/>
          <w:lang w:bidi="en-US"/>
        </w:rPr>
        <w:t xml:space="preserve">»Program izvajanja finančnih spodbud MGRT- de </w:t>
      </w:r>
      <w:proofErr w:type="spellStart"/>
      <w:r w:rsidR="00B42D05" w:rsidRPr="00AA26F8">
        <w:rPr>
          <w:rFonts w:cs="Tahoma"/>
          <w:bCs/>
          <w:lang w:bidi="en-US"/>
        </w:rPr>
        <w:t>minimis</w:t>
      </w:r>
      <w:proofErr w:type="spellEnd"/>
      <w:r w:rsidR="00B42D05" w:rsidRPr="00AA26F8">
        <w:rPr>
          <w:rFonts w:cs="Tahoma"/>
          <w:bCs/>
          <w:lang w:bidi="en-US"/>
        </w:rPr>
        <w:t>«</w:t>
      </w:r>
      <w:r w:rsidR="00B42D05" w:rsidRPr="00AA26F8">
        <w:rPr>
          <w:rFonts w:eastAsia="Times New Roman" w:cs="Tahoma"/>
          <w:bCs/>
          <w:lang w:eastAsia="x-none"/>
        </w:rPr>
        <w:t xml:space="preserve">, podane s strani Ministrstva za finance, Sektor za spremljanje državne pomoči (št. priglasitve </w:t>
      </w:r>
      <w:r w:rsidR="00B42D05" w:rsidRPr="00AA26F8">
        <w:rPr>
          <w:rFonts w:eastAsia="Times New Roman" w:cs="Tahoma"/>
          <w:lang w:eastAsia="sl-SI"/>
        </w:rPr>
        <w:t>M001-2399245-2015/I</w:t>
      </w:r>
      <w:r w:rsidR="00B42D05" w:rsidRPr="00AA26F8">
        <w:rPr>
          <w:rFonts w:eastAsia="Times New Roman" w:cs="Tahoma"/>
          <w:bCs/>
          <w:lang w:eastAsia="x-none"/>
        </w:rPr>
        <w:t>)</w:t>
      </w:r>
      <w:r w:rsidR="00B42D05" w:rsidRPr="00AA26F8">
        <w:rPr>
          <w:rFonts w:eastAsia="Times New Roman" w:cs="Tahoma"/>
          <w:bCs/>
          <w:color w:val="FF0000"/>
          <w:lang w:eastAsia="x-none"/>
        </w:rPr>
        <w:t>.</w:t>
      </w:r>
    </w:p>
    <w:p w:rsidR="000F3DD4" w:rsidRDefault="000F3DD4" w:rsidP="000F3DD4"/>
    <w:p w:rsidR="008F6AE4" w:rsidRPr="00FE706A" w:rsidRDefault="008F6AE4" w:rsidP="008F6AE4">
      <w:pPr>
        <w:pStyle w:val="Naslov3"/>
      </w:pPr>
      <w:bookmarkStart w:id="13" w:name="_Toc503180604"/>
      <w:r w:rsidRPr="00FE706A">
        <w:t>Instrument 5</w:t>
      </w:r>
      <w:r>
        <w:t>:</w:t>
      </w:r>
      <w:r w:rsidRPr="00FE706A">
        <w:t xml:space="preserve"> </w:t>
      </w:r>
      <w:r>
        <w:t>promocija območja, privabljanje tujih in domačih investitorjev ter izvajanje programa</w:t>
      </w:r>
      <w:bookmarkEnd w:id="13"/>
    </w:p>
    <w:p w:rsidR="008F6AE4" w:rsidRDefault="008F6AE4" w:rsidP="008F6AE4">
      <w:pPr>
        <w:spacing w:after="0"/>
        <w:jc w:val="both"/>
        <w:rPr>
          <w:rFonts w:cs="Arial"/>
        </w:rPr>
      </w:pPr>
      <w:r>
        <w:rPr>
          <w:rFonts w:cs="Arial"/>
        </w:rPr>
        <w:t>V okviru  navedenega instrumenta se izvajata dva pod-instrumenta:</w:t>
      </w:r>
    </w:p>
    <w:p w:rsidR="008F6AE4" w:rsidRDefault="002C7554" w:rsidP="008F6AE4">
      <w:pPr>
        <w:numPr>
          <w:ilvl w:val="0"/>
          <w:numId w:val="25"/>
        </w:numPr>
        <w:spacing w:after="0"/>
        <w:jc w:val="both"/>
        <w:rPr>
          <w:rFonts w:cs="Arial"/>
        </w:rPr>
      </w:pPr>
      <w:r>
        <w:rPr>
          <w:rFonts w:cs="Arial"/>
        </w:rPr>
        <w:t>5.1. P</w:t>
      </w:r>
      <w:r w:rsidR="008F6AE4">
        <w:rPr>
          <w:rFonts w:cs="Arial"/>
        </w:rPr>
        <w:t>romocija problemskega območja HRT in privabljanje tujih in domačih investitorjev</w:t>
      </w:r>
    </w:p>
    <w:p w:rsidR="008F6AE4" w:rsidRDefault="002C7554" w:rsidP="008F6AE4">
      <w:pPr>
        <w:numPr>
          <w:ilvl w:val="0"/>
          <w:numId w:val="25"/>
        </w:numPr>
        <w:spacing w:after="0"/>
        <w:jc w:val="both"/>
        <w:rPr>
          <w:rFonts w:cs="Arial"/>
        </w:rPr>
      </w:pPr>
      <w:r>
        <w:rPr>
          <w:rFonts w:cs="Arial"/>
        </w:rPr>
        <w:t>5.2. I</w:t>
      </w:r>
      <w:r w:rsidR="008F6AE4">
        <w:rPr>
          <w:rFonts w:cs="Arial"/>
        </w:rPr>
        <w:t>zvajanje programov spodbujanja konkurenčnosti</w:t>
      </w:r>
    </w:p>
    <w:p w:rsidR="008F6AE4" w:rsidRDefault="008F6AE4" w:rsidP="008F6AE4">
      <w:pPr>
        <w:spacing w:after="0"/>
        <w:jc w:val="both"/>
        <w:rPr>
          <w:rFonts w:cs="Arial"/>
        </w:rPr>
      </w:pPr>
    </w:p>
    <w:p w:rsidR="008F6AE4" w:rsidRDefault="008F6AE4" w:rsidP="003C74D4">
      <w:pPr>
        <w:pStyle w:val="Naslov4"/>
        <w:ind w:left="720" w:hanging="720"/>
      </w:pPr>
      <w:r>
        <w:t>Instrument 5.1. Promocija problemskega območja HRT in privabljanje tujih in domačih investitorjev</w:t>
      </w:r>
    </w:p>
    <w:p w:rsidR="002C7554" w:rsidRPr="00562F4D" w:rsidRDefault="002C7554" w:rsidP="002C7554">
      <w:pPr>
        <w:spacing w:after="0" w:line="240" w:lineRule="auto"/>
        <w:jc w:val="both"/>
        <w:rPr>
          <w:b/>
          <w:lang w:eastAsia="sl-SI"/>
        </w:rPr>
      </w:pPr>
      <w:r w:rsidRPr="00562F4D">
        <w:rPr>
          <w:lang w:eastAsia="sl-SI"/>
        </w:rPr>
        <w:t>Instrument obsega</w:t>
      </w:r>
      <w:r w:rsidRPr="00562F4D">
        <w:rPr>
          <w:b/>
          <w:lang w:eastAsia="sl-SI"/>
        </w:rPr>
        <w:t>:</w:t>
      </w:r>
    </w:p>
    <w:p w:rsidR="002C7554" w:rsidRPr="00562F4D" w:rsidRDefault="002C7554" w:rsidP="002C7554">
      <w:pPr>
        <w:numPr>
          <w:ilvl w:val="0"/>
          <w:numId w:val="16"/>
        </w:numPr>
        <w:spacing w:after="0" w:line="240" w:lineRule="auto"/>
        <w:ind w:left="357" w:hanging="357"/>
      </w:pPr>
      <w:r w:rsidRPr="00562F4D">
        <w:t>pripravo in ažuriranje načrtov privabljanja investicij;</w:t>
      </w:r>
    </w:p>
    <w:p w:rsidR="002C7554" w:rsidRPr="00562F4D" w:rsidRDefault="002C7554" w:rsidP="002C7554">
      <w:pPr>
        <w:numPr>
          <w:ilvl w:val="0"/>
          <w:numId w:val="16"/>
        </w:numPr>
        <w:spacing w:after="0" w:line="240" w:lineRule="auto"/>
        <w:ind w:left="357" w:hanging="357"/>
      </w:pPr>
      <w:r w:rsidRPr="00562F4D">
        <w:t>obveščanje podjetij glede možnosti udeležbe na gospodarskih delegacijah, sejmih in drugih dogodkih v tujini;</w:t>
      </w:r>
    </w:p>
    <w:p w:rsidR="002C7554" w:rsidRPr="00562F4D" w:rsidRDefault="002C7554" w:rsidP="002C7554">
      <w:pPr>
        <w:numPr>
          <w:ilvl w:val="0"/>
          <w:numId w:val="16"/>
        </w:numPr>
        <w:spacing w:after="0" w:line="240" w:lineRule="auto"/>
        <w:ind w:left="357" w:hanging="357"/>
      </w:pPr>
      <w:r w:rsidRPr="00562F4D">
        <w:t>izdelavo promocijskih materialov (tiskanih in multimedijskih) za potrebe privabljanja domačih in tujih investitorjev in promocijo območja na različnih dogodkih (sejmi v Sloveniji in tujini, ipd.);</w:t>
      </w:r>
    </w:p>
    <w:p w:rsidR="002C7554" w:rsidRPr="00562F4D" w:rsidRDefault="002C7554" w:rsidP="002C7554">
      <w:pPr>
        <w:numPr>
          <w:ilvl w:val="0"/>
          <w:numId w:val="16"/>
        </w:numPr>
        <w:spacing w:after="0" w:line="240" w:lineRule="auto"/>
        <w:ind w:left="357" w:hanging="357"/>
      </w:pPr>
      <w:r w:rsidRPr="00562F4D">
        <w:t>udeležbo na specializiranih sejmih s področja nepremičnin v Sloveniji in Evropi;</w:t>
      </w:r>
    </w:p>
    <w:p w:rsidR="002C7554" w:rsidRPr="00562F4D" w:rsidRDefault="002C7554" w:rsidP="002C7554">
      <w:pPr>
        <w:numPr>
          <w:ilvl w:val="0"/>
          <w:numId w:val="16"/>
        </w:numPr>
        <w:spacing w:after="0" w:line="240" w:lineRule="auto"/>
        <w:ind w:left="357" w:hanging="357"/>
      </w:pPr>
      <w:r w:rsidRPr="00562F4D">
        <w:t xml:space="preserve">neposredno trženje oz. konkretno sodelovanje s podpornimi inštitucijami (SPIRIT </w:t>
      </w:r>
      <w:proofErr w:type="spellStart"/>
      <w:r w:rsidRPr="00562F4D">
        <w:t>Slovenia</w:t>
      </w:r>
      <w:proofErr w:type="spellEnd"/>
      <w:r w:rsidRPr="00562F4D">
        <w:t>, predstavništva slovenskega gospodarstva v tujini, GZS, …), svetovalnimi podjetji in potencialnimi investitorji. Izvajal se bo kot t.i. »</w:t>
      </w:r>
      <w:proofErr w:type="spellStart"/>
      <w:r w:rsidRPr="00562F4D">
        <w:t>branding</w:t>
      </w:r>
      <w:proofErr w:type="spellEnd"/>
      <w:r w:rsidRPr="00562F4D">
        <w:t>« regije/območja;</w:t>
      </w:r>
    </w:p>
    <w:p w:rsidR="002C7554" w:rsidRPr="00562F4D" w:rsidRDefault="002C7554" w:rsidP="002C7554">
      <w:pPr>
        <w:numPr>
          <w:ilvl w:val="0"/>
          <w:numId w:val="16"/>
        </w:numPr>
        <w:spacing w:after="0" w:line="240" w:lineRule="auto"/>
        <w:ind w:left="357" w:hanging="357"/>
      </w:pPr>
      <w:r w:rsidRPr="00562F4D">
        <w:t>oglaševanje in pripravo promocijskih materialov za industrijske/poslovne cone ter poslovne prostore.</w:t>
      </w:r>
    </w:p>
    <w:p w:rsidR="002C7554" w:rsidRPr="00562F4D" w:rsidRDefault="002C7554" w:rsidP="002C7554">
      <w:pPr>
        <w:tabs>
          <w:tab w:val="left" w:pos="851"/>
          <w:tab w:val="num" w:pos="1140"/>
          <w:tab w:val="num" w:pos="1200"/>
        </w:tabs>
        <w:spacing w:after="0" w:line="240" w:lineRule="auto"/>
        <w:ind w:left="87"/>
      </w:pPr>
    </w:p>
    <w:p w:rsidR="002C7554" w:rsidRPr="00562F4D" w:rsidRDefault="002C7554" w:rsidP="002C7554">
      <w:pPr>
        <w:tabs>
          <w:tab w:val="left" w:pos="851"/>
          <w:tab w:val="num" w:pos="1140"/>
          <w:tab w:val="num" w:pos="1200"/>
        </w:tabs>
        <w:spacing w:after="0" w:line="240" w:lineRule="auto"/>
        <w:ind w:left="87"/>
      </w:pPr>
    </w:p>
    <w:p w:rsidR="002C7554" w:rsidRPr="00D469EB" w:rsidRDefault="002C7554" w:rsidP="002C7554">
      <w:pPr>
        <w:spacing w:after="0" w:line="240" w:lineRule="auto"/>
        <w:jc w:val="both"/>
      </w:pPr>
      <w:r w:rsidRPr="00562F4D">
        <w:rPr>
          <w:lang w:eastAsia="sl-SI"/>
        </w:rPr>
        <w:t xml:space="preserve">Za učinkovito privabljanje tujih in domačih investitorjev je treba zbrati vse podatke o priložnostih v problemskem območju HRT za investitorje, in sicer o industrijskih zemljiščih, zgradbah, ki so na razpolago in so primerne za industrijsko/poslovno rabo in nepremičninskih projektih. </w:t>
      </w:r>
      <w:r w:rsidRPr="00D469EB">
        <w:t>Za učinkovito izvajanje Načrta privabljanja investicij v regijo, bo potekal prenos dobrih praks iz državne na regionalno raven in iz regionalne na državno raven, ki ga bo koordinirala agencija SPIRIT, katere osnovna naloga je domačim in tujim potencialnim podjetnikom investitorjem, na enem mestu podati celovite informacije.</w:t>
      </w:r>
    </w:p>
    <w:p w:rsidR="002C7554" w:rsidRDefault="002C7554" w:rsidP="008F6AE4"/>
    <w:p w:rsidR="002C7554" w:rsidRPr="00C72AF7" w:rsidRDefault="002C7554" w:rsidP="002C7554">
      <w:pPr>
        <w:spacing w:after="0"/>
        <w:jc w:val="both"/>
      </w:pPr>
      <w:r w:rsidRPr="00C72AF7">
        <w:rPr>
          <w:u w:val="single"/>
        </w:rPr>
        <w:t xml:space="preserve">Status: instrument </w:t>
      </w:r>
      <w:r>
        <w:rPr>
          <w:u w:val="single"/>
        </w:rPr>
        <w:t xml:space="preserve">v pripravi </w:t>
      </w:r>
    </w:p>
    <w:p w:rsidR="00225D2E" w:rsidRDefault="00225D2E" w:rsidP="008F6AE4"/>
    <w:p w:rsidR="00225D2E" w:rsidRDefault="00225D2E" w:rsidP="008F6AE4">
      <w:r>
        <w:t xml:space="preserve">Instrument se v  letu 2016 še ni izvajal, začel se je izvajati šele v drugi polovici leta 2017, po tem ko sta bili sklenjeni pogodbi z obema regionalnima agencijama. </w:t>
      </w:r>
    </w:p>
    <w:p w:rsidR="008F6AE4" w:rsidRPr="008F6AE4" w:rsidRDefault="008F6AE4" w:rsidP="008F6AE4"/>
    <w:p w:rsidR="008F6AE4" w:rsidRDefault="002C7554" w:rsidP="008F6AE4">
      <w:pPr>
        <w:pStyle w:val="Naslov4"/>
      </w:pPr>
      <w:r>
        <w:rPr>
          <w:rFonts w:cs="Arial"/>
        </w:rPr>
        <w:t>Izvajanje programov spodbujanja konkurenčnosti</w:t>
      </w:r>
    </w:p>
    <w:p w:rsidR="008F6AE4" w:rsidRDefault="008F6AE4" w:rsidP="008F6AE4">
      <w:pPr>
        <w:spacing w:after="0"/>
        <w:jc w:val="both"/>
        <w:rPr>
          <w:rFonts w:cs="Arial"/>
        </w:rPr>
      </w:pPr>
      <w:r w:rsidRPr="00BA2A6A">
        <w:rPr>
          <w:rFonts w:cs="Arial"/>
        </w:rPr>
        <w:t>Namen in cilji instrumenta</w:t>
      </w:r>
      <w:r>
        <w:rPr>
          <w:rFonts w:cs="Arial"/>
        </w:rPr>
        <w:t xml:space="preserve"> so vezani na izvedbo P</w:t>
      </w:r>
      <w:r w:rsidRPr="00BA2A6A">
        <w:rPr>
          <w:rFonts w:cs="Arial"/>
        </w:rPr>
        <w:t xml:space="preserve">rograma spodbujanja konkurenčnosti. </w:t>
      </w:r>
      <w:r>
        <w:rPr>
          <w:rFonts w:cs="Arial"/>
        </w:rPr>
        <w:t>Aktivnosti vključujejo:  podporo</w:t>
      </w:r>
      <w:r w:rsidRPr="00955E15">
        <w:rPr>
          <w:rFonts w:cs="Arial"/>
        </w:rPr>
        <w:t xml:space="preserve"> za izvajanje izbranih projektov in programa</w:t>
      </w:r>
      <w:r>
        <w:rPr>
          <w:rFonts w:cs="Arial"/>
        </w:rPr>
        <w:t>; n</w:t>
      </w:r>
      <w:r w:rsidRPr="00955E15">
        <w:rPr>
          <w:rFonts w:cs="Arial"/>
        </w:rPr>
        <w:t>adzor nad izvajanjem projektov na terenu</w:t>
      </w:r>
      <w:r>
        <w:rPr>
          <w:rFonts w:cs="Arial"/>
        </w:rPr>
        <w:t>; v</w:t>
      </w:r>
      <w:r w:rsidRPr="00955E15">
        <w:rPr>
          <w:rFonts w:cs="Arial"/>
        </w:rPr>
        <w:t>zdrževanje evidenc in priprava poročil</w:t>
      </w:r>
      <w:r>
        <w:rPr>
          <w:rFonts w:cs="Arial"/>
        </w:rPr>
        <w:t>; p</w:t>
      </w:r>
      <w:r w:rsidRPr="00955E15">
        <w:rPr>
          <w:rFonts w:cs="Arial"/>
        </w:rPr>
        <w:t>riprava letnih poročil</w:t>
      </w:r>
      <w:r>
        <w:rPr>
          <w:rFonts w:cs="Arial"/>
        </w:rPr>
        <w:t>; p</w:t>
      </w:r>
      <w:r w:rsidRPr="00955E15">
        <w:rPr>
          <w:rFonts w:cs="Arial"/>
        </w:rPr>
        <w:t>omoč pr</w:t>
      </w:r>
      <w:r>
        <w:rPr>
          <w:rFonts w:cs="Arial"/>
        </w:rPr>
        <w:t>i pripravi projektov; k</w:t>
      </w:r>
      <w:r w:rsidRPr="00955E15">
        <w:rPr>
          <w:rFonts w:cs="Arial"/>
        </w:rPr>
        <w:t>oordinacija in</w:t>
      </w:r>
      <w:r>
        <w:rPr>
          <w:rFonts w:cs="Arial"/>
        </w:rPr>
        <w:t xml:space="preserve"> promocija programa na območju o</w:t>
      </w:r>
      <w:r w:rsidRPr="00955E15">
        <w:rPr>
          <w:rFonts w:cs="Arial"/>
        </w:rPr>
        <w:t>bčin Hrastnik, Radeče in Trbovlje</w:t>
      </w:r>
      <w:r>
        <w:rPr>
          <w:rFonts w:cs="Arial"/>
        </w:rPr>
        <w:t>; o</w:t>
      </w:r>
      <w:r w:rsidRPr="00955E15">
        <w:rPr>
          <w:rFonts w:cs="Arial"/>
        </w:rPr>
        <w:t>rganizacija dogodkov</w:t>
      </w:r>
      <w:r>
        <w:rPr>
          <w:rFonts w:cs="Arial"/>
        </w:rPr>
        <w:t xml:space="preserve"> itd. Instrument sta izvajali RRA Posavje za občino Radeče in RCR d.o.o. za občini Hrastnik in Trbovlje (do 27.7.2016). Od 29.7.2016 </w:t>
      </w:r>
      <w:r w:rsidR="000874EB">
        <w:rPr>
          <w:rFonts w:cs="Arial"/>
        </w:rPr>
        <w:t xml:space="preserve">dalje </w:t>
      </w:r>
      <w:r>
        <w:rPr>
          <w:rFonts w:cs="Arial"/>
        </w:rPr>
        <w:t>je aktivnosti izvajala RRA Zasavje, ki je pridobila status regionalne razvojne agencije in pokriva obe zasavski občini.</w:t>
      </w:r>
      <w:r w:rsidR="00D46ADD">
        <w:rPr>
          <w:rFonts w:cs="Arial"/>
        </w:rPr>
        <w:t xml:space="preserve"> </w:t>
      </w:r>
    </w:p>
    <w:p w:rsidR="00D46ADD" w:rsidRDefault="00D46ADD" w:rsidP="008F6AE4">
      <w:pPr>
        <w:spacing w:after="0"/>
        <w:jc w:val="both"/>
        <w:rPr>
          <w:rFonts w:cs="Arial"/>
        </w:rPr>
      </w:pPr>
    </w:p>
    <w:p w:rsidR="00D46ADD" w:rsidRDefault="00D46ADD" w:rsidP="008F6AE4">
      <w:pPr>
        <w:spacing w:after="0"/>
        <w:jc w:val="both"/>
        <w:rPr>
          <w:rFonts w:cs="Arial"/>
        </w:rPr>
      </w:pPr>
      <w:r>
        <w:rPr>
          <w:rFonts w:cs="Arial"/>
        </w:rPr>
        <w:t xml:space="preserve">V letu 2016 je MGRT za opravljene aktivnosti izvajanja Programa HRT  plačala: RCR d.o.o. 38.250,00 EUR, RRA Posavje 45.480,02 EUR (od tega 20.000,00 EUR za vmesno vrednotenje Programa HRT, ki ga je izvedel zunanji izvajalec MK Projekt,d.o.o.)  in RRA Zasavje 1.229,00 EUR. </w:t>
      </w:r>
    </w:p>
    <w:p w:rsidR="008F6AE4" w:rsidRDefault="008F6AE4" w:rsidP="008F6AE4">
      <w:pPr>
        <w:spacing w:after="0"/>
        <w:jc w:val="both"/>
        <w:rPr>
          <w:rFonts w:cs="Arial"/>
        </w:rPr>
      </w:pPr>
    </w:p>
    <w:p w:rsidR="008F6AE4" w:rsidRDefault="008F6AE4" w:rsidP="008F6AE4">
      <w:pPr>
        <w:spacing w:after="0"/>
        <w:jc w:val="both"/>
        <w:rPr>
          <w:rFonts w:cs="Arial"/>
        </w:rPr>
      </w:pPr>
    </w:p>
    <w:p w:rsidR="008F6AE4" w:rsidRPr="00BA2A6A" w:rsidRDefault="008F6AE4" w:rsidP="008F6AE4">
      <w:pPr>
        <w:spacing w:after="0"/>
        <w:jc w:val="both"/>
        <w:rPr>
          <w:rFonts w:cs="Arial"/>
          <w:u w:val="single"/>
        </w:rPr>
      </w:pPr>
      <w:r>
        <w:rPr>
          <w:rFonts w:cs="Arial"/>
          <w:u w:val="single"/>
        </w:rPr>
        <w:t>Status:  instrument se izvaja</w:t>
      </w:r>
    </w:p>
    <w:p w:rsidR="008F6AE4" w:rsidRDefault="008F6AE4" w:rsidP="008F6AE4">
      <w:pPr>
        <w:spacing w:after="0"/>
        <w:jc w:val="both"/>
        <w:rPr>
          <w:rFonts w:cs="Arial"/>
        </w:rPr>
      </w:pPr>
    </w:p>
    <w:p w:rsidR="008F6AE4" w:rsidRPr="00237CEB" w:rsidRDefault="008F6AE4" w:rsidP="008F6AE4">
      <w:pPr>
        <w:spacing w:after="0"/>
        <w:jc w:val="both"/>
        <w:rPr>
          <w:rFonts w:cs="Arial"/>
        </w:rPr>
      </w:pPr>
      <w:r w:rsidRPr="00237CEB">
        <w:t xml:space="preserve">Izvajanje instrumenta se je financiralo iz proračunske postavke </w:t>
      </w:r>
      <w:r w:rsidRPr="00237CEB">
        <w:rPr>
          <w:rFonts w:cs="Arial"/>
        </w:rPr>
        <w:t xml:space="preserve">št. 989110 - </w:t>
      </w:r>
      <w:r w:rsidRPr="00237CEB">
        <w:rPr>
          <w:rFonts w:cs="Arial"/>
          <w:shd w:val="clear" w:color="auto" w:fill="FFFFFF"/>
        </w:rPr>
        <w:t xml:space="preserve">Dodatni ukrepi za problemska območja, NRP št. </w:t>
      </w:r>
      <w:r w:rsidRPr="00237CEB">
        <w:rPr>
          <w:rFonts w:cs="Arial"/>
        </w:rPr>
        <w:t>2130-14-8201.</w:t>
      </w:r>
    </w:p>
    <w:p w:rsidR="006E099C" w:rsidRDefault="006E099C" w:rsidP="000F3DD4"/>
    <w:p w:rsidR="006E099C" w:rsidRDefault="006E099C" w:rsidP="000F3DD4"/>
    <w:p w:rsidR="006E099C" w:rsidRDefault="006E099C" w:rsidP="000F3DD4"/>
    <w:p w:rsidR="006E099C" w:rsidRDefault="006E099C" w:rsidP="000F3DD4"/>
    <w:p w:rsidR="002456E4" w:rsidRPr="00CB51E7" w:rsidRDefault="00312041" w:rsidP="00852390">
      <w:pPr>
        <w:pStyle w:val="Naslov3"/>
      </w:pPr>
      <w:bookmarkStart w:id="14" w:name="_Toc503180605"/>
      <w:r>
        <w:lastRenderedPageBreak/>
        <w:t xml:space="preserve">Regijsko specifični instrument: </w:t>
      </w:r>
      <w:r w:rsidR="002456E4" w:rsidRPr="00CB51E7">
        <w:t>Podjetno v svet podjetništva</w:t>
      </w:r>
      <w:bookmarkEnd w:id="14"/>
    </w:p>
    <w:p w:rsidR="00E01BA4" w:rsidRPr="00C156EF" w:rsidRDefault="00E01BA4" w:rsidP="00852390">
      <w:pPr>
        <w:spacing w:after="0"/>
        <w:jc w:val="both"/>
        <w:rPr>
          <w:rFonts w:cs="Arial"/>
        </w:rPr>
      </w:pPr>
      <w:r w:rsidRPr="00C156EF">
        <w:rPr>
          <w:rFonts w:cs="Arial"/>
        </w:rPr>
        <w:t>Cilj PVSP HRT je ustvariti nova delovna mesta in povečati zaposlovanje ter zagon novih inovativnih podjetij, do konca izvajanja Programa je predvidena vključitev 160 oseb.</w:t>
      </w:r>
    </w:p>
    <w:p w:rsidR="00E01BA4" w:rsidRPr="00C156EF" w:rsidRDefault="00E01BA4" w:rsidP="00852390">
      <w:pPr>
        <w:spacing w:after="0"/>
        <w:jc w:val="both"/>
        <w:rPr>
          <w:rFonts w:cs="Arial"/>
        </w:rPr>
      </w:pPr>
    </w:p>
    <w:p w:rsidR="00E01BA4" w:rsidRPr="00C156EF" w:rsidRDefault="00E01BA4" w:rsidP="00852390">
      <w:pPr>
        <w:spacing w:after="0"/>
        <w:jc w:val="both"/>
        <w:rPr>
          <w:rFonts w:cs="Arial"/>
        </w:rPr>
      </w:pPr>
      <w:r w:rsidRPr="00C156EF">
        <w:rPr>
          <w:rFonts w:cs="Arial"/>
        </w:rPr>
        <w:t xml:space="preserve">Cilj usposabljanja vsakega posameznika je, da v obdobju enega leta po zaključku usposabljanja ustanovi lastno podjetje in se v njem zaposli oz. se samozaposli. Udeleženci v PVSP HRT so osebe s stalnim bivališčem v občinah problemskega območja Hrastnik, Radeče in Trbovlje, vpisane v evidenco brezposelnih oseb, ne glede na starost in stopnjo izobrazbe, s poslovno idejo in izkazanim interesom za razvoj in uresničitev poslovne ideje ali idej, s katerimi bodo kandidirale na javnem pozivu, ki </w:t>
      </w:r>
      <w:r w:rsidR="004E3A45">
        <w:rPr>
          <w:rFonts w:cs="Arial"/>
        </w:rPr>
        <w:t xml:space="preserve">sta ga v letu 2016 izvedla </w:t>
      </w:r>
      <w:r w:rsidRPr="00C156EF">
        <w:rPr>
          <w:rFonts w:cs="Arial"/>
        </w:rPr>
        <w:t xml:space="preserve"> RCR </w:t>
      </w:r>
      <w:r w:rsidR="0020440D">
        <w:rPr>
          <w:rFonts w:cs="Arial"/>
        </w:rPr>
        <w:t>d.o.o.</w:t>
      </w:r>
      <w:r w:rsidRPr="00C156EF">
        <w:rPr>
          <w:rFonts w:cs="Arial"/>
        </w:rPr>
        <w:t xml:space="preserve"> in RRA Posavje. Natančnejši vstopni pogoji </w:t>
      </w:r>
      <w:r w:rsidR="004E3A45">
        <w:rPr>
          <w:rFonts w:cs="Arial"/>
        </w:rPr>
        <w:t>so</w:t>
      </w:r>
      <w:r w:rsidRPr="00C156EF">
        <w:rPr>
          <w:rFonts w:cs="Arial"/>
        </w:rPr>
        <w:t xml:space="preserve"> določeni v javnem pozivu.</w:t>
      </w:r>
    </w:p>
    <w:p w:rsidR="00E01BA4" w:rsidRDefault="00E01BA4" w:rsidP="00852390">
      <w:pPr>
        <w:spacing w:after="0"/>
        <w:jc w:val="both"/>
      </w:pPr>
    </w:p>
    <w:p w:rsidR="003759C3" w:rsidRPr="00C156EF" w:rsidRDefault="003759C3" w:rsidP="00852390">
      <w:pPr>
        <w:spacing w:after="0"/>
        <w:jc w:val="both"/>
      </w:pPr>
    </w:p>
    <w:p w:rsidR="00E01BA4" w:rsidRPr="00C156EF" w:rsidRDefault="00E01BA4" w:rsidP="00852390">
      <w:pPr>
        <w:spacing w:after="0"/>
        <w:jc w:val="both"/>
      </w:pPr>
      <w:r w:rsidRPr="00C156EF">
        <w:rPr>
          <w:u w:val="single"/>
        </w:rPr>
        <w:t>Status: instrument se izvaja</w:t>
      </w:r>
      <w:r w:rsidRPr="00C156EF">
        <w:t xml:space="preserve"> </w:t>
      </w:r>
    </w:p>
    <w:p w:rsidR="00E01BA4" w:rsidRDefault="00E01BA4" w:rsidP="00852390">
      <w:pPr>
        <w:spacing w:after="0"/>
        <w:jc w:val="both"/>
      </w:pPr>
    </w:p>
    <w:p w:rsidR="003759C3" w:rsidRPr="00C156EF" w:rsidRDefault="003759C3" w:rsidP="00852390">
      <w:pPr>
        <w:spacing w:after="0"/>
        <w:jc w:val="both"/>
      </w:pPr>
    </w:p>
    <w:p w:rsidR="00E01BA4" w:rsidRDefault="00E01BA4" w:rsidP="00852390">
      <w:pPr>
        <w:jc w:val="both"/>
      </w:pPr>
      <w:r w:rsidRPr="00C156EF">
        <w:t>Izbor vključenih posameznikov v PVSP HRT je potekal na podlagi javnih pozivov, ki sta jih pripravili in objavili pristojni izvajalski institu</w:t>
      </w:r>
      <w:r w:rsidR="00D64733">
        <w:t xml:space="preserve">ciji </w:t>
      </w:r>
      <w:r w:rsidRPr="00C156EF">
        <w:t>in sicer</w:t>
      </w:r>
      <w:r w:rsidR="00312041">
        <w:t>,</w:t>
      </w:r>
      <w:r w:rsidRPr="00C156EF">
        <w:t xml:space="preserve"> RCR d.o.o. (za vključitev upravičencev na območju občine Hrastnik in občine Trbovlje) ter RRA Posavje (za vključitev upravičencev na območju občine Radeče).</w:t>
      </w:r>
      <w:r w:rsidR="00EE3351">
        <w:t xml:space="preserve"> Tako je RCR d.o.o.  izvedla usposabljanji za dve skupini udeležencev za občini Hrastnik in Trbovlje, pri čemer je bilo skupaj vključenih 21 oseb v 4 mesečno usposabljanje, skupni stroški usposabljanja so znašali 237.898,75 EUR, RRA Posavje, ki je izvajala usposabljanje v občini Radeče, je prav tako izvedla  usposabljanji za dve skupini udeležencev, kjer je bilo skupaj vključenih 18 udeležencev, skupni stroški usposabljanja so znašali 183.160,42 EUR.</w:t>
      </w:r>
    </w:p>
    <w:p w:rsidR="00554EF9" w:rsidRDefault="00554EF9" w:rsidP="00BC605B">
      <w:pPr>
        <w:spacing w:after="0"/>
        <w:contextualSpacing/>
        <w:jc w:val="both"/>
      </w:pPr>
    </w:p>
    <w:p w:rsidR="00554EF9" w:rsidRPr="00525339" w:rsidRDefault="00554EF9" w:rsidP="00BC605B">
      <w:pPr>
        <w:spacing w:after="0"/>
        <w:contextualSpacing/>
        <w:jc w:val="both"/>
        <w:rPr>
          <w:rFonts w:cs="Arial"/>
        </w:rPr>
      </w:pPr>
      <w:r w:rsidRPr="00525339">
        <w:t>Izvajanje instrumenta se</w:t>
      </w:r>
      <w:r w:rsidR="000A2F52" w:rsidRPr="00525339">
        <w:t xml:space="preserve"> je</w:t>
      </w:r>
      <w:r w:rsidRPr="00525339">
        <w:t xml:space="preserve"> financira</w:t>
      </w:r>
      <w:r w:rsidR="000A2F52" w:rsidRPr="00525339">
        <w:t>lo</w:t>
      </w:r>
      <w:r w:rsidRPr="00525339">
        <w:t xml:space="preserve"> iz proračunske postavke </w:t>
      </w:r>
      <w:r w:rsidRPr="00525339">
        <w:rPr>
          <w:rFonts w:cs="Arial"/>
        </w:rPr>
        <w:t xml:space="preserve">št. 989110 - </w:t>
      </w:r>
      <w:r w:rsidRPr="00525339">
        <w:rPr>
          <w:rFonts w:cs="Arial"/>
          <w:shd w:val="clear" w:color="auto" w:fill="FFFFFF"/>
        </w:rPr>
        <w:t xml:space="preserve">Dodatni ukrepi za problemska območja, NRP št. </w:t>
      </w:r>
      <w:r w:rsidRPr="00525339">
        <w:rPr>
          <w:rFonts w:cs="Arial"/>
        </w:rPr>
        <w:t xml:space="preserve">2130-14-8202 in </w:t>
      </w:r>
      <w:r w:rsidR="000A2F52" w:rsidRPr="00525339">
        <w:rPr>
          <w:rFonts w:cs="Arial"/>
        </w:rPr>
        <w:t xml:space="preserve">na podlagi </w:t>
      </w:r>
      <w:r w:rsidRPr="00525339">
        <w:rPr>
          <w:rFonts w:eastAsia="Times New Roman" w:cs="Arial"/>
        </w:rPr>
        <w:t xml:space="preserve">Mnenja Ministrstva za finance o shemi ''de </w:t>
      </w:r>
      <w:proofErr w:type="spellStart"/>
      <w:r w:rsidRPr="00525339">
        <w:rPr>
          <w:rFonts w:eastAsia="Times New Roman" w:cs="Arial"/>
        </w:rPr>
        <w:t>minimis</w:t>
      </w:r>
      <w:proofErr w:type="spellEnd"/>
      <w:r w:rsidRPr="00525339">
        <w:rPr>
          <w:rFonts w:eastAsia="Times New Roman" w:cs="Arial"/>
        </w:rPr>
        <w:t>'' pomoči ''Podjetno v svet podjetništva v okviru Programa spodbujanja konkurenčnosti in ukrepov razvojne podpore za območje Občin Hrastnik, Radeče in Trbovlje v obdobju 2013-2018'', št. 440-49/2014 z dne 30.10.2014 (št. priglasitve: M001-2399245-2014) - čistopis mnenja.</w:t>
      </w:r>
    </w:p>
    <w:p w:rsidR="00475D59" w:rsidRDefault="00475D59" w:rsidP="00852390">
      <w:pPr>
        <w:spacing w:after="0"/>
        <w:jc w:val="both"/>
      </w:pPr>
    </w:p>
    <w:p w:rsidR="00C84B42" w:rsidRDefault="00C84B42" w:rsidP="00852390">
      <w:pPr>
        <w:rPr>
          <w:sz w:val="18"/>
          <w:szCs w:val="18"/>
        </w:rPr>
      </w:pPr>
    </w:p>
    <w:p w:rsidR="00A02D5C" w:rsidRPr="00127A71" w:rsidRDefault="00FE706A" w:rsidP="006E099C">
      <w:pPr>
        <w:pStyle w:val="Naslov2"/>
      </w:pPr>
      <w:bookmarkStart w:id="15" w:name="_Toc503180606"/>
      <w:r w:rsidRPr="00127A71">
        <w:t xml:space="preserve">Ukrep 2: </w:t>
      </w:r>
      <w:r w:rsidRPr="006E099C">
        <w:t>Povračilo</w:t>
      </w:r>
      <w:r w:rsidRPr="00127A71">
        <w:t xml:space="preserve"> plačanih prispevkov delodajalca za socialno varnost</w:t>
      </w:r>
      <w:bookmarkEnd w:id="15"/>
    </w:p>
    <w:p w:rsidR="00FE7584" w:rsidRPr="00127A71" w:rsidRDefault="00FE7584" w:rsidP="00F922C5">
      <w:pPr>
        <w:spacing w:after="0"/>
        <w:jc w:val="both"/>
      </w:pPr>
      <w:r w:rsidRPr="00127A71">
        <w:t xml:space="preserve">Ukrep omogoča povračilo plačanih prispevkov delodajalca za novo zaposlene delavce, v kolikor le-ti ostanejo neprekinjeno zaposleni pri delodajalcu najmanj eno leto. Upravičenci do povračila prispevkov so pravne in fizične osebe, ki se ukvarjajo z gospodarsko dejavnostjo v Sloveniji in imajo na </w:t>
      </w:r>
      <w:r w:rsidR="00D017E4">
        <w:t>problemskem</w:t>
      </w:r>
      <w:r w:rsidRPr="00127A71">
        <w:t xml:space="preserve"> območju sedež in tam dejansko opravljajo dejavnost, oziroma imajo na </w:t>
      </w:r>
      <w:r w:rsidR="00D017E4">
        <w:t>problemskem</w:t>
      </w:r>
      <w:r w:rsidRPr="00127A71">
        <w:t xml:space="preserve"> območju stalno ali začasno prebivališče in tam dejansko opravljajo dejavnost (velja za delodajalce, ki opravljajo dejavnost, za katero ni registrskega organa ali druge predpisane evidence). </w:t>
      </w:r>
    </w:p>
    <w:p w:rsidR="00FE7584" w:rsidRDefault="00FE7584" w:rsidP="00F922C5">
      <w:pPr>
        <w:spacing w:after="0"/>
        <w:jc w:val="both"/>
      </w:pPr>
    </w:p>
    <w:p w:rsidR="00533991" w:rsidRPr="00D34028" w:rsidRDefault="00533991" w:rsidP="00D34028">
      <w:pPr>
        <w:pStyle w:val="Telobesedila"/>
        <w:spacing w:after="0"/>
        <w:ind w:firstLine="0"/>
        <w:rPr>
          <w:rFonts w:ascii="Calibri" w:hAnsi="Calibri" w:cs="Arial"/>
          <w:sz w:val="22"/>
          <w:szCs w:val="22"/>
        </w:rPr>
      </w:pPr>
      <w:r w:rsidRPr="00D34028">
        <w:rPr>
          <w:rFonts w:ascii="Calibri" w:hAnsi="Calibri" w:cs="Arial"/>
          <w:sz w:val="22"/>
          <w:szCs w:val="22"/>
        </w:rPr>
        <w:lastRenderedPageBreak/>
        <w:t>Delodajalci vloge za priznanje pravice praviloma podajo na pristojno območno službo Zavoda, v okviru katere je registriran sedež podjetja. Za delodajalce iz območja občin HRT sta pristojni območni službe OS Celje in OS Trbovlje. V primerjavi s predhodno</w:t>
      </w:r>
      <w:r w:rsidR="000874EB">
        <w:rPr>
          <w:rFonts w:ascii="Calibri" w:hAnsi="Calibri" w:cs="Arial"/>
          <w:sz w:val="22"/>
          <w:szCs w:val="22"/>
        </w:rPr>
        <w:t>,</w:t>
      </w:r>
      <w:r w:rsidRPr="00D34028">
        <w:rPr>
          <w:rFonts w:ascii="Calibri" w:hAnsi="Calibri" w:cs="Arial"/>
          <w:sz w:val="22"/>
          <w:szCs w:val="22"/>
        </w:rPr>
        <w:t xml:space="preserve"> pa aktualna Uredba </w:t>
      </w:r>
      <w:r w:rsidR="00FD7F6D" w:rsidRPr="00FD7F6D">
        <w:rPr>
          <w:rFonts w:ascii="Calibri" w:hAnsi="Calibri" w:cs="Arial"/>
          <w:sz w:val="22"/>
          <w:szCs w:val="22"/>
        </w:rPr>
        <w:t>o spremembah in dopolnitvah Uredbe o dodeljevanju regionalnih državnih pomoči ter načinu uveljavljanja regionalne spodbude za zaposlovanje ter davčnih olajšav za zaposlovanje in investiranje (Uradni list RS, št. 77/16)</w:t>
      </w:r>
      <w:r w:rsidR="00251267">
        <w:rPr>
          <w:rFonts w:ascii="Calibri" w:hAnsi="Calibri" w:cs="Arial"/>
          <w:sz w:val="22"/>
          <w:szCs w:val="22"/>
        </w:rPr>
        <w:t>,</w:t>
      </w:r>
      <w:r w:rsidRPr="00D34028">
        <w:rPr>
          <w:rFonts w:ascii="Calibri" w:hAnsi="Calibri" w:cs="Arial"/>
          <w:sz w:val="22"/>
          <w:szCs w:val="22"/>
        </w:rPr>
        <w:t xml:space="preserve"> navedbo pristojnosti območne službe načrtno opušča ter določa le obveznost podaje vloge na Zavod RS za zaposlovanje. </w:t>
      </w:r>
    </w:p>
    <w:p w:rsidR="00533991" w:rsidRDefault="00533991" w:rsidP="00F922C5">
      <w:pPr>
        <w:spacing w:after="0"/>
        <w:jc w:val="both"/>
      </w:pPr>
    </w:p>
    <w:p w:rsidR="00FE7584" w:rsidRPr="00127A71" w:rsidRDefault="00FE7584" w:rsidP="00F922C5">
      <w:pPr>
        <w:spacing w:after="0"/>
        <w:jc w:val="both"/>
      </w:pPr>
      <w:r w:rsidRPr="00127A71">
        <w:t>Upravičenci lahko povračilo delodajalca za socialno varnost uveljavljajo za zaposlitev brezposelne osebe, ki je prijavljena na Zavodu RS za zaposlovanje v evidenco brezposelnih oseb in sodi v eno izmed naslednjih skupin:</w:t>
      </w:r>
    </w:p>
    <w:p w:rsidR="00FE7584" w:rsidRPr="007750BC" w:rsidRDefault="00FE7584" w:rsidP="00F922C5">
      <w:pPr>
        <w:numPr>
          <w:ilvl w:val="0"/>
          <w:numId w:val="21"/>
        </w:numPr>
        <w:spacing w:after="0"/>
        <w:jc w:val="both"/>
      </w:pPr>
      <w:r w:rsidRPr="007750BC">
        <w:t>v preteklega pol leta ni imela redno plačane zaposlitve,</w:t>
      </w:r>
    </w:p>
    <w:p w:rsidR="00FE7584" w:rsidRPr="007750BC" w:rsidRDefault="00FE7584" w:rsidP="00F922C5">
      <w:pPr>
        <w:numPr>
          <w:ilvl w:val="0"/>
          <w:numId w:val="21"/>
        </w:numPr>
        <w:spacing w:after="0"/>
        <w:jc w:val="both"/>
      </w:pPr>
      <w:r w:rsidRPr="007750BC">
        <w:t>je stara od 15 do 24 let</w:t>
      </w:r>
    </w:p>
    <w:p w:rsidR="00FE7584" w:rsidRPr="007750BC" w:rsidRDefault="00FE7584" w:rsidP="00F922C5">
      <w:pPr>
        <w:numPr>
          <w:ilvl w:val="0"/>
          <w:numId w:val="21"/>
        </w:numPr>
        <w:spacing w:after="0"/>
        <w:jc w:val="both"/>
      </w:pPr>
      <w:r w:rsidRPr="007750BC">
        <w:t>ni dosegla stopnje srednjega strokovnega izobraževanja, srednjega poklicnega, tehniškega izobraževanja ali splošnega srednjega izobraževanja ali je v obdobju dveh let po zaključku rednega izobraževanja in še ni pridobila prve redne plačane zaposlitve,</w:t>
      </w:r>
    </w:p>
    <w:p w:rsidR="00FE7584" w:rsidRPr="007750BC" w:rsidRDefault="00FE7584" w:rsidP="00F922C5">
      <w:pPr>
        <w:numPr>
          <w:ilvl w:val="0"/>
          <w:numId w:val="21"/>
        </w:numPr>
        <w:spacing w:after="0"/>
        <w:jc w:val="both"/>
      </w:pPr>
      <w:r w:rsidRPr="007750BC">
        <w:t>je starejša od 50 let,</w:t>
      </w:r>
    </w:p>
    <w:p w:rsidR="00FE7584" w:rsidRPr="007750BC" w:rsidRDefault="00FE7584" w:rsidP="00F922C5">
      <w:pPr>
        <w:numPr>
          <w:ilvl w:val="0"/>
          <w:numId w:val="21"/>
        </w:numPr>
        <w:spacing w:after="0"/>
        <w:jc w:val="both"/>
      </w:pPr>
      <w:r w:rsidRPr="007750BC">
        <w:t>živi sama in ima enega ali več vzdrževanih članov, kar pomeni, da sama skrbi za enega ali več otrok, ki so mlajši od 26 let, če se redno šolajo, ali katere zakonec je brezposeln</w:t>
      </w:r>
    </w:p>
    <w:p w:rsidR="00FE7584" w:rsidRPr="007750BC" w:rsidRDefault="00FE7584" w:rsidP="00F922C5">
      <w:pPr>
        <w:numPr>
          <w:ilvl w:val="0"/>
          <w:numId w:val="21"/>
        </w:numPr>
        <w:spacing w:after="0"/>
        <w:jc w:val="both"/>
      </w:pPr>
      <w:r w:rsidRPr="007750BC">
        <w:t>se bo zaposlila v dejavnosti (gospodarskem sektorju), v kateri je neravnovesje med spoloma za najmanj 25% višje od povprečnega neravnovesja v vseh gospodarskih sektorjih v Republiki Sloveniji,</w:t>
      </w:r>
    </w:p>
    <w:p w:rsidR="00FE7584" w:rsidRPr="007750BC" w:rsidRDefault="00FE7584" w:rsidP="00F922C5">
      <w:pPr>
        <w:numPr>
          <w:ilvl w:val="0"/>
          <w:numId w:val="21"/>
        </w:numPr>
        <w:spacing w:after="0"/>
        <w:jc w:val="both"/>
      </w:pPr>
      <w:r w:rsidRPr="007750BC">
        <w:t>je pripadnik etnične manjšine,</w:t>
      </w:r>
    </w:p>
    <w:p w:rsidR="00FE7584" w:rsidRPr="007750BC" w:rsidRDefault="00FE7584" w:rsidP="00F922C5">
      <w:pPr>
        <w:numPr>
          <w:ilvl w:val="0"/>
          <w:numId w:val="21"/>
        </w:numPr>
        <w:spacing w:after="0"/>
        <w:jc w:val="both"/>
      </w:pPr>
      <w:r w:rsidRPr="007750BC">
        <w:t xml:space="preserve">se šteje kot invalid v </w:t>
      </w:r>
      <w:proofErr w:type="spellStart"/>
      <w:r w:rsidRPr="007750BC">
        <w:t>kvotnem</w:t>
      </w:r>
      <w:proofErr w:type="spellEnd"/>
      <w:r w:rsidRPr="007750BC">
        <w:t xml:space="preserve"> sistemu zaposlovanja invalidov.</w:t>
      </w:r>
    </w:p>
    <w:p w:rsidR="00FE7584" w:rsidRPr="00127A71" w:rsidRDefault="00FE7584" w:rsidP="00F922C5">
      <w:pPr>
        <w:spacing w:after="0"/>
        <w:jc w:val="both"/>
      </w:pPr>
    </w:p>
    <w:p w:rsidR="00FE7584" w:rsidRPr="00127A71" w:rsidRDefault="00FE7584" w:rsidP="00F922C5">
      <w:pPr>
        <w:spacing w:after="0"/>
        <w:jc w:val="both"/>
      </w:pPr>
      <w:r w:rsidRPr="00127A71">
        <w:t>Zgornji seznam ciljnih skupin za vključitev v Ukrep 2 se razlikuje od tistega, ki je prvotno zapisan v Programu HRT in obsega zgolj ciljne skupine pod zaporednimi točkami 1, 3-delno</w:t>
      </w:r>
      <w:r w:rsidRPr="00127A71">
        <w:rPr>
          <w:rStyle w:val="Sprotnaopomba-sklic"/>
        </w:rPr>
        <w:footnoteReference w:id="1"/>
      </w:r>
      <w:r w:rsidRPr="00127A71">
        <w:t>, 4, 7 in 8. Razlika med seznamoma je sprejetje Uredbe o dodeljevanju regionalnih državnih pomoči ter načinu uveljavljanja regionalne spodbude za zaposlovanje ter davčnih olajšav za zaposlovanje in investiranje</w:t>
      </w:r>
      <w:r w:rsidRPr="00127A71">
        <w:rPr>
          <w:rStyle w:val="Sprotnaopomba-sklic"/>
        </w:rPr>
        <w:footnoteReference w:id="2"/>
      </w:r>
      <w:r w:rsidRPr="00127A71">
        <w:t>, ki je bila sprejeta dne 22.12.2014 in je nadomestila Uredbo o dodeljevanju regionalnih državnih pomoč, ki je bila podlaga za seznam ciljnih skupin navedenih v Programu HRT.</w:t>
      </w:r>
    </w:p>
    <w:p w:rsidR="00FE7584" w:rsidRPr="00240CEC" w:rsidRDefault="00FE7584" w:rsidP="00F922C5">
      <w:pPr>
        <w:spacing w:after="0"/>
        <w:jc w:val="both"/>
        <w:rPr>
          <w:rFonts w:ascii="Scala" w:hAnsi="Scala"/>
        </w:rPr>
      </w:pPr>
    </w:p>
    <w:p w:rsidR="00FE7584" w:rsidRPr="00127A71" w:rsidRDefault="00FE7584" w:rsidP="00F922C5">
      <w:pPr>
        <w:spacing w:after="0"/>
        <w:jc w:val="both"/>
      </w:pPr>
      <w:r w:rsidRPr="00127A71">
        <w:t>Pogodba o zaposlitvi oseb, za katere se uveljavlja povračilo prispevkov delodajalca, mora biti sklenjena najmanj za obdobje enega leta. Po izteku tega leta se delodajalcu povrnejo plačani prispevki v dejanski višini za obdobje enega leta. Vlogo za uveljavljanje povračila vlagatelji predložijo za nazaj in sicer v 60 dneh po tem, ko se izteče eno leto od sklenitve pogodbe o zaposlitvi brezposelne osebe. V kolikor so osebe ciljnih skupin zaposlene za krajši delovni čas, je vlagatelj upravičen do povračila plačanih prispevkov delodajalca sorazmerno glede na dejanski obseg njihove zaposlitve.</w:t>
      </w:r>
    </w:p>
    <w:p w:rsidR="00FE706A" w:rsidRPr="00127A71" w:rsidRDefault="00FE706A" w:rsidP="00852390">
      <w:pPr>
        <w:spacing w:after="0"/>
        <w:jc w:val="both"/>
      </w:pPr>
    </w:p>
    <w:p w:rsidR="00BC605B" w:rsidRDefault="00BC605B" w:rsidP="00852390">
      <w:pPr>
        <w:spacing w:after="0"/>
      </w:pPr>
    </w:p>
    <w:p w:rsidR="00006F90" w:rsidRDefault="00BB4B44" w:rsidP="00251267">
      <w:pPr>
        <w:spacing w:after="0"/>
        <w:jc w:val="both"/>
      </w:pPr>
      <w:r>
        <w:t xml:space="preserve">V letu 2016 so bile odločbe o dodelitvi finančne spodbude izdane 10 delodajalcem iz območja HRT, ki so </w:t>
      </w:r>
      <w:r w:rsidR="00251267">
        <w:t xml:space="preserve">jih </w:t>
      </w:r>
      <w:r>
        <w:t>uveljavljali za zaposlitev 1</w:t>
      </w:r>
      <w:r w:rsidR="00A37DC6">
        <w:t>1 oseb iz ciljne skupine ukrepa; 6 delodajalcev je bilo iz občine Trbovlje (za 7 oseb), 3</w:t>
      </w:r>
      <w:r w:rsidR="000874EB">
        <w:t xml:space="preserve"> delodajalci</w:t>
      </w:r>
      <w:r w:rsidR="00A37DC6">
        <w:t xml:space="preserve"> iz Hrastnika (za 3 osebe) in 1 </w:t>
      </w:r>
      <w:r w:rsidR="000874EB">
        <w:t xml:space="preserve">delodajalec </w:t>
      </w:r>
      <w:r w:rsidR="00A37DC6">
        <w:t>iz Radeče (za 1 osebo). S</w:t>
      </w:r>
      <w:r>
        <w:t xml:space="preserve">kupna višina dodeljenih sredstev je znašala 24.503,81 EUR, višina izplačanih sredstev pa 22.573,67 EUR. </w:t>
      </w:r>
    </w:p>
    <w:p w:rsidR="00006F90" w:rsidRDefault="00006F90" w:rsidP="00852390">
      <w:pPr>
        <w:spacing w:after="0"/>
      </w:pPr>
    </w:p>
    <w:p w:rsidR="00503639" w:rsidRDefault="00503639" w:rsidP="00852390">
      <w:pPr>
        <w:spacing w:after="0"/>
        <w:jc w:val="both"/>
      </w:pPr>
    </w:p>
    <w:p w:rsidR="00503639" w:rsidRPr="00127A71" w:rsidRDefault="00503639" w:rsidP="00852390">
      <w:pPr>
        <w:spacing w:after="0"/>
        <w:jc w:val="both"/>
      </w:pPr>
      <w:r>
        <w:t xml:space="preserve">Ukrep </w:t>
      </w:r>
      <w:r w:rsidR="000E4D43">
        <w:t xml:space="preserve">št. 2 </w:t>
      </w:r>
      <w:r>
        <w:t xml:space="preserve">se izvaja na podlagi sheme državne pomoči BE04-2399245-2014 Povračilo prispevkov delodajalca in </w:t>
      </w:r>
      <w:r w:rsidR="001367D9">
        <w:t>davčna olajšava za zaposlovanje iz proračuna RS.</w:t>
      </w:r>
    </w:p>
    <w:p w:rsidR="00DE6E73" w:rsidRDefault="00DE6E73" w:rsidP="00852390">
      <w:pPr>
        <w:rPr>
          <w:sz w:val="18"/>
          <w:szCs w:val="18"/>
        </w:rPr>
      </w:pPr>
    </w:p>
    <w:p w:rsidR="008A0051" w:rsidRDefault="008A0051" w:rsidP="00852390">
      <w:pPr>
        <w:rPr>
          <w:sz w:val="18"/>
          <w:szCs w:val="18"/>
        </w:rPr>
      </w:pPr>
    </w:p>
    <w:p w:rsidR="008A0051" w:rsidRDefault="008A0051" w:rsidP="00852390">
      <w:pPr>
        <w:rPr>
          <w:sz w:val="18"/>
          <w:szCs w:val="18"/>
        </w:rPr>
      </w:pPr>
    </w:p>
    <w:p w:rsidR="001F2A8F" w:rsidRPr="00127A71" w:rsidRDefault="001F2A8F" w:rsidP="00852390">
      <w:pPr>
        <w:pStyle w:val="Naslov2"/>
        <w:rPr>
          <w:rFonts w:ascii="Calibri" w:hAnsi="Calibri"/>
          <w:szCs w:val="24"/>
        </w:rPr>
      </w:pPr>
      <w:bookmarkStart w:id="16" w:name="_Toc503180607"/>
      <w:r w:rsidRPr="00127A71">
        <w:rPr>
          <w:rFonts w:ascii="Calibri" w:hAnsi="Calibri"/>
          <w:szCs w:val="24"/>
        </w:rPr>
        <w:t>Ukrep 3:</w:t>
      </w:r>
      <w:r w:rsidR="009E2B79">
        <w:rPr>
          <w:rFonts w:ascii="Calibri" w:hAnsi="Calibri"/>
          <w:szCs w:val="24"/>
        </w:rPr>
        <w:t xml:space="preserve"> in ukrep 4: </w:t>
      </w:r>
      <w:r w:rsidRPr="00127A71">
        <w:rPr>
          <w:rFonts w:ascii="Calibri" w:hAnsi="Calibri"/>
          <w:szCs w:val="24"/>
        </w:rPr>
        <w:t xml:space="preserve"> Davčne olajšave za zaposlovanje in investiranje</w:t>
      </w:r>
      <w:bookmarkEnd w:id="16"/>
    </w:p>
    <w:p w:rsidR="00D43957" w:rsidRDefault="00D43957" w:rsidP="0063612F">
      <w:pPr>
        <w:spacing w:after="0"/>
        <w:jc w:val="both"/>
      </w:pPr>
    </w:p>
    <w:p w:rsidR="0022434C" w:rsidRDefault="000874EB" w:rsidP="0063612F">
      <w:pPr>
        <w:spacing w:after="0"/>
        <w:jc w:val="both"/>
      </w:pPr>
      <w:r>
        <w:t>Ukrep</w:t>
      </w:r>
      <w:r w:rsidR="00174E19" w:rsidRPr="00796515">
        <w:t xml:space="preserve"> izvaja </w:t>
      </w:r>
      <w:r w:rsidR="00C84099" w:rsidRPr="00796515">
        <w:t xml:space="preserve">FURS </w:t>
      </w:r>
      <w:r w:rsidR="00C84099">
        <w:t xml:space="preserve">v sodelovanju z </w:t>
      </w:r>
      <w:r w:rsidR="003D7418">
        <w:t xml:space="preserve">MGRT </w:t>
      </w:r>
      <w:r w:rsidR="00A97E87">
        <w:t>na podlagi 28. člena ZSRR-2. V</w:t>
      </w:r>
      <w:r w:rsidR="00076D10">
        <w:t xml:space="preserve"> poslovnem letu 2016</w:t>
      </w:r>
      <w:r w:rsidR="00A97E87">
        <w:t xml:space="preserve"> je </w:t>
      </w:r>
      <w:r w:rsidR="00076D10">
        <w:t xml:space="preserve">16 </w:t>
      </w:r>
      <w:r>
        <w:t xml:space="preserve">zavezancev </w:t>
      </w:r>
      <w:r w:rsidR="00076D10">
        <w:t xml:space="preserve">(2 fizični </w:t>
      </w:r>
      <w:r w:rsidR="008F2242">
        <w:t xml:space="preserve">osebi </w:t>
      </w:r>
      <w:r w:rsidR="00076D10">
        <w:t xml:space="preserve">in 14 pravnih oseb) koristilo davčno olajšavo za zaposlovanje v skupnem znesku 132.614 EUR, davčna korist je znašla 23.672 EUR. </w:t>
      </w:r>
      <w:r w:rsidR="0096580A">
        <w:t xml:space="preserve"> Davčno olajšavo za investiranje je v letu 2016 skupaj koristilo 3</w:t>
      </w:r>
      <w:r w:rsidR="00C13898">
        <w:t>1</w:t>
      </w:r>
      <w:r w:rsidR="0096580A">
        <w:t xml:space="preserve"> zavezancev (10 fizičnih oseb in 2</w:t>
      </w:r>
      <w:r w:rsidR="00C13898">
        <w:t>1</w:t>
      </w:r>
      <w:r w:rsidR="0096580A">
        <w:t xml:space="preserve"> pravnih oseb) v skupnem znesku 1</w:t>
      </w:r>
      <w:r w:rsidR="00C13898">
        <w:t>.984.508</w:t>
      </w:r>
      <w:r w:rsidR="0096580A">
        <w:t xml:space="preserve"> EUR, davčna korist je znašala 34</w:t>
      </w:r>
      <w:r w:rsidR="00C13898">
        <w:t>1</w:t>
      </w:r>
      <w:r w:rsidR="0096580A">
        <w:t>.</w:t>
      </w:r>
      <w:r w:rsidR="00C13898">
        <w:t>640</w:t>
      </w:r>
      <w:r w:rsidR="0096580A">
        <w:t xml:space="preserve"> EUR. </w:t>
      </w:r>
    </w:p>
    <w:p w:rsidR="008A0051" w:rsidRDefault="008A0051" w:rsidP="0063612F">
      <w:pPr>
        <w:spacing w:after="0"/>
        <w:jc w:val="both"/>
      </w:pPr>
    </w:p>
    <w:p w:rsidR="00D43957" w:rsidRDefault="00D43957" w:rsidP="0063612F">
      <w:pPr>
        <w:spacing w:after="0"/>
        <w:jc w:val="both"/>
      </w:pPr>
    </w:p>
    <w:p w:rsidR="00A91926" w:rsidRDefault="00A91926" w:rsidP="0063612F">
      <w:pPr>
        <w:spacing w:after="0"/>
        <w:jc w:val="both"/>
      </w:pPr>
      <w:r>
        <w:t xml:space="preserve">V celotnem obdobju 2013-2016 je davčno olajšavo za zaposlovanje koristilo 42 </w:t>
      </w:r>
      <w:r w:rsidR="000874EB">
        <w:t>zavezancev</w:t>
      </w:r>
      <w:r>
        <w:t xml:space="preserve"> v skupni višini 287.118 EUR, pri čemer davčna korist znaša 52.601 EUR, davčno olajšavo za investiranje pa 13</w:t>
      </w:r>
      <w:r w:rsidR="00CE3072">
        <w:t>5</w:t>
      </w:r>
      <w:r>
        <w:t xml:space="preserve"> </w:t>
      </w:r>
      <w:r w:rsidR="000874EB">
        <w:t>zavezancev</w:t>
      </w:r>
      <w:r>
        <w:t xml:space="preserve"> v skupni višini </w:t>
      </w:r>
      <w:r w:rsidR="00CE3072">
        <w:t>4.896.902</w:t>
      </w:r>
      <w:r>
        <w:t xml:space="preserve"> EUR, pri čemer davčna korist znaša </w:t>
      </w:r>
      <w:r w:rsidR="00CE3072">
        <w:t>853.710</w:t>
      </w:r>
      <w:r>
        <w:t xml:space="preserve"> EUR. </w:t>
      </w:r>
    </w:p>
    <w:p w:rsidR="00D43957" w:rsidRPr="00127A71" w:rsidRDefault="00D43957" w:rsidP="00852390">
      <w:pPr>
        <w:spacing w:after="0"/>
        <w:jc w:val="both"/>
      </w:pPr>
    </w:p>
    <w:p w:rsidR="00A80DBA" w:rsidRDefault="00FD6ACC" w:rsidP="00FD6ACC">
      <w:pPr>
        <w:pStyle w:val="Napis"/>
      </w:pPr>
      <w:r>
        <w:t xml:space="preserve">Tabela </w:t>
      </w:r>
      <w:fldSimple w:instr=" SEQ Tabela \* ARABIC ">
        <w:r w:rsidR="003218B5">
          <w:rPr>
            <w:noProof/>
          </w:rPr>
          <w:t>15</w:t>
        </w:r>
      </w:fldSimple>
      <w:r w:rsidR="00B4097D">
        <w:t xml:space="preserve">: </w:t>
      </w:r>
      <w:r w:rsidR="001811E8">
        <w:t>Š</w:t>
      </w:r>
      <w:r w:rsidR="0069482C">
        <w:t xml:space="preserve">tevilo </w:t>
      </w:r>
      <w:r w:rsidR="001811E8">
        <w:t>zavezancev</w:t>
      </w:r>
      <w:r w:rsidR="0069482C">
        <w:t>, ki so koristile davčne olajšave za zaposlovanje in investiranje, vrednost davčnih olajšav in davčna korist</w:t>
      </w:r>
      <w:r w:rsidR="00CA4317">
        <w:t xml:space="preserve"> v obdobju 2013-201</w:t>
      </w:r>
      <w:r w:rsidR="000E14B4">
        <w:t>6</w:t>
      </w:r>
      <w:r w:rsidR="0069482C">
        <w:t xml:space="preserve"> v EUR</w:t>
      </w:r>
    </w:p>
    <w:tbl>
      <w:tblPr>
        <w:tblW w:w="9880" w:type="dxa"/>
        <w:tblInd w:w="55" w:type="dxa"/>
        <w:tblCellMar>
          <w:left w:w="70" w:type="dxa"/>
          <w:right w:w="70" w:type="dxa"/>
        </w:tblCellMar>
        <w:tblLook w:val="04A0" w:firstRow="1" w:lastRow="0" w:firstColumn="1" w:lastColumn="0" w:noHBand="0" w:noVBand="1"/>
      </w:tblPr>
      <w:tblGrid>
        <w:gridCol w:w="1760"/>
        <w:gridCol w:w="1600"/>
        <w:gridCol w:w="1540"/>
        <w:gridCol w:w="960"/>
        <w:gridCol w:w="1560"/>
        <w:gridCol w:w="1500"/>
        <w:gridCol w:w="960"/>
      </w:tblGrid>
      <w:tr w:rsidR="00AE292F" w:rsidRPr="00AE292F" w:rsidTr="00AE292F">
        <w:trPr>
          <w:trHeight w:val="255"/>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8120" w:type="dxa"/>
            <w:gridSpan w:val="6"/>
            <w:tcBorders>
              <w:top w:val="nil"/>
              <w:left w:val="nil"/>
              <w:bottom w:val="single" w:sz="4" w:space="0" w:color="auto"/>
              <w:right w:val="nil"/>
            </w:tcBorders>
            <w:shd w:val="clear" w:color="000000" w:fill="FFFF00"/>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Fizične osebe</w:t>
            </w:r>
          </w:p>
        </w:tc>
      </w:tr>
      <w:tr w:rsidR="00AE292F" w:rsidRPr="00AE292F" w:rsidTr="00AE292F">
        <w:trPr>
          <w:trHeight w:val="1275"/>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olajšava za zaposlovanje</w:t>
            </w:r>
          </w:p>
        </w:tc>
        <w:tc>
          <w:tcPr>
            <w:tcW w:w="4020" w:type="dxa"/>
            <w:gridSpan w:val="3"/>
            <w:tcBorders>
              <w:top w:val="single" w:sz="4" w:space="0" w:color="auto"/>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olajšava za investiranje</w:t>
            </w:r>
          </w:p>
        </w:tc>
      </w:tr>
      <w:tr w:rsidR="00AE292F" w:rsidRPr="00AE292F" w:rsidTr="00AE292F">
        <w:trPr>
          <w:trHeight w:val="102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Poslovno leto</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Število zavezancev, ki je koristilo olajšavo</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Skupni znesek koriščenja olajšave (v EUR)</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korist</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Število zavezancev, ki je koristilo olajšavo</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Skupni znesek koriščenja olajšave (v EUR)</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korist</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2013</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5.134</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1.144</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8</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20.823</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4.648</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2014</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15.266</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3.456</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12</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80.729</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26.490</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2015</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7.772</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2.852</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7</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29.984</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8.186</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2016</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16.014</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3.850</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10</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45.375</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11.987</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000000" w:fill="FFFF00"/>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SKUPAJ</w:t>
            </w:r>
          </w:p>
        </w:tc>
        <w:tc>
          <w:tcPr>
            <w:tcW w:w="1600" w:type="dxa"/>
            <w:tcBorders>
              <w:top w:val="nil"/>
              <w:left w:val="nil"/>
              <w:bottom w:val="single" w:sz="4" w:space="0" w:color="auto"/>
              <w:right w:val="single" w:sz="4" w:space="0" w:color="auto"/>
            </w:tcBorders>
            <w:shd w:val="clear" w:color="000000" w:fill="FFFF00"/>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9</w:t>
            </w:r>
          </w:p>
        </w:tc>
        <w:tc>
          <w:tcPr>
            <w:tcW w:w="1540" w:type="dxa"/>
            <w:tcBorders>
              <w:top w:val="nil"/>
              <w:left w:val="nil"/>
              <w:bottom w:val="single" w:sz="4" w:space="0" w:color="auto"/>
              <w:right w:val="single" w:sz="4" w:space="0" w:color="auto"/>
            </w:tcBorders>
            <w:shd w:val="clear" w:color="000000" w:fill="FFFF00"/>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44.186</w:t>
            </w:r>
          </w:p>
        </w:tc>
        <w:tc>
          <w:tcPr>
            <w:tcW w:w="960" w:type="dxa"/>
            <w:tcBorders>
              <w:top w:val="nil"/>
              <w:left w:val="nil"/>
              <w:bottom w:val="single" w:sz="4" w:space="0" w:color="auto"/>
              <w:right w:val="single" w:sz="4" w:space="0" w:color="auto"/>
            </w:tcBorders>
            <w:shd w:val="clear" w:color="000000" w:fill="FFFF00"/>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11.302</w:t>
            </w:r>
          </w:p>
        </w:tc>
        <w:tc>
          <w:tcPr>
            <w:tcW w:w="1560" w:type="dxa"/>
            <w:tcBorders>
              <w:top w:val="nil"/>
              <w:left w:val="nil"/>
              <w:bottom w:val="single" w:sz="4" w:space="0" w:color="auto"/>
              <w:right w:val="single" w:sz="4" w:space="0" w:color="auto"/>
            </w:tcBorders>
            <w:shd w:val="clear" w:color="000000" w:fill="FFFF00"/>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37</w:t>
            </w:r>
          </w:p>
        </w:tc>
        <w:tc>
          <w:tcPr>
            <w:tcW w:w="1500" w:type="dxa"/>
            <w:tcBorders>
              <w:top w:val="nil"/>
              <w:left w:val="nil"/>
              <w:bottom w:val="single" w:sz="4" w:space="0" w:color="auto"/>
              <w:right w:val="single" w:sz="4" w:space="0" w:color="auto"/>
            </w:tcBorders>
            <w:shd w:val="clear" w:color="000000" w:fill="FFFF00"/>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176.911</w:t>
            </w:r>
          </w:p>
        </w:tc>
        <w:tc>
          <w:tcPr>
            <w:tcW w:w="960" w:type="dxa"/>
            <w:tcBorders>
              <w:top w:val="nil"/>
              <w:left w:val="nil"/>
              <w:bottom w:val="single" w:sz="4" w:space="0" w:color="auto"/>
              <w:right w:val="single" w:sz="4" w:space="0" w:color="auto"/>
            </w:tcBorders>
            <w:shd w:val="clear" w:color="000000" w:fill="FFFF00"/>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51.311</w:t>
            </w:r>
          </w:p>
        </w:tc>
      </w:tr>
      <w:tr w:rsidR="00AE292F" w:rsidRPr="00AE292F" w:rsidTr="00AE292F">
        <w:trPr>
          <w:trHeight w:val="255"/>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60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54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96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56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50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96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r>
      <w:tr w:rsidR="00AE292F" w:rsidRPr="00AE292F" w:rsidTr="00AE292F">
        <w:trPr>
          <w:trHeight w:val="255"/>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8120" w:type="dxa"/>
            <w:gridSpan w:val="6"/>
            <w:tcBorders>
              <w:top w:val="nil"/>
              <w:left w:val="nil"/>
              <w:bottom w:val="single" w:sz="4" w:space="0" w:color="auto"/>
              <w:right w:val="nil"/>
            </w:tcBorders>
            <w:shd w:val="clear" w:color="000000" w:fill="00B0F0"/>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Pravne osebe</w:t>
            </w:r>
          </w:p>
        </w:tc>
      </w:tr>
      <w:tr w:rsidR="00AE292F" w:rsidRPr="00AE292F" w:rsidTr="00AE292F">
        <w:trPr>
          <w:trHeight w:val="750"/>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olajšava za zaposlovanje</w:t>
            </w:r>
          </w:p>
        </w:tc>
        <w:tc>
          <w:tcPr>
            <w:tcW w:w="4020" w:type="dxa"/>
            <w:gridSpan w:val="3"/>
            <w:tcBorders>
              <w:top w:val="single" w:sz="4" w:space="0" w:color="auto"/>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olajšava za investiranje</w:t>
            </w:r>
          </w:p>
        </w:tc>
      </w:tr>
      <w:tr w:rsidR="00AE292F" w:rsidRPr="00AE292F" w:rsidTr="00AE292F">
        <w:trPr>
          <w:trHeight w:val="102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Poslovno leto</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Število zavezancev, ki je koristilo olajšavo</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Skupni znesek koriščenja olajšave (v EUR)</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korist</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Število zavezancev, ki je koristilo olajšavo</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Skupni znesek koriščenja olajšave (v EUR)</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korist</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2013</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3.739</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636</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14</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343.881</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58.460</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2014</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8</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34.141</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5.804</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28</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1.293.535</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219.901</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2015</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8</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88.452</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15.037</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35</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1.143.442</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194.385</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2016</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14</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116.600</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19.822</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21</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1.939.133</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329.653</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000000" w:fill="00B0F0"/>
            <w:noWrap/>
            <w:vAlign w:val="bottom"/>
            <w:hideMark/>
          </w:tcPr>
          <w:p w:rsidR="00AE292F" w:rsidRPr="00AE292F" w:rsidRDefault="00AE292F" w:rsidP="00AE292F">
            <w:pPr>
              <w:spacing w:after="0" w:line="240" w:lineRule="auto"/>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SKUPAJ</w:t>
            </w:r>
          </w:p>
        </w:tc>
        <w:tc>
          <w:tcPr>
            <w:tcW w:w="1600" w:type="dxa"/>
            <w:tcBorders>
              <w:top w:val="nil"/>
              <w:left w:val="nil"/>
              <w:bottom w:val="single" w:sz="4" w:space="0" w:color="auto"/>
              <w:right w:val="single" w:sz="4" w:space="0" w:color="auto"/>
            </w:tcBorders>
            <w:shd w:val="clear" w:color="000000" w:fill="00B0F0"/>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33</w:t>
            </w:r>
          </w:p>
        </w:tc>
        <w:tc>
          <w:tcPr>
            <w:tcW w:w="1540" w:type="dxa"/>
            <w:tcBorders>
              <w:top w:val="nil"/>
              <w:left w:val="nil"/>
              <w:bottom w:val="single" w:sz="4" w:space="0" w:color="auto"/>
              <w:right w:val="single" w:sz="4" w:space="0" w:color="auto"/>
            </w:tcBorders>
            <w:shd w:val="clear" w:color="000000" w:fill="00B0F0"/>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242.932</w:t>
            </w:r>
          </w:p>
        </w:tc>
        <w:tc>
          <w:tcPr>
            <w:tcW w:w="960" w:type="dxa"/>
            <w:tcBorders>
              <w:top w:val="nil"/>
              <w:left w:val="nil"/>
              <w:bottom w:val="single" w:sz="4" w:space="0" w:color="auto"/>
              <w:right w:val="single" w:sz="4" w:space="0" w:color="auto"/>
            </w:tcBorders>
            <w:shd w:val="clear" w:color="000000" w:fill="00B0F0"/>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41.299</w:t>
            </w:r>
          </w:p>
        </w:tc>
        <w:tc>
          <w:tcPr>
            <w:tcW w:w="1560" w:type="dxa"/>
            <w:tcBorders>
              <w:top w:val="nil"/>
              <w:left w:val="nil"/>
              <w:bottom w:val="single" w:sz="4" w:space="0" w:color="auto"/>
              <w:right w:val="single" w:sz="4" w:space="0" w:color="auto"/>
            </w:tcBorders>
            <w:shd w:val="clear" w:color="000000" w:fill="00B0F0"/>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98</w:t>
            </w:r>
          </w:p>
        </w:tc>
        <w:tc>
          <w:tcPr>
            <w:tcW w:w="1500" w:type="dxa"/>
            <w:tcBorders>
              <w:top w:val="nil"/>
              <w:left w:val="nil"/>
              <w:bottom w:val="single" w:sz="4" w:space="0" w:color="auto"/>
              <w:right w:val="single" w:sz="4" w:space="0" w:color="auto"/>
            </w:tcBorders>
            <w:shd w:val="clear" w:color="000000" w:fill="00B0F0"/>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4.719.991</w:t>
            </w:r>
          </w:p>
        </w:tc>
        <w:tc>
          <w:tcPr>
            <w:tcW w:w="960" w:type="dxa"/>
            <w:tcBorders>
              <w:top w:val="nil"/>
              <w:left w:val="nil"/>
              <w:bottom w:val="single" w:sz="4" w:space="0" w:color="auto"/>
              <w:right w:val="single" w:sz="4" w:space="0" w:color="auto"/>
            </w:tcBorders>
            <w:shd w:val="clear" w:color="000000" w:fill="00B0F0"/>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802.399</w:t>
            </w:r>
          </w:p>
        </w:tc>
      </w:tr>
      <w:tr w:rsidR="00AE292F" w:rsidRPr="00AE292F" w:rsidTr="00AE292F">
        <w:trPr>
          <w:trHeight w:val="255"/>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60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54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96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56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150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960" w:type="dxa"/>
            <w:tcBorders>
              <w:top w:val="nil"/>
              <w:left w:val="nil"/>
              <w:bottom w:val="nil"/>
              <w:right w:val="nil"/>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r>
      <w:tr w:rsidR="00AE292F" w:rsidRPr="00AE292F" w:rsidTr="00AE292F">
        <w:trPr>
          <w:trHeight w:val="255"/>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8120" w:type="dxa"/>
            <w:gridSpan w:val="6"/>
            <w:tcBorders>
              <w:top w:val="nil"/>
              <w:left w:val="nil"/>
              <w:bottom w:val="single" w:sz="4" w:space="0" w:color="auto"/>
              <w:right w:val="nil"/>
            </w:tcBorders>
            <w:shd w:val="clear" w:color="000000" w:fill="FF66FF"/>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SKUPAJ</w:t>
            </w:r>
          </w:p>
        </w:tc>
      </w:tr>
      <w:tr w:rsidR="00AE292F" w:rsidRPr="00AE292F" w:rsidTr="00AE292F">
        <w:trPr>
          <w:trHeight w:val="255"/>
        </w:trPr>
        <w:tc>
          <w:tcPr>
            <w:tcW w:w="1760" w:type="dxa"/>
            <w:tcBorders>
              <w:top w:val="nil"/>
              <w:left w:val="nil"/>
              <w:bottom w:val="nil"/>
              <w:right w:val="nil"/>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p>
        </w:tc>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olajšava za zaposlovanje</w:t>
            </w:r>
          </w:p>
        </w:tc>
        <w:tc>
          <w:tcPr>
            <w:tcW w:w="4020" w:type="dxa"/>
            <w:gridSpan w:val="3"/>
            <w:tcBorders>
              <w:top w:val="single" w:sz="4" w:space="0" w:color="auto"/>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center"/>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olajšava za investiranje</w:t>
            </w:r>
          </w:p>
        </w:tc>
      </w:tr>
      <w:tr w:rsidR="00AE292F" w:rsidRPr="00AE292F" w:rsidTr="00AE292F">
        <w:trPr>
          <w:trHeight w:val="102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Poslovno leto</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Število zavezancev, ki je koristilo olajšavo</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Skupni znesek koriščenja olajšave (v EUR)</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korist</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Število zavezancev, ki je koristilo olajšavo</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Skupni znesek koriščenja olajšave (v EUR)</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Davčna korist</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2013</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5</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8.873</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1.780</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22</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364.704</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63.108</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2014</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11</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49.407</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9.260</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40</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1.374.264</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246.391</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2015</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10</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96.224</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17.889</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42</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1.173.426</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202.571</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2016</w:t>
            </w:r>
          </w:p>
        </w:tc>
        <w:tc>
          <w:tcPr>
            <w:tcW w:w="16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16</w:t>
            </w:r>
          </w:p>
        </w:tc>
        <w:tc>
          <w:tcPr>
            <w:tcW w:w="154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132.614</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23.672</w:t>
            </w:r>
          </w:p>
        </w:tc>
        <w:tc>
          <w:tcPr>
            <w:tcW w:w="15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31</w:t>
            </w:r>
          </w:p>
        </w:tc>
        <w:tc>
          <w:tcPr>
            <w:tcW w:w="150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1.984.508</w:t>
            </w:r>
          </w:p>
        </w:tc>
        <w:tc>
          <w:tcPr>
            <w:tcW w:w="960" w:type="dxa"/>
            <w:tcBorders>
              <w:top w:val="nil"/>
              <w:left w:val="nil"/>
              <w:bottom w:val="single" w:sz="4" w:space="0" w:color="auto"/>
              <w:right w:val="single" w:sz="4" w:space="0" w:color="auto"/>
            </w:tcBorders>
            <w:shd w:val="clear" w:color="auto" w:fill="auto"/>
            <w:vAlign w:val="bottom"/>
            <w:hideMark/>
          </w:tcPr>
          <w:p w:rsidR="00AE292F" w:rsidRPr="00AE292F" w:rsidRDefault="00AE292F" w:rsidP="00AE292F">
            <w:pPr>
              <w:spacing w:after="0" w:line="240" w:lineRule="auto"/>
              <w:jc w:val="right"/>
              <w:rPr>
                <w:rFonts w:ascii="Arial" w:eastAsia="Times New Roman" w:hAnsi="Arial" w:cs="Arial"/>
                <w:color w:val="000000"/>
                <w:sz w:val="16"/>
                <w:szCs w:val="20"/>
                <w:lang w:eastAsia="sl-SI"/>
              </w:rPr>
            </w:pPr>
            <w:r w:rsidRPr="00AE292F">
              <w:rPr>
                <w:rFonts w:ascii="Arial" w:eastAsia="Times New Roman" w:hAnsi="Arial" w:cs="Arial"/>
                <w:color w:val="000000"/>
                <w:sz w:val="16"/>
                <w:szCs w:val="20"/>
                <w:lang w:eastAsia="sl-SI"/>
              </w:rPr>
              <w:t>341.640</w:t>
            </w:r>
          </w:p>
        </w:tc>
      </w:tr>
      <w:tr w:rsidR="00AE292F" w:rsidRPr="00AE292F" w:rsidTr="00AE292F">
        <w:trPr>
          <w:trHeight w:val="255"/>
        </w:trPr>
        <w:tc>
          <w:tcPr>
            <w:tcW w:w="1760" w:type="dxa"/>
            <w:tcBorders>
              <w:top w:val="nil"/>
              <w:left w:val="single" w:sz="4" w:space="0" w:color="auto"/>
              <w:bottom w:val="single" w:sz="4" w:space="0" w:color="auto"/>
              <w:right w:val="single" w:sz="4" w:space="0" w:color="auto"/>
            </w:tcBorders>
            <w:shd w:val="clear" w:color="000000" w:fill="FF66FF"/>
            <w:noWrap/>
            <w:vAlign w:val="bottom"/>
            <w:hideMark/>
          </w:tcPr>
          <w:p w:rsidR="00AE292F" w:rsidRPr="00AE292F" w:rsidRDefault="00AE292F" w:rsidP="00AE292F">
            <w:pPr>
              <w:spacing w:after="0" w:line="240" w:lineRule="auto"/>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SKUPAJ</w:t>
            </w:r>
          </w:p>
        </w:tc>
        <w:tc>
          <w:tcPr>
            <w:tcW w:w="1600" w:type="dxa"/>
            <w:tcBorders>
              <w:top w:val="nil"/>
              <w:left w:val="nil"/>
              <w:bottom w:val="single" w:sz="4" w:space="0" w:color="auto"/>
              <w:right w:val="single" w:sz="4" w:space="0" w:color="auto"/>
            </w:tcBorders>
            <w:shd w:val="clear" w:color="000000" w:fill="FF66FF"/>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42</w:t>
            </w:r>
          </w:p>
        </w:tc>
        <w:tc>
          <w:tcPr>
            <w:tcW w:w="1540" w:type="dxa"/>
            <w:tcBorders>
              <w:top w:val="nil"/>
              <w:left w:val="nil"/>
              <w:bottom w:val="single" w:sz="4" w:space="0" w:color="auto"/>
              <w:right w:val="single" w:sz="4" w:space="0" w:color="auto"/>
            </w:tcBorders>
            <w:shd w:val="clear" w:color="000000" w:fill="FF66FF"/>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287.118</w:t>
            </w:r>
          </w:p>
        </w:tc>
        <w:tc>
          <w:tcPr>
            <w:tcW w:w="960" w:type="dxa"/>
            <w:tcBorders>
              <w:top w:val="nil"/>
              <w:left w:val="nil"/>
              <w:bottom w:val="single" w:sz="4" w:space="0" w:color="auto"/>
              <w:right w:val="single" w:sz="4" w:space="0" w:color="auto"/>
            </w:tcBorders>
            <w:shd w:val="clear" w:color="000000" w:fill="FF66FF"/>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52.601</w:t>
            </w:r>
          </w:p>
        </w:tc>
        <w:tc>
          <w:tcPr>
            <w:tcW w:w="1560" w:type="dxa"/>
            <w:tcBorders>
              <w:top w:val="nil"/>
              <w:left w:val="nil"/>
              <w:bottom w:val="single" w:sz="4" w:space="0" w:color="auto"/>
              <w:right w:val="single" w:sz="4" w:space="0" w:color="auto"/>
            </w:tcBorders>
            <w:shd w:val="clear" w:color="000000" w:fill="FF66FF"/>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135</w:t>
            </w:r>
          </w:p>
        </w:tc>
        <w:tc>
          <w:tcPr>
            <w:tcW w:w="1500" w:type="dxa"/>
            <w:tcBorders>
              <w:top w:val="nil"/>
              <w:left w:val="nil"/>
              <w:bottom w:val="single" w:sz="4" w:space="0" w:color="auto"/>
              <w:right w:val="single" w:sz="4" w:space="0" w:color="auto"/>
            </w:tcBorders>
            <w:shd w:val="clear" w:color="000000" w:fill="FF66FF"/>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4.896.902</w:t>
            </w:r>
          </w:p>
        </w:tc>
        <w:tc>
          <w:tcPr>
            <w:tcW w:w="960" w:type="dxa"/>
            <w:tcBorders>
              <w:top w:val="nil"/>
              <w:left w:val="nil"/>
              <w:bottom w:val="single" w:sz="4" w:space="0" w:color="auto"/>
              <w:right w:val="single" w:sz="4" w:space="0" w:color="auto"/>
            </w:tcBorders>
            <w:shd w:val="clear" w:color="000000" w:fill="FF66FF"/>
            <w:vAlign w:val="bottom"/>
            <w:hideMark/>
          </w:tcPr>
          <w:p w:rsidR="00AE292F" w:rsidRPr="00AE292F" w:rsidRDefault="00AE292F" w:rsidP="00AE292F">
            <w:pPr>
              <w:spacing w:after="0" w:line="240" w:lineRule="auto"/>
              <w:jc w:val="right"/>
              <w:rPr>
                <w:rFonts w:ascii="Arial" w:eastAsia="Times New Roman" w:hAnsi="Arial" w:cs="Arial"/>
                <w:b/>
                <w:bCs/>
                <w:color w:val="000000"/>
                <w:sz w:val="16"/>
                <w:szCs w:val="20"/>
                <w:lang w:eastAsia="sl-SI"/>
              </w:rPr>
            </w:pPr>
            <w:r w:rsidRPr="00AE292F">
              <w:rPr>
                <w:rFonts w:ascii="Arial" w:eastAsia="Times New Roman" w:hAnsi="Arial" w:cs="Arial"/>
                <w:b/>
                <w:bCs/>
                <w:color w:val="000000"/>
                <w:sz w:val="16"/>
                <w:szCs w:val="20"/>
                <w:lang w:eastAsia="sl-SI"/>
              </w:rPr>
              <w:t>853.710</w:t>
            </w:r>
          </w:p>
        </w:tc>
      </w:tr>
    </w:tbl>
    <w:p w:rsidR="00CC5666" w:rsidRDefault="002B1968" w:rsidP="00BC605B">
      <w:pPr>
        <w:spacing w:after="0"/>
        <w:rPr>
          <w:sz w:val="18"/>
        </w:rPr>
      </w:pPr>
      <w:r w:rsidRPr="00672E03">
        <w:rPr>
          <w:sz w:val="18"/>
        </w:rPr>
        <w:t>Vir: FURS</w:t>
      </w:r>
      <w:r w:rsidR="00AE292F">
        <w:rPr>
          <w:sz w:val="18"/>
        </w:rPr>
        <w:t>, 2.11.2017</w:t>
      </w:r>
    </w:p>
    <w:p w:rsidR="00174E19" w:rsidRDefault="00174E19" w:rsidP="00852390"/>
    <w:p w:rsidR="00A80DBA" w:rsidRDefault="00A80DBA" w:rsidP="00852390"/>
    <w:p w:rsidR="000E4D43" w:rsidRPr="00127A71" w:rsidRDefault="000E4D43" w:rsidP="000E4D43">
      <w:pPr>
        <w:spacing w:after="0"/>
        <w:jc w:val="both"/>
      </w:pPr>
      <w:r>
        <w:t xml:space="preserve">Ukrep št. 3 </w:t>
      </w:r>
      <w:r w:rsidR="00E52272">
        <w:t xml:space="preserve">in 4 </w:t>
      </w:r>
      <w:r>
        <w:t>se izvaja</w:t>
      </w:r>
      <w:r w:rsidR="00E52272">
        <w:t>ta</w:t>
      </w:r>
      <w:r>
        <w:t xml:space="preserve"> na podlagi sheme državne pomoči BE04-2399245-2014 Povračilo prispevkov delodajalca in davčna olajšava za zaposlovanje in na podlagi sheme št. BE02-2399245-2014 Regionalna shema državnih pomoči.</w:t>
      </w:r>
    </w:p>
    <w:p w:rsidR="000E4D43" w:rsidRDefault="000E4D43" w:rsidP="00852390"/>
    <w:p w:rsidR="00AF55F2" w:rsidRPr="00A57FA3" w:rsidRDefault="00AF55F2" w:rsidP="00852390">
      <w:pPr>
        <w:pStyle w:val="Naslov2"/>
        <w:rPr>
          <w:lang w:eastAsia="sl-SI"/>
        </w:rPr>
      </w:pPr>
      <w:bookmarkStart w:id="17" w:name="_Toc503180608"/>
      <w:r w:rsidRPr="00A57FA3">
        <w:rPr>
          <w:lang w:eastAsia="sl-SI"/>
        </w:rPr>
        <w:t xml:space="preserve">Ukrep </w:t>
      </w:r>
      <w:r w:rsidR="009E2B79">
        <w:rPr>
          <w:lang w:eastAsia="sl-SI"/>
        </w:rPr>
        <w:t>5</w:t>
      </w:r>
      <w:r w:rsidRPr="00A57FA3">
        <w:rPr>
          <w:lang w:eastAsia="sl-SI"/>
        </w:rPr>
        <w:t>: spodbude za trajnostni razvoj podeželja iz Programa razvoja podeželja 2014-2020</w:t>
      </w:r>
      <w:bookmarkEnd w:id="17"/>
    </w:p>
    <w:p w:rsidR="00CE0BE4" w:rsidRPr="00E160F7" w:rsidRDefault="00CE0BE4" w:rsidP="00852390">
      <w:pPr>
        <w:spacing w:after="0"/>
        <w:jc w:val="both"/>
        <w:rPr>
          <w:b/>
          <w:bCs/>
          <w:lang w:eastAsia="sl-SI"/>
        </w:rPr>
      </w:pPr>
      <w:r w:rsidRPr="00E160F7">
        <w:t>V obdobju 2014–2</w:t>
      </w:r>
      <w:r w:rsidR="00AE41D3" w:rsidRPr="00E160F7">
        <w:t>020</w:t>
      </w:r>
      <w:r w:rsidRPr="00E160F7">
        <w:t xml:space="preserve"> </w:t>
      </w:r>
      <w:r w:rsidR="00986B60" w:rsidRPr="00E160F7">
        <w:t>spodbude</w:t>
      </w:r>
      <w:r w:rsidRPr="00E160F7">
        <w:t xml:space="preserve"> izvede Ministrstvo za kmetijstvo, gozdarstvo in prehrano. Ukrep se izvede iz sredstev iz naslova Programa razvoja podeželja 2014-2020 prek dodelitve</w:t>
      </w:r>
      <w:r w:rsidR="00D31FDE" w:rsidRPr="00E160F7">
        <w:t xml:space="preserve"> dodatnih</w:t>
      </w:r>
      <w:r w:rsidRPr="00E160F7">
        <w:t xml:space="preserve"> sredstev lokalnim akcijskim skupinam (v nadaljnjem besedilu: LAS), ki bodo v programskem obdobju 2014–2020 pokrivale problemsko območje v okviru ukrepa Podpora za lokalni razvoj v okviru pobude LEADER (lokalni razvoj, ki ga vodi skupnost). Na območju občin HRT delujeta LAS Posavje in LAS Zasavje. </w:t>
      </w:r>
      <w:r w:rsidR="00D31FDE" w:rsidRPr="00E160F7">
        <w:t>Dodatna j</w:t>
      </w:r>
      <w:r w:rsidRPr="00E160F7">
        <w:t>avna sredstva iz naslova problemskih območij</w:t>
      </w:r>
      <w:r w:rsidR="00A42D7A" w:rsidRPr="00E160F7">
        <w:t>, za oba L</w:t>
      </w:r>
      <w:r w:rsidR="00D31FDE" w:rsidRPr="00E160F7">
        <w:t>AS znašajo</w:t>
      </w:r>
      <w:r w:rsidRPr="00E160F7">
        <w:t xml:space="preserve"> v skupni višini okoli 346.</w:t>
      </w:r>
      <w:r w:rsidR="00D31FDE" w:rsidRPr="00E160F7">
        <w:t>539,75</w:t>
      </w:r>
      <w:r w:rsidRPr="00E160F7">
        <w:t xml:space="preserve"> </w:t>
      </w:r>
      <w:r w:rsidR="005B2973" w:rsidRPr="00E160F7">
        <w:t>EUR</w:t>
      </w:r>
      <w:r w:rsidRPr="00E160F7">
        <w:t xml:space="preserve"> za celotno programsko obdobje, od tega za območje LAS Posavje 254.151,00 </w:t>
      </w:r>
      <w:r w:rsidR="00986B60" w:rsidRPr="00E160F7">
        <w:t>EUR</w:t>
      </w:r>
      <w:r w:rsidRPr="00E160F7">
        <w:t xml:space="preserve">, za območje LAS Zasavje pa 92.388,75 </w:t>
      </w:r>
      <w:r w:rsidR="00986B60" w:rsidRPr="00E160F7">
        <w:t>EUR</w:t>
      </w:r>
      <w:r w:rsidRPr="00E160F7">
        <w:t>.</w:t>
      </w:r>
      <w:r w:rsidR="00A42D7A" w:rsidRPr="00E160F7">
        <w:t xml:space="preserve">  LAS Posavje je pridobil odločbo o potrditvi SLR in LAS z dne 13.9.2016, LAS Zasavje pa o odločbo o potrditvi SLR in LAS z dne 17.10.2016. </w:t>
      </w:r>
    </w:p>
    <w:p w:rsidR="00CE0BE4" w:rsidRPr="00E160F7" w:rsidRDefault="00CE0BE4" w:rsidP="00852390">
      <w:pPr>
        <w:jc w:val="both"/>
      </w:pPr>
    </w:p>
    <w:p w:rsidR="00CE0BE4" w:rsidRPr="00E160F7" w:rsidRDefault="00CE0BE4" w:rsidP="00852390">
      <w:pPr>
        <w:spacing w:after="0"/>
        <w:jc w:val="both"/>
        <w:rPr>
          <w:u w:val="single"/>
          <w:lang w:eastAsia="sl-SI"/>
        </w:rPr>
      </w:pPr>
      <w:r w:rsidRPr="00E160F7">
        <w:rPr>
          <w:u w:val="single"/>
          <w:lang w:eastAsia="sl-SI"/>
        </w:rPr>
        <w:lastRenderedPageBreak/>
        <w:t xml:space="preserve">Status: ukrep </w:t>
      </w:r>
      <w:r w:rsidR="00D31FDE" w:rsidRPr="00E160F7">
        <w:rPr>
          <w:u w:val="single"/>
          <w:lang w:eastAsia="sl-SI"/>
        </w:rPr>
        <w:t>se izvaja</w:t>
      </w:r>
      <w:r w:rsidRPr="00E160F7">
        <w:rPr>
          <w:u w:val="single"/>
          <w:lang w:eastAsia="sl-SI"/>
        </w:rPr>
        <w:t>.</w:t>
      </w:r>
    </w:p>
    <w:p w:rsidR="00CE0BE4" w:rsidRPr="00E160F7" w:rsidRDefault="00CE0BE4" w:rsidP="00852390">
      <w:pPr>
        <w:jc w:val="both"/>
      </w:pPr>
    </w:p>
    <w:p w:rsidR="00AF55F2" w:rsidRPr="00796515" w:rsidRDefault="00DF540C" w:rsidP="00852390">
      <w:pPr>
        <w:jc w:val="both"/>
      </w:pPr>
      <w:r w:rsidRPr="00E160F7">
        <w:t>Ob</w:t>
      </w:r>
      <w:r w:rsidR="00A42D7A" w:rsidRPr="00E160F7">
        <w:t xml:space="preserve">a LAS </w:t>
      </w:r>
      <w:r w:rsidRPr="00E160F7">
        <w:t xml:space="preserve"> </w:t>
      </w:r>
      <w:r w:rsidR="00A34D4D" w:rsidRPr="00E160F7">
        <w:t>sta po prejemu odločb</w:t>
      </w:r>
      <w:r w:rsidRPr="00E160F7">
        <w:t xml:space="preserve"> </w:t>
      </w:r>
      <w:r w:rsidR="00A34D4D" w:rsidRPr="00E160F7">
        <w:t xml:space="preserve">pričela </w:t>
      </w:r>
      <w:r w:rsidRPr="00E160F7">
        <w:t>podeljev</w:t>
      </w:r>
      <w:r w:rsidR="00A34D4D" w:rsidRPr="00E160F7">
        <w:t>ati</w:t>
      </w:r>
      <w:r w:rsidRPr="00E160F7">
        <w:t xml:space="preserve"> na podlagi javnih pozivov, ki </w:t>
      </w:r>
      <w:r w:rsidR="00A34D4D" w:rsidRPr="00E160F7">
        <w:t>temeljijo</w:t>
      </w:r>
      <w:r w:rsidRPr="00E160F7">
        <w:t xml:space="preserve"> na Strategiji lokalnega razvoja </w:t>
      </w:r>
      <w:r w:rsidR="00A42D7A" w:rsidRPr="00E160F7">
        <w:t>(v nadaljn</w:t>
      </w:r>
      <w:r w:rsidR="00963CCB" w:rsidRPr="00E160F7">
        <w:t>j</w:t>
      </w:r>
      <w:r w:rsidR="00A42D7A" w:rsidRPr="00E160F7">
        <w:t xml:space="preserve">em besedilu: SLR) </w:t>
      </w:r>
      <w:r w:rsidRPr="00E160F7">
        <w:t>za posamez</w:t>
      </w:r>
      <w:r w:rsidR="00A42D7A" w:rsidRPr="00E160F7">
        <w:t>e</w:t>
      </w:r>
      <w:r w:rsidRPr="00E160F7">
        <w:t>n</w:t>
      </w:r>
      <w:r w:rsidR="00A42D7A" w:rsidRPr="00E160F7">
        <w:t xml:space="preserve">  LAS</w:t>
      </w:r>
      <w:r w:rsidRPr="00E160F7">
        <w:t>, ki jih je vodilni partner LAS predložil v presojo in potrditev pristojnemu Ministrstvu</w:t>
      </w:r>
      <w:r w:rsidRPr="00E160F7">
        <w:rPr>
          <w:rStyle w:val="Sprotnaopomba-sklic"/>
        </w:rPr>
        <w:footnoteReference w:id="3"/>
      </w:r>
      <w:r w:rsidRPr="00E160F7">
        <w:t xml:space="preserve">. V </w:t>
      </w:r>
      <w:r w:rsidR="00A42D7A" w:rsidRPr="00E160F7">
        <w:t xml:space="preserve">SLR  </w:t>
      </w:r>
      <w:r w:rsidRPr="00E160F7">
        <w:t>so jasno opredeljeni načini in nameni podeljevanja sredstev.</w:t>
      </w:r>
    </w:p>
    <w:p w:rsidR="005933FB" w:rsidRPr="00796515" w:rsidRDefault="005933FB" w:rsidP="00852390">
      <w:pPr>
        <w:jc w:val="both"/>
      </w:pPr>
    </w:p>
    <w:p w:rsidR="002F7A30" w:rsidRPr="00A57FA3" w:rsidRDefault="002F7A30" w:rsidP="00852390">
      <w:pPr>
        <w:pStyle w:val="Naslov2"/>
      </w:pPr>
      <w:bookmarkStart w:id="18" w:name="_Toc503180609"/>
      <w:r w:rsidRPr="00A57FA3">
        <w:rPr>
          <w:lang w:eastAsia="sl-SI"/>
        </w:rPr>
        <w:t xml:space="preserve">Ukrep </w:t>
      </w:r>
      <w:r w:rsidR="009E2B79">
        <w:rPr>
          <w:lang w:eastAsia="sl-SI"/>
        </w:rPr>
        <w:t>6</w:t>
      </w:r>
      <w:r w:rsidRPr="00A57FA3">
        <w:rPr>
          <w:lang w:eastAsia="sl-SI"/>
        </w:rPr>
        <w:t xml:space="preserve">: prometna </w:t>
      </w:r>
      <w:r w:rsidR="009E2B79">
        <w:rPr>
          <w:lang w:eastAsia="sl-SI"/>
        </w:rPr>
        <w:t xml:space="preserve"> in energetska </w:t>
      </w:r>
      <w:r w:rsidRPr="00A57FA3">
        <w:rPr>
          <w:lang w:eastAsia="sl-SI"/>
        </w:rPr>
        <w:t>infrastruktura</w:t>
      </w:r>
      <w:bookmarkEnd w:id="18"/>
    </w:p>
    <w:p w:rsidR="000F3525" w:rsidRPr="00562F4D" w:rsidRDefault="000F3525" w:rsidP="000F3525">
      <w:pPr>
        <w:spacing w:after="0"/>
        <w:jc w:val="both"/>
      </w:pPr>
      <w:r w:rsidRPr="00562F4D">
        <w:t xml:space="preserve">Program HRT je v okviru Ukrepa </w:t>
      </w:r>
      <w:r w:rsidR="00392CDE">
        <w:t>6</w:t>
      </w:r>
      <w:r w:rsidRPr="00562F4D">
        <w:t xml:space="preserve"> predvideval izvedbo osmih investicij izmed katerih trije spadajo v okvir ureditve železniške infrastrukture, pet pa v okvir ureditve cestne infrastrukture. Za izvedbo ukrepa je pristojno Ministrstvo za infrastrukturo in prostor, od 5.9.2014 dalje Ministrstvo za infrastrukturo.</w:t>
      </w:r>
    </w:p>
    <w:p w:rsidR="000F3525" w:rsidRPr="00562F4D" w:rsidRDefault="000F3525" w:rsidP="000F3525">
      <w:pPr>
        <w:spacing w:after="0"/>
        <w:jc w:val="both"/>
      </w:pPr>
    </w:p>
    <w:p w:rsidR="000F3525" w:rsidRPr="00562F4D" w:rsidRDefault="000F3525" w:rsidP="000F3525">
      <w:pPr>
        <w:spacing w:after="0"/>
        <w:jc w:val="both"/>
      </w:pPr>
      <w:r w:rsidRPr="00562F4D">
        <w:t xml:space="preserve">Investicijski projekti na področju </w:t>
      </w:r>
      <w:r w:rsidRPr="00562F4D">
        <w:rPr>
          <w:b/>
        </w:rPr>
        <w:t>železniške infrastrukture</w:t>
      </w:r>
      <w:r w:rsidRPr="00562F4D">
        <w:t xml:space="preserve"> v okviru Programa HRT so bili vezani na vzpostavitev operativno-varnostnih sistemov. Predvideno je bilo načrtovanje in izvedba digitalnega radijskega komunikacijskega sistema za železnice. V okviru tega je bila v letih 2009 do 2012 izdelana izvedbena dokumentacija, gradnja (postavitev jedrnega sistema GSM-R, vzpostavitev optičnega omrežja, postavitev baznih postaj in montaža ostale potrebne opreme) sistema GSM-R pa poteka od leta 2013 tudi na območju občin Radeče (2,5 km), Trbovlje (4,2 km) in Hrastnik (6,9 km). Predviden zaključek načrtovanih del v okviru vzpostavitve sistema GSM-R je v prvi polovici leta 2017.  </w:t>
      </w:r>
    </w:p>
    <w:p w:rsidR="00392CDE" w:rsidRDefault="00392CDE" w:rsidP="000F3525">
      <w:pPr>
        <w:spacing w:after="0"/>
        <w:jc w:val="both"/>
        <w:rPr>
          <w:u w:val="single"/>
          <w:lang w:eastAsia="sl-SI"/>
        </w:rPr>
      </w:pPr>
    </w:p>
    <w:p w:rsidR="000F3525" w:rsidRPr="00562F4D" w:rsidRDefault="000F3525" w:rsidP="000F3525">
      <w:pPr>
        <w:spacing w:after="0"/>
        <w:jc w:val="both"/>
        <w:rPr>
          <w:u w:val="single"/>
          <w:lang w:eastAsia="sl-SI"/>
        </w:rPr>
      </w:pPr>
      <w:r w:rsidRPr="00562F4D">
        <w:rPr>
          <w:u w:val="single"/>
          <w:lang w:eastAsia="sl-SI"/>
        </w:rPr>
        <w:t xml:space="preserve">Status: ukrep se izvaja </w:t>
      </w:r>
    </w:p>
    <w:p w:rsidR="000F3525" w:rsidRPr="00562F4D" w:rsidRDefault="000F3525" w:rsidP="000F3525">
      <w:pPr>
        <w:spacing w:after="0"/>
        <w:jc w:val="both"/>
        <w:rPr>
          <w:rFonts w:cs="Arial"/>
          <w:iCs/>
          <w:lang w:eastAsia="sl-SI"/>
        </w:rPr>
      </w:pP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r w:rsidRPr="00562F4D">
        <w:rPr>
          <w:color w:val="000000"/>
          <w:lang w:eastAsia="sl-SI"/>
        </w:rPr>
        <w:t>Direkcija RS za infrastrukturo, kot investitor ukrepov na cestni infrastrukturi ugotavlja, da je zagotavljanje sredstev v okviru cestne infrastrukture v proračunu RS bistveno manjše od plana v Programu, kar je posledica rebalansov Proračuna v letih 2012 in 2013, v Proračunu 2014 in 2015 pa sredstev na investicijskih projektih,  razen EU sredstev, ni bilo planiranih. Projekta, ki bi bil financiran z EU sredstvi na tem območju ni.</w:t>
      </w: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p>
    <w:p w:rsidR="000F3525" w:rsidRPr="00562F4D" w:rsidRDefault="00BE7BBA" w:rsidP="00BE7BBA">
      <w:pPr>
        <w:pStyle w:val="Napis"/>
        <w:rPr>
          <w:color w:val="000000"/>
          <w:szCs w:val="22"/>
          <w:lang w:eastAsia="sl-SI"/>
        </w:rPr>
      </w:pPr>
      <w:r>
        <w:t xml:space="preserve">Tabela </w:t>
      </w:r>
      <w:fldSimple w:instr=" SEQ Tabela \* ARABIC ">
        <w:r w:rsidR="003218B5">
          <w:rPr>
            <w:noProof/>
          </w:rPr>
          <w:t>16</w:t>
        </w:r>
      </w:fldSimple>
      <w:r w:rsidR="000F3525" w:rsidRPr="00562F4D">
        <w:rPr>
          <w:color w:val="000000"/>
          <w:szCs w:val="22"/>
          <w:lang w:eastAsia="sl-SI"/>
        </w:rPr>
        <w:t>: Realizacija na posameznih investicijskih projektih iz Programa,  v EUR</w:t>
      </w:r>
    </w:p>
    <w:tbl>
      <w:tblPr>
        <w:tblW w:w="8010" w:type="dxa"/>
        <w:tblInd w:w="140" w:type="dxa"/>
        <w:shd w:val="clear" w:color="auto" w:fill="FFFFFF"/>
        <w:tblLayout w:type="fixed"/>
        <w:tblCellMar>
          <w:left w:w="70" w:type="dxa"/>
          <w:right w:w="70" w:type="dxa"/>
        </w:tblCellMar>
        <w:tblLook w:val="0000" w:firstRow="0" w:lastRow="0" w:firstColumn="0" w:lastColumn="0" w:noHBand="0" w:noVBand="0"/>
      </w:tblPr>
      <w:tblGrid>
        <w:gridCol w:w="1488"/>
        <w:gridCol w:w="1134"/>
        <w:gridCol w:w="3545"/>
        <w:gridCol w:w="1843"/>
      </w:tblGrid>
      <w:tr w:rsidR="000F3525" w:rsidRPr="00562F4D" w:rsidTr="009E2B79">
        <w:trPr>
          <w:trHeight w:val="255"/>
        </w:trPr>
        <w:tc>
          <w:tcPr>
            <w:tcW w:w="801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b/>
                <w:bCs/>
                <w:color w:val="000000"/>
              </w:rPr>
            </w:pPr>
            <w:r w:rsidRPr="00562F4D">
              <w:rPr>
                <w:b/>
                <w:bCs/>
                <w:iCs/>
              </w:rPr>
              <w:t>Ukrep: Prometna infrastruktura– cestni promet</w:t>
            </w:r>
          </w:p>
        </w:tc>
      </w:tr>
      <w:tr w:rsidR="000F3525" w:rsidRPr="00562F4D" w:rsidTr="00392CDE">
        <w:trPr>
          <w:trHeight w:val="255"/>
        </w:trPr>
        <w:tc>
          <w:tcPr>
            <w:tcW w:w="616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b/>
                <w:bCs/>
              </w:rPr>
            </w:pPr>
          </w:p>
        </w:tc>
        <w:tc>
          <w:tcPr>
            <w:tcW w:w="1843" w:type="dxa"/>
            <w:tcBorders>
              <w:top w:val="single" w:sz="4" w:space="0" w:color="auto"/>
              <w:left w:val="nil"/>
              <w:bottom w:val="single" w:sz="4" w:space="0" w:color="auto"/>
              <w:right w:val="single" w:sz="4" w:space="0" w:color="auto"/>
            </w:tcBorders>
            <w:shd w:val="clear" w:color="auto" w:fill="FFFFFF"/>
            <w:noWrap/>
            <w:vAlign w:val="bottom"/>
          </w:tcPr>
          <w:p w:rsidR="000F3525" w:rsidRPr="00562F4D" w:rsidRDefault="000F3525" w:rsidP="009E2B79">
            <w:pPr>
              <w:spacing w:after="0"/>
              <w:ind w:left="426"/>
              <w:jc w:val="center"/>
              <w:rPr>
                <w:b/>
                <w:bCs/>
                <w:color w:val="000000"/>
              </w:rPr>
            </w:pPr>
            <w:r w:rsidRPr="00562F4D">
              <w:rPr>
                <w:b/>
                <w:bCs/>
                <w:color w:val="000000"/>
              </w:rPr>
              <w:t>Realizacija</w:t>
            </w:r>
          </w:p>
          <w:p w:rsidR="000F3525" w:rsidRPr="00562F4D" w:rsidRDefault="000F3525" w:rsidP="009E2B79">
            <w:pPr>
              <w:spacing w:after="0"/>
              <w:ind w:left="426"/>
              <w:jc w:val="center"/>
              <w:rPr>
                <w:b/>
                <w:bCs/>
                <w:color w:val="000000"/>
              </w:rPr>
            </w:pPr>
            <w:r w:rsidRPr="00562F4D">
              <w:rPr>
                <w:b/>
                <w:bCs/>
                <w:color w:val="000000"/>
              </w:rPr>
              <w:t>2016</w:t>
            </w:r>
          </w:p>
        </w:tc>
      </w:tr>
      <w:tr w:rsidR="000F3525" w:rsidRPr="00562F4D" w:rsidTr="00392CDE">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10-0184</w:t>
            </w:r>
          </w:p>
        </w:tc>
        <w:tc>
          <w:tcPr>
            <w:tcW w:w="1134"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REKO</w:t>
            </w:r>
          </w:p>
        </w:tc>
        <w:tc>
          <w:tcPr>
            <w:tcW w:w="3545"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Glavna cesta G1-5/0331 Zidani most</w:t>
            </w:r>
            <w:r w:rsidRPr="00562F4D">
              <w:rPr>
                <w:b/>
              </w:rPr>
              <w:t xml:space="preserve">– </w:t>
            </w:r>
            <w:r w:rsidRPr="00562F4D">
              <w:rPr>
                <w:color w:val="000000"/>
              </w:rPr>
              <w:t>Radeče</w:t>
            </w:r>
          </w:p>
        </w:tc>
        <w:tc>
          <w:tcPr>
            <w:tcW w:w="1843" w:type="dxa"/>
            <w:tcBorders>
              <w:top w:val="nil"/>
              <w:left w:val="nil"/>
              <w:bottom w:val="single" w:sz="4" w:space="0" w:color="auto"/>
              <w:right w:val="single" w:sz="4" w:space="0" w:color="auto"/>
            </w:tcBorders>
            <w:shd w:val="clear" w:color="auto" w:fill="FFFFFF"/>
            <w:vAlign w:val="center"/>
          </w:tcPr>
          <w:p w:rsidR="000F3525" w:rsidRPr="00562F4D" w:rsidRDefault="000F3525" w:rsidP="009E2B79">
            <w:pPr>
              <w:spacing w:after="0"/>
              <w:ind w:left="426"/>
              <w:jc w:val="right"/>
              <w:rPr>
                <w:color w:val="000000"/>
              </w:rPr>
            </w:pPr>
            <w:r w:rsidRPr="00562F4D">
              <w:rPr>
                <w:color w:val="000000"/>
              </w:rPr>
              <w:t>1</w:t>
            </w:r>
            <w:r w:rsidR="00392CDE">
              <w:rPr>
                <w:color w:val="000000"/>
              </w:rPr>
              <w:t>.</w:t>
            </w:r>
            <w:r w:rsidRPr="00562F4D">
              <w:rPr>
                <w:color w:val="000000"/>
              </w:rPr>
              <w:t>779,75</w:t>
            </w:r>
          </w:p>
        </w:tc>
      </w:tr>
      <w:tr w:rsidR="000F3525" w:rsidRPr="00562F4D" w:rsidTr="00392CDE">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07-0035</w:t>
            </w:r>
          </w:p>
        </w:tc>
        <w:tc>
          <w:tcPr>
            <w:tcW w:w="1134"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NOVO</w:t>
            </w:r>
          </w:p>
        </w:tc>
        <w:tc>
          <w:tcPr>
            <w:tcW w:w="3545"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3. razvojna os; CE</w:t>
            </w:r>
            <w:r w:rsidRPr="00562F4D">
              <w:rPr>
                <w:b/>
              </w:rPr>
              <w:t xml:space="preserve">– </w:t>
            </w:r>
            <w:r w:rsidRPr="00562F4D">
              <w:rPr>
                <w:color w:val="000000"/>
              </w:rPr>
              <w:t>NM</w:t>
            </w:r>
          </w:p>
        </w:tc>
        <w:tc>
          <w:tcPr>
            <w:tcW w:w="1843" w:type="dxa"/>
            <w:tcBorders>
              <w:top w:val="nil"/>
              <w:left w:val="nil"/>
              <w:bottom w:val="single" w:sz="4" w:space="0" w:color="auto"/>
              <w:right w:val="single" w:sz="4" w:space="0" w:color="auto"/>
            </w:tcBorders>
            <w:shd w:val="clear" w:color="auto" w:fill="FFFFFF"/>
            <w:vAlign w:val="center"/>
          </w:tcPr>
          <w:p w:rsidR="000F3525" w:rsidRPr="00562F4D" w:rsidRDefault="000F3525" w:rsidP="009E2B79">
            <w:pPr>
              <w:spacing w:after="0"/>
              <w:ind w:left="426"/>
              <w:jc w:val="right"/>
              <w:rPr>
                <w:color w:val="000000"/>
              </w:rPr>
            </w:pPr>
            <w:r w:rsidRPr="00562F4D">
              <w:rPr>
                <w:color w:val="000000"/>
              </w:rPr>
              <w:t>42</w:t>
            </w:r>
            <w:r w:rsidR="00392CDE">
              <w:rPr>
                <w:color w:val="000000"/>
              </w:rPr>
              <w:t>.</w:t>
            </w:r>
            <w:r w:rsidRPr="00562F4D">
              <w:rPr>
                <w:color w:val="000000"/>
              </w:rPr>
              <w:t>331,93</w:t>
            </w:r>
          </w:p>
          <w:p w:rsidR="000F3525" w:rsidRPr="00562F4D" w:rsidRDefault="000F3525" w:rsidP="009E2B79">
            <w:pPr>
              <w:spacing w:after="0"/>
              <w:ind w:left="426"/>
              <w:jc w:val="right"/>
              <w:rPr>
                <w:color w:val="000000"/>
              </w:rPr>
            </w:pPr>
          </w:p>
        </w:tc>
      </w:tr>
      <w:tr w:rsidR="000F3525" w:rsidRPr="00562F4D" w:rsidTr="00392CDE">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10-0109</w:t>
            </w:r>
          </w:p>
        </w:tc>
        <w:tc>
          <w:tcPr>
            <w:tcW w:w="1134"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URED</w:t>
            </w:r>
          </w:p>
        </w:tc>
        <w:tc>
          <w:tcPr>
            <w:tcW w:w="3545"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R1-221/1222 Dol pri Hrastniku</w:t>
            </w:r>
          </w:p>
        </w:tc>
        <w:tc>
          <w:tcPr>
            <w:tcW w:w="1843" w:type="dxa"/>
            <w:tcBorders>
              <w:top w:val="nil"/>
              <w:left w:val="nil"/>
              <w:bottom w:val="single" w:sz="4" w:space="0" w:color="auto"/>
              <w:right w:val="single" w:sz="4" w:space="0" w:color="auto"/>
            </w:tcBorders>
            <w:shd w:val="clear" w:color="auto" w:fill="FFFFFF"/>
            <w:vAlign w:val="center"/>
          </w:tcPr>
          <w:p w:rsidR="000F3525" w:rsidRPr="00562F4D" w:rsidRDefault="000F3525" w:rsidP="009E2B79">
            <w:pPr>
              <w:spacing w:after="0"/>
              <w:ind w:left="426"/>
              <w:jc w:val="right"/>
              <w:rPr>
                <w:color w:val="000000"/>
              </w:rPr>
            </w:pPr>
            <w:r w:rsidRPr="00562F4D">
              <w:rPr>
                <w:color w:val="000000"/>
              </w:rPr>
              <w:t>11</w:t>
            </w:r>
            <w:r w:rsidR="00392CDE">
              <w:rPr>
                <w:color w:val="000000"/>
              </w:rPr>
              <w:t>.</w:t>
            </w:r>
            <w:r w:rsidRPr="00562F4D">
              <w:rPr>
                <w:color w:val="000000"/>
              </w:rPr>
              <w:t>133,4</w:t>
            </w:r>
          </w:p>
        </w:tc>
      </w:tr>
      <w:tr w:rsidR="000F3525" w:rsidRPr="00562F4D" w:rsidTr="00392CDE">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lastRenderedPageBreak/>
              <w:t>98-0543</w:t>
            </w:r>
          </w:p>
        </w:tc>
        <w:tc>
          <w:tcPr>
            <w:tcW w:w="1134"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NOVO</w:t>
            </w:r>
          </w:p>
        </w:tc>
        <w:tc>
          <w:tcPr>
            <w:tcW w:w="3545"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Hrastnik– Zidani Most</w:t>
            </w:r>
          </w:p>
        </w:tc>
        <w:tc>
          <w:tcPr>
            <w:tcW w:w="1843" w:type="dxa"/>
            <w:tcBorders>
              <w:top w:val="nil"/>
              <w:left w:val="nil"/>
              <w:bottom w:val="single" w:sz="4" w:space="0" w:color="auto"/>
              <w:right w:val="single" w:sz="4" w:space="0" w:color="auto"/>
            </w:tcBorders>
            <w:shd w:val="clear" w:color="auto" w:fill="FFFFFF"/>
            <w:vAlign w:val="center"/>
          </w:tcPr>
          <w:p w:rsidR="000F3525" w:rsidRPr="00562F4D" w:rsidRDefault="000F3525" w:rsidP="009E2B79">
            <w:pPr>
              <w:spacing w:after="0"/>
              <w:ind w:left="426"/>
              <w:jc w:val="right"/>
              <w:rPr>
                <w:color w:val="000000"/>
              </w:rPr>
            </w:pPr>
            <w:r w:rsidRPr="00562F4D">
              <w:rPr>
                <w:color w:val="000000"/>
              </w:rPr>
              <w:t>27</w:t>
            </w:r>
            <w:r w:rsidR="00392CDE">
              <w:rPr>
                <w:color w:val="000000"/>
              </w:rPr>
              <w:t>.</w:t>
            </w:r>
            <w:r w:rsidRPr="00562F4D">
              <w:rPr>
                <w:color w:val="000000"/>
              </w:rPr>
              <w:t>150,72</w:t>
            </w:r>
          </w:p>
        </w:tc>
      </w:tr>
      <w:tr w:rsidR="000F3525" w:rsidRPr="00562F4D" w:rsidTr="00392CDE">
        <w:trPr>
          <w:trHeight w:val="255"/>
        </w:trPr>
        <w:tc>
          <w:tcPr>
            <w:tcW w:w="1488" w:type="dxa"/>
            <w:tcBorders>
              <w:top w:val="nil"/>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99-0060</w:t>
            </w:r>
          </w:p>
        </w:tc>
        <w:tc>
          <w:tcPr>
            <w:tcW w:w="1134"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r w:rsidRPr="00562F4D">
              <w:rPr>
                <w:color w:val="000000"/>
              </w:rPr>
              <w:t>URED</w:t>
            </w:r>
          </w:p>
        </w:tc>
        <w:tc>
          <w:tcPr>
            <w:tcW w:w="3545" w:type="dxa"/>
            <w:tcBorders>
              <w:top w:val="nil"/>
              <w:left w:val="nil"/>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color w:val="000000"/>
              </w:rPr>
            </w:pPr>
            <w:proofErr w:type="spellStart"/>
            <w:r w:rsidRPr="00562F4D">
              <w:rPr>
                <w:color w:val="000000"/>
              </w:rPr>
              <w:t>Rinaldo</w:t>
            </w:r>
            <w:proofErr w:type="spellEnd"/>
            <w:r w:rsidRPr="00562F4D">
              <w:rPr>
                <w:b/>
              </w:rPr>
              <w:t xml:space="preserve">– </w:t>
            </w:r>
            <w:r w:rsidRPr="00562F4D">
              <w:rPr>
                <w:color w:val="000000"/>
              </w:rPr>
              <w:t>Hrastnik</w:t>
            </w:r>
          </w:p>
        </w:tc>
        <w:tc>
          <w:tcPr>
            <w:tcW w:w="1843" w:type="dxa"/>
            <w:tcBorders>
              <w:top w:val="nil"/>
              <w:left w:val="nil"/>
              <w:bottom w:val="single" w:sz="4" w:space="0" w:color="auto"/>
              <w:right w:val="single" w:sz="4" w:space="0" w:color="auto"/>
            </w:tcBorders>
            <w:shd w:val="clear" w:color="auto" w:fill="FFFFFF"/>
            <w:vAlign w:val="center"/>
          </w:tcPr>
          <w:p w:rsidR="000F3525" w:rsidRPr="00562F4D" w:rsidRDefault="000F3525" w:rsidP="009E2B79">
            <w:pPr>
              <w:spacing w:after="0"/>
              <w:ind w:left="426"/>
              <w:jc w:val="right"/>
              <w:rPr>
                <w:color w:val="000000"/>
              </w:rPr>
            </w:pPr>
            <w:r w:rsidRPr="00562F4D">
              <w:rPr>
                <w:color w:val="000000"/>
              </w:rPr>
              <w:t>26</w:t>
            </w:r>
            <w:r w:rsidR="00392CDE">
              <w:rPr>
                <w:color w:val="000000"/>
              </w:rPr>
              <w:t>.</w:t>
            </w:r>
            <w:r w:rsidRPr="00562F4D">
              <w:rPr>
                <w:color w:val="000000"/>
              </w:rPr>
              <w:t>802,82</w:t>
            </w:r>
          </w:p>
        </w:tc>
      </w:tr>
      <w:tr w:rsidR="000F3525" w:rsidRPr="00562F4D" w:rsidTr="00392CDE">
        <w:trPr>
          <w:trHeight w:val="255"/>
        </w:trPr>
        <w:tc>
          <w:tcPr>
            <w:tcW w:w="6167" w:type="dxa"/>
            <w:gridSpan w:val="3"/>
            <w:tcBorders>
              <w:top w:val="nil"/>
              <w:left w:val="single" w:sz="4" w:space="0" w:color="auto"/>
              <w:bottom w:val="single" w:sz="4" w:space="0" w:color="auto"/>
              <w:right w:val="single" w:sz="4" w:space="0" w:color="auto"/>
            </w:tcBorders>
            <w:shd w:val="clear" w:color="auto" w:fill="FFFFFF"/>
            <w:vAlign w:val="bottom"/>
          </w:tcPr>
          <w:p w:rsidR="000F3525" w:rsidRPr="00562F4D" w:rsidRDefault="000F3525" w:rsidP="009E2B79">
            <w:pPr>
              <w:spacing w:after="0"/>
              <w:ind w:left="426"/>
              <w:jc w:val="both"/>
              <w:rPr>
                <w:b/>
                <w:bCs/>
              </w:rPr>
            </w:pPr>
            <w:r w:rsidRPr="00562F4D">
              <w:rPr>
                <w:b/>
                <w:bCs/>
              </w:rPr>
              <w:t>Skupaj</w:t>
            </w:r>
          </w:p>
        </w:tc>
        <w:tc>
          <w:tcPr>
            <w:tcW w:w="1843" w:type="dxa"/>
            <w:tcBorders>
              <w:top w:val="nil"/>
              <w:left w:val="nil"/>
              <w:bottom w:val="single" w:sz="4" w:space="0" w:color="auto"/>
              <w:right w:val="single" w:sz="4" w:space="0" w:color="auto"/>
            </w:tcBorders>
            <w:shd w:val="clear" w:color="auto" w:fill="FFFFFF"/>
            <w:vAlign w:val="center"/>
          </w:tcPr>
          <w:p w:rsidR="000F3525" w:rsidRPr="00562F4D" w:rsidRDefault="000F3525" w:rsidP="009E2B79">
            <w:pPr>
              <w:spacing w:after="0"/>
              <w:ind w:left="426"/>
              <w:jc w:val="right"/>
              <w:rPr>
                <w:b/>
                <w:bCs/>
              </w:rPr>
            </w:pPr>
            <w:r w:rsidRPr="00562F4D">
              <w:rPr>
                <w:b/>
                <w:bCs/>
              </w:rPr>
              <w:t>109</w:t>
            </w:r>
            <w:r w:rsidR="00392CDE">
              <w:rPr>
                <w:b/>
                <w:bCs/>
              </w:rPr>
              <w:t>.</w:t>
            </w:r>
            <w:r w:rsidRPr="00562F4D">
              <w:rPr>
                <w:b/>
                <w:bCs/>
              </w:rPr>
              <w:t>198,63</w:t>
            </w:r>
          </w:p>
        </w:tc>
      </w:tr>
    </w:tbl>
    <w:p w:rsidR="000F3525" w:rsidRPr="000F396E" w:rsidRDefault="000F3525" w:rsidP="000F3525">
      <w:pPr>
        <w:pStyle w:val="ZADEVA"/>
        <w:spacing w:line="276" w:lineRule="auto"/>
        <w:ind w:left="283" w:firstLine="0"/>
        <w:jc w:val="both"/>
        <w:rPr>
          <w:rFonts w:ascii="Calibri" w:hAnsi="Calibri" w:cs="Arial"/>
          <w:b w:val="0"/>
          <w:color w:val="000000"/>
          <w:sz w:val="18"/>
          <w:szCs w:val="22"/>
          <w:lang w:val="sl-SI" w:eastAsia="sl-SI"/>
        </w:rPr>
      </w:pPr>
      <w:r w:rsidRPr="000F396E">
        <w:rPr>
          <w:rFonts w:ascii="Calibri" w:hAnsi="Calibri" w:cs="Arial"/>
          <w:b w:val="0"/>
          <w:color w:val="000000"/>
          <w:sz w:val="18"/>
          <w:szCs w:val="22"/>
          <w:lang w:val="sl-SI" w:eastAsia="sl-SI"/>
        </w:rPr>
        <w:t>Vir: Direkcija RS za infrastrukturo in Ministrstvo za infrastrukturo</w:t>
      </w:r>
    </w:p>
    <w:p w:rsidR="000F3525" w:rsidRPr="00562F4D" w:rsidRDefault="000F3525" w:rsidP="000F3525">
      <w:pPr>
        <w:pStyle w:val="ZADEVA"/>
        <w:spacing w:line="276" w:lineRule="auto"/>
        <w:ind w:left="283" w:firstLine="0"/>
        <w:jc w:val="both"/>
        <w:rPr>
          <w:rFonts w:ascii="Calibri" w:hAnsi="Calibri" w:cs="Arial"/>
          <w:b w:val="0"/>
          <w:color w:val="000000"/>
          <w:sz w:val="22"/>
          <w:szCs w:val="22"/>
          <w:lang w:val="sl-SI" w:eastAsia="sl-SI"/>
        </w:rPr>
      </w:pPr>
    </w:p>
    <w:p w:rsidR="000F3525" w:rsidRPr="00562F4D" w:rsidRDefault="000F3525" w:rsidP="000F3525">
      <w:pPr>
        <w:rPr>
          <w:rFonts w:cs="Arial"/>
          <w:u w:val="single"/>
        </w:rPr>
      </w:pPr>
      <w:r w:rsidRPr="00562F4D">
        <w:rPr>
          <w:rFonts w:cs="Arial"/>
          <w:b/>
          <w:bCs/>
          <w:u w:val="single"/>
        </w:rPr>
        <w:t>10-0184  </w:t>
      </w:r>
      <w:r w:rsidRPr="00562F4D">
        <w:rPr>
          <w:rFonts w:cs="Arial"/>
          <w:u w:val="single"/>
        </w:rPr>
        <w:t xml:space="preserve"> </w:t>
      </w:r>
    </w:p>
    <w:p w:rsidR="000F3525" w:rsidRPr="00562F4D" w:rsidRDefault="000F3525" w:rsidP="000F3525">
      <w:pPr>
        <w:rPr>
          <w:rFonts w:cs="Arial"/>
          <w:u w:val="single"/>
        </w:rPr>
      </w:pPr>
      <w:r w:rsidRPr="00562F4D">
        <w:rPr>
          <w:rFonts w:cs="Arial"/>
          <w:b/>
          <w:bCs/>
          <w:u w:val="single"/>
        </w:rPr>
        <w:t>REKO Glavna cesta G1-5/0331 Zidani Most</w:t>
      </w:r>
      <w:r w:rsidRPr="00562F4D">
        <w:rPr>
          <w:rFonts w:cs="Arial"/>
          <w:u w:val="single"/>
        </w:rPr>
        <w:t xml:space="preserve">– </w:t>
      </w:r>
      <w:r w:rsidRPr="00562F4D">
        <w:rPr>
          <w:rFonts w:cs="Arial"/>
          <w:b/>
          <w:bCs/>
          <w:u w:val="single"/>
        </w:rPr>
        <w:t>Radeče</w:t>
      </w:r>
      <w:r w:rsidRPr="00562F4D">
        <w:rPr>
          <w:rFonts w:cs="Arial"/>
          <w:u w:val="single"/>
        </w:rPr>
        <w:t xml:space="preserve"> </w:t>
      </w:r>
    </w:p>
    <w:p w:rsidR="000F3525" w:rsidRPr="00562F4D" w:rsidRDefault="000F3525" w:rsidP="000F3525">
      <w:pPr>
        <w:rPr>
          <w:rFonts w:cs="Arial"/>
        </w:rPr>
      </w:pPr>
      <w:r w:rsidRPr="00562F4D">
        <w:rPr>
          <w:rFonts w:cs="Arial"/>
        </w:rPr>
        <w:t xml:space="preserve">Izdelana je Idejna zasnova »Rekonstrukcija glavne ceste G1-5/0331 Zidani most – Radeče od km 0+650 do km 1+880« (datum oktober 2008). Ocenjena vrednost investicije v idejni zasnovi je 5,6 mio EUR in obsega naslednje ukrepe : </w:t>
      </w:r>
    </w:p>
    <w:p w:rsidR="000F3525" w:rsidRPr="00562F4D" w:rsidRDefault="000F3525" w:rsidP="000F3525">
      <w:pPr>
        <w:pStyle w:val="Odstavekseznama"/>
        <w:numPr>
          <w:ilvl w:val="0"/>
          <w:numId w:val="24"/>
        </w:numPr>
        <w:rPr>
          <w:rFonts w:cs="Arial"/>
        </w:rPr>
      </w:pPr>
      <w:r w:rsidRPr="00562F4D">
        <w:rPr>
          <w:rFonts w:cs="Arial"/>
        </w:rPr>
        <w:t>Širitev profila ceste (možnost srečevanja dveh tovornih vozil) – širitev ceste proti Savi</w:t>
      </w:r>
    </w:p>
    <w:p w:rsidR="000F3525" w:rsidRPr="00562F4D" w:rsidRDefault="000F3525" w:rsidP="000F3525">
      <w:pPr>
        <w:pStyle w:val="Odstavekseznama"/>
        <w:numPr>
          <w:ilvl w:val="0"/>
          <w:numId w:val="24"/>
        </w:numPr>
        <w:rPr>
          <w:rFonts w:cs="Arial"/>
        </w:rPr>
      </w:pPr>
      <w:r w:rsidRPr="00562F4D">
        <w:rPr>
          <w:rFonts w:cs="Arial"/>
        </w:rPr>
        <w:t xml:space="preserve">Gradnja približno 750 m dolgega podpornega zidu (pretežno na pilotih) </w:t>
      </w:r>
    </w:p>
    <w:p w:rsidR="000F3525" w:rsidRPr="00562F4D" w:rsidRDefault="000F3525" w:rsidP="000F3525">
      <w:pPr>
        <w:pStyle w:val="Odstavekseznama"/>
        <w:numPr>
          <w:ilvl w:val="0"/>
          <w:numId w:val="24"/>
        </w:numPr>
        <w:rPr>
          <w:rFonts w:cs="Arial"/>
        </w:rPr>
      </w:pPr>
      <w:r w:rsidRPr="00562F4D">
        <w:rPr>
          <w:rFonts w:cs="Arial"/>
        </w:rPr>
        <w:t xml:space="preserve">Rekonstrukcija oziroma novogradnja </w:t>
      </w:r>
      <w:proofErr w:type="spellStart"/>
      <w:r w:rsidRPr="00562F4D">
        <w:rPr>
          <w:rFonts w:cs="Arial"/>
        </w:rPr>
        <w:t>prepustov</w:t>
      </w:r>
      <w:proofErr w:type="spellEnd"/>
      <w:r w:rsidRPr="00562F4D">
        <w:rPr>
          <w:rFonts w:cs="Arial"/>
        </w:rPr>
        <w:t xml:space="preserve"> </w:t>
      </w:r>
    </w:p>
    <w:p w:rsidR="000F3525" w:rsidRPr="00562F4D" w:rsidRDefault="000F3525" w:rsidP="000F3525">
      <w:pPr>
        <w:pStyle w:val="Odstavekseznama"/>
        <w:numPr>
          <w:ilvl w:val="0"/>
          <w:numId w:val="24"/>
        </w:numPr>
        <w:rPr>
          <w:rFonts w:cs="Arial"/>
        </w:rPr>
      </w:pPr>
      <w:r w:rsidRPr="00562F4D">
        <w:rPr>
          <w:rFonts w:cs="Arial"/>
        </w:rPr>
        <w:t xml:space="preserve">Rušitev dveh objektov </w:t>
      </w:r>
    </w:p>
    <w:p w:rsidR="000F3525" w:rsidRPr="00567591" w:rsidRDefault="000F3525" w:rsidP="000F3525">
      <w:pPr>
        <w:pStyle w:val="ZADEVA"/>
        <w:tabs>
          <w:tab w:val="clear" w:pos="1701"/>
          <w:tab w:val="left" w:pos="0"/>
        </w:tabs>
        <w:spacing w:line="276" w:lineRule="auto"/>
        <w:ind w:left="0" w:firstLine="0"/>
        <w:jc w:val="both"/>
        <w:rPr>
          <w:rFonts w:ascii="Calibri" w:hAnsi="Calibri" w:cs="Arial"/>
          <w:b w:val="0"/>
          <w:sz w:val="22"/>
          <w:szCs w:val="22"/>
          <w:lang w:val="sl-SI"/>
        </w:rPr>
      </w:pPr>
      <w:r w:rsidRPr="00567591">
        <w:rPr>
          <w:rFonts w:ascii="Calibri" w:hAnsi="Calibri" w:cs="Arial"/>
          <w:b w:val="0"/>
          <w:sz w:val="22"/>
          <w:szCs w:val="22"/>
          <w:lang w:val="sl-SI"/>
        </w:rPr>
        <w:t xml:space="preserve">V letu 2013 je bila izdelana in potrjena projektne naloga za PZI dokumentacijo. Ker financiranje naročila dokumentacije v letu 2013 in 2014  ni bilo izvedljivo, je za leto 2017 predvidena </w:t>
      </w:r>
      <w:proofErr w:type="spellStart"/>
      <w:r w:rsidRPr="00567591">
        <w:rPr>
          <w:rFonts w:ascii="Calibri" w:hAnsi="Calibri" w:cs="Arial"/>
          <w:b w:val="0"/>
          <w:sz w:val="22"/>
          <w:szCs w:val="22"/>
          <w:lang w:val="sl-SI"/>
        </w:rPr>
        <w:t>novelacija</w:t>
      </w:r>
      <w:proofErr w:type="spellEnd"/>
      <w:r w:rsidRPr="00567591">
        <w:rPr>
          <w:rFonts w:ascii="Calibri" w:hAnsi="Calibri" w:cs="Arial"/>
          <w:b w:val="0"/>
          <w:sz w:val="22"/>
          <w:szCs w:val="22"/>
          <w:lang w:val="sl-SI"/>
        </w:rPr>
        <w:t xml:space="preserve"> projektne naloge in naročilo PZI dokumentacije.  Predvideno dokončanje izdelave projektne dokumentacije je v letu 2018. </w:t>
      </w:r>
    </w:p>
    <w:p w:rsidR="000F3525" w:rsidRPr="00562F4D" w:rsidRDefault="000F3525" w:rsidP="000F3525">
      <w:pPr>
        <w:pStyle w:val="ZADEVA"/>
        <w:spacing w:line="276" w:lineRule="auto"/>
        <w:ind w:left="0" w:firstLine="0"/>
        <w:jc w:val="both"/>
        <w:rPr>
          <w:rFonts w:ascii="Calibri" w:hAnsi="Calibri" w:cs="Arial"/>
          <w:b w:val="0"/>
          <w:color w:val="000000"/>
          <w:sz w:val="22"/>
          <w:szCs w:val="22"/>
          <w:u w:val="single"/>
          <w:lang w:val="sl-SI" w:eastAsia="sl-SI"/>
        </w:rPr>
      </w:pPr>
    </w:p>
    <w:p w:rsidR="000F3525" w:rsidRPr="00562F4D" w:rsidRDefault="000F3525" w:rsidP="000F3525">
      <w:pPr>
        <w:pStyle w:val="ZADEVA"/>
        <w:spacing w:line="276" w:lineRule="auto"/>
        <w:ind w:left="0" w:firstLine="0"/>
        <w:jc w:val="both"/>
        <w:rPr>
          <w:rFonts w:ascii="Calibri" w:hAnsi="Calibri" w:cs="Arial"/>
          <w:color w:val="000000"/>
          <w:sz w:val="22"/>
          <w:szCs w:val="22"/>
          <w:u w:val="single"/>
          <w:lang w:val="sl-SI" w:eastAsia="sl-SI"/>
        </w:rPr>
      </w:pPr>
      <w:r w:rsidRPr="00562F4D">
        <w:rPr>
          <w:rFonts w:ascii="Calibri" w:hAnsi="Calibri" w:cs="Arial"/>
          <w:color w:val="000000"/>
          <w:sz w:val="22"/>
          <w:szCs w:val="22"/>
          <w:u w:val="single"/>
          <w:lang w:val="sl-SI" w:eastAsia="sl-SI"/>
        </w:rPr>
        <w:t xml:space="preserve">07-0035 </w:t>
      </w:r>
    </w:p>
    <w:p w:rsidR="000F3525" w:rsidRPr="00562F4D" w:rsidRDefault="000F3525" w:rsidP="000F3525">
      <w:pPr>
        <w:pStyle w:val="ZADEVA"/>
        <w:spacing w:line="276" w:lineRule="auto"/>
        <w:ind w:left="0" w:firstLine="0"/>
        <w:jc w:val="both"/>
        <w:rPr>
          <w:rFonts w:ascii="Calibri" w:hAnsi="Calibri" w:cs="Arial"/>
          <w:color w:val="000000"/>
          <w:sz w:val="22"/>
          <w:szCs w:val="22"/>
          <w:u w:val="single"/>
          <w:lang w:val="sl-SI" w:eastAsia="sl-SI"/>
        </w:rPr>
      </w:pPr>
      <w:r w:rsidRPr="00562F4D">
        <w:rPr>
          <w:rFonts w:ascii="Calibri" w:hAnsi="Calibri" w:cs="Arial"/>
          <w:color w:val="000000"/>
          <w:sz w:val="22"/>
          <w:szCs w:val="22"/>
          <w:u w:val="single"/>
          <w:lang w:val="sl-SI" w:eastAsia="sl-SI"/>
        </w:rPr>
        <w:t>NOVO 3. razvojna os (srednji del CE</w:t>
      </w:r>
      <w:r w:rsidRPr="00562F4D">
        <w:rPr>
          <w:rFonts w:ascii="Calibri" w:hAnsi="Calibri"/>
          <w:b w:val="0"/>
          <w:sz w:val="22"/>
          <w:szCs w:val="22"/>
        </w:rPr>
        <w:t xml:space="preserve">– </w:t>
      </w:r>
      <w:r w:rsidRPr="00562F4D">
        <w:rPr>
          <w:rFonts w:ascii="Calibri" w:hAnsi="Calibri" w:cs="Arial"/>
          <w:color w:val="000000"/>
          <w:sz w:val="22"/>
          <w:szCs w:val="22"/>
          <w:u w:val="single"/>
          <w:lang w:val="sl-SI" w:eastAsia="sl-SI"/>
        </w:rPr>
        <w:t xml:space="preserve">NM) </w:t>
      </w: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r w:rsidRPr="00562F4D">
        <w:rPr>
          <w:color w:val="000000"/>
          <w:lang w:eastAsia="sl-SI"/>
        </w:rPr>
        <w:t>Do leta 2013 je bilo v projekt vloženih že 1.276.721 EUR sredstev za izdelavo ŠV-PIZ, ki je v zaključni fazi. Zaradi pomanjkanja finančnih sredstev po letu 2013 se aktivnosti še niso nadaljevale.  V letu 2016 je bila izvedena javna razgrnitev ŠV/PIZ po občinah, ki so bile vključene v študijo ter izvedene javne obravnave po občinah, po katerih poteka predlagana varianta (OPNVR). V pripravi so stališča do pripomb.</w:t>
      </w:r>
    </w:p>
    <w:p w:rsidR="000F3525" w:rsidRPr="00562F4D" w:rsidRDefault="000F3525" w:rsidP="000F3525">
      <w:pPr>
        <w:pStyle w:val="ZADEVA"/>
        <w:spacing w:line="276" w:lineRule="auto"/>
        <w:ind w:left="0" w:firstLine="0"/>
        <w:jc w:val="both"/>
        <w:rPr>
          <w:rFonts w:ascii="Calibri" w:hAnsi="Calibri" w:cs="Arial"/>
          <w:b w:val="0"/>
          <w:color w:val="000000"/>
          <w:sz w:val="22"/>
          <w:szCs w:val="22"/>
          <w:u w:val="single"/>
          <w:lang w:val="sl-SI" w:eastAsia="sl-SI"/>
        </w:rPr>
      </w:pPr>
    </w:p>
    <w:p w:rsidR="000F3525" w:rsidRPr="00562F4D" w:rsidRDefault="000F3525" w:rsidP="000F3525">
      <w:pPr>
        <w:pStyle w:val="ZADEVA"/>
        <w:spacing w:line="276" w:lineRule="auto"/>
        <w:ind w:left="0" w:firstLine="0"/>
        <w:jc w:val="both"/>
        <w:rPr>
          <w:rFonts w:ascii="Calibri" w:hAnsi="Calibri" w:cs="Arial"/>
          <w:color w:val="000000"/>
          <w:sz w:val="22"/>
          <w:szCs w:val="22"/>
          <w:u w:val="single"/>
          <w:lang w:val="sl-SI" w:eastAsia="sl-SI"/>
        </w:rPr>
      </w:pPr>
      <w:r w:rsidRPr="00562F4D">
        <w:rPr>
          <w:rFonts w:ascii="Calibri" w:hAnsi="Calibri" w:cs="Arial"/>
          <w:color w:val="000000"/>
          <w:sz w:val="22"/>
          <w:szCs w:val="22"/>
          <w:u w:val="single"/>
          <w:lang w:val="sl-SI" w:eastAsia="sl-SI"/>
        </w:rPr>
        <w:t xml:space="preserve">10-0109 </w:t>
      </w:r>
    </w:p>
    <w:p w:rsidR="000F3525" w:rsidRPr="00562F4D" w:rsidRDefault="000F3525" w:rsidP="000F3525">
      <w:pPr>
        <w:pStyle w:val="ZADEVA"/>
        <w:spacing w:line="276" w:lineRule="auto"/>
        <w:ind w:left="0" w:firstLine="0"/>
        <w:jc w:val="both"/>
        <w:rPr>
          <w:rFonts w:ascii="Calibri" w:hAnsi="Calibri" w:cs="Arial"/>
          <w:color w:val="000000"/>
          <w:sz w:val="22"/>
          <w:szCs w:val="22"/>
          <w:u w:val="single"/>
          <w:lang w:val="sl-SI" w:eastAsia="sl-SI"/>
        </w:rPr>
      </w:pPr>
      <w:r w:rsidRPr="00562F4D">
        <w:rPr>
          <w:rFonts w:ascii="Calibri" w:hAnsi="Calibri" w:cs="Arial"/>
          <w:color w:val="000000"/>
          <w:sz w:val="22"/>
          <w:szCs w:val="22"/>
          <w:u w:val="single"/>
          <w:lang w:val="sl-SI" w:eastAsia="sl-SI"/>
        </w:rPr>
        <w:t>URED  R1</w:t>
      </w:r>
      <w:r w:rsidRPr="00562F4D">
        <w:rPr>
          <w:rFonts w:ascii="Calibri" w:hAnsi="Calibri"/>
          <w:b w:val="0"/>
          <w:sz w:val="22"/>
          <w:szCs w:val="22"/>
        </w:rPr>
        <w:t>–</w:t>
      </w:r>
      <w:r w:rsidRPr="00562F4D">
        <w:rPr>
          <w:rFonts w:ascii="Calibri" w:hAnsi="Calibri" w:cs="Arial"/>
          <w:color w:val="000000"/>
          <w:sz w:val="22"/>
          <w:szCs w:val="22"/>
          <w:u w:val="single"/>
          <w:lang w:val="sl-SI" w:eastAsia="sl-SI"/>
        </w:rPr>
        <w:t>221/1222 Dol pri Hrastniku</w:t>
      </w: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r w:rsidRPr="00562F4D">
        <w:rPr>
          <w:color w:val="000000"/>
          <w:lang w:eastAsia="sl-SI"/>
        </w:rPr>
        <w:t>Do leta 2013 je bilo v projekt vloženih 1.606 evrov. v sodelovanju z občino je bil izdelan DIIP. Zaradi pomanjkanja finančnih sredstev se aktivnosti niso nadaljevale. V letu 2016 je bil naročen idejni projekt ureditve ceste, ki bo zaključen v začetku leta 2017. Po recenziji bomo pristopili k naročilu PZI.</w:t>
      </w:r>
    </w:p>
    <w:p w:rsidR="000F3525" w:rsidRPr="00562F4D" w:rsidRDefault="000F3525" w:rsidP="000F3525">
      <w:pPr>
        <w:pStyle w:val="ZADEVA"/>
        <w:spacing w:line="276" w:lineRule="auto"/>
        <w:ind w:left="0" w:firstLine="0"/>
        <w:jc w:val="both"/>
        <w:rPr>
          <w:rFonts w:ascii="Calibri" w:hAnsi="Calibri" w:cs="Arial"/>
          <w:b w:val="0"/>
          <w:color w:val="000000"/>
          <w:sz w:val="22"/>
          <w:szCs w:val="22"/>
          <w:u w:val="single"/>
          <w:lang w:val="sl-SI" w:eastAsia="sl-SI"/>
        </w:rPr>
      </w:pPr>
    </w:p>
    <w:p w:rsidR="000F3525" w:rsidRPr="00562F4D" w:rsidRDefault="000F3525" w:rsidP="000F3525">
      <w:pPr>
        <w:pStyle w:val="ZADEVA"/>
        <w:spacing w:line="276" w:lineRule="auto"/>
        <w:ind w:left="0" w:firstLine="0"/>
        <w:jc w:val="both"/>
        <w:rPr>
          <w:rFonts w:ascii="Calibri" w:hAnsi="Calibri" w:cs="Arial"/>
          <w:color w:val="000000"/>
          <w:sz w:val="22"/>
          <w:szCs w:val="22"/>
          <w:u w:val="single"/>
          <w:lang w:val="sl-SI" w:eastAsia="sl-SI"/>
        </w:rPr>
      </w:pPr>
      <w:r w:rsidRPr="00562F4D">
        <w:rPr>
          <w:rFonts w:ascii="Calibri" w:hAnsi="Calibri" w:cs="Arial"/>
          <w:color w:val="000000"/>
          <w:sz w:val="22"/>
          <w:szCs w:val="22"/>
          <w:u w:val="single"/>
          <w:lang w:val="sl-SI" w:eastAsia="sl-SI"/>
        </w:rPr>
        <w:t>98-0543 NOVO  Hrastnik</w:t>
      </w:r>
      <w:r w:rsidRPr="00562F4D">
        <w:rPr>
          <w:rFonts w:ascii="Calibri" w:hAnsi="Calibri"/>
          <w:b w:val="0"/>
          <w:sz w:val="22"/>
          <w:szCs w:val="22"/>
        </w:rPr>
        <w:t xml:space="preserve">– </w:t>
      </w:r>
      <w:r w:rsidRPr="00562F4D">
        <w:rPr>
          <w:rFonts w:ascii="Calibri" w:hAnsi="Calibri" w:cs="Arial"/>
          <w:color w:val="000000"/>
          <w:sz w:val="22"/>
          <w:szCs w:val="22"/>
          <w:u w:val="single"/>
          <w:lang w:val="sl-SI" w:eastAsia="sl-SI"/>
        </w:rPr>
        <w:t>Zidani Most</w:t>
      </w: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r w:rsidRPr="00562F4D">
        <w:rPr>
          <w:color w:val="000000"/>
          <w:lang w:eastAsia="sl-SI"/>
        </w:rPr>
        <w:t>Do leta 2013 je bilo na projektu vloženih 2.673.076 EUR. Po izdelani študiji različic je bil izdelan in potrjen državni prostorski načrt z vsemi strokovnimi podlagami. Izdelana in potrjena je bila projektna naloga za izdelavo projektne dokumentacije ter izdelana usklajena sprememba IDP zaradi spremenjene lokacije HE Suhadol. V letu 2016 je bila naročena parcelacija zemljišč in cenitev objektov, predvidenih za rušenje (odkup) ter razpisana izdelava PGD, PZI dokumentacije. Zaradi pritožbe na razpisno dokumentacijo, se odpiranje ponudb ni izvedlo.</w:t>
      </w:r>
    </w:p>
    <w:p w:rsidR="000F3525" w:rsidRPr="00562F4D" w:rsidRDefault="000F3525" w:rsidP="000F3525">
      <w:pPr>
        <w:pStyle w:val="ZADEVA"/>
        <w:spacing w:line="276" w:lineRule="auto"/>
        <w:ind w:left="0"/>
        <w:jc w:val="both"/>
        <w:rPr>
          <w:rFonts w:ascii="Calibri" w:hAnsi="Calibri" w:cs="Arial"/>
          <w:b w:val="0"/>
          <w:color w:val="000000"/>
          <w:sz w:val="22"/>
          <w:szCs w:val="22"/>
          <w:u w:val="single"/>
          <w:lang w:val="sl-SI" w:eastAsia="sl-SI"/>
        </w:rPr>
      </w:pPr>
    </w:p>
    <w:p w:rsidR="000F3525" w:rsidRPr="00562F4D" w:rsidRDefault="000F3525" w:rsidP="000F3525">
      <w:pPr>
        <w:pStyle w:val="ZADEVA"/>
        <w:spacing w:line="276" w:lineRule="auto"/>
        <w:jc w:val="both"/>
        <w:rPr>
          <w:rFonts w:ascii="Calibri" w:hAnsi="Calibri" w:cs="Arial"/>
          <w:color w:val="000000"/>
          <w:sz w:val="22"/>
          <w:szCs w:val="22"/>
          <w:u w:val="single"/>
          <w:lang w:val="sl-SI" w:eastAsia="sl-SI"/>
        </w:rPr>
      </w:pPr>
      <w:r w:rsidRPr="00562F4D">
        <w:rPr>
          <w:rFonts w:ascii="Calibri" w:hAnsi="Calibri" w:cs="Arial"/>
          <w:color w:val="000000"/>
          <w:sz w:val="22"/>
          <w:szCs w:val="22"/>
          <w:u w:val="single"/>
          <w:lang w:val="sl-SI" w:eastAsia="sl-SI"/>
        </w:rPr>
        <w:lastRenderedPageBreak/>
        <w:t xml:space="preserve">99-0060 URED  </w:t>
      </w:r>
      <w:proofErr w:type="spellStart"/>
      <w:r w:rsidRPr="00562F4D">
        <w:rPr>
          <w:rFonts w:ascii="Calibri" w:hAnsi="Calibri" w:cs="Arial"/>
          <w:color w:val="000000"/>
          <w:sz w:val="22"/>
          <w:szCs w:val="22"/>
          <w:u w:val="single"/>
          <w:lang w:val="sl-SI" w:eastAsia="sl-SI"/>
        </w:rPr>
        <w:t>Rinaldo</w:t>
      </w:r>
      <w:proofErr w:type="spellEnd"/>
      <w:r w:rsidRPr="00562F4D">
        <w:rPr>
          <w:rFonts w:ascii="Calibri" w:hAnsi="Calibri"/>
          <w:b w:val="0"/>
          <w:sz w:val="22"/>
          <w:szCs w:val="22"/>
        </w:rPr>
        <w:t xml:space="preserve">– </w:t>
      </w:r>
      <w:r w:rsidRPr="00562F4D">
        <w:rPr>
          <w:rFonts w:ascii="Calibri" w:hAnsi="Calibri" w:cs="Arial"/>
          <w:color w:val="000000"/>
          <w:sz w:val="22"/>
          <w:szCs w:val="22"/>
          <w:u w:val="single"/>
          <w:lang w:val="sl-SI" w:eastAsia="sl-SI"/>
        </w:rPr>
        <w:t>Hrastnik</w:t>
      </w: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r w:rsidRPr="00562F4D">
        <w:rPr>
          <w:color w:val="000000"/>
          <w:lang w:eastAsia="sl-SI"/>
        </w:rPr>
        <w:t xml:space="preserve">Do let   2015 je bilo v projekt vloženih 1.846.713 EUR. Izvedeni sta bili dve etapi rekonstrukcije ceste od treh predvidenih. </w:t>
      </w:r>
      <w:r w:rsidRPr="00562F4D">
        <w:rPr>
          <w:bCs/>
        </w:rPr>
        <w:t>Za zadnjo etapo je bila  v letu 2016 naročena dokumentacija PZI, ki bo v l. 2017 predana v recenzijo. Na osnovi recenzirane dokumentacije bomo pristopili k odkupom zemljišč in razpisu za gradnjo.</w:t>
      </w:r>
    </w:p>
    <w:p w:rsidR="000F3525" w:rsidRPr="00562F4D" w:rsidRDefault="000F3525" w:rsidP="000F3525">
      <w:pPr>
        <w:pStyle w:val="ZADEVA"/>
        <w:spacing w:line="276" w:lineRule="auto"/>
        <w:ind w:left="0" w:firstLine="0"/>
        <w:jc w:val="both"/>
        <w:rPr>
          <w:rFonts w:ascii="Calibri" w:hAnsi="Calibri" w:cs="Arial"/>
          <w:b w:val="0"/>
          <w:color w:val="000000"/>
          <w:sz w:val="22"/>
          <w:szCs w:val="22"/>
          <w:lang w:val="sl-SI" w:eastAsia="sl-SI"/>
        </w:rPr>
      </w:pP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r w:rsidRPr="00562F4D">
        <w:rPr>
          <w:color w:val="000000"/>
          <w:lang w:eastAsia="sl-SI"/>
        </w:rPr>
        <w:t>Ukrepi na cestnem omrežju  so bili v letu 2016 financirani iz proračunske postavke 995810 Državno cestno omrežje – namenski vir, v znesku 109.199 EUR.</w:t>
      </w: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p>
    <w:p w:rsidR="000F3525" w:rsidRPr="00562F4D" w:rsidRDefault="000F3525" w:rsidP="000F3525">
      <w:pPr>
        <w:tabs>
          <w:tab w:val="left" w:pos="283"/>
        </w:tabs>
        <w:autoSpaceDE w:val="0"/>
        <w:autoSpaceDN w:val="0"/>
        <w:adjustRightInd w:val="0"/>
        <w:spacing w:after="0"/>
        <w:jc w:val="both"/>
        <w:textAlignment w:val="center"/>
        <w:rPr>
          <w:color w:val="000000"/>
          <w:lang w:eastAsia="sl-SI"/>
        </w:rPr>
      </w:pPr>
      <w:r w:rsidRPr="00562F4D">
        <w:rPr>
          <w:color w:val="000000"/>
          <w:lang w:eastAsia="sl-SI"/>
        </w:rPr>
        <w:t>Dodatni začasni ukrepi na območju izvajanja programa Hrastnik, Radeče, Trbovlje so na cestnem omrežju predvideni s sledečimi ukrepi:</w:t>
      </w:r>
    </w:p>
    <w:p w:rsidR="000F3525" w:rsidRPr="00562F4D" w:rsidRDefault="000F3525" w:rsidP="000F3525">
      <w:pPr>
        <w:tabs>
          <w:tab w:val="left" w:pos="283"/>
          <w:tab w:val="left" w:pos="855"/>
        </w:tabs>
        <w:autoSpaceDE w:val="0"/>
        <w:autoSpaceDN w:val="0"/>
        <w:adjustRightInd w:val="0"/>
        <w:spacing w:after="0"/>
        <w:ind w:left="426"/>
        <w:jc w:val="both"/>
        <w:textAlignment w:val="center"/>
        <w:rPr>
          <w:color w:val="000000"/>
          <w:lang w:eastAsia="sl-SI"/>
        </w:rPr>
      </w:pPr>
    </w:p>
    <w:p w:rsidR="000F3525" w:rsidRPr="00562F4D" w:rsidRDefault="000F3525" w:rsidP="000F3525">
      <w:pPr>
        <w:tabs>
          <w:tab w:val="left" w:pos="283"/>
          <w:tab w:val="left" w:pos="855"/>
        </w:tabs>
        <w:autoSpaceDE w:val="0"/>
        <w:autoSpaceDN w:val="0"/>
        <w:adjustRightInd w:val="0"/>
        <w:spacing w:after="0"/>
        <w:ind w:left="426"/>
        <w:jc w:val="both"/>
        <w:textAlignment w:val="center"/>
        <w:rPr>
          <w:color w:val="000000"/>
          <w:lang w:eastAsia="sl-SI"/>
        </w:rPr>
      </w:pPr>
    </w:p>
    <w:p w:rsidR="000F3525" w:rsidRPr="00562F4D" w:rsidRDefault="00BE7BBA" w:rsidP="00BE7BBA">
      <w:pPr>
        <w:pStyle w:val="Napis"/>
        <w:rPr>
          <w:szCs w:val="22"/>
        </w:rPr>
      </w:pPr>
      <w:r>
        <w:t xml:space="preserve">Tabela </w:t>
      </w:r>
      <w:fldSimple w:instr=" SEQ Tabela \* ARABIC ">
        <w:r w:rsidR="003218B5">
          <w:rPr>
            <w:noProof/>
          </w:rPr>
          <w:t>17</w:t>
        </w:r>
      </w:fldSimple>
      <w:r w:rsidR="000F3525" w:rsidRPr="00562F4D">
        <w:rPr>
          <w:szCs w:val="22"/>
        </w:rPr>
        <w:t>: Dinamika sredstev za cestni promet v proračunu RS v obdobju 2016– 2020, v evrih</w:t>
      </w:r>
    </w:p>
    <w:tbl>
      <w:tblPr>
        <w:tblW w:w="94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2268"/>
        <w:gridCol w:w="1134"/>
        <w:gridCol w:w="993"/>
        <w:gridCol w:w="992"/>
        <w:gridCol w:w="1134"/>
        <w:gridCol w:w="1559"/>
        <w:gridCol w:w="1418"/>
      </w:tblGrid>
      <w:tr w:rsidR="000F3525" w:rsidRPr="00562F4D" w:rsidTr="009E2B79">
        <w:trPr>
          <w:trHeight w:val="20"/>
        </w:trPr>
        <w:tc>
          <w:tcPr>
            <w:tcW w:w="2268" w:type="dxa"/>
            <w:tcBorders>
              <w:bottom w:val="single" w:sz="12" w:space="0" w:color="000000"/>
              <w:tl2br w:val="single" w:sz="6" w:space="0" w:color="000000"/>
            </w:tcBorders>
            <w:shd w:val="clear" w:color="auto" w:fill="D9D9D9"/>
            <w:vAlign w:val="center"/>
            <w:hideMark/>
          </w:tcPr>
          <w:p w:rsidR="000F3525" w:rsidRPr="00562F4D" w:rsidRDefault="000F3525" w:rsidP="009E2B79">
            <w:pPr>
              <w:spacing w:after="0"/>
              <w:ind w:left="426"/>
              <w:jc w:val="center"/>
              <w:rPr>
                <w:b/>
                <w:bCs/>
                <w:sz w:val="18"/>
              </w:rPr>
            </w:pPr>
            <w:r w:rsidRPr="00562F4D">
              <w:rPr>
                <w:b/>
                <w:bCs/>
                <w:sz w:val="18"/>
              </w:rPr>
              <w:t>Leto</w:t>
            </w:r>
          </w:p>
          <w:p w:rsidR="000F3525" w:rsidRPr="00562F4D" w:rsidRDefault="000F3525" w:rsidP="009E2B79">
            <w:pPr>
              <w:spacing w:after="0"/>
              <w:ind w:left="426"/>
              <w:rPr>
                <w:b/>
                <w:bCs/>
                <w:sz w:val="18"/>
              </w:rPr>
            </w:pPr>
          </w:p>
          <w:p w:rsidR="000F3525" w:rsidRPr="00562F4D" w:rsidRDefault="000F3525" w:rsidP="009E2B79">
            <w:pPr>
              <w:spacing w:after="0"/>
              <w:rPr>
                <w:b/>
                <w:bCs/>
                <w:sz w:val="18"/>
              </w:rPr>
            </w:pPr>
            <w:r w:rsidRPr="00562F4D">
              <w:rPr>
                <w:b/>
                <w:bCs/>
                <w:sz w:val="18"/>
              </w:rPr>
              <w:t xml:space="preserve">Naziv in </w:t>
            </w:r>
          </w:p>
          <w:p w:rsidR="000F3525" w:rsidRPr="00562F4D" w:rsidRDefault="000F3525" w:rsidP="009E2B79">
            <w:pPr>
              <w:spacing w:after="0"/>
              <w:rPr>
                <w:b/>
                <w:bCs/>
                <w:sz w:val="18"/>
              </w:rPr>
            </w:pPr>
            <w:r w:rsidRPr="00562F4D">
              <w:rPr>
                <w:b/>
                <w:bCs/>
                <w:sz w:val="18"/>
              </w:rPr>
              <w:t>šifra projekta</w:t>
            </w:r>
          </w:p>
        </w:tc>
        <w:tc>
          <w:tcPr>
            <w:tcW w:w="1134" w:type="dxa"/>
            <w:tcBorders>
              <w:bottom w:val="single" w:sz="12" w:space="0" w:color="000000"/>
            </w:tcBorders>
            <w:shd w:val="clear" w:color="auto" w:fill="D9D9D9"/>
            <w:vAlign w:val="center"/>
          </w:tcPr>
          <w:p w:rsidR="000F3525" w:rsidRPr="00562F4D" w:rsidRDefault="000F3525" w:rsidP="009E2B79">
            <w:pPr>
              <w:spacing w:after="0"/>
              <w:ind w:left="-12"/>
              <w:jc w:val="center"/>
              <w:rPr>
                <w:b/>
                <w:bCs/>
                <w:sz w:val="18"/>
              </w:rPr>
            </w:pPr>
          </w:p>
        </w:tc>
        <w:tc>
          <w:tcPr>
            <w:tcW w:w="993" w:type="dxa"/>
            <w:tcBorders>
              <w:bottom w:val="single" w:sz="12" w:space="0" w:color="000000"/>
            </w:tcBorders>
            <w:shd w:val="clear" w:color="auto" w:fill="D9D9D9"/>
            <w:vAlign w:val="center"/>
            <w:hideMark/>
          </w:tcPr>
          <w:p w:rsidR="000F3525" w:rsidRPr="00562F4D" w:rsidRDefault="000F3525" w:rsidP="009E2B79">
            <w:pPr>
              <w:spacing w:after="0"/>
              <w:ind w:left="-12"/>
              <w:jc w:val="center"/>
              <w:rPr>
                <w:b/>
                <w:bCs/>
                <w:sz w:val="18"/>
              </w:rPr>
            </w:pPr>
            <w:r w:rsidRPr="00562F4D">
              <w:rPr>
                <w:b/>
                <w:bCs/>
                <w:sz w:val="18"/>
              </w:rPr>
              <w:t>2017</w:t>
            </w:r>
          </w:p>
        </w:tc>
        <w:tc>
          <w:tcPr>
            <w:tcW w:w="992" w:type="dxa"/>
            <w:tcBorders>
              <w:bottom w:val="single" w:sz="12" w:space="0" w:color="000000"/>
            </w:tcBorders>
            <w:shd w:val="clear" w:color="auto" w:fill="D9D9D9"/>
            <w:vAlign w:val="center"/>
            <w:hideMark/>
          </w:tcPr>
          <w:p w:rsidR="000F3525" w:rsidRPr="00562F4D" w:rsidRDefault="000F3525" w:rsidP="009E2B79">
            <w:pPr>
              <w:spacing w:after="0"/>
              <w:ind w:left="-12"/>
              <w:jc w:val="center"/>
              <w:rPr>
                <w:b/>
                <w:bCs/>
                <w:sz w:val="18"/>
              </w:rPr>
            </w:pPr>
            <w:r w:rsidRPr="00562F4D">
              <w:rPr>
                <w:b/>
                <w:bCs/>
                <w:sz w:val="18"/>
              </w:rPr>
              <w:t>2018</w:t>
            </w:r>
          </w:p>
        </w:tc>
        <w:tc>
          <w:tcPr>
            <w:tcW w:w="1134" w:type="dxa"/>
            <w:tcBorders>
              <w:bottom w:val="single" w:sz="12" w:space="0" w:color="000000"/>
            </w:tcBorders>
            <w:shd w:val="clear" w:color="auto" w:fill="D9D9D9"/>
            <w:vAlign w:val="center"/>
            <w:hideMark/>
          </w:tcPr>
          <w:p w:rsidR="000F3525" w:rsidRPr="00562F4D" w:rsidRDefault="000F3525" w:rsidP="009E2B79">
            <w:pPr>
              <w:spacing w:after="0"/>
              <w:ind w:left="-12"/>
              <w:jc w:val="center"/>
              <w:rPr>
                <w:b/>
                <w:bCs/>
                <w:sz w:val="18"/>
              </w:rPr>
            </w:pPr>
            <w:r w:rsidRPr="00562F4D">
              <w:rPr>
                <w:b/>
                <w:bCs/>
                <w:sz w:val="18"/>
              </w:rPr>
              <w:t>2019</w:t>
            </w:r>
          </w:p>
        </w:tc>
        <w:tc>
          <w:tcPr>
            <w:tcW w:w="1559" w:type="dxa"/>
            <w:tcBorders>
              <w:bottom w:val="single" w:sz="12" w:space="0" w:color="000000"/>
            </w:tcBorders>
            <w:shd w:val="clear" w:color="auto" w:fill="D9D9D9"/>
            <w:vAlign w:val="center"/>
            <w:hideMark/>
          </w:tcPr>
          <w:p w:rsidR="000F3525" w:rsidRPr="00562F4D" w:rsidRDefault="000F3525" w:rsidP="009E2B79">
            <w:pPr>
              <w:spacing w:after="0"/>
              <w:ind w:left="-12"/>
              <w:jc w:val="center"/>
              <w:rPr>
                <w:b/>
                <w:bCs/>
                <w:sz w:val="18"/>
              </w:rPr>
            </w:pPr>
            <w:r w:rsidRPr="00562F4D">
              <w:rPr>
                <w:b/>
                <w:bCs/>
                <w:sz w:val="18"/>
              </w:rPr>
              <w:t>Po letu 2019</w:t>
            </w:r>
          </w:p>
        </w:tc>
        <w:tc>
          <w:tcPr>
            <w:tcW w:w="1418" w:type="dxa"/>
            <w:tcBorders>
              <w:bottom w:val="single" w:sz="12" w:space="0" w:color="000000"/>
            </w:tcBorders>
            <w:shd w:val="clear" w:color="auto" w:fill="D9D9D9"/>
            <w:vAlign w:val="center"/>
            <w:hideMark/>
          </w:tcPr>
          <w:p w:rsidR="000F3525" w:rsidRPr="00562F4D" w:rsidRDefault="000F3525" w:rsidP="009E2B79">
            <w:pPr>
              <w:spacing w:after="0"/>
              <w:ind w:left="-12"/>
              <w:jc w:val="center"/>
              <w:rPr>
                <w:b/>
                <w:bCs/>
                <w:sz w:val="18"/>
              </w:rPr>
            </w:pPr>
            <w:r w:rsidRPr="00562F4D">
              <w:rPr>
                <w:b/>
                <w:bCs/>
                <w:sz w:val="18"/>
              </w:rPr>
              <w:t>SKUPAJ</w:t>
            </w:r>
          </w:p>
        </w:tc>
      </w:tr>
      <w:tr w:rsidR="000F3525" w:rsidRPr="00562F4D" w:rsidTr="009E2B79">
        <w:trPr>
          <w:trHeight w:val="20"/>
        </w:trPr>
        <w:tc>
          <w:tcPr>
            <w:tcW w:w="2268" w:type="dxa"/>
            <w:shd w:val="clear" w:color="auto" w:fill="auto"/>
          </w:tcPr>
          <w:p w:rsidR="000F3525" w:rsidRPr="00562F4D" w:rsidRDefault="000F3525" w:rsidP="009E2B79">
            <w:pPr>
              <w:spacing w:after="0"/>
              <w:ind w:left="142"/>
              <w:rPr>
                <w:rFonts w:eastAsia="Arial"/>
                <w:sz w:val="18"/>
              </w:rPr>
            </w:pPr>
            <w:r w:rsidRPr="00562F4D">
              <w:rPr>
                <w:rFonts w:eastAsia="Arial"/>
                <w:sz w:val="18"/>
              </w:rPr>
              <w:t>10-0184 REKO Glavna cesta G1-5/0331 Zidani most - Radeče</w:t>
            </w:r>
          </w:p>
        </w:tc>
        <w:tc>
          <w:tcPr>
            <w:tcW w:w="1134" w:type="dxa"/>
            <w:shd w:val="clear" w:color="auto" w:fill="auto"/>
          </w:tcPr>
          <w:p w:rsidR="000F3525" w:rsidRPr="00562F4D" w:rsidRDefault="000F3525" w:rsidP="009E2B79">
            <w:pPr>
              <w:spacing w:after="0"/>
              <w:ind w:left="-12"/>
              <w:jc w:val="center"/>
              <w:rPr>
                <w:bCs/>
                <w:sz w:val="18"/>
              </w:rPr>
            </w:pPr>
          </w:p>
        </w:tc>
        <w:tc>
          <w:tcPr>
            <w:tcW w:w="993" w:type="dxa"/>
            <w:shd w:val="clear" w:color="auto" w:fill="auto"/>
          </w:tcPr>
          <w:p w:rsidR="000F3525" w:rsidRPr="00562F4D" w:rsidRDefault="000F3525" w:rsidP="009E2B79">
            <w:pPr>
              <w:spacing w:after="0"/>
              <w:ind w:left="-12"/>
              <w:jc w:val="center"/>
              <w:rPr>
                <w:bCs/>
                <w:sz w:val="18"/>
              </w:rPr>
            </w:pPr>
            <w:r w:rsidRPr="00562F4D">
              <w:rPr>
                <w:bCs/>
                <w:sz w:val="18"/>
              </w:rPr>
              <w:t>39.150</w:t>
            </w:r>
          </w:p>
        </w:tc>
        <w:tc>
          <w:tcPr>
            <w:tcW w:w="992" w:type="dxa"/>
            <w:shd w:val="clear" w:color="auto" w:fill="auto"/>
          </w:tcPr>
          <w:p w:rsidR="000F3525" w:rsidRPr="00562F4D" w:rsidRDefault="000F3525" w:rsidP="009E2B79">
            <w:pPr>
              <w:spacing w:after="0"/>
              <w:ind w:left="-12"/>
              <w:jc w:val="center"/>
              <w:rPr>
                <w:bCs/>
                <w:sz w:val="18"/>
              </w:rPr>
            </w:pPr>
            <w:r w:rsidRPr="00562F4D">
              <w:rPr>
                <w:bCs/>
                <w:sz w:val="18"/>
              </w:rPr>
              <w:t>30.000</w:t>
            </w:r>
          </w:p>
        </w:tc>
        <w:tc>
          <w:tcPr>
            <w:tcW w:w="1134" w:type="dxa"/>
            <w:shd w:val="clear" w:color="auto" w:fill="auto"/>
          </w:tcPr>
          <w:p w:rsidR="000F3525" w:rsidRPr="00562F4D" w:rsidRDefault="000F3525" w:rsidP="009E2B79">
            <w:pPr>
              <w:spacing w:after="0"/>
              <w:ind w:left="-12"/>
              <w:jc w:val="center"/>
              <w:rPr>
                <w:bCs/>
                <w:sz w:val="18"/>
              </w:rPr>
            </w:pPr>
            <w:r w:rsidRPr="00562F4D">
              <w:rPr>
                <w:bCs/>
                <w:sz w:val="18"/>
              </w:rPr>
              <w:t>0</w:t>
            </w:r>
          </w:p>
        </w:tc>
        <w:tc>
          <w:tcPr>
            <w:tcW w:w="1559" w:type="dxa"/>
            <w:shd w:val="clear" w:color="auto" w:fill="auto"/>
          </w:tcPr>
          <w:p w:rsidR="000F3525" w:rsidRPr="00562F4D" w:rsidRDefault="000F3525" w:rsidP="009E2B79">
            <w:pPr>
              <w:spacing w:after="0"/>
              <w:ind w:left="-12"/>
              <w:jc w:val="center"/>
              <w:rPr>
                <w:bCs/>
                <w:sz w:val="18"/>
              </w:rPr>
            </w:pPr>
            <w:r w:rsidRPr="00562F4D">
              <w:rPr>
                <w:bCs/>
                <w:sz w:val="18"/>
              </w:rPr>
              <w:t>5.500.000</w:t>
            </w:r>
          </w:p>
        </w:tc>
        <w:tc>
          <w:tcPr>
            <w:tcW w:w="1418" w:type="dxa"/>
            <w:shd w:val="clear" w:color="auto" w:fill="auto"/>
          </w:tcPr>
          <w:p w:rsidR="000F3525" w:rsidRPr="00562F4D" w:rsidRDefault="000F3525" w:rsidP="009E2B79">
            <w:pPr>
              <w:spacing w:after="0"/>
              <w:ind w:left="-12"/>
              <w:jc w:val="right"/>
              <w:rPr>
                <w:bCs/>
                <w:sz w:val="18"/>
              </w:rPr>
            </w:pPr>
            <w:r w:rsidRPr="00562F4D">
              <w:rPr>
                <w:bCs/>
                <w:sz w:val="18"/>
              </w:rPr>
              <w:t>5.502.566</w:t>
            </w:r>
          </w:p>
        </w:tc>
      </w:tr>
      <w:tr w:rsidR="000F3525" w:rsidRPr="00562F4D" w:rsidTr="009E2B79">
        <w:trPr>
          <w:trHeight w:val="20"/>
        </w:trPr>
        <w:tc>
          <w:tcPr>
            <w:tcW w:w="2268" w:type="dxa"/>
            <w:shd w:val="clear" w:color="auto" w:fill="auto"/>
          </w:tcPr>
          <w:p w:rsidR="000F3525" w:rsidRPr="00562F4D" w:rsidRDefault="000F3525" w:rsidP="009E2B79">
            <w:pPr>
              <w:spacing w:after="0"/>
              <w:ind w:left="142"/>
              <w:rPr>
                <w:sz w:val="18"/>
              </w:rPr>
            </w:pPr>
            <w:r w:rsidRPr="00562F4D">
              <w:rPr>
                <w:sz w:val="18"/>
              </w:rPr>
              <w:t>07-0035 NOVO 3. razvojna os; CE - NM</w:t>
            </w:r>
          </w:p>
        </w:tc>
        <w:tc>
          <w:tcPr>
            <w:tcW w:w="1134" w:type="dxa"/>
            <w:shd w:val="clear" w:color="auto" w:fill="auto"/>
          </w:tcPr>
          <w:p w:rsidR="000F3525" w:rsidRPr="00562F4D" w:rsidRDefault="000F3525" w:rsidP="009E2B79">
            <w:pPr>
              <w:spacing w:after="0"/>
              <w:ind w:left="-12"/>
              <w:jc w:val="center"/>
              <w:rPr>
                <w:bCs/>
                <w:sz w:val="18"/>
              </w:rPr>
            </w:pPr>
          </w:p>
        </w:tc>
        <w:tc>
          <w:tcPr>
            <w:tcW w:w="993" w:type="dxa"/>
            <w:shd w:val="clear" w:color="auto" w:fill="auto"/>
          </w:tcPr>
          <w:p w:rsidR="000F3525" w:rsidRPr="00562F4D" w:rsidRDefault="000F3525" w:rsidP="009E2B79">
            <w:pPr>
              <w:spacing w:after="0"/>
              <w:ind w:left="-12"/>
              <w:jc w:val="center"/>
              <w:rPr>
                <w:bCs/>
                <w:sz w:val="18"/>
              </w:rPr>
            </w:pPr>
            <w:r w:rsidRPr="00562F4D">
              <w:rPr>
                <w:bCs/>
                <w:sz w:val="18"/>
              </w:rPr>
              <w:t>16.000</w:t>
            </w:r>
          </w:p>
        </w:tc>
        <w:tc>
          <w:tcPr>
            <w:tcW w:w="992" w:type="dxa"/>
            <w:shd w:val="clear" w:color="auto" w:fill="auto"/>
          </w:tcPr>
          <w:p w:rsidR="000F3525" w:rsidRPr="00562F4D" w:rsidRDefault="000F3525" w:rsidP="009E2B79">
            <w:pPr>
              <w:spacing w:after="0"/>
              <w:ind w:left="-12"/>
              <w:jc w:val="center"/>
              <w:rPr>
                <w:bCs/>
                <w:sz w:val="18"/>
              </w:rPr>
            </w:pPr>
            <w:r w:rsidRPr="00562F4D">
              <w:rPr>
                <w:bCs/>
                <w:sz w:val="18"/>
              </w:rPr>
              <w:t>0</w:t>
            </w:r>
          </w:p>
        </w:tc>
        <w:tc>
          <w:tcPr>
            <w:tcW w:w="1134" w:type="dxa"/>
            <w:shd w:val="clear" w:color="auto" w:fill="auto"/>
          </w:tcPr>
          <w:p w:rsidR="000F3525" w:rsidRPr="00562F4D" w:rsidRDefault="000F3525" w:rsidP="009E2B79">
            <w:pPr>
              <w:spacing w:after="0"/>
              <w:ind w:left="-12"/>
              <w:jc w:val="center"/>
              <w:rPr>
                <w:bCs/>
                <w:sz w:val="18"/>
              </w:rPr>
            </w:pPr>
            <w:r w:rsidRPr="00562F4D">
              <w:rPr>
                <w:bCs/>
                <w:sz w:val="18"/>
              </w:rPr>
              <w:t>500.000</w:t>
            </w:r>
          </w:p>
        </w:tc>
        <w:tc>
          <w:tcPr>
            <w:tcW w:w="1559" w:type="dxa"/>
            <w:shd w:val="clear" w:color="auto" w:fill="auto"/>
          </w:tcPr>
          <w:p w:rsidR="000F3525" w:rsidRPr="00562F4D" w:rsidRDefault="000F3525" w:rsidP="009E2B79">
            <w:pPr>
              <w:spacing w:after="0"/>
              <w:ind w:left="-12"/>
              <w:jc w:val="center"/>
              <w:rPr>
                <w:bCs/>
                <w:sz w:val="18"/>
              </w:rPr>
            </w:pPr>
            <w:r w:rsidRPr="00562F4D">
              <w:rPr>
                <w:bCs/>
                <w:sz w:val="18"/>
              </w:rPr>
              <w:t>130.000.000</w:t>
            </w:r>
          </w:p>
        </w:tc>
        <w:tc>
          <w:tcPr>
            <w:tcW w:w="1418" w:type="dxa"/>
            <w:shd w:val="clear" w:color="auto" w:fill="auto"/>
          </w:tcPr>
          <w:p w:rsidR="000F3525" w:rsidRPr="00562F4D" w:rsidRDefault="000F3525" w:rsidP="009E2B79">
            <w:pPr>
              <w:spacing w:after="0"/>
              <w:ind w:left="-12"/>
              <w:jc w:val="right"/>
              <w:rPr>
                <w:bCs/>
                <w:sz w:val="18"/>
              </w:rPr>
            </w:pPr>
            <w:r w:rsidRPr="00562F4D">
              <w:rPr>
                <w:bCs/>
                <w:sz w:val="18"/>
              </w:rPr>
              <w:t>130.917.892</w:t>
            </w:r>
          </w:p>
        </w:tc>
      </w:tr>
      <w:tr w:rsidR="000F3525" w:rsidRPr="00562F4D" w:rsidTr="009E2B79">
        <w:trPr>
          <w:trHeight w:val="20"/>
        </w:trPr>
        <w:tc>
          <w:tcPr>
            <w:tcW w:w="2268" w:type="dxa"/>
            <w:shd w:val="clear" w:color="auto" w:fill="auto"/>
          </w:tcPr>
          <w:p w:rsidR="000F3525" w:rsidRPr="00562F4D" w:rsidRDefault="000F3525" w:rsidP="009E2B79">
            <w:pPr>
              <w:spacing w:after="0"/>
              <w:ind w:left="142"/>
              <w:rPr>
                <w:sz w:val="18"/>
              </w:rPr>
            </w:pPr>
            <w:r w:rsidRPr="00562F4D">
              <w:rPr>
                <w:sz w:val="18"/>
              </w:rPr>
              <w:t>10-0109 URED R1-221/1222 Dol pri Hrastniku</w:t>
            </w:r>
          </w:p>
        </w:tc>
        <w:tc>
          <w:tcPr>
            <w:tcW w:w="1134" w:type="dxa"/>
            <w:shd w:val="clear" w:color="auto" w:fill="auto"/>
          </w:tcPr>
          <w:p w:rsidR="000F3525" w:rsidRPr="00562F4D" w:rsidRDefault="000F3525" w:rsidP="009E2B79">
            <w:pPr>
              <w:spacing w:after="0"/>
              <w:ind w:left="-12"/>
              <w:jc w:val="center"/>
              <w:rPr>
                <w:bCs/>
                <w:sz w:val="18"/>
              </w:rPr>
            </w:pPr>
          </w:p>
        </w:tc>
        <w:tc>
          <w:tcPr>
            <w:tcW w:w="993" w:type="dxa"/>
            <w:shd w:val="clear" w:color="auto" w:fill="auto"/>
          </w:tcPr>
          <w:p w:rsidR="000F3525" w:rsidRPr="00562F4D" w:rsidRDefault="000F3525" w:rsidP="009E2B79">
            <w:pPr>
              <w:spacing w:after="0"/>
              <w:ind w:left="-12"/>
              <w:jc w:val="center"/>
              <w:rPr>
                <w:bCs/>
                <w:sz w:val="18"/>
              </w:rPr>
            </w:pPr>
            <w:r w:rsidRPr="00562F4D">
              <w:rPr>
                <w:bCs/>
                <w:sz w:val="18"/>
              </w:rPr>
              <w:t>200.000</w:t>
            </w:r>
          </w:p>
        </w:tc>
        <w:tc>
          <w:tcPr>
            <w:tcW w:w="992" w:type="dxa"/>
            <w:shd w:val="clear" w:color="auto" w:fill="auto"/>
          </w:tcPr>
          <w:p w:rsidR="000F3525" w:rsidRPr="00562F4D" w:rsidRDefault="000F3525" w:rsidP="009E2B79">
            <w:pPr>
              <w:spacing w:after="0"/>
              <w:ind w:left="-12"/>
              <w:jc w:val="center"/>
              <w:rPr>
                <w:bCs/>
                <w:sz w:val="18"/>
              </w:rPr>
            </w:pPr>
            <w:r w:rsidRPr="00562F4D">
              <w:rPr>
                <w:bCs/>
                <w:sz w:val="18"/>
              </w:rPr>
              <w:t>330.000</w:t>
            </w:r>
          </w:p>
        </w:tc>
        <w:tc>
          <w:tcPr>
            <w:tcW w:w="1134" w:type="dxa"/>
            <w:shd w:val="clear" w:color="auto" w:fill="auto"/>
          </w:tcPr>
          <w:p w:rsidR="000F3525" w:rsidRPr="00562F4D" w:rsidRDefault="000F3525" w:rsidP="009E2B79">
            <w:pPr>
              <w:spacing w:after="0"/>
              <w:ind w:left="-12"/>
              <w:jc w:val="center"/>
              <w:rPr>
                <w:bCs/>
                <w:sz w:val="18"/>
              </w:rPr>
            </w:pPr>
            <w:r w:rsidRPr="00562F4D">
              <w:rPr>
                <w:bCs/>
                <w:sz w:val="18"/>
              </w:rPr>
              <w:t>0</w:t>
            </w:r>
          </w:p>
        </w:tc>
        <w:tc>
          <w:tcPr>
            <w:tcW w:w="1559" w:type="dxa"/>
            <w:shd w:val="clear" w:color="auto" w:fill="auto"/>
          </w:tcPr>
          <w:p w:rsidR="000F3525" w:rsidRPr="00562F4D" w:rsidRDefault="000F3525" w:rsidP="009E2B79">
            <w:pPr>
              <w:spacing w:after="0"/>
              <w:ind w:left="-12"/>
              <w:jc w:val="center"/>
              <w:rPr>
                <w:bCs/>
                <w:sz w:val="18"/>
              </w:rPr>
            </w:pPr>
            <w:r w:rsidRPr="00562F4D">
              <w:rPr>
                <w:bCs/>
                <w:sz w:val="18"/>
              </w:rPr>
              <w:t>1.400.000</w:t>
            </w:r>
          </w:p>
        </w:tc>
        <w:tc>
          <w:tcPr>
            <w:tcW w:w="1418" w:type="dxa"/>
            <w:shd w:val="clear" w:color="auto" w:fill="auto"/>
          </w:tcPr>
          <w:p w:rsidR="000F3525" w:rsidRPr="00562F4D" w:rsidRDefault="000F3525" w:rsidP="009E2B79">
            <w:pPr>
              <w:spacing w:after="0"/>
              <w:ind w:left="-12"/>
              <w:jc w:val="right"/>
              <w:rPr>
                <w:bCs/>
                <w:sz w:val="18"/>
              </w:rPr>
            </w:pPr>
            <w:r w:rsidRPr="00562F4D">
              <w:rPr>
                <w:bCs/>
                <w:sz w:val="18"/>
              </w:rPr>
              <w:t>1.500.000</w:t>
            </w:r>
          </w:p>
        </w:tc>
      </w:tr>
      <w:tr w:rsidR="000F3525" w:rsidRPr="00562F4D" w:rsidTr="009E2B79">
        <w:trPr>
          <w:trHeight w:val="20"/>
        </w:trPr>
        <w:tc>
          <w:tcPr>
            <w:tcW w:w="2268" w:type="dxa"/>
            <w:shd w:val="clear" w:color="auto" w:fill="auto"/>
          </w:tcPr>
          <w:p w:rsidR="000F3525" w:rsidRPr="00562F4D" w:rsidRDefault="000F3525" w:rsidP="009E2B79">
            <w:pPr>
              <w:spacing w:after="0"/>
              <w:ind w:left="142"/>
              <w:rPr>
                <w:sz w:val="18"/>
              </w:rPr>
            </w:pPr>
            <w:r w:rsidRPr="00562F4D">
              <w:rPr>
                <w:sz w:val="18"/>
              </w:rPr>
              <w:t>98-0543 NOVO Hrastnik – Zidani Most</w:t>
            </w:r>
          </w:p>
        </w:tc>
        <w:tc>
          <w:tcPr>
            <w:tcW w:w="1134" w:type="dxa"/>
            <w:shd w:val="clear" w:color="auto" w:fill="auto"/>
          </w:tcPr>
          <w:p w:rsidR="000F3525" w:rsidRPr="00562F4D" w:rsidRDefault="000F3525" w:rsidP="009E2B79">
            <w:pPr>
              <w:spacing w:after="0"/>
              <w:ind w:left="-12"/>
              <w:jc w:val="center"/>
              <w:rPr>
                <w:bCs/>
                <w:sz w:val="18"/>
              </w:rPr>
            </w:pPr>
          </w:p>
        </w:tc>
        <w:tc>
          <w:tcPr>
            <w:tcW w:w="993" w:type="dxa"/>
            <w:shd w:val="clear" w:color="auto" w:fill="auto"/>
          </w:tcPr>
          <w:p w:rsidR="000F3525" w:rsidRPr="00562F4D" w:rsidRDefault="000F3525" w:rsidP="009E2B79">
            <w:pPr>
              <w:spacing w:after="0"/>
              <w:ind w:left="-12"/>
              <w:jc w:val="center"/>
              <w:rPr>
                <w:bCs/>
                <w:sz w:val="18"/>
              </w:rPr>
            </w:pPr>
            <w:r w:rsidRPr="00562F4D">
              <w:rPr>
                <w:bCs/>
                <w:sz w:val="18"/>
              </w:rPr>
              <w:t>550.000</w:t>
            </w:r>
          </w:p>
        </w:tc>
        <w:tc>
          <w:tcPr>
            <w:tcW w:w="992" w:type="dxa"/>
            <w:shd w:val="clear" w:color="auto" w:fill="auto"/>
          </w:tcPr>
          <w:p w:rsidR="000F3525" w:rsidRPr="00562F4D" w:rsidRDefault="000F3525" w:rsidP="009E2B79">
            <w:pPr>
              <w:spacing w:after="0"/>
              <w:ind w:left="-12"/>
              <w:jc w:val="center"/>
              <w:rPr>
                <w:bCs/>
                <w:sz w:val="18"/>
              </w:rPr>
            </w:pPr>
            <w:r w:rsidRPr="00562F4D">
              <w:rPr>
                <w:bCs/>
                <w:sz w:val="18"/>
              </w:rPr>
              <w:t>1.200.000</w:t>
            </w:r>
          </w:p>
        </w:tc>
        <w:tc>
          <w:tcPr>
            <w:tcW w:w="1134" w:type="dxa"/>
            <w:shd w:val="clear" w:color="auto" w:fill="auto"/>
          </w:tcPr>
          <w:p w:rsidR="000F3525" w:rsidRPr="00562F4D" w:rsidRDefault="000F3525" w:rsidP="009E2B79">
            <w:pPr>
              <w:spacing w:after="0"/>
              <w:ind w:left="-12"/>
              <w:jc w:val="center"/>
              <w:rPr>
                <w:bCs/>
                <w:sz w:val="18"/>
              </w:rPr>
            </w:pPr>
            <w:r w:rsidRPr="00562F4D">
              <w:rPr>
                <w:bCs/>
                <w:sz w:val="18"/>
              </w:rPr>
              <w:t>300.000</w:t>
            </w:r>
          </w:p>
        </w:tc>
        <w:tc>
          <w:tcPr>
            <w:tcW w:w="1559" w:type="dxa"/>
            <w:shd w:val="clear" w:color="auto" w:fill="auto"/>
          </w:tcPr>
          <w:p w:rsidR="000F3525" w:rsidRPr="00562F4D" w:rsidRDefault="000F3525" w:rsidP="009E2B79">
            <w:pPr>
              <w:spacing w:after="0"/>
              <w:ind w:left="-12"/>
              <w:jc w:val="center"/>
              <w:rPr>
                <w:bCs/>
                <w:sz w:val="18"/>
              </w:rPr>
            </w:pPr>
            <w:r w:rsidRPr="00562F4D">
              <w:rPr>
                <w:bCs/>
                <w:sz w:val="18"/>
              </w:rPr>
              <w:t>99.500.000</w:t>
            </w:r>
          </w:p>
        </w:tc>
        <w:tc>
          <w:tcPr>
            <w:tcW w:w="1418" w:type="dxa"/>
            <w:shd w:val="clear" w:color="auto" w:fill="auto"/>
          </w:tcPr>
          <w:p w:rsidR="000F3525" w:rsidRPr="00562F4D" w:rsidRDefault="000F3525" w:rsidP="009E2B79">
            <w:pPr>
              <w:spacing w:after="0"/>
              <w:ind w:left="-12"/>
              <w:jc w:val="right"/>
              <w:rPr>
                <w:bCs/>
                <w:sz w:val="18"/>
              </w:rPr>
            </w:pPr>
            <w:r w:rsidRPr="00562F4D">
              <w:rPr>
                <w:bCs/>
                <w:sz w:val="18"/>
              </w:rPr>
              <w:t>99.920.000</w:t>
            </w:r>
          </w:p>
        </w:tc>
      </w:tr>
      <w:tr w:rsidR="000F3525" w:rsidRPr="00562F4D" w:rsidTr="009E2B79">
        <w:trPr>
          <w:trHeight w:val="20"/>
        </w:trPr>
        <w:tc>
          <w:tcPr>
            <w:tcW w:w="2268" w:type="dxa"/>
            <w:tcBorders>
              <w:bottom w:val="single" w:sz="6" w:space="0" w:color="000000"/>
            </w:tcBorders>
            <w:shd w:val="clear" w:color="auto" w:fill="auto"/>
          </w:tcPr>
          <w:p w:rsidR="000F3525" w:rsidRPr="00562F4D" w:rsidRDefault="000F3525" w:rsidP="009E2B79">
            <w:pPr>
              <w:spacing w:after="0"/>
              <w:ind w:left="142"/>
              <w:rPr>
                <w:sz w:val="18"/>
              </w:rPr>
            </w:pPr>
            <w:r w:rsidRPr="00562F4D">
              <w:rPr>
                <w:sz w:val="18"/>
              </w:rPr>
              <w:t xml:space="preserve">99-0060 URED </w:t>
            </w:r>
            <w:proofErr w:type="spellStart"/>
            <w:r w:rsidRPr="00562F4D">
              <w:rPr>
                <w:sz w:val="18"/>
              </w:rPr>
              <w:t>Rinaldo</w:t>
            </w:r>
            <w:proofErr w:type="spellEnd"/>
            <w:r w:rsidRPr="00562F4D">
              <w:rPr>
                <w:sz w:val="18"/>
              </w:rPr>
              <w:t xml:space="preserve"> - Hrastnik</w:t>
            </w:r>
          </w:p>
        </w:tc>
        <w:tc>
          <w:tcPr>
            <w:tcW w:w="1134" w:type="dxa"/>
            <w:tcBorders>
              <w:bottom w:val="single" w:sz="6" w:space="0" w:color="000000"/>
            </w:tcBorders>
            <w:shd w:val="clear" w:color="auto" w:fill="auto"/>
          </w:tcPr>
          <w:p w:rsidR="000F3525" w:rsidRPr="00562F4D" w:rsidRDefault="000F3525" w:rsidP="009E2B79">
            <w:pPr>
              <w:spacing w:after="0"/>
              <w:ind w:left="-12"/>
              <w:jc w:val="center"/>
              <w:rPr>
                <w:bCs/>
                <w:sz w:val="18"/>
              </w:rPr>
            </w:pPr>
          </w:p>
        </w:tc>
        <w:tc>
          <w:tcPr>
            <w:tcW w:w="993" w:type="dxa"/>
            <w:tcBorders>
              <w:bottom w:val="single" w:sz="6" w:space="0" w:color="000000"/>
            </w:tcBorders>
            <w:shd w:val="clear" w:color="auto" w:fill="auto"/>
          </w:tcPr>
          <w:p w:rsidR="000F3525" w:rsidRPr="00562F4D" w:rsidRDefault="000F3525" w:rsidP="009E2B79">
            <w:pPr>
              <w:spacing w:after="0"/>
              <w:ind w:left="-12"/>
              <w:jc w:val="center"/>
              <w:rPr>
                <w:bCs/>
                <w:sz w:val="18"/>
              </w:rPr>
            </w:pPr>
            <w:r w:rsidRPr="00562F4D">
              <w:rPr>
                <w:bCs/>
                <w:sz w:val="18"/>
              </w:rPr>
              <w:t>350.000</w:t>
            </w:r>
          </w:p>
        </w:tc>
        <w:tc>
          <w:tcPr>
            <w:tcW w:w="992" w:type="dxa"/>
            <w:tcBorders>
              <w:bottom w:val="single" w:sz="6" w:space="0" w:color="000000"/>
            </w:tcBorders>
            <w:shd w:val="clear" w:color="auto" w:fill="auto"/>
          </w:tcPr>
          <w:p w:rsidR="000F3525" w:rsidRPr="00562F4D" w:rsidRDefault="000F3525" w:rsidP="009E2B79">
            <w:pPr>
              <w:spacing w:after="0"/>
              <w:ind w:left="-12"/>
              <w:jc w:val="center"/>
              <w:rPr>
                <w:bCs/>
                <w:sz w:val="18"/>
              </w:rPr>
            </w:pPr>
            <w:r w:rsidRPr="00562F4D">
              <w:rPr>
                <w:bCs/>
                <w:sz w:val="18"/>
              </w:rPr>
              <w:t>370.000</w:t>
            </w:r>
          </w:p>
        </w:tc>
        <w:tc>
          <w:tcPr>
            <w:tcW w:w="1134" w:type="dxa"/>
            <w:tcBorders>
              <w:bottom w:val="single" w:sz="6" w:space="0" w:color="000000"/>
            </w:tcBorders>
            <w:shd w:val="clear" w:color="auto" w:fill="auto"/>
          </w:tcPr>
          <w:p w:rsidR="000F3525" w:rsidRPr="00562F4D" w:rsidRDefault="000F3525" w:rsidP="009E2B79">
            <w:pPr>
              <w:spacing w:after="0"/>
              <w:ind w:left="-12"/>
              <w:jc w:val="center"/>
              <w:rPr>
                <w:bCs/>
                <w:sz w:val="18"/>
              </w:rPr>
            </w:pPr>
            <w:r w:rsidRPr="00562F4D">
              <w:rPr>
                <w:bCs/>
                <w:sz w:val="18"/>
              </w:rPr>
              <w:t>500.000</w:t>
            </w:r>
          </w:p>
        </w:tc>
        <w:tc>
          <w:tcPr>
            <w:tcW w:w="1559" w:type="dxa"/>
            <w:tcBorders>
              <w:bottom w:val="single" w:sz="6" w:space="0" w:color="000000"/>
            </w:tcBorders>
            <w:shd w:val="clear" w:color="auto" w:fill="auto"/>
          </w:tcPr>
          <w:p w:rsidR="000F3525" w:rsidRPr="00562F4D" w:rsidRDefault="000F3525" w:rsidP="009E2B79">
            <w:pPr>
              <w:spacing w:after="0"/>
              <w:ind w:left="-12"/>
              <w:jc w:val="center"/>
              <w:rPr>
                <w:bCs/>
                <w:sz w:val="18"/>
              </w:rPr>
            </w:pPr>
            <w:r w:rsidRPr="00562F4D">
              <w:rPr>
                <w:bCs/>
                <w:sz w:val="18"/>
              </w:rPr>
              <w:t>2.200.000</w:t>
            </w:r>
          </w:p>
        </w:tc>
        <w:tc>
          <w:tcPr>
            <w:tcW w:w="1418" w:type="dxa"/>
            <w:tcBorders>
              <w:bottom w:val="single" w:sz="6" w:space="0" w:color="000000"/>
            </w:tcBorders>
            <w:shd w:val="clear" w:color="auto" w:fill="auto"/>
          </w:tcPr>
          <w:p w:rsidR="000F3525" w:rsidRPr="00562F4D" w:rsidRDefault="000F3525" w:rsidP="009E2B79">
            <w:pPr>
              <w:spacing w:after="0"/>
              <w:ind w:left="-12"/>
              <w:jc w:val="right"/>
              <w:rPr>
                <w:bCs/>
                <w:sz w:val="18"/>
              </w:rPr>
            </w:pPr>
            <w:r w:rsidRPr="00562F4D">
              <w:rPr>
                <w:bCs/>
                <w:sz w:val="18"/>
              </w:rPr>
              <w:t>3.230.000</w:t>
            </w:r>
          </w:p>
        </w:tc>
      </w:tr>
      <w:tr w:rsidR="000F3525" w:rsidRPr="00562F4D" w:rsidTr="009E2B79">
        <w:trPr>
          <w:trHeight w:val="20"/>
        </w:trPr>
        <w:tc>
          <w:tcPr>
            <w:tcW w:w="2268" w:type="dxa"/>
            <w:tcBorders>
              <w:top w:val="single" w:sz="6" w:space="0" w:color="000000"/>
              <w:bottom w:val="single" w:sz="12" w:space="0" w:color="000000"/>
            </w:tcBorders>
            <w:shd w:val="clear" w:color="auto" w:fill="auto"/>
          </w:tcPr>
          <w:p w:rsidR="000F3525" w:rsidRPr="00562F4D" w:rsidRDefault="000F3525" w:rsidP="009E2B79">
            <w:pPr>
              <w:spacing w:after="0"/>
              <w:ind w:left="142"/>
              <w:rPr>
                <w:b/>
                <w:sz w:val="18"/>
              </w:rPr>
            </w:pPr>
            <w:r w:rsidRPr="00562F4D">
              <w:rPr>
                <w:b/>
                <w:sz w:val="18"/>
              </w:rPr>
              <w:t>SKUPAJ</w:t>
            </w:r>
          </w:p>
        </w:tc>
        <w:tc>
          <w:tcPr>
            <w:tcW w:w="1134" w:type="dxa"/>
            <w:tcBorders>
              <w:top w:val="single" w:sz="6" w:space="0" w:color="000000"/>
              <w:bottom w:val="single" w:sz="12" w:space="0" w:color="000000"/>
            </w:tcBorders>
            <w:shd w:val="clear" w:color="auto" w:fill="auto"/>
          </w:tcPr>
          <w:p w:rsidR="000F3525" w:rsidRPr="00562F4D" w:rsidRDefault="000F3525" w:rsidP="009E2B79">
            <w:pPr>
              <w:spacing w:after="0"/>
              <w:ind w:left="-12"/>
              <w:jc w:val="center"/>
              <w:rPr>
                <w:bCs/>
                <w:sz w:val="18"/>
              </w:rPr>
            </w:pPr>
          </w:p>
        </w:tc>
        <w:tc>
          <w:tcPr>
            <w:tcW w:w="993" w:type="dxa"/>
            <w:tcBorders>
              <w:top w:val="single" w:sz="6" w:space="0" w:color="000000"/>
              <w:bottom w:val="single" w:sz="12" w:space="0" w:color="000000"/>
            </w:tcBorders>
            <w:shd w:val="clear" w:color="auto" w:fill="auto"/>
          </w:tcPr>
          <w:p w:rsidR="000F3525" w:rsidRPr="00562F4D" w:rsidRDefault="000F3525" w:rsidP="009E2B79">
            <w:pPr>
              <w:spacing w:after="0"/>
              <w:ind w:left="-12"/>
              <w:jc w:val="center"/>
              <w:rPr>
                <w:bCs/>
                <w:sz w:val="18"/>
              </w:rPr>
            </w:pPr>
            <w:r w:rsidRPr="00562F4D">
              <w:rPr>
                <w:bCs/>
                <w:sz w:val="18"/>
              </w:rPr>
              <w:t>370.000</w:t>
            </w:r>
          </w:p>
        </w:tc>
        <w:tc>
          <w:tcPr>
            <w:tcW w:w="992" w:type="dxa"/>
            <w:tcBorders>
              <w:top w:val="single" w:sz="6" w:space="0" w:color="000000"/>
              <w:bottom w:val="single" w:sz="12" w:space="0" w:color="000000"/>
            </w:tcBorders>
            <w:shd w:val="clear" w:color="auto" w:fill="auto"/>
          </w:tcPr>
          <w:p w:rsidR="000F3525" w:rsidRPr="00562F4D" w:rsidRDefault="000F3525" w:rsidP="009E2B79">
            <w:pPr>
              <w:spacing w:after="0"/>
              <w:ind w:left="-12"/>
              <w:jc w:val="center"/>
              <w:rPr>
                <w:bCs/>
                <w:sz w:val="18"/>
              </w:rPr>
            </w:pPr>
            <w:r w:rsidRPr="00562F4D">
              <w:rPr>
                <w:bCs/>
                <w:sz w:val="18"/>
              </w:rPr>
              <w:t>600.000</w:t>
            </w:r>
          </w:p>
        </w:tc>
        <w:tc>
          <w:tcPr>
            <w:tcW w:w="1134" w:type="dxa"/>
            <w:tcBorders>
              <w:top w:val="single" w:sz="6" w:space="0" w:color="000000"/>
              <w:bottom w:val="single" w:sz="12" w:space="0" w:color="000000"/>
            </w:tcBorders>
            <w:shd w:val="clear" w:color="auto" w:fill="auto"/>
          </w:tcPr>
          <w:p w:rsidR="000F3525" w:rsidRPr="00562F4D" w:rsidRDefault="000F3525" w:rsidP="009E2B79">
            <w:pPr>
              <w:spacing w:after="0"/>
              <w:ind w:left="-12"/>
              <w:jc w:val="center"/>
              <w:rPr>
                <w:bCs/>
                <w:sz w:val="18"/>
              </w:rPr>
            </w:pPr>
            <w:r w:rsidRPr="00562F4D">
              <w:rPr>
                <w:bCs/>
                <w:sz w:val="18"/>
              </w:rPr>
              <w:t>1.300.000</w:t>
            </w:r>
          </w:p>
        </w:tc>
        <w:tc>
          <w:tcPr>
            <w:tcW w:w="1559" w:type="dxa"/>
            <w:tcBorders>
              <w:top w:val="single" w:sz="6" w:space="0" w:color="000000"/>
              <w:bottom w:val="single" w:sz="12" w:space="0" w:color="000000"/>
            </w:tcBorders>
            <w:shd w:val="clear" w:color="auto" w:fill="auto"/>
          </w:tcPr>
          <w:p w:rsidR="000F3525" w:rsidRPr="00562F4D" w:rsidRDefault="000F3525" w:rsidP="009E2B79">
            <w:pPr>
              <w:spacing w:after="0"/>
              <w:ind w:left="-12"/>
              <w:jc w:val="center"/>
              <w:rPr>
                <w:bCs/>
                <w:sz w:val="18"/>
              </w:rPr>
            </w:pPr>
            <w:r w:rsidRPr="00562F4D">
              <w:rPr>
                <w:bCs/>
                <w:sz w:val="18"/>
              </w:rPr>
              <w:t>238.600.000</w:t>
            </w:r>
          </w:p>
        </w:tc>
        <w:tc>
          <w:tcPr>
            <w:tcW w:w="1418" w:type="dxa"/>
            <w:tcBorders>
              <w:top w:val="single" w:sz="6" w:space="0" w:color="000000"/>
              <w:bottom w:val="single" w:sz="12" w:space="0" w:color="000000"/>
            </w:tcBorders>
            <w:shd w:val="clear" w:color="auto" w:fill="auto"/>
          </w:tcPr>
          <w:p w:rsidR="000F3525" w:rsidRPr="00562F4D" w:rsidRDefault="000F3525" w:rsidP="009E2B79">
            <w:pPr>
              <w:spacing w:after="0"/>
              <w:ind w:left="-12"/>
              <w:jc w:val="center"/>
              <w:rPr>
                <w:bCs/>
                <w:sz w:val="18"/>
              </w:rPr>
            </w:pPr>
            <w:r w:rsidRPr="00562F4D">
              <w:rPr>
                <w:bCs/>
                <w:sz w:val="18"/>
              </w:rPr>
              <w:t>241.070.458</w:t>
            </w:r>
          </w:p>
        </w:tc>
      </w:tr>
    </w:tbl>
    <w:p w:rsidR="000F3525" w:rsidRPr="00562F4D" w:rsidRDefault="000F3525" w:rsidP="000F3525">
      <w:pPr>
        <w:spacing w:after="0"/>
        <w:jc w:val="both"/>
        <w:rPr>
          <w:rFonts w:cs="Arial"/>
          <w:iCs/>
          <w:lang w:eastAsia="sl-SI"/>
        </w:rPr>
      </w:pPr>
      <w:r w:rsidRPr="00562F4D">
        <w:rPr>
          <w:rFonts w:cs="Arial"/>
          <w:iCs/>
          <w:lang w:eastAsia="sl-SI"/>
        </w:rPr>
        <w:t>Vir: MZI</w:t>
      </w:r>
    </w:p>
    <w:p w:rsidR="000F3525" w:rsidRDefault="000F3525" w:rsidP="000F3525">
      <w:pPr>
        <w:spacing w:after="0"/>
        <w:jc w:val="both"/>
        <w:rPr>
          <w:rFonts w:cs="Arial"/>
          <w:iCs/>
          <w:lang w:eastAsia="sl-SI"/>
        </w:rPr>
      </w:pPr>
    </w:p>
    <w:p w:rsidR="00B51082" w:rsidRDefault="008D13FC" w:rsidP="008D13FC">
      <w:pPr>
        <w:pStyle w:val="Naslov2"/>
        <w:rPr>
          <w:lang w:eastAsia="sl-SI"/>
        </w:rPr>
      </w:pPr>
      <w:bookmarkStart w:id="19" w:name="_Toc503180610"/>
      <w:r>
        <w:t xml:space="preserve">Višina finančnih sredstev ukrepov </w:t>
      </w:r>
      <w:r w:rsidR="00BC0799">
        <w:t xml:space="preserve">in </w:t>
      </w:r>
      <w:r>
        <w:t xml:space="preserve"> </w:t>
      </w:r>
      <w:r w:rsidR="00BC0799">
        <w:t xml:space="preserve">instrumentov </w:t>
      </w:r>
      <w:r>
        <w:t>za izvedbo Programa v letu 2016 v EUR</w:t>
      </w:r>
      <w:bookmarkEnd w:id="19"/>
    </w:p>
    <w:p w:rsidR="00B51082" w:rsidRDefault="00B51082" w:rsidP="00852390">
      <w:pPr>
        <w:spacing w:after="0"/>
        <w:jc w:val="both"/>
        <w:rPr>
          <w:lang w:eastAsia="sl-SI"/>
        </w:rPr>
      </w:pPr>
    </w:p>
    <w:p w:rsidR="00BC0799" w:rsidRDefault="00BC0799" w:rsidP="00BC0799">
      <w:pPr>
        <w:pStyle w:val="Napis"/>
        <w:keepNext/>
      </w:pPr>
      <w:r>
        <w:t xml:space="preserve">Tabela </w:t>
      </w:r>
      <w:fldSimple w:instr=" SEQ Tabela \* ARABIC ">
        <w:r w:rsidR="003218B5">
          <w:rPr>
            <w:noProof/>
          </w:rPr>
          <w:t>18</w:t>
        </w:r>
      </w:fldSimple>
      <w:r>
        <w:t xml:space="preserve">: Višina finančnih sredstev ukrepov in instrumentov Programa </w:t>
      </w:r>
      <w:r w:rsidRPr="007079F8">
        <w:t xml:space="preserve">spodbujanja konkurenčnosti in ukrepov razvojne podpore za problemsko območje z visoko brezposelnostjo Hrastnik, Radeče in Trbovlje v obdobju 2013–2020 </w:t>
      </w:r>
      <w:r>
        <w:t xml:space="preserve"> v letu 2016 v EUR</w:t>
      </w:r>
    </w:p>
    <w:tbl>
      <w:tblPr>
        <w:tblW w:w="8892"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95"/>
        <w:gridCol w:w="1587"/>
        <w:gridCol w:w="1750"/>
        <w:gridCol w:w="1811"/>
        <w:gridCol w:w="1749"/>
      </w:tblGrid>
      <w:tr w:rsidR="00BC0799" w:rsidRPr="00256EE3" w:rsidTr="006D7802">
        <w:trPr>
          <w:trHeight w:val="8"/>
          <w:tblHeader/>
        </w:trPr>
        <w:tc>
          <w:tcPr>
            <w:tcW w:w="1995" w:type="dxa"/>
            <w:shd w:val="clear" w:color="auto" w:fill="auto"/>
            <w:vAlign w:val="center"/>
            <w:hideMark/>
          </w:tcPr>
          <w:p w:rsidR="00BC0799" w:rsidRPr="00256EE3" w:rsidRDefault="00BC0799" w:rsidP="007102B4">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Instrument oz. ukrep</w:t>
            </w:r>
          </w:p>
        </w:tc>
        <w:tc>
          <w:tcPr>
            <w:tcW w:w="1587" w:type="dxa"/>
            <w:shd w:val="clear" w:color="auto" w:fill="auto"/>
            <w:vAlign w:val="center"/>
            <w:hideMark/>
          </w:tcPr>
          <w:p w:rsidR="00BC0799" w:rsidRPr="00256EE3" w:rsidRDefault="00BC0799" w:rsidP="007102B4">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Institucija odgovorna za izvedbo</w:t>
            </w:r>
          </w:p>
        </w:tc>
        <w:tc>
          <w:tcPr>
            <w:tcW w:w="1750" w:type="dxa"/>
            <w:shd w:val="clear" w:color="auto" w:fill="auto"/>
            <w:vAlign w:val="center"/>
            <w:hideMark/>
          </w:tcPr>
          <w:p w:rsidR="00BC0799" w:rsidRPr="00256EE3" w:rsidRDefault="00BC0799" w:rsidP="007102B4">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Status izvajanja</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Višina finančnih sredstev v letu 2016</w:t>
            </w:r>
            <w:r>
              <w:rPr>
                <w:rFonts w:eastAsia="Times New Roman"/>
                <w:b/>
                <w:bCs/>
                <w:color w:val="000000"/>
                <w:sz w:val="18"/>
                <w:szCs w:val="18"/>
                <w:lang w:eastAsia="sl-SI"/>
              </w:rPr>
              <w:t xml:space="preserve"> v EUR</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b/>
                <w:bCs/>
                <w:color w:val="000000"/>
                <w:sz w:val="18"/>
                <w:szCs w:val="18"/>
                <w:lang w:eastAsia="sl-SI"/>
              </w:rPr>
            </w:pPr>
            <w:r w:rsidRPr="00256EE3">
              <w:rPr>
                <w:rFonts w:eastAsia="Times New Roman"/>
                <w:b/>
                <w:bCs/>
                <w:color w:val="000000"/>
                <w:sz w:val="18"/>
                <w:szCs w:val="18"/>
                <w:lang w:eastAsia="sl-SI"/>
              </w:rPr>
              <w:t>Vir financiranja</w:t>
            </w:r>
          </w:p>
        </w:tc>
      </w:tr>
      <w:tr w:rsidR="00BC0799" w:rsidRPr="00256EE3" w:rsidTr="006D7802">
        <w:trPr>
          <w:trHeight w:val="8"/>
        </w:trPr>
        <w:tc>
          <w:tcPr>
            <w:tcW w:w="1995" w:type="dxa"/>
            <w:shd w:val="clear" w:color="000000" w:fill="BFBFBF"/>
            <w:vAlign w:val="center"/>
            <w:hideMark/>
          </w:tcPr>
          <w:p w:rsidR="00BC0799" w:rsidRPr="00256EE3" w:rsidRDefault="00BC0799" w:rsidP="007102B4">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I.</w:t>
            </w:r>
            <w:r>
              <w:rPr>
                <w:rFonts w:ascii="Times New Roman" w:eastAsia="Times New Roman" w:hAnsi="Times New Roman"/>
                <w:b/>
                <w:bCs/>
                <w:color w:val="000000"/>
                <w:sz w:val="14"/>
                <w:szCs w:val="14"/>
                <w:lang w:eastAsia="sl-SI"/>
              </w:rPr>
              <w:t> </w:t>
            </w:r>
            <w:r w:rsidRPr="00256EE3">
              <w:rPr>
                <w:rFonts w:eastAsia="Times New Roman" w:cs="Calibri"/>
                <w:b/>
                <w:bCs/>
                <w:color w:val="000000"/>
                <w:sz w:val="18"/>
                <w:szCs w:val="18"/>
                <w:lang w:eastAsia="sl-SI"/>
              </w:rPr>
              <w:t xml:space="preserve">Programu spodbujanja konkurenčnosti in </w:t>
            </w:r>
            <w:r w:rsidRPr="00256EE3">
              <w:rPr>
                <w:rFonts w:eastAsia="Times New Roman" w:cs="Calibri"/>
                <w:b/>
                <w:bCs/>
                <w:color w:val="000000"/>
                <w:sz w:val="18"/>
                <w:szCs w:val="18"/>
                <w:lang w:eastAsia="sl-SI"/>
              </w:rPr>
              <w:lastRenderedPageBreak/>
              <w:t>ukrepov razvojne podpore za območje občin Hrastnik, Radeče in Trbovlje v obdobju 2013–2020</w:t>
            </w:r>
          </w:p>
        </w:tc>
        <w:tc>
          <w:tcPr>
            <w:tcW w:w="1587"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lastRenderedPageBreak/>
              <w:t> </w:t>
            </w:r>
          </w:p>
        </w:tc>
        <w:tc>
          <w:tcPr>
            <w:tcW w:w="1750"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811" w:type="dxa"/>
            <w:shd w:val="clear" w:color="000000" w:fill="BFBFBF"/>
            <w:noWrap/>
            <w:vAlign w:val="center"/>
            <w:hideMark/>
          </w:tcPr>
          <w:p w:rsidR="00BC0799" w:rsidRPr="00256EE3" w:rsidRDefault="00BC0799" w:rsidP="007102B4">
            <w:pPr>
              <w:spacing w:after="0" w:line="240" w:lineRule="auto"/>
              <w:jc w:val="center"/>
              <w:rPr>
                <w:rFonts w:eastAsia="Times New Roman"/>
                <w:color w:val="000000"/>
                <w:lang w:eastAsia="sl-SI"/>
              </w:rPr>
            </w:pPr>
            <w:r w:rsidRPr="00256EE3">
              <w:rPr>
                <w:rFonts w:eastAsia="Times New Roman"/>
                <w:color w:val="000000"/>
                <w:lang w:eastAsia="sl-SI"/>
              </w:rPr>
              <w:t>1.893.545,35</w:t>
            </w:r>
          </w:p>
        </w:tc>
        <w:tc>
          <w:tcPr>
            <w:tcW w:w="1749"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 EU sredstva</w:t>
            </w:r>
          </w:p>
        </w:tc>
      </w:tr>
      <w:tr w:rsidR="00BC0799" w:rsidRPr="00256EE3" w:rsidTr="006D7802">
        <w:trPr>
          <w:trHeight w:val="220"/>
        </w:trPr>
        <w:tc>
          <w:tcPr>
            <w:tcW w:w="1995" w:type="dxa"/>
            <w:vMerge w:val="restart"/>
            <w:shd w:val="clear" w:color="auto" w:fill="auto"/>
            <w:vAlign w:val="center"/>
            <w:hideMark/>
          </w:tcPr>
          <w:p w:rsidR="00BC0799" w:rsidRPr="00256EE3" w:rsidRDefault="00BC0799" w:rsidP="007102B4">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lastRenderedPageBreak/>
              <w:t>Instrument 1: subvencije za spodbujanje investicij</w:t>
            </w:r>
          </w:p>
        </w:tc>
        <w:tc>
          <w:tcPr>
            <w:tcW w:w="1587" w:type="dxa"/>
            <w:vMerge w:val="restart"/>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w:t>
            </w:r>
          </w:p>
        </w:tc>
        <w:tc>
          <w:tcPr>
            <w:tcW w:w="1750" w:type="dxa"/>
            <w:vMerge w:val="restart"/>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811" w:type="dxa"/>
            <w:vMerge w:val="restart"/>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1.016.252,16</w:t>
            </w:r>
          </w:p>
        </w:tc>
        <w:tc>
          <w:tcPr>
            <w:tcW w:w="1749" w:type="dxa"/>
            <w:vMerge w:val="restart"/>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BC0799" w:rsidRPr="00256EE3" w:rsidTr="006D7802">
        <w:trPr>
          <w:trHeight w:val="220"/>
        </w:trPr>
        <w:tc>
          <w:tcPr>
            <w:tcW w:w="1995" w:type="dxa"/>
            <w:vMerge/>
            <w:vAlign w:val="center"/>
            <w:hideMark/>
          </w:tcPr>
          <w:p w:rsidR="00BC0799" w:rsidRPr="00256EE3" w:rsidRDefault="00BC0799" w:rsidP="007102B4">
            <w:pPr>
              <w:spacing w:after="0" w:line="240" w:lineRule="auto"/>
              <w:rPr>
                <w:rFonts w:eastAsia="Times New Roman"/>
                <w:color w:val="000000"/>
                <w:sz w:val="18"/>
                <w:szCs w:val="18"/>
                <w:lang w:eastAsia="sl-SI"/>
              </w:rPr>
            </w:pPr>
          </w:p>
        </w:tc>
        <w:tc>
          <w:tcPr>
            <w:tcW w:w="1587" w:type="dxa"/>
            <w:vMerge/>
            <w:vAlign w:val="center"/>
            <w:hideMark/>
          </w:tcPr>
          <w:p w:rsidR="00BC0799" w:rsidRPr="00256EE3" w:rsidRDefault="00BC0799" w:rsidP="007102B4">
            <w:pPr>
              <w:spacing w:after="0" w:line="240" w:lineRule="auto"/>
              <w:rPr>
                <w:rFonts w:eastAsia="Times New Roman"/>
                <w:color w:val="000000"/>
                <w:sz w:val="18"/>
                <w:szCs w:val="18"/>
                <w:lang w:eastAsia="sl-SI"/>
              </w:rPr>
            </w:pPr>
          </w:p>
        </w:tc>
        <w:tc>
          <w:tcPr>
            <w:tcW w:w="1750" w:type="dxa"/>
            <w:vMerge/>
            <w:vAlign w:val="center"/>
            <w:hideMark/>
          </w:tcPr>
          <w:p w:rsidR="00BC0799" w:rsidRPr="00256EE3" w:rsidRDefault="00BC0799" w:rsidP="007102B4">
            <w:pPr>
              <w:spacing w:after="0" w:line="240" w:lineRule="auto"/>
              <w:rPr>
                <w:rFonts w:eastAsia="Times New Roman"/>
                <w:color w:val="000000"/>
                <w:sz w:val="18"/>
                <w:szCs w:val="18"/>
                <w:lang w:eastAsia="sl-SI"/>
              </w:rPr>
            </w:pPr>
          </w:p>
        </w:tc>
        <w:tc>
          <w:tcPr>
            <w:tcW w:w="1811" w:type="dxa"/>
            <w:vMerge/>
            <w:vAlign w:val="center"/>
            <w:hideMark/>
          </w:tcPr>
          <w:p w:rsidR="00BC0799" w:rsidRPr="00256EE3" w:rsidRDefault="00BC0799" w:rsidP="007102B4">
            <w:pPr>
              <w:spacing w:after="0" w:line="240" w:lineRule="auto"/>
              <w:rPr>
                <w:rFonts w:eastAsia="Times New Roman"/>
                <w:color w:val="000000"/>
                <w:sz w:val="18"/>
                <w:szCs w:val="18"/>
                <w:lang w:eastAsia="sl-SI"/>
              </w:rPr>
            </w:pPr>
          </w:p>
        </w:tc>
        <w:tc>
          <w:tcPr>
            <w:tcW w:w="1749" w:type="dxa"/>
            <w:vMerge/>
            <w:vAlign w:val="center"/>
            <w:hideMark/>
          </w:tcPr>
          <w:p w:rsidR="00BC0799" w:rsidRPr="00256EE3" w:rsidRDefault="00BC0799" w:rsidP="007102B4">
            <w:pPr>
              <w:spacing w:after="0" w:line="240" w:lineRule="auto"/>
              <w:rPr>
                <w:rFonts w:eastAsia="Times New Roman"/>
                <w:color w:val="000000"/>
                <w:sz w:val="18"/>
                <w:szCs w:val="18"/>
                <w:lang w:eastAsia="sl-SI"/>
              </w:rPr>
            </w:pPr>
          </w:p>
        </w:tc>
      </w:tr>
      <w:tr w:rsidR="00BC0799" w:rsidRPr="00256EE3" w:rsidTr="006D7802">
        <w:trPr>
          <w:trHeight w:val="8"/>
        </w:trPr>
        <w:tc>
          <w:tcPr>
            <w:tcW w:w="1995" w:type="dxa"/>
            <w:shd w:val="clear" w:color="auto" w:fill="auto"/>
            <w:vAlign w:val="center"/>
            <w:hideMark/>
          </w:tcPr>
          <w:p w:rsidR="00BC0799" w:rsidRPr="00256EE3" w:rsidRDefault="00BC0799" w:rsidP="007102B4">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2: ugodni razvojni krediti za investicije</w:t>
            </w:r>
          </w:p>
        </w:tc>
        <w:tc>
          <w:tcPr>
            <w:tcW w:w="1587"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Slovensko regionalno razvojni sklad</w:t>
            </w:r>
          </w:p>
        </w:tc>
        <w:tc>
          <w:tcPr>
            <w:tcW w:w="1750"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v pripravi</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BC0799" w:rsidRPr="00256EE3" w:rsidTr="006D7802">
        <w:trPr>
          <w:trHeight w:val="8"/>
        </w:trPr>
        <w:tc>
          <w:tcPr>
            <w:tcW w:w="1995" w:type="dxa"/>
            <w:shd w:val="clear" w:color="auto" w:fill="auto"/>
            <w:vAlign w:val="center"/>
            <w:hideMark/>
          </w:tcPr>
          <w:p w:rsidR="00BC0799" w:rsidRPr="00256EE3" w:rsidRDefault="00BC0799" w:rsidP="007102B4">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3: subvencije za zagon podjetij</w:t>
            </w:r>
            <w:r>
              <w:rPr>
                <w:rFonts w:eastAsia="Times New Roman" w:cs="Calibri"/>
                <w:color w:val="000000"/>
                <w:sz w:val="18"/>
                <w:szCs w:val="18"/>
                <w:lang w:eastAsia="sl-SI"/>
              </w:rPr>
              <w:t>*</w:t>
            </w:r>
          </w:p>
        </w:tc>
        <w:tc>
          <w:tcPr>
            <w:tcW w:w="1587"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Slovenski podjetniški sklad</w:t>
            </w:r>
          </w:p>
        </w:tc>
        <w:tc>
          <w:tcPr>
            <w:tcW w:w="1750"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230.275,00</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EU sredstva</w:t>
            </w:r>
          </w:p>
        </w:tc>
      </w:tr>
      <w:tr w:rsidR="00BC0799" w:rsidRPr="00256EE3" w:rsidTr="006D7802">
        <w:trPr>
          <w:trHeight w:val="8"/>
        </w:trPr>
        <w:tc>
          <w:tcPr>
            <w:tcW w:w="1995" w:type="dxa"/>
            <w:shd w:val="clear" w:color="auto" w:fill="auto"/>
            <w:vAlign w:val="center"/>
            <w:hideMark/>
          </w:tcPr>
          <w:p w:rsidR="00BC0799" w:rsidRPr="00256EE3" w:rsidRDefault="00BC0799" w:rsidP="007102B4">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4: mikrokrediti</w:t>
            </w:r>
          </w:p>
        </w:tc>
        <w:tc>
          <w:tcPr>
            <w:tcW w:w="1587"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w:t>
            </w:r>
          </w:p>
        </w:tc>
        <w:tc>
          <w:tcPr>
            <w:tcW w:w="1750"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141.000,00</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BC0799" w:rsidRPr="00256EE3" w:rsidTr="006D7802">
        <w:trPr>
          <w:trHeight w:val="8"/>
        </w:trPr>
        <w:tc>
          <w:tcPr>
            <w:tcW w:w="1995" w:type="dxa"/>
            <w:shd w:val="clear" w:color="auto" w:fill="auto"/>
            <w:vAlign w:val="center"/>
            <w:hideMark/>
          </w:tcPr>
          <w:p w:rsidR="00BC0799" w:rsidRPr="00256EE3" w:rsidRDefault="00BC0799" w:rsidP="007102B4">
            <w:pPr>
              <w:numPr>
                <w:ilvl w:val="0"/>
                <w:numId w:val="26"/>
              </w:numPr>
              <w:spacing w:after="0" w:line="240" w:lineRule="auto"/>
              <w:jc w:val="both"/>
              <w:rPr>
                <w:rFonts w:eastAsia="Times New Roman"/>
                <w:color w:val="000000"/>
                <w:lang w:eastAsia="sl-SI"/>
              </w:rPr>
            </w:pPr>
            <w:r w:rsidRPr="00256EE3">
              <w:rPr>
                <w:rFonts w:eastAsia="Times New Roman" w:cs="Calibri"/>
                <w:color w:val="000000"/>
                <w:sz w:val="18"/>
                <w:szCs w:val="18"/>
                <w:lang w:eastAsia="sl-SI"/>
              </w:rPr>
              <w:t>Instrument 5: promocija območja, privabljanje tujih in domačih investitorjev ter izvajanje programa</w:t>
            </w:r>
          </w:p>
        </w:tc>
        <w:tc>
          <w:tcPr>
            <w:tcW w:w="1587" w:type="dxa"/>
            <w:shd w:val="clear" w:color="auto" w:fill="auto"/>
            <w:noWrap/>
            <w:vAlign w:val="bottom"/>
            <w:hideMark/>
          </w:tcPr>
          <w:p w:rsidR="00BC0799" w:rsidRPr="00256EE3" w:rsidRDefault="00BC0799" w:rsidP="007102B4">
            <w:pPr>
              <w:spacing w:after="0" w:line="240" w:lineRule="auto"/>
              <w:rPr>
                <w:rFonts w:eastAsia="Times New Roman"/>
                <w:color w:val="000000"/>
                <w:lang w:eastAsia="sl-SI"/>
              </w:rPr>
            </w:pPr>
          </w:p>
        </w:tc>
        <w:tc>
          <w:tcPr>
            <w:tcW w:w="1750" w:type="dxa"/>
            <w:vMerge w:val="restart"/>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s="Arial"/>
                <w:color w:val="000000"/>
                <w:sz w:val="18"/>
                <w:szCs w:val="18"/>
                <w:lang w:eastAsia="sl-SI"/>
              </w:rPr>
              <w:t>instrument se izvaja - Izvajanje programov spodbujanja konkurenčnosti</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s="Arial"/>
                <w:color w:val="000000"/>
                <w:sz w:val="18"/>
                <w:szCs w:val="18"/>
                <w:lang w:eastAsia="sl-SI"/>
              </w:rPr>
              <w:t>84.959,02</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BC0799" w:rsidRPr="00256EE3" w:rsidTr="006D7802">
        <w:trPr>
          <w:trHeight w:val="8"/>
        </w:trPr>
        <w:tc>
          <w:tcPr>
            <w:tcW w:w="1995" w:type="dxa"/>
            <w:shd w:val="clear" w:color="auto" w:fill="auto"/>
            <w:vAlign w:val="center"/>
            <w:hideMark/>
          </w:tcPr>
          <w:p w:rsidR="00BC0799" w:rsidRPr="00256EE3" w:rsidRDefault="00BC0799" w:rsidP="007102B4">
            <w:pPr>
              <w:numPr>
                <w:ilvl w:val="0"/>
                <w:numId w:val="28"/>
              </w:numPr>
              <w:spacing w:after="0" w:line="240" w:lineRule="auto"/>
              <w:jc w:val="both"/>
              <w:rPr>
                <w:rFonts w:ascii="Courier New" w:eastAsia="Times New Roman" w:hAnsi="Courier New" w:cs="Courier New"/>
                <w:color w:val="000000"/>
                <w:sz w:val="18"/>
                <w:szCs w:val="18"/>
                <w:lang w:eastAsia="sl-SI"/>
              </w:rPr>
            </w:pPr>
            <w:r w:rsidRPr="00256EE3">
              <w:rPr>
                <w:rFonts w:eastAsia="Times New Roman" w:cs="Courier New"/>
                <w:b/>
                <w:bCs/>
                <w:i/>
                <w:iCs/>
                <w:color w:val="000000"/>
                <w:sz w:val="18"/>
                <w:szCs w:val="18"/>
                <w:lang w:eastAsia="sl-SI"/>
              </w:rPr>
              <w:t xml:space="preserve">Promocija problemskega območja HRT in privabljanje tujih in domačih investitorjev </w:t>
            </w:r>
          </w:p>
        </w:tc>
        <w:tc>
          <w:tcPr>
            <w:tcW w:w="1587" w:type="dxa"/>
            <w:shd w:val="clear" w:color="auto" w:fill="auto"/>
            <w:vAlign w:val="center"/>
            <w:hideMark/>
          </w:tcPr>
          <w:p w:rsidR="00BC0799" w:rsidRPr="00256EE3" w:rsidRDefault="00BC0799" w:rsidP="007102B4">
            <w:pPr>
              <w:spacing w:after="0" w:line="240" w:lineRule="auto"/>
              <w:rPr>
                <w:rFonts w:eastAsia="Times New Roman"/>
                <w:color w:val="000000"/>
                <w:sz w:val="18"/>
                <w:szCs w:val="18"/>
                <w:lang w:eastAsia="sl-SI"/>
              </w:rPr>
            </w:pPr>
            <w:r w:rsidRPr="00256EE3">
              <w:rPr>
                <w:rFonts w:eastAsia="Times New Roman"/>
                <w:color w:val="000000"/>
                <w:sz w:val="18"/>
                <w:szCs w:val="18"/>
                <w:lang w:eastAsia="sl-SI"/>
              </w:rPr>
              <w:t> </w:t>
            </w:r>
          </w:p>
        </w:tc>
        <w:tc>
          <w:tcPr>
            <w:tcW w:w="1750" w:type="dxa"/>
            <w:vMerge/>
            <w:vAlign w:val="center"/>
            <w:hideMark/>
          </w:tcPr>
          <w:p w:rsidR="00BC0799" w:rsidRPr="00256EE3" w:rsidRDefault="00BC0799" w:rsidP="007102B4">
            <w:pPr>
              <w:spacing w:after="0" w:line="240" w:lineRule="auto"/>
              <w:rPr>
                <w:rFonts w:eastAsia="Times New Roman"/>
                <w:color w:val="000000"/>
                <w:sz w:val="18"/>
                <w:szCs w:val="18"/>
                <w:lang w:eastAsia="sl-SI"/>
              </w:rPr>
            </w:pP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49" w:type="dxa"/>
            <w:shd w:val="clear" w:color="auto" w:fill="auto"/>
            <w:vAlign w:val="center"/>
            <w:hideMark/>
          </w:tcPr>
          <w:p w:rsidR="00BC0799" w:rsidRPr="00256EE3" w:rsidRDefault="00BC0799" w:rsidP="007102B4">
            <w:pPr>
              <w:spacing w:after="0" w:line="240" w:lineRule="auto"/>
              <w:rPr>
                <w:rFonts w:eastAsia="Times New Roman"/>
                <w:color w:val="000000"/>
                <w:sz w:val="18"/>
                <w:szCs w:val="18"/>
                <w:lang w:eastAsia="sl-SI"/>
              </w:rPr>
            </w:pPr>
            <w:r w:rsidRPr="00256EE3">
              <w:rPr>
                <w:rFonts w:eastAsia="Times New Roman"/>
                <w:color w:val="000000"/>
                <w:sz w:val="18"/>
                <w:szCs w:val="18"/>
                <w:lang w:eastAsia="sl-SI"/>
              </w:rPr>
              <w:t> </w:t>
            </w:r>
          </w:p>
        </w:tc>
      </w:tr>
      <w:tr w:rsidR="00BC0799" w:rsidRPr="00256EE3" w:rsidTr="006D7802">
        <w:trPr>
          <w:trHeight w:val="8"/>
        </w:trPr>
        <w:tc>
          <w:tcPr>
            <w:tcW w:w="1995" w:type="dxa"/>
            <w:shd w:val="clear" w:color="auto" w:fill="auto"/>
            <w:vAlign w:val="center"/>
            <w:hideMark/>
          </w:tcPr>
          <w:p w:rsidR="00BC0799" w:rsidRPr="00256EE3" w:rsidRDefault="00BC0799" w:rsidP="007102B4">
            <w:pPr>
              <w:numPr>
                <w:ilvl w:val="0"/>
                <w:numId w:val="28"/>
              </w:numPr>
              <w:spacing w:after="0" w:line="240" w:lineRule="auto"/>
              <w:rPr>
                <w:rFonts w:ascii="Courier New" w:eastAsia="Times New Roman" w:hAnsi="Courier New" w:cs="Courier New"/>
                <w:color w:val="000000"/>
                <w:sz w:val="18"/>
                <w:szCs w:val="18"/>
                <w:lang w:eastAsia="sl-SI"/>
              </w:rPr>
            </w:pPr>
            <w:r w:rsidRPr="00256EE3">
              <w:rPr>
                <w:rFonts w:eastAsia="Times New Roman" w:cs="Courier New"/>
                <w:b/>
                <w:bCs/>
                <w:i/>
                <w:iCs/>
                <w:color w:val="000000"/>
                <w:sz w:val="18"/>
                <w:szCs w:val="18"/>
                <w:lang w:eastAsia="sl-SI"/>
              </w:rPr>
              <w:t>Izvajanje programov spodbujanja konkurenčnosti</w:t>
            </w:r>
          </w:p>
        </w:tc>
        <w:tc>
          <w:tcPr>
            <w:tcW w:w="1587" w:type="dxa"/>
            <w:shd w:val="clear" w:color="auto" w:fill="auto"/>
            <w:vAlign w:val="center"/>
            <w:hideMark/>
          </w:tcPr>
          <w:p w:rsidR="00BC0799" w:rsidRPr="00256EE3" w:rsidRDefault="00BC0799" w:rsidP="007102B4">
            <w:pPr>
              <w:spacing w:after="0" w:line="240" w:lineRule="auto"/>
              <w:rPr>
                <w:rFonts w:eastAsia="Times New Roman"/>
                <w:color w:val="000000"/>
                <w:sz w:val="18"/>
                <w:szCs w:val="18"/>
                <w:lang w:eastAsia="sl-SI"/>
              </w:rPr>
            </w:pPr>
            <w:r w:rsidRPr="00256EE3">
              <w:rPr>
                <w:rFonts w:eastAsia="Times New Roman"/>
                <w:color w:val="000000"/>
                <w:sz w:val="18"/>
                <w:szCs w:val="18"/>
                <w:lang w:eastAsia="sl-SI"/>
              </w:rPr>
              <w:t>MGRT v sodelovanju z RCR Zagorje (do 27.7.2016), RRA Zasavje (od 29.7.2016 dalje) in  RRA Posavje</w:t>
            </w:r>
          </w:p>
        </w:tc>
        <w:tc>
          <w:tcPr>
            <w:tcW w:w="1750" w:type="dxa"/>
            <w:vMerge/>
            <w:vAlign w:val="center"/>
            <w:hideMark/>
          </w:tcPr>
          <w:p w:rsidR="00BC0799" w:rsidRPr="00256EE3" w:rsidRDefault="00BC0799" w:rsidP="007102B4">
            <w:pPr>
              <w:spacing w:after="0" w:line="240" w:lineRule="auto"/>
              <w:rPr>
                <w:rFonts w:eastAsia="Times New Roman"/>
                <w:color w:val="000000"/>
                <w:sz w:val="18"/>
                <w:szCs w:val="18"/>
                <w:lang w:eastAsia="sl-SI"/>
              </w:rPr>
            </w:pP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84.959,02</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BC0799" w:rsidRPr="00256EE3" w:rsidTr="006D7802">
        <w:trPr>
          <w:trHeight w:val="8"/>
        </w:trPr>
        <w:tc>
          <w:tcPr>
            <w:tcW w:w="1995" w:type="dxa"/>
            <w:shd w:val="clear" w:color="auto" w:fill="auto"/>
            <w:vAlign w:val="center"/>
            <w:hideMark/>
          </w:tcPr>
          <w:p w:rsidR="00BC0799" w:rsidRPr="00256EE3" w:rsidRDefault="00BC0799" w:rsidP="007102B4">
            <w:pPr>
              <w:numPr>
                <w:ilvl w:val="0"/>
                <w:numId w:val="26"/>
              </w:numPr>
              <w:spacing w:after="0" w:line="240" w:lineRule="auto"/>
              <w:rPr>
                <w:rFonts w:eastAsia="Times New Roman"/>
                <w:color w:val="000000"/>
                <w:sz w:val="18"/>
                <w:szCs w:val="18"/>
                <w:lang w:eastAsia="sl-SI"/>
              </w:rPr>
            </w:pPr>
            <w:r w:rsidRPr="00256EE3">
              <w:rPr>
                <w:rFonts w:eastAsia="Times New Roman" w:cs="Calibri"/>
                <w:color w:val="000000"/>
                <w:sz w:val="18"/>
                <w:szCs w:val="18"/>
                <w:lang w:eastAsia="sl-SI"/>
              </w:rPr>
              <w:t>Instrument 6: podjetno v svet podjetništva Hrastnik, Radeče, Trbovlje (PVSP HRT)</w:t>
            </w:r>
          </w:p>
        </w:tc>
        <w:tc>
          <w:tcPr>
            <w:tcW w:w="1587"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 v sodelovanju z RCR Zagorje (do 27.7.2016) ) in  RRA Posavje</w:t>
            </w:r>
          </w:p>
        </w:tc>
        <w:tc>
          <w:tcPr>
            <w:tcW w:w="1750"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instrument se izvaja</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421.059,17</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BC0799" w:rsidRPr="00256EE3" w:rsidTr="006D7802">
        <w:trPr>
          <w:trHeight w:val="8"/>
        </w:trPr>
        <w:tc>
          <w:tcPr>
            <w:tcW w:w="1995" w:type="dxa"/>
            <w:shd w:val="clear" w:color="000000" w:fill="BFBFBF"/>
            <w:vAlign w:val="center"/>
            <w:hideMark/>
          </w:tcPr>
          <w:p w:rsidR="00BC0799" w:rsidRPr="00256EE3" w:rsidRDefault="00BC0799" w:rsidP="007102B4">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II.</w:t>
            </w:r>
            <w:r>
              <w:rPr>
                <w:rFonts w:eastAsia="Times New Roman" w:cs="Calibri"/>
                <w:b/>
                <w:bCs/>
                <w:color w:val="000000"/>
                <w:sz w:val="18"/>
                <w:szCs w:val="18"/>
                <w:lang w:eastAsia="sl-SI"/>
              </w:rPr>
              <w:t xml:space="preserve"> </w:t>
            </w:r>
            <w:r w:rsidRPr="00256EE3">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2: </w:t>
            </w:r>
            <w:r w:rsidRPr="00256EE3">
              <w:rPr>
                <w:rFonts w:eastAsia="Times New Roman" w:cs="Calibri"/>
                <w:color w:val="000000"/>
                <w:sz w:val="18"/>
                <w:szCs w:val="18"/>
                <w:lang w:eastAsia="sl-SI"/>
              </w:rPr>
              <w:t>povračilo plačanih prispevkov delodajalca za socialno varnost</w:t>
            </w:r>
          </w:p>
        </w:tc>
        <w:tc>
          <w:tcPr>
            <w:tcW w:w="1587"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xml:space="preserve">Ministrstvo za delo, družino, socialne zadeve in enake možnosti ter Zavod RS za zaposlovanje </w:t>
            </w:r>
          </w:p>
        </w:tc>
        <w:tc>
          <w:tcPr>
            <w:tcW w:w="1750"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811"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22.573,67</w:t>
            </w:r>
          </w:p>
        </w:tc>
        <w:tc>
          <w:tcPr>
            <w:tcW w:w="1749"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BC0799" w:rsidRPr="00256EE3" w:rsidTr="006D7802">
        <w:trPr>
          <w:trHeight w:val="8"/>
        </w:trPr>
        <w:tc>
          <w:tcPr>
            <w:tcW w:w="1995" w:type="dxa"/>
            <w:shd w:val="clear" w:color="000000" w:fill="BFBFBF"/>
            <w:vAlign w:val="center"/>
            <w:hideMark/>
          </w:tcPr>
          <w:p w:rsidR="00BC0799" w:rsidRPr="00256EE3" w:rsidRDefault="00BC0799" w:rsidP="007102B4">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III.</w:t>
            </w:r>
            <w:r>
              <w:rPr>
                <w:rFonts w:eastAsia="Times New Roman" w:cs="Calibri"/>
                <w:b/>
                <w:bCs/>
                <w:color w:val="000000"/>
                <w:sz w:val="18"/>
                <w:szCs w:val="18"/>
                <w:lang w:eastAsia="sl-SI"/>
              </w:rPr>
              <w:t xml:space="preserve"> </w:t>
            </w:r>
            <w:r w:rsidRPr="00256EE3">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3: </w:t>
            </w:r>
            <w:r w:rsidRPr="00256EE3">
              <w:rPr>
                <w:rFonts w:eastAsia="Times New Roman" w:cs="Calibri"/>
                <w:color w:val="000000"/>
                <w:sz w:val="18"/>
                <w:szCs w:val="18"/>
                <w:lang w:eastAsia="sl-SI"/>
              </w:rPr>
              <w:t xml:space="preserve">davčne olajšave za zaposlovanje </w:t>
            </w:r>
          </w:p>
        </w:tc>
        <w:tc>
          <w:tcPr>
            <w:tcW w:w="1587"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 v sodelovanju s Finančno upravo RS</w:t>
            </w:r>
          </w:p>
        </w:tc>
        <w:tc>
          <w:tcPr>
            <w:tcW w:w="1750"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811"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23.672,00</w:t>
            </w:r>
          </w:p>
        </w:tc>
        <w:tc>
          <w:tcPr>
            <w:tcW w:w="1749"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BC0799" w:rsidRPr="00256EE3" w:rsidTr="006D7802">
        <w:trPr>
          <w:trHeight w:val="8"/>
        </w:trPr>
        <w:tc>
          <w:tcPr>
            <w:tcW w:w="1995" w:type="dxa"/>
            <w:shd w:val="clear" w:color="000000" w:fill="BFBFBF"/>
            <w:vAlign w:val="center"/>
            <w:hideMark/>
          </w:tcPr>
          <w:p w:rsidR="00BC0799" w:rsidRPr="00256EE3" w:rsidRDefault="00BC0799" w:rsidP="007102B4">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t>IV.</w:t>
            </w:r>
            <w:r>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4: </w:t>
            </w:r>
            <w:r w:rsidRPr="00256EE3">
              <w:rPr>
                <w:rFonts w:eastAsia="Times New Roman" w:cs="Calibri"/>
                <w:color w:val="000000"/>
                <w:sz w:val="18"/>
                <w:szCs w:val="18"/>
                <w:lang w:eastAsia="sl-SI"/>
              </w:rPr>
              <w:t>davčne olajšave za  investiranje</w:t>
            </w:r>
          </w:p>
        </w:tc>
        <w:tc>
          <w:tcPr>
            <w:tcW w:w="1587"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MGRT v sodelovanju s Finančno upravo RS</w:t>
            </w:r>
          </w:p>
        </w:tc>
        <w:tc>
          <w:tcPr>
            <w:tcW w:w="1750"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811"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341.640,00</w:t>
            </w:r>
          </w:p>
        </w:tc>
        <w:tc>
          <w:tcPr>
            <w:tcW w:w="1749"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BC0799" w:rsidRPr="00256EE3" w:rsidTr="006D7802">
        <w:trPr>
          <w:trHeight w:val="8"/>
        </w:trPr>
        <w:tc>
          <w:tcPr>
            <w:tcW w:w="1995" w:type="dxa"/>
            <w:shd w:val="clear" w:color="auto" w:fill="auto"/>
            <w:vAlign w:val="center"/>
            <w:hideMark/>
          </w:tcPr>
          <w:p w:rsidR="00BC0799" w:rsidRPr="00256EE3" w:rsidRDefault="00BC0799" w:rsidP="007102B4">
            <w:pPr>
              <w:spacing w:after="0" w:line="240" w:lineRule="auto"/>
              <w:ind w:firstLineChars="200" w:firstLine="361"/>
              <w:rPr>
                <w:rFonts w:eastAsia="Times New Roman"/>
                <w:b/>
                <w:bCs/>
                <w:color w:val="000000"/>
                <w:sz w:val="18"/>
                <w:szCs w:val="18"/>
                <w:lang w:eastAsia="sl-SI"/>
              </w:rPr>
            </w:pPr>
            <w:r w:rsidRPr="00256EE3">
              <w:rPr>
                <w:rFonts w:eastAsia="Times New Roman"/>
                <w:b/>
                <w:bCs/>
                <w:color w:val="000000"/>
                <w:sz w:val="18"/>
                <w:szCs w:val="18"/>
                <w:lang w:eastAsia="sl-SI"/>
              </w:rPr>
              <w:t>V.</w:t>
            </w:r>
            <w:r>
              <w:rPr>
                <w:rFonts w:ascii="Times New Roman" w:eastAsia="Times New Roman" w:hAnsi="Times New Roman"/>
                <w:b/>
                <w:bCs/>
                <w:color w:val="000000"/>
                <w:sz w:val="14"/>
                <w:szCs w:val="14"/>
                <w:lang w:eastAsia="sl-SI"/>
              </w:rPr>
              <w:t xml:space="preserve"> </w:t>
            </w:r>
            <w:r w:rsidRPr="00256EE3">
              <w:rPr>
                <w:rFonts w:eastAsia="Times New Roman"/>
                <w:b/>
                <w:bCs/>
                <w:color w:val="000000"/>
                <w:sz w:val="18"/>
                <w:szCs w:val="18"/>
                <w:lang w:eastAsia="sl-SI"/>
              </w:rPr>
              <w:t xml:space="preserve">Ukrep 5: </w:t>
            </w:r>
            <w:r w:rsidRPr="00256EE3">
              <w:rPr>
                <w:rFonts w:eastAsia="Times New Roman"/>
                <w:color w:val="000000"/>
                <w:sz w:val="18"/>
                <w:szCs w:val="18"/>
                <w:lang w:eastAsia="sl-SI"/>
              </w:rPr>
              <w:t xml:space="preserve">spodbude za trajnostni razvoj podeželja iz </w:t>
            </w:r>
            <w:r w:rsidRPr="00256EE3">
              <w:rPr>
                <w:rFonts w:eastAsia="Times New Roman"/>
                <w:color w:val="000000"/>
                <w:sz w:val="18"/>
                <w:szCs w:val="18"/>
                <w:lang w:eastAsia="sl-SI"/>
              </w:rPr>
              <w:lastRenderedPageBreak/>
              <w:t>Programa razvoja podeželja 2014-2020</w:t>
            </w:r>
          </w:p>
        </w:tc>
        <w:tc>
          <w:tcPr>
            <w:tcW w:w="1587"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lastRenderedPageBreak/>
              <w:t xml:space="preserve">Ministrstvo za kmetijstvo, gozdarstvo in </w:t>
            </w:r>
            <w:r w:rsidRPr="00256EE3">
              <w:rPr>
                <w:rFonts w:eastAsia="Times New Roman"/>
                <w:color w:val="000000"/>
                <w:sz w:val="18"/>
                <w:szCs w:val="18"/>
                <w:lang w:eastAsia="sl-SI"/>
              </w:rPr>
              <w:lastRenderedPageBreak/>
              <w:t>prehrano</w:t>
            </w:r>
          </w:p>
        </w:tc>
        <w:tc>
          <w:tcPr>
            <w:tcW w:w="1750"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lastRenderedPageBreak/>
              <w:t>ukrep se izvaja</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r w:rsidR="00BC0799" w:rsidRPr="00256EE3" w:rsidTr="006D7802">
        <w:trPr>
          <w:trHeight w:val="8"/>
        </w:trPr>
        <w:tc>
          <w:tcPr>
            <w:tcW w:w="1995" w:type="dxa"/>
            <w:shd w:val="clear" w:color="000000" w:fill="BFBFBF"/>
            <w:vAlign w:val="center"/>
            <w:hideMark/>
          </w:tcPr>
          <w:p w:rsidR="00BC0799" w:rsidRPr="00256EE3" w:rsidRDefault="00BC0799" w:rsidP="007102B4">
            <w:pPr>
              <w:spacing w:after="0" w:line="240" w:lineRule="auto"/>
              <w:ind w:firstLineChars="200" w:firstLine="361"/>
              <w:rPr>
                <w:rFonts w:eastAsia="Times New Roman"/>
                <w:b/>
                <w:bCs/>
                <w:color w:val="000000"/>
                <w:sz w:val="18"/>
                <w:szCs w:val="18"/>
                <w:lang w:eastAsia="sl-SI"/>
              </w:rPr>
            </w:pPr>
            <w:r w:rsidRPr="00256EE3">
              <w:rPr>
                <w:rFonts w:eastAsia="Times New Roman" w:cs="Calibri"/>
                <w:b/>
                <w:bCs/>
                <w:color w:val="000000"/>
                <w:sz w:val="18"/>
                <w:szCs w:val="18"/>
                <w:lang w:eastAsia="sl-SI"/>
              </w:rPr>
              <w:lastRenderedPageBreak/>
              <w:t>VI.</w:t>
            </w:r>
            <w:r>
              <w:rPr>
                <w:rFonts w:ascii="Times New Roman" w:eastAsia="Times New Roman" w:hAnsi="Times New Roman"/>
                <w:b/>
                <w:bCs/>
                <w:color w:val="000000"/>
                <w:sz w:val="14"/>
                <w:szCs w:val="14"/>
                <w:lang w:eastAsia="sl-SI"/>
              </w:rPr>
              <w:t xml:space="preserve"> </w:t>
            </w:r>
            <w:r w:rsidRPr="00256EE3">
              <w:rPr>
                <w:rFonts w:eastAsia="Times New Roman" w:cs="Calibri"/>
                <w:b/>
                <w:bCs/>
                <w:color w:val="000000"/>
                <w:sz w:val="18"/>
                <w:szCs w:val="18"/>
                <w:lang w:eastAsia="sl-SI"/>
              </w:rPr>
              <w:t xml:space="preserve">Ukrep 6: </w:t>
            </w:r>
            <w:r w:rsidRPr="00256EE3">
              <w:rPr>
                <w:rFonts w:eastAsia="Times New Roman" w:cs="Calibri"/>
                <w:color w:val="000000"/>
                <w:sz w:val="18"/>
                <w:szCs w:val="18"/>
                <w:lang w:eastAsia="sl-SI"/>
              </w:rPr>
              <w:t>prometna in energetska infrastruktura</w:t>
            </w:r>
          </w:p>
        </w:tc>
        <w:tc>
          <w:tcPr>
            <w:tcW w:w="1587"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Ministrstvo za infrastrukturo</w:t>
            </w:r>
          </w:p>
        </w:tc>
        <w:tc>
          <w:tcPr>
            <w:tcW w:w="1750"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ukrep se izvaja</w:t>
            </w:r>
          </w:p>
        </w:tc>
        <w:tc>
          <w:tcPr>
            <w:tcW w:w="1811"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109.198,63</w:t>
            </w:r>
          </w:p>
        </w:tc>
        <w:tc>
          <w:tcPr>
            <w:tcW w:w="1749" w:type="dxa"/>
            <w:shd w:val="clear" w:color="000000" w:fill="BFBFBF"/>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Proračun RS</w:t>
            </w:r>
          </w:p>
        </w:tc>
      </w:tr>
      <w:tr w:rsidR="00BC0799" w:rsidRPr="00256EE3" w:rsidTr="006D7802">
        <w:trPr>
          <w:trHeight w:val="8"/>
        </w:trPr>
        <w:tc>
          <w:tcPr>
            <w:tcW w:w="1995" w:type="dxa"/>
            <w:shd w:val="clear" w:color="auto" w:fill="auto"/>
            <w:vAlign w:val="center"/>
            <w:hideMark/>
          </w:tcPr>
          <w:p w:rsidR="00BC0799" w:rsidRPr="00256EE3" w:rsidRDefault="00BC0799" w:rsidP="007102B4">
            <w:pPr>
              <w:spacing w:after="0" w:line="240" w:lineRule="auto"/>
              <w:rPr>
                <w:rFonts w:eastAsia="Times New Roman"/>
                <w:b/>
                <w:bCs/>
                <w:color w:val="000000"/>
                <w:sz w:val="18"/>
                <w:szCs w:val="18"/>
                <w:lang w:eastAsia="sl-SI"/>
              </w:rPr>
            </w:pPr>
            <w:r w:rsidRPr="00256EE3">
              <w:rPr>
                <w:rFonts w:eastAsia="Times New Roman"/>
                <w:b/>
                <w:bCs/>
                <w:color w:val="000000"/>
                <w:sz w:val="18"/>
                <w:szCs w:val="18"/>
                <w:lang w:eastAsia="sl-SI"/>
              </w:rPr>
              <w:t>SKUPAJ</w:t>
            </w:r>
          </w:p>
        </w:tc>
        <w:tc>
          <w:tcPr>
            <w:tcW w:w="1587"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750"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c>
          <w:tcPr>
            <w:tcW w:w="1811"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2.390.629,65</w:t>
            </w:r>
          </w:p>
        </w:tc>
        <w:tc>
          <w:tcPr>
            <w:tcW w:w="1749" w:type="dxa"/>
            <w:shd w:val="clear" w:color="auto" w:fill="auto"/>
            <w:vAlign w:val="center"/>
            <w:hideMark/>
          </w:tcPr>
          <w:p w:rsidR="00BC0799" w:rsidRPr="00256EE3" w:rsidRDefault="00BC0799" w:rsidP="007102B4">
            <w:pPr>
              <w:spacing w:after="0" w:line="240" w:lineRule="auto"/>
              <w:jc w:val="center"/>
              <w:rPr>
                <w:rFonts w:eastAsia="Times New Roman"/>
                <w:color w:val="000000"/>
                <w:sz w:val="18"/>
                <w:szCs w:val="18"/>
                <w:lang w:eastAsia="sl-SI"/>
              </w:rPr>
            </w:pPr>
            <w:r w:rsidRPr="00256EE3">
              <w:rPr>
                <w:rFonts w:eastAsia="Times New Roman"/>
                <w:color w:val="000000"/>
                <w:sz w:val="18"/>
                <w:szCs w:val="18"/>
                <w:lang w:eastAsia="sl-SI"/>
              </w:rPr>
              <w:t> </w:t>
            </w:r>
          </w:p>
        </w:tc>
      </w:tr>
    </w:tbl>
    <w:p w:rsidR="00BC0799" w:rsidRDefault="00BC0799" w:rsidP="00BC0799">
      <w:pPr>
        <w:spacing w:after="0"/>
        <w:jc w:val="both"/>
      </w:pPr>
      <w:r>
        <w:t>Opomba: * - podatek se nanaša na leti  2016 in 2017 skupaj</w:t>
      </w:r>
    </w:p>
    <w:p w:rsidR="00B51082" w:rsidRDefault="00B51082" w:rsidP="00852390">
      <w:pPr>
        <w:spacing w:after="0"/>
        <w:jc w:val="both"/>
        <w:rPr>
          <w:lang w:eastAsia="sl-SI"/>
        </w:rPr>
      </w:pPr>
    </w:p>
    <w:p w:rsidR="00BC0799" w:rsidRDefault="006E4E3C" w:rsidP="00852390">
      <w:pPr>
        <w:spacing w:after="0"/>
        <w:jc w:val="both"/>
        <w:rPr>
          <w:lang w:eastAsia="sl-SI"/>
        </w:rPr>
      </w:pPr>
      <w:r>
        <w:rPr>
          <w:lang w:eastAsia="sl-SI"/>
        </w:rPr>
        <w:t xml:space="preserve">Višina finančnih sredstev za izvedbo ukrepov in instrumentov </w:t>
      </w:r>
      <w:r>
        <w:t xml:space="preserve">Programa </w:t>
      </w:r>
      <w:r w:rsidRPr="007079F8">
        <w:t xml:space="preserve">spodbujanja konkurenčnosti in ukrepov razvojne podpore za problemsko območje z visoko brezposelnostjo Hrastnik, Radeče in Trbovlje v obdobju 2013–2020 </w:t>
      </w:r>
      <w:r>
        <w:t xml:space="preserve"> v letu 2016</w:t>
      </w:r>
      <w:r w:rsidR="00B734EE">
        <w:t>,</w:t>
      </w:r>
      <w:r>
        <w:t xml:space="preserve"> je znašala slabih 2,4 mio EUR.</w:t>
      </w:r>
    </w:p>
    <w:p w:rsidR="00BC0799" w:rsidRDefault="00BC0799" w:rsidP="00852390">
      <w:pPr>
        <w:spacing w:after="0"/>
        <w:jc w:val="both"/>
        <w:rPr>
          <w:lang w:eastAsia="sl-SI"/>
        </w:rPr>
      </w:pPr>
    </w:p>
    <w:p w:rsidR="006E4E3C" w:rsidRDefault="006E4E3C" w:rsidP="00852390">
      <w:pPr>
        <w:spacing w:after="0"/>
        <w:jc w:val="both"/>
        <w:rPr>
          <w:lang w:eastAsia="sl-SI"/>
        </w:rPr>
      </w:pPr>
    </w:p>
    <w:p w:rsidR="006E4E3C" w:rsidRDefault="006E4E3C" w:rsidP="00852390">
      <w:pPr>
        <w:spacing w:after="0"/>
        <w:jc w:val="both"/>
        <w:rPr>
          <w:lang w:eastAsia="sl-SI"/>
        </w:rPr>
      </w:pPr>
    </w:p>
    <w:p w:rsidR="006E4E3C" w:rsidRDefault="006E4E3C" w:rsidP="00852390">
      <w:pPr>
        <w:spacing w:after="0"/>
        <w:jc w:val="both"/>
        <w:rPr>
          <w:lang w:eastAsia="sl-SI"/>
        </w:rPr>
      </w:pPr>
    </w:p>
    <w:p w:rsidR="00837890" w:rsidRDefault="005933FB" w:rsidP="005933FB">
      <w:pPr>
        <w:pStyle w:val="Naslov1"/>
      </w:pPr>
      <w:r>
        <w:br w:type="page"/>
      </w:r>
      <w:bookmarkStart w:id="20" w:name="_Toc503180611"/>
      <w:r w:rsidR="00837890">
        <w:lastRenderedPageBreak/>
        <w:t>Vmesno vrednotenje Programa HRT</w:t>
      </w:r>
      <w:bookmarkEnd w:id="20"/>
    </w:p>
    <w:p w:rsidR="00837890" w:rsidRDefault="00837890" w:rsidP="00837890"/>
    <w:p w:rsidR="00837890" w:rsidRPr="00415BEA" w:rsidRDefault="00415BEA" w:rsidP="00415BEA">
      <w:pPr>
        <w:jc w:val="both"/>
      </w:pPr>
      <w:r w:rsidRPr="00415BEA">
        <w:t xml:space="preserve">V skladu s </w:t>
      </w:r>
      <w:r w:rsidR="006B6B0B">
        <w:t>P</w:t>
      </w:r>
      <w:r w:rsidRPr="00415BEA">
        <w:t xml:space="preserve">rogramom </w:t>
      </w:r>
      <w:r w:rsidRPr="00415BEA">
        <w:rPr>
          <w:rFonts w:cs="Arial"/>
        </w:rPr>
        <w:t>spodbujanja konkurenčnosti in ukrepov razvojne podpore za območje občin Hrastnik, Radeče in Trbovlje v obdobju 2013–2018</w:t>
      </w:r>
      <w:r>
        <w:rPr>
          <w:rFonts w:cs="Arial"/>
        </w:rPr>
        <w:t xml:space="preserve"> je bila predvidena izvedba vmesnega vrednotenja v letu 2016. </w:t>
      </w:r>
      <w:r w:rsidR="00F557BE">
        <w:rPr>
          <w:rFonts w:cs="Arial"/>
        </w:rPr>
        <w:t>Vmesno vrednotenje je</w:t>
      </w:r>
      <w:r w:rsidR="00FF34AD">
        <w:rPr>
          <w:rFonts w:cs="Arial"/>
        </w:rPr>
        <w:t xml:space="preserve"> za obdobje od 25.7.2013 do 31.3.2016 </w:t>
      </w:r>
      <w:r w:rsidR="00F557BE">
        <w:rPr>
          <w:rFonts w:cs="Arial"/>
        </w:rPr>
        <w:t xml:space="preserve">izvedlo podjetje MK projekt, d.o.o., </w:t>
      </w:r>
      <w:r w:rsidR="00BD4259">
        <w:rPr>
          <w:rFonts w:cs="Arial"/>
        </w:rPr>
        <w:t xml:space="preserve">Rogaška cesta 25, </w:t>
      </w:r>
      <w:r w:rsidR="00F557BE">
        <w:rPr>
          <w:rFonts w:cs="Arial"/>
        </w:rPr>
        <w:t>Šmarje pri Jelšah</w:t>
      </w:r>
      <w:r w:rsidR="00662EF1">
        <w:rPr>
          <w:rFonts w:cs="Arial"/>
        </w:rPr>
        <w:t>, poročilo je podjetje moralo pripraviti do 30.9.2016</w:t>
      </w:r>
      <w:r w:rsidR="00F557BE">
        <w:rPr>
          <w:rFonts w:cs="Arial"/>
        </w:rPr>
        <w:t>.</w:t>
      </w:r>
    </w:p>
    <w:p w:rsidR="00837890" w:rsidRDefault="00837890" w:rsidP="00837890"/>
    <w:p w:rsidR="00F557BE" w:rsidRDefault="00F557BE" w:rsidP="00837890">
      <w:r>
        <w:t>Njihove poglavitne ugotovitve</w:t>
      </w:r>
      <w:r w:rsidR="006B6B0B">
        <w:t xml:space="preserve"> in priporočila</w:t>
      </w:r>
      <w:r>
        <w:t>:</w:t>
      </w:r>
    </w:p>
    <w:p w:rsidR="00F557BE" w:rsidRPr="00852247" w:rsidRDefault="00F557BE" w:rsidP="00F557BE">
      <w:pPr>
        <w:numPr>
          <w:ilvl w:val="0"/>
          <w:numId w:val="22"/>
        </w:numPr>
        <w:jc w:val="both"/>
      </w:pPr>
      <w:r w:rsidRPr="00852247">
        <w:t>p</w:t>
      </w:r>
      <w:r w:rsidR="00837890" w:rsidRPr="00852247">
        <w:t>o treh letih od sprejetja Programa HRT se dejansko izvajajo zgolj trije ukrepi (42,8% vseh), finančna realizacija (tistih ukrepov, ki so imeli v programu navedene višine razpoložljivih sredstev) pa je po treh letih od sprejetja programa 18,89</w:t>
      </w:r>
      <w:r w:rsidRPr="00852247">
        <w:t>%;</w:t>
      </w:r>
    </w:p>
    <w:p w:rsidR="00837890" w:rsidRPr="00852247" w:rsidRDefault="00F557BE" w:rsidP="00F557BE">
      <w:pPr>
        <w:numPr>
          <w:ilvl w:val="0"/>
          <w:numId w:val="22"/>
        </w:numPr>
        <w:jc w:val="both"/>
      </w:pPr>
      <w:r w:rsidRPr="00852247">
        <w:t>v</w:t>
      </w:r>
      <w:r w:rsidR="00837890" w:rsidRPr="00852247">
        <w:t xml:space="preserve"> prihodnje </w:t>
      </w:r>
      <w:r w:rsidRPr="00852247">
        <w:t xml:space="preserve">naj se </w:t>
      </w:r>
      <w:r w:rsidR="00837890" w:rsidRPr="00852247">
        <w:t>ukrepi pripravijo bolj temeljito z jasnejšimi cilji, opredeljenimi kazalniki učinka in rezultata ter ustreznimi sredstvi za njihovo realizacijo. Tovrstna priprava ukrepov bo tudi prispevala k bolj jasnem in učinkovitem mehanizmu spremljanja</w:t>
      </w:r>
      <w:r w:rsidRPr="00852247">
        <w:t>;</w:t>
      </w:r>
    </w:p>
    <w:p w:rsidR="00F557BE" w:rsidRPr="00852247" w:rsidRDefault="00F557BE" w:rsidP="00837890">
      <w:pPr>
        <w:numPr>
          <w:ilvl w:val="0"/>
          <w:numId w:val="22"/>
        </w:numPr>
        <w:jc w:val="both"/>
      </w:pPr>
      <w:r w:rsidRPr="00852247">
        <w:t>n</w:t>
      </w:r>
      <w:r w:rsidR="00837890" w:rsidRPr="00852247">
        <w:t xml:space="preserve">ačrtovanje programa kot je Program HRT (ki je dejansko program na lokalnem nivoju), bi moralo biti veliko bolj integrirano, </w:t>
      </w:r>
      <w:proofErr w:type="spellStart"/>
      <w:r w:rsidR="00837890" w:rsidRPr="00852247">
        <w:t>medsektorsko</w:t>
      </w:r>
      <w:proofErr w:type="spellEnd"/>
      <w:r w:rsidR="00837890" w:rsidRPr="00852247">
        <w:t xml:space="preserve"> povezano in upoštevati stanje, specifike in potenciale programskega območja, da bi la</w:t>
      </w:r>
      <w:r w:rsidRPr="00852247">
        <w:t>hko prineslo pričakovane učinke;</w:t>
      </w:r>
    </w:p>
    <w:p w:rsidR="00F557BE" w:rsidRPr="00852247" w:rsidRDefault="00837890" w:rsidP="00837890">
      <w:pPr>
        <w:numPr>
          <w:ilvl w:val="0"/>
          <w:numId w:val="22"/>
        </w:numPr>
        <w:jc w:val="both"/>
      </w:pPr>
      <w:r w:rsidRPr="00852247">
        <w:t xml:space="preserve"> predlog novega ukrepa, namenjenega občinam, katerega namen bi bil vlaganje v javno infrastrukturo. Občine bi lahko odkupile konkretne nepremičnine, ki so v stečajnih masah, jih prestrukturirale in ponudile zainteresiranim podjetjem. Tak ukrep bi bil  pozitiven korak v smeri zajezitve bega možganov, ki je tudi s strani programa prepoznan kot ena izmed n</w:t>
      </w:r>
      <w:r w:rsidR="00F557BE" w:rsidRPr="00852247">
        <w:t>evarnosti programskega območja;</w:t>
      </w:r>
    </w:p>
    <w:p w:rsidR="00F557BE" w:rsidRPr="00852247" w:rsidRDefault="00F557BE" w:rsidP="00837890">
      <w:pPr>
        <w:numPr>
          <w:ilvl w:val="0"/>
          <w:numId w:val="22"/>
        </w:numPr>
        <w:jc w:val="both"/>
      </w:pPr>
      <w:r w:rsidRPr="00852247">
        <w:t>n</w:t>
      </w:r>
      <w:r w:rsidR="00837890" w:rsidRPr="00852247">
        <w:t>a programskem območju se izkazujejo tudi velike potrebe za podporo razvojnih projektov na področju turizma, saj je ta glede na Slovenijo izredno podpovprečno razvit. Potenciala je veliko, zlasti reka Sava, bogata kulturna dediščina območja (Rudniki), veliko je možnosti za aktivni in adrenalinski turizem. Inovativni projekti in pobude bi lahko doprinesle tudi pri sanaciji degradiranih območij. Potenciala je na programskem območju veliko, manjka pa iniciativa in zagonski kapital, ki bi ga</w:t>
      </w:r>
      <w:r w:rsidRPr="00852247">
        <w:t xml:space="preserve"> lahko ponudil tudi Program HRT;</w:t>
      </w:r>
    </w:p>
    <w:p w:rsidR="00F557BE" w:rsidRPr="00852247" w:rsidRDefault="00F557BE" w:rsidP="00837890">
      <w:pPr>
        <w:numPr>
          <w:ilvl w:val="0"/>
          <w:numId w:val="22"/>
        </w:numPr>
        <w:jc w:val="both"/>
      </w:pPr>
      <w:r w:rsidRPr="00852247">
        <w:t>g</w:t>
      </w:r>
      <w:r w:rsidR="00837890" w:rsidRPr="00852247">
        <w:t xml:space="preserve">lede na to, da se na državni ravni izvaja več programov razvojne podpore bi bilo dobro oblikovanje ustreznejše metodologije in smernic za njihovo pripravo v luči določitve minimalnih standardov in elementov, ki jih mora vsebovati vsak izmed ukrepov. To področje je sicer že obravnavano v Uredbi o dokumentih razvojnega načrtovanja in postopkih za pripravo predloga državnega proračuna (Ur. l. RS št. 44/07, 54/10), vendar bi jo bilo potrebno ustrezno nadgraditi. V kolikor za določen ukrep ni podana ustrezna argumentacija, niso jasno postavljeni kazalniki učinka in rezultata, za njihovo dosego namenjena zadostna količina sredstev ali pa se že </w:t>
      </w:r>
      <w:r w:rsidR="00837890" w:rsidRPr="00852247">
        <w:lastRenderedPageBreak/>
        <w:t>samostojno izvaja v okviru drugih shem programov ali politik (kot je to v primeru Programa HRT), potem ukrepa ni možno vključiti v program razvojne podpore</w:t>
      </w:r>
      <w:r w:rsidRPr="00852247">
        <w:t>;</w:t>
      </w:r>
    </w:p>
    <w:p w:rsidR="00F557BE" w:rsidRPr="00852247" w:rsidRDefault="00837890" w:rsidP="00837890">
      <w:pPr>
        <w:numPr>
          <w:ilvl w:val="0"/>
          <w:numId w:val="22"/>
        </w:numPr>
        <w:jc w:val="both"/>
      </w:pPr>
      <w:r w:rsidRPr="00852247">
        <w:t>okrepitev sodelovanja med deležniki programa zlasti na državni institucionalni ravni in večje sodelovanje z lokalnimi deležniki (območne obrtno-gospodarske zbornice, gospodarske zbornice, po</w:t>
      </w:r>
      <w:r w:rsidR="00F557BE" w:rsidRPr="00852247">
        <w:t xml:space="preserve">djetniški inkubatorji, občine); </w:t>
      </w:r>
    </w:p>
    <w:p w:rsidR="00F557BE" w:rsidRPr="00852247" w:rsidRDefault="00F557BE" w:rsidP="00837890">
      <w:pPr>
        <w:numPr>
          <w:ilvl w:val="0"/>
          <w:numId w:val="22"/>
        </w:numPr>
        <w:jc w:val="both"/>
      </w:pPr>
      <w:r w:rsidRPr="00852247">
        <w:t>o</w:t>
      </w:r>
      <w:r w:rsidR="00837890" w:rsidRPr="00852247">
        <w:t>krepiti je potrebno podporno okolje za upravičence in sprejeti odločitve v smeri njihov</w:t>
      </w:r>
      <w:r w:rsidRPr="00852247">
        <w:t>e administrativne razbremenitve;</w:t>
      </w:r>
      <w:r w:rsidR="00837890" w:rsidRPr="00852247">
        <w:t xml:space="preserve"> </w:t>
      </w:r>
    </w:p>
    <w:p w:rsidR="00837890" w:rsidRPr="00852247" w:rsidRDefault="00F557BE" w:rsidP="00837890">
      <w:pPr>
        <w:numPr>
          <w:ilvl w:val="0"/>
          <w:numId w:val="22"/>
        </w:numPr>
        <w:jc w:val="both"/>
      </w:pPr>
      <w:r w:rsidRPr="00852247">
        <w:t>p</w:t>
      </w:r>
      <w:r w:rsidR="00837890" w:rsidRPr="00852247">
        <w:t>rijavitelji in upravičenci bi si želeli več kvalitetnih predstavitev možnosti, ki jih ponuja Program HRT (predstavitev razpisov, podajanje konkretnih odgovorov na njihova specifična vprašanja, reševanje problemov).</w:t>
      </w:r>
    </w:p>
    <w:p w:rsidR="00837890" w:rsidRDefault="00837890" w:rsidP="00837890"/>
    <w:p w:rsidR="002C21E8" w:rsidRDefault="002C21E8" w:rsidP="00837890">
      <w:r>
        <w:t>Odziv MGRT na podana priporočila:</w:t>
      </w:r>
    </w:p>
    <w:p w:rsidR="008B0121" w:rsidRDefault="002C21E8" w:rsidP="00574341">
      <w:pPr>
        <w:jc w:val="both"/>
      </w:pPr>
      <w:r>
        <w:t xml:space="preserve">MGRT je s Spremembo </w:t>
      </w:r>
      <w:r w:rsidR="008B7952">
        <w:t>P</w:t>
      </w:r>
      <w:r>
        <w:t>rograma spodbujanja konkurenčnosti in ukrepov razvojne podpore za območje občin Hrastnik, Radeče in Trbovlje z dne 23.</w:t>
      </w:r>
      <w:r w:rsidR="008B7952">
        <w:t>6.</w:t>
      </w:r>
      <w:r>
        <w:t>2016 nekatera od priporočil (ki so bila podana v zaključnem poročilu v septembru 2016) sicer že upošteval</w:t>
      </w:r>
      <w:r w:rsidR="008B7952">
        <w:t>;</w:t>
      </w:r>
      <w:r>
        <w:t xml:space="preserve"> tako je uskladil ukrepe in instrumente Programov spodbujanja konkurenčnosti za vsa štiri problemska območja (HRT</w:t>
      </w:r>
      <w:r w:rsidR="008B0121">
        <w:t>,</w:t>
      </w:r>
      <w:r>
        <w:t xml:space="preserve"> </w:t>
      </w:r>
      <w:proofErr w:type="spellStart"/>
      <w:r>
        <w:t>Pokolpje</w:t>
      </w:r>
      <w:proofErr w:type="spellEnd"/>
      <w:r>
        <w:t>, Maribor z okolico in Pomurje), glede na specifiko posameznega problemskega območja pa je ohranil posamezne instrumente, ki jih je predlagala lokalna raven na podlagi identificiranih potreb, tak</w:t>
      </w:r>
      <w:r w:rsidR="008B0121">
        <w:t>šen</w:t>
      </w:r>
      <w:r>
        <w:t xml:space="preserve"> primer je regijsko specifični instrument PVSP HRT. </w:t>
      </w:r>
      <w:r w:rsidR="00574341">
        <w:t xml:space="preserve">Prav tako se je uskladila finančna konstrukcija programov glede na razpoložljiva proračunska in EU sredstva za problemska območja. </w:t>
      </w:r>
      <w:r w:rsidR="00744EB9">
        <w:t>MGRT oz. njegovi izvajalski instituciji, Slovenski podjetniški sklad in Slovenski regionalni razvojni sklad</w:t>
      </w:r>
      <w:r w:rsidR="008B0121">
        <w:t>,</w:t>
      </w:r>
      <w:r w:rsidR="00744EB9">
        <w:t xml:space="preserve"> sta pripravila oz.  objavila enoten razpis za posamezen instrument za vsa problemska področja sku</w:t>
      </w:r>
      <w:r w:rsidR="008B0121">
        <w:t>p</w:t>
      </w:r>
      <w:r w:rsidR="00744EB9">
        <w:t>aj, s cilje</w:t>
      </w:r>
      <w:r w:rsidR="008B0121">
        <w:t>m</w:t>
      </w:r>
      <w:r w:rsidR="00744EB9">
        <w:t xml:space="preserve">, da pride do čim manjšega odstopanja pri izvajanju posameznih instrumentov na vseh štirih problemskih območjih (kot npr. instrument: subvencije za zagon podjetij, mikrokrediti in ugodni razvojni krediti za investicije). </w:t>
      </w:r>
      <w:r w:rsidR="00EA7A71">
        <w:t xml:space="preserve"> Tudi nekatere aktivnosti promocije območja HRT in privabljanja tujih in domačih investitorjev se izvajajo usklajeno s preostalimi tremi problemskimi območji ( v l. 2017 je to npr. dogodek SEE MEET 2017). </w:t>
      </w:r>
    </w:p>
    <w:p w:rsidR="002C21E8" w:rsidRDefault="0040239A" w:rsidP="00574341">
      <w:pPr>
        <w:jc w:val="both"/>
      </w:pPr>
      <w:r>
        <w:t xml:space="preserve">Vse aktivnosti v zvezi z izvajanjem in spremembami Programa HRT MGRT redno usklajuje z obema pristojnima </w:t>
      </w:r>
      <w:proofErr w:type="spellStart"/>
      <w:r>
        <w:t>RRAjema</w:t>
      </w:r>
      <w:proofErr w:type="spellEnd"/>
      <w:r>
        <w:t xml:space="preserve"> (RRA Posavje in RRA Zasavje) in župani občin</w:t>
      </w:r>
      <w:r w:rsidR="008B0121">
        <w:t>,</w:t>
      </w:r>
      <w:r>
        <w:t xml:space="preserve"> vključenih v problemsko območje Hrastnik, Radeče, Trbovlje. </w:t>
      </w:r>
      <w:r w:rsidR="003C083C">
        <w:t>MGRT tako pri izvajanju Programa konkurenčnosti HRT skrbi za to, da so upoštevane lokalne posebnosti, želje</w:t>
      </w:r>
      <w:r w:rsidR="008B0121">
        <w:t>, potrebe</w:t>
      </w:r>
      <w:r w:rsidR="003C083C">
        <w:t xml:space="preserve"> in predlogi in na drugi strani, da izvaja usklajeno in do največje možne mere enotno politiko na problemskih območjih. </w:t>
      </w:r>
    </w:p>
    <w:p w:rsidR="002C21E8" w:rsidRPr="00837890" w:rsidRDefault="002C21E8" w:rsidP="00837890"/>
    <w:sectPr w:rsidR="002C21E8" w:rsidRPr="00837890" w:rsidSect="0019054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F74" w:rsidRDefault="00046F74" w:rsidP="003436FC">
      <w:pPr>
        <w:spacing w:after="0" w:line="240" w:lineRule="auto"/>
      </w:pPr>
      <w:r>
        <w:separator/>
      </w:r>
    </w:p>
  </w:endnote>
  <w:endnote w:type="continuationSeparator" w:id="0">
    <w:p w:rsidR="00046F74" w:rsidRDefault="00046F74" w:rsidP="0034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Scala">
    <w:altName w:val="Century"/>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82" w:rsidRDefault="00B5108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82" w:rsidRDefault="00B51082">
    <w:pPr>
      <w:pStyle w:val="Noga"/>
      <w:jc w:val="right"/>
    </w:pPr>
    <w:r>
      <w:fldChar w:fldCharType="begin"/>
    </w:r>
    <w:r>
      <w:instrText>PAGE   \* MERGEFORMAT</w:instrText>
    </w:r>
    <w:r>
      <w:fldChar w:fldCharType="separate"/>
    </w:r>
    <w:r w:rsidR="00CA5623">
      <w:rPr>
        <w:noProof/>
      </w:rPr>
      <w:t>10</w:t>
    </w:r>
    <w:r>
      <w:fldChar w:fldCharType="end"/>
    </w:r>
  </w:p>
  <w:p w:rsidR="00B51082" w:rsidRDefault="00B5108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F74" w:rsidRDefault="00046F74" w:rsidP="003436FC">
      <w:pPr>
        <w:spacing w:after="0" w:line="240" w:lineRule="auto"/>
      </w:pPr>
      <w:r>
        <w:separator/>
      </w:r>
    </w:p>
  </w:footnote>
  <w:footnote w:type="continuationSeparator" w:id="0">
    <w:p w:rsidR="00046F74" w:rsidRDefault="00046F74" w:rsidP="003436FC">
      <w:pPr>
        <w:spacing w:after="0" w:line="240" w:lineRule="auto"/>
      </w:pPr>
      <w:r>
        <w:continuationSeparator/>
      </w:r>
    </w:p>
  </w:footnote>
  <w:footnote w:id="1">
    <w:p w:rsidR="00B51082" w:rsidRPr="00E275CB" w:rsidRDefault="00B51082" w:rsidP="00FE7584">
      <w:pPr>
        <w:pStyle w:val="Sprotnaopomba-besedilo"/>
        <w:rPr>
          <w:rFonts w:ascii="Calibri" w:hAnsi="Calibri"/>
          <w:lang w:val="sl-SI"/>
        </w:rPr>
      </w:pPr>
      <w:r w:rsidRPr="000F3497">
        <w:rPr>
          <w:rStyle w:val="Sprotnaopomba-sklic"/>
          <w:rFonts w:ascii="Scala" w:hAnsi="Scala"/>
          <w:lang w:val="sl-SI"/>
        </w:rPr>
        <w:footnoteRef/>
      </w:r>
      <w:r w:rsidRPr="000F3497">
        <w:rPr>
          <w:rFonts w:ascii="Scala" w:hAnsi="Scala"/>
          <w:lang w:val="sl-SI"/>
        </w:rPr>
        <w:t xml:space="preserve"> </w:t>
      </w:r>
      <w:r w:rsidRPr="00E275CB">
        <w:rPr>
          <w:rFonts w:ascii="Calibri" w:hAnsi="Calibri"/>
          <w:lang w:val="sl-SI"/>
        </w:rPr>
        <w:t>V Programu HRT je ta skupina imenovana kot: »nima dokončane višje ali srednje stopnje izobrazbe ali poklicnega usposabljanja«</w:t>
      </w:r>
    </w:p>
  </w:footnote>
  <w:footnote w:id="2">
    <w:p w:rsidR="00B51082" w:rsidRPr="00E275CB" w:rsidRDefault="00B51082" w:rsidP="00FE7584">
      <w:pPr>
        <w:pStyle w:val="Sprotnaopomba-besedilo"/>
        <w:rPr>
          <w:rFonts w:ascii="Calibri" w:hAnsi="Calibri"/>
          <w:lang w:val="sl-SI"/>
        </w:rPr>
      </w:pPr>
      <w:r w:rsidRPr="00E275CB">
        <w:rPr>
          <w:rStyle w:val="Sprotnaopomba-sklic"/>
          <w:rFonts w:ascii="Calibri" w:hAnsi="Calibri"/>
          <w:lang w:val="sl-SI"/>
        </w:rPr>
        <w:footnoteRef/>
      </w:r>
      <w:r>
        <w:rPr>
          <w:rFonts w:ascii="Calibri" w:hAnsi="Calibri"/>
          <w:lang w:val="sl-SI"/>
        </w:rPr>
        <w:t xml:space="preserve"> </w:t>
      </w:r>
      <w:r>
        <w:rPr>
          <w:rFonts w:ascii="Calibri" w:hAnsi="Calibri"/>
          <w:lang w:val="sl-SI"/>
        </w:rPr>
        <w:t>Uradni list RS št. 93/14</w:t>
      </w:r>
    </w:p>
  </w:footnote>
  <w:footnote w:id="3">
    <w:p w:rsidR="00B51082" w:rsidRPr="00D672B0" w:rsidRDefault="00B51082" w:rsidP="00DF540C">
      <w:pPr>
        <w:pStyle w:val="Sprotnaopomba-besedilo"/>
        <w:rPr>
          <w:rFonts w:ascii="Calibri" w:hAnsi="Calibri"/>
          <w:lang w:val="sl-SI"/>
        </w:rPr>
      </w:pPr>
      <w:r w:rsidRPr="000F3497">
        <w:rPr>
          <w:rStyle w:val="Sprotnaopomba-sklic"/>
          <w:rFonts w:ascii="Scala" w:hAnsi="Scala"/>
          <w:lang w:val="sl-SI"/>
        </w:rPr>
        <w:footnoteRef/>
      </w:r>
      <w:r w:rsidRPr="000F3497">
        <w:rPr>
          <w:rFonts w:ascii="Scala" w:hAnsi="Scala"/>
          <w:lang w:val="sl-SI"/>
        </w:rPr>
        <w:t xml:space="preserve"> </w:t>
      </w:r>
      <w:r w:rsidRPr="00D672B0">
        <w:rPr>
          <w:rFonts w:ascii="Calibri" w:hAnsi="Calibri"/>
          <w:lang w:val="sl-SI"/>
        </w:rPr>
        <w:t xml:space="preserve">Pristojno ministrstvo je pogojeno glede na </w:t>
      </w:r>
      <w:r>
        <w:rPr>
          <w:rFonts w:ascii="Calibri" w:hAnsi="Calibri"/>
          <w:lang w:val="sl-SI"/>
        </w:rPr>
        <w:t>glavni</w:t>
      </w:r>
      <w:r w:rsidRPr="00D672B0">
        <w:rPr>
          <w:rFonts w:ascii="Calibri" w:hAnsi="Calibri"/>
          <w:lang w:val="sl-SI"/>
        </w:rPr>
        <w:t xml:space="preserve"> sklad, iz katerega LAS črpa sredstva.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693"/>
    <w:multiLevelType w:val="multilevel"/>
    <w:tmpl w:val="E2767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C012962"/>
    <w:multiLevelType w:val="hybridMultilevel"/>
    <w:tmpl w:val="8758CB30"/>
    <w:lvl w:ilvl="0" w:tplc="04240001">
      <w:start w:val="1"/>
      <w:numFmt w:val="bullet"/>
      <w:lvlText w:val=""/>
      <w:lvlJc w:val="left"/>
      <w:pPr>
        <w:ind w:left="502" w:hanging="360"/>
      </w:pPr>
      <w:rPr>
        <w:rFonts w:ascii="Symbol" w:hAnsi="Symbol" w:hint="default"/>
      </w:rPr>
    </w:lvl>
    <w:lvl w:ilvl="1" w:tplc="5F70AE7E">
      <w:start w:val="1"/>
      <w:numFmt w:val="bullet"/>
      <w:lvlText w:val=""/>
      <w:lvlJc w:val="left"/>
      <w:pPr>
        <w:ind w:left="1134" w:hanging="349"/>
      </w:pPr>
      <w:rPr>
        <w:rFonts w:ascii="Symbol" w:hAnsi="Symbol" w:hint="default"/>
      </w:rPr>
    </w:lvl>
    <w:lvl w:ilvl="2" w:tplc="6764E9EA">
      <w:start w:val="1"/>
      <w:numFmt w:val="bullet"/>
      <w:lvlText w:val=""/>
      <w:lvlJc w:val="left"/>
      <w:pPr>
        <w:ind w:left="1706" w:hanging="572"/>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9D83C0D"/>
    <w:multiLevelType w:val="hybridMultilevel"/>
    <w:tmpl w:val="02640A2E"/>
    <w:lvl w:ilvl="0" w:tplc="0424000F">
      <w:start w:val="1"/>
      <w:numFmt w:val="decimal"/>
      <w:lvlText w:val="%1."/>
      <w:lvlJc w:val="left"/>
      <w:pPr>
        <w:ind w:left="720" w:hanging="360"/>
      </w:pPr>
      <w:rPr>
        <w:rFonts w:hint="default"/>
        <w:color w:val="C00000"/>
        <w:sz w:val="18"/>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9DA66AB"/>
    <w:multiLevelType w:val="hybridMultilevel"/>
    <w:tmpl w:val="DF4638B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BF37200"/>
    <w:multiLevelType w:val="hybridMultilevel"/>
    <w:tmpl w:val="54F227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8172CEA"/>
    <w:multiLevelType w:val="multilevel"/>
    <w:tmpl w:val="1C429A94"/>
    <w:lvl w:ilvl="0">
      <w:start w:val="1"/>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570"/>
        </w:tabs>
        <w:ind w:left="570" w:hanging="390"/>
      </w:pPr>
      <w:rPr>
        <w:rFonts w:hint="default"/>
        <w:color w:val="000000"/>
      </w:rPr>
    </w:lvl>
    <w:lvl w:ilvl="2">
      <w:start w:val="1"/>
      <w:numFmt w:val="decimal"/>
      <w:lvlText w:val="%1.%2.%3"/>
      <w:lvlJc w:val="left"/>
      <w:pPr>
        <w:tabs>
          <w:tab w:val="num" w:pos="1080"/>
        </w:tabs>
        <w:ind w:left="1080" w:hanging="720"/>
      </w:pPr>
      <w:rPr>
        <w:rFonts w:hint="default"/>
        <w:color w:val="000000"/>
        <w:lang w:val="sl-SI"/>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440"/>
        </w:tabs>
        <w:ind w:left="1440" w:hanging="72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160"/>
        </w:tabs>
        <w:ind w:left="2160" w:hanging="108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2880"/>
        </w:tabs>
        <w:ind w:left="2880" w:hanging="1440"/>
      </w:pPr>
      <w:rPr>
        <w:rFonts w:hint="default"/>
        <w:color w:val="000000"/>
      </w:rPr>
    </w:lvl>
  </w:abstractNum>
  <w:abstractNum w:abstractNumId="6">
    <w:nsid w:val="30D80FDB"/>
    <w:multiLevelType w:val="hybridMultilevel"/>
    <w:tmpl w:val="0CB6FADA"/>
    <w:lvl w:ilvl="0" w:tplc="E214A942">
      <w:start w:val="5"/>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3190144"/>
    <w:multiLevelType w:val="hybridMultilevel"/>
    <w:tmpl w:val="79923FDA"/>
    <w:lvl w:ilvl="0" w:tplc="0096DEEA">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DD97010"/>
    <w:multiLevelType w:val="hybridMultilevel"/>
    <w:tmpl w:val="A9907D30"/>
    <w:lvl w:ilvl="0" w:tplc="3CECA4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81936DB"/>
    <w:multiLevelType w:val="multilevel"/>
    <w:tmpl w:val="13FE7DB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4B6F2C46"/>
    <w:multiLevelType w:val="hybridMultilevel"/>
    <w:tmpl w:val="497A26EA"/>
    <w:lvl w:ilvl="0" w:tplc="DE527DF4">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C301624"/>
    <w:multiLevelType w:val="hybridMultilevel"/>
    <w:tmpl w:val="63E6F6B0"/>
    <w:lvl w:ilvl="0" w:tplc="D26CFA6A">
      <w:start w:val="1"/>
      <w:numFmt w:val="upperRoman"/>
      <w:lvlText w:val="%1."/>
      <w:lvlJc w:val="left"/>
      <w:pPr>
        <w:ind w:left="1080" w:hanging="720"/>
      </w:pPr>
      <w:rPr>
        <w:rFonts w:cs="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0191F47"/>
    <w:multiLevelType w:val="hybridMultilevel"/>
    <w:tmpl w:val="75E44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29F7082"/>
    <w:multiLevelType w:val="multilevel"/>
    <w:tmpl w:val="41002F16"/>
    <w:lvl w:ilvl="0">
      <w:start w:val="1"/>
      <w:numFmt w:val="decimal"/>
      <w:lvlText w:val="%1"/>
      <w:lvlJc w:val="left"/>
      <w:pPr>
        <w:tabs>
          <w:tab w:val="num" w:pos="390"/>
        </w:tabs>
        <w:ind w:left="390" w:hanging="390"/>
      </w:pPr>
      <w:rPr>
        <w:rFonts w:hint="default"/>
        <w:color w:val="000000"/>
      </w:rPr>
    </w:lvl>
    <w:lvl w:ilvl="1">
      <w:start w:val="1"/>
      <w:numFmt w:val="decimal"/>
      <w:lvlText w:val="%1.%2"/>
      <w:lvlJc w:val="left"/>
      <w:pPr>
        <w:tabs>
          <w:tab w:val="num" w:pos="570"/>
        </w:tabs>
        <w:ind w:left="570" w:hanging="390"/>
      </w:pPr>
      <w:rPr>
        <w:rFonts w:hint="default"/>
        <w:color w:val="000000"/>
      </w:rPr>
    </w:lvl>
    <w:lvl w:ilvl="2">
      <w:start w:val="1"/>
      <w:numFmt w:val="decimal"/>
      <w:pStyle w:val="Naslov3pravi"/>
      <w:lvlText w:val="%1.%2.%3"/>
      <w:lvlJc w:val="left"/>
      <w:pPr>
        <w:tabs>
          <w:tab w:val="num" w:pos="1080"/>
        </w:tabs>
        <w:ind w:left="1080" w:hanging="720"/>
      </w:pPr>
      <w:rPr>
        <w:rFonts w:hint="default"/>
        <w:color w:val="000000"/>
        <w:lang w:val="sl-SI"/>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440"/>
        </w:tabs>
        <w:ind w:left="1440" w:hanging="72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160"/>
        </w:tabs>
        <w:ind w:left="2160" w:hanging="108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2880"/>
        </w:tabs>
        <w:ind w:left="2880" w:hanging="1440"/>
      </w:pPr>
      <w:rPr>
        <w:rFonts w:hint="default"/>
        <w:color w:val="000000"/>
      </w:rPr>
    </w:lvl>
  </w:abstractNum>
  <w:abstractNum w:abstractNumId="14">
    <w:nsid w:val="562A405C"/>
    <w:multiLevelType w:val="hybridMultilevel"/>
    <w:tmpl w:val="8162077E"/>
    <w:lvl w:ilvl="0" w:tplc="1BB42C5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56484FF6"/>
    <w:multiLevelType w:val="hybridMultilevel"/>
    <w:tmpl w:val="CBDC56A8"/>
    <w:lvl w:ilvl="0" w:tplc="0424000F">
      <w:start w:val="1"/>
      <w:numFmt w:val="decimal"/>
      <w:lvlText w:val="%1."/>
      <w:lvlJc w:val="left"/>
      <w:pPr>
        <w:ind w:left="1620" w:hanging="360"/>
      </w:pPr>
    </w:lvl>
    <w:lvl w:ilvl="1" w:tplc="04240019" w:tentative="1">
      <w:start w:val="1"/>
      <w:numFmt w:val="lowerLetter"/>
      <w:lvlText w:val="%2."/>
      <w:lvlJc w:val="left"/>
      <w:pPr>
        <w:ind w:left="2340" w:hanging="360"/>
      </w:pPr>
    </w:lvl>
    <w:lvl w:ilvl="2" w:tplc="0424001B" w:tentative="1">
      <w:start w:val="1"/>
      <w:numFmt w:val="lowerRoman"/>
      <w:lvlText w:val="%3."/>
      <w:lvlJc w:val="right"/>
      <w:pPr>
        <w:ind w:left="3060" w:hanging="180"/>
      </w:pPr>
    </w:lvl>
    <w:lvl w:ilvl="3" w:tplc="0424000F" w:tentative="1">
      <w:start w:val="1"/>
      <w:numFmt w:val="decimal"/>
      <w:lvlText w:val="%4."/>
      <w:lvlJc w:val="left"/>
      <w:pPr>
        <w:ind w:left="3780" w:hanging="360"/>
      </w:pPr>
    </w:lvl>
    <w:lvl w:ilvl="4" w:tplc="04240019" w:tentative="1">
      <w:start w:val="1"/>
      <w:numFmt w:val="lowerLetter"/>
      <w:lvlText w:val="%5."/>
      <w:lvlJc w:val="left"/>
      <w:pPr>
        <w:ind w:left="4500" w:hanging="360"/>
      </w:pPr>
    </w:lvl>
    <w:lvl w:ilvl="5" w:tplc="0424001B" w:tentative="1">
      <w:start w:val="1"/>
      <w:numFmt w:val="lowerRoman"/>
      <w:lvlText w:val="%6."/>
      <w:lvlJc w:val="right"/>
      <w:pPr>
        <w:ind w:left="5220" w:hanging="180"/>
      </w:pPr>
    </w:lvl>
    <w:lvl w:ilvl="6" w:tplc="0424000F" w:tentative="1">
      <w:start w:val="1"/>
      <w:numFmt w:val="decimal"/>
      <w:lvlText w:val="%7."/>
      <w:lvlJc w:val="left"/>
      <w:pPr>
        <w:ind w:left="5940" w:hanging="360"/>
      </w:pPr>
    </w:lvl>
    <w:lvl w:ilvl="7" w:tplc="04240019" w:tentative="1">
      <w:start w:val="1"/>
      <w:numFmt w:val="lowerLetter"/>
      <w:lvlText w:val="%8."/>
      <w:lvlJc w:val="left"/>
      <w:pPr>
        <w:ind w:left="6660" w:hanging="360"/>
      </w:pPr>
    </w:lvl>
    <w:lvl w:ilvl="8" w:tplc="0424001B" w:tentative="1">
      <w:start w:val="1"/>
      <w:numFmt w:val="lowerRoman"/>
      <w:lvlText w:val="%9."/>
      <w:lvlJc w:val="right"/>
      <w:pPr>
        <w:ind w:left="7380" w:hanging="180"/>
      </w:pPr>
    </w:lvl>
  </w:abstractNum>
  <w:abstractNum w:abstractNumId="16">
    <w:nsid w:val="5E9F3989"/>
    <w:multiLevelType w:val="hybridMultilevel"/>
    <w:tmpl w:val="04DCAA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0E57922"/>
    <w:multiLevelType w:val="hybridMultilevel"/>
    <w:tmpl w:val="BA82BD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18915F9"/>
    <w:multiLevelType w:val="hybridMultilevel"/>
    <w:tmpl w:val="496E614E"/>
    <w:lvl w:ilvl="0" w:tplc="83DE787A">
      <w:start w:val="11"/>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63B55E4B"/>
    <w:multiLevelType w:val="hybridMultilevel"/>
    <w:tmpl w:val="7ADE25D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70216C7C"/>
    <w:multiLevelType w:val="hybridMultilevel"/>
    <w:tmpl w:val="5F8294A2"/>
    <w:lvl w:ilvl="0" w:tplc="04240001">
      <w:start w:val="1"/>
      <w:numFmt w:val="bullet"/>
      <w:lvlText w:val=""/>
      <w:lvlJc w:val="left"/>
      <w:pPr>
        <w:ind w:left="720" w:hanging="360"/>
      </w:pPr>
      <w:rPr>
        <w:rFonts w:ascii="Symbol" w:hAnsi="Symbol" w:hint="default"/>
        <w:color w:val="C00000"/>
        <w:sz w:val="18"/>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1407570"/>
    <w:multiLevelType w:val="hybridMultilevel"/>
    <w:tmpl w:val="2D3EFC88"/>
    <w:lvl w:ilvl="0" w:tplc="9D38EC06">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71A7627E"/>
    <w:multiLevelType w:val="hybridMultilevel"/>
    <w:tmpl w:val="7B782EFE"/>
    <w:lvl w:ilvl="0" w:tplc="0424000F">
      <w:start w:val="1"/>
      <w:numFmt w:val="decimal"/>
      <w:lvlText w:val="%1."/>
      <w:lvlJc w:val="left"/>
      <w:pPr>
        <w:ind w:left="720" w:hanging="360"/>
      </w:pPr>
      <w:rPr>
        <w:rFonts w:hint="default"/>
        <w:color w:val="C00000"/>
        <w:sz w:val="18"/>
        <w14:shadow w14:blurRad="0" w14:dist="0" w14:dir="0" w14:sx="0" w14:sy="0" w14:kx="0" w14:ky="0" w14:algn="none">
          <w14:srgbClr w14:val="000000"/>
        </w14:shadow>
        <w14:textOutline w14:w="0" w14:cap="rnd" w14:cmpd="sng" w14:algn="ctr">
          <w14:noFill/>
          <w14:prstDash w14:val="solid"/>
          <w14:bevel/>
        </w14:textOut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2CF337F"/>
    <w:multiLevelType w:val="hybridMultilevel"/>
    <w:tmpl w:val="7C7871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3AF4DB4"/>
    <w:multiLevelType w:val="multilevel"/>
    <w:tmpl w:val="948683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70E2136"/>
    <w:multiLevelType w:val="hybridMultilevel"/>
    <w:tmpl w:val="A7249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8F51CC7"/>
    <w:multiLevelType w:val="hybridMultilevel"/>
    <w:tmpl w:val="901AD2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7EF30A2C"/>
    <w:multiLevelType w:val="hybridMultilevel"/>
    <w:tmpl w:val="18E2156E"/>
    <w:lvl w:ilvl="0" w:tplc="89B09802">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num>
  <w:num w:numId="4">
    <w:abstractNumId w:val="5"/>
  </w:num>
  <w:num w:numId="5">
    <w:abstractNumId w:val="3"/>
  </w:num>
  <w:num w:numId="6">
    <w:abstractNumId w:val="21"/>
  </w:num>
  <w:num w:numId="7">
    <w:abstractNumId w:val="25"/>
  </w:num>
  <w:num w:numId="8">
    <w:abstractNumId w:val="0"/>
  </w:num>
  <w:num w:numId="9">
    <w:abstractNumId w:val="4"/>
  </w:num>
  <w:num w:numId="10">
    <w:abstractNumId w:val="24"/>
  </w:num>
  <w:num w:numId="11">
    <w:abstractNumId w:val="23"/>
  </w:num>
  <w:num w:numId="12">
    <w:abstractNumId w:val="13"/>
  </w:num>
  <w:num w:numId="13">
    <w:abstractNumId w:val="19"/>
  </w:num>
  <w:num w:numId="14">
    <w:abstractNumId w:val="9"/>
  </w:num>
  <w:num w:numId="15">
    <w:abstractNumId w:val="2"/>
  </w:num>
  <w:num w:numId="16">
    <w:abstractNumId w:val="8"/>
  </w:num>
  <w:num w:numId="17">
    <w:abstractNumId w:val="22"/>
  </w:num>
  <w:num w:numId="18">
    <w:abstractNumId w:val="11"/>
  </w:num>
  <w:num w:numId="19">
    <w:abstractNumId w:val="6"/>
  </w:num>
  <w:num w:numId="20">
    <w:abstractNumId w:val="20"/>
  </w:num>
  <w:num w:numId="21">
    <w:abstractNumId w:val="16"/>
  </w:num>
  <w:num w:numId="22">
    <w:abstractNumId w:val="26"/>
  </w:num>
  <w:num w:numId="23">
    <w:abstractNumId w:val="1"/>
  </w:num>
  <w:num w:numId="24">
    <w:abstractNumId w:val="27"/>
  </w:num>
  <w:num w:numId="25">
    <w:abstractNumId w:val="17"/>
  </w:num>
  <w:num w:numId="26">
    <w:abstractNumId w:val="14"/>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B5"/>
    <w:rsid w:val="00000741"/>
    <w:rsid w:val="000063BA"/>
    <w:rsid w:val="00006F90"/>
    <w:rsid w:val="00015A0A"/>
    <w:rsid w:val="0001677B"/>
    <w:rsid w:val="00025E51"/>
    <w:rsid w:val="00044120"/>
    <w:rsid w:val="00046F74"/>
    <w:rsid w:val="00051DFA"/>
    <w:rsid w:val="00052DF2"/>
    <w:rsid w:val="00067849"/>
    <w:rsid w:val="00067A9C"/>
    <w:rsid w:val="0007126F"/>
    <w:rsid w:val="0007246F"/>
    <w:rsid w:val="00076D10"/>
    <w:rsid w:val="00080B08"/>
    <w:rsid w:val="00083099"/>
    <w:rsid w:val="00083586"/>
    <w:rsid w:val="00086C6C"/>
    <w:rsid w:val="000874EB"/>
    <w:rsid w:val="00092B4A"/>
    <w:rsid w:val="00096AAF"/>
    <w:rsid w:val="00097000"/>
    <w:rsid w:val="000A1C3B"/>
    <w:rsid w:val="000A2F52"/>
    <w:rsid w:val="000A333A"/>
    <w:rsid w:val="000C143C"/>
    <w:rsid w:val="000C2A7B"/>
    <w:rsid w:val="000D1AED"/>
    <w:rsid w:val="000D7ACF"/>
    <w:rsid w:val="000D7AD1"/>
    <w:rsid w:val="000E05E9"/>
    <w:rsid w:val="000E14B4"/>
    <w:rsid w:val="000E4D43"/>
    <w:rsid w:val="000E7FCD"/>
    <w:rsid w:val="000F3525"/>
    <w:rsid w:val="000F396E"/>
    <w:rsid w:val="000F3DD4"/>
    <w:rsid w:val="000F3FDB"/>
    <w:rsid w:val="000F53C5"/>
    <w:rsid w:val="001009B2"/>
    <w:rsid w:val="00106A46"/>
    <w:rsid w:val="001100D8"/>
    <w:rsid w:val="0011056F"/>
    <w:rsid w:val="001119C5"/>
    <w:rsid w:val="00127A71"/>
    <w:rsid w:val="001345FA"/>
    <w:rsid w:val="00134E41"/>
    <w:rsid w:val="001367D9"/>
    <w:rsid w:val="00137716"/>
    <w:rsid w:val="001408EA"/>
    <w:rsid w:val="00154363"/>
    <w:rsid w:val="0016527D"/>
    <w:rsid w:val="00174E19"/>
    <w:rsid w:val="001757B2"/>
    <w:rsid w:val="0017723C"/>
    <w:rsid w:val="001811E8"/>
    <w:rsid w:val="0018216D"/>
    <w:rsid w:val="00182696"/>
    <w:rsid w:val="0019054F"/>
    <w:rsid w:val="001917D3"/>
    <w:rsid w:val="00192F6B"/>
    <w:rsid w:val="00193F9B"/>
    <w:rsid w:val="00196D13"/>
    <w:rsid w:val="001A7C66"/>
    <w:rsid w:val="001C716E"/>
    <w:rsid w:val="001D28B6"/>
    <w:rsid w:val="001D2906"/>
    <w:rsid w:val="001D34E8"/>
    <w:rsid w:val="001D4514"/>
    <w:rsid w:val="001D5288"/>
    <w:rsid w:val="001E0D4E"/>
    <w:rsid w:val="001E103D"/>
    <w:rsid w:val="001E468F"/>
    <w:rsid w:val="001E65A6"/>
    <w:rsid w:val="001F2A8F"/>
    <w:rsid w:val="001F4F20"/>
    <w:rsid w:val="00201305"/>
    <w:rsid w:val="0020440D"/>
    <w:rsid w:val="00214810"/>
    <w:rsid w:val="00216004"/>
    <w:rsid w:val="0022434C"/>
    <w:rsid w:val="002253F0"/>
    <w:rsid w:val="00225D2E"/>
    <w:rsid w:val="00230990"/>
    <w:rsid w:val="00236D84"/>
    <w:rsid w:val="00237CEB"/>
    <w:rsid w:val="00240495"/>
    <w:rsid w:val="00245382"/>
    <w:rsid w:val="002456E4"/>
    <w:rsid w:val="00247C2F"/>
    <w:rsid w:val="00251267"/>
    <w:rsid w:val="00256EE3"/>
    <w:rsid w:val="00263934"/>
    <w:rsid w:val="0027344E"/>
    <w:rsid w:val="00281BC5"/>
    <w:rsid w:val="002829C9"/>
    <w:rsid w:val="00284AC0"/>
    <w:rsid w:val="002867F6"/>
    <w:rsid w:val="0029451A"/>
    <w:rsid w:val="0029699F"/>
    <w:rsid w:val="00296A33"/>
    <w:rsid w:val="00296CE8"/>
    <w:rsid w:val="002A729D"/>
    <w:rsid w:val="002B0E8E"/>
    <w:rsid w:val="002B16EA"/>
    <w:rsid w:val="002B1968"/>
    <w:rsid w:val="002B2422"/>
    <w:rsid w:val="002B59B5"/>
    <w:rsid w:val="002C21E8"/>
    <w:rsid w:val="002C2F49"/>
    <w:rsid w:val="002C3ECE"/>
    <w:rsid w:val="002C7554"/>
    <w:rsid w:val="002D5DB3"/>
    <w:rsid w:val="002E2089"/>
    <w:rsid w:val="002F40B9"/>
    <w:rsid w:val="002F7A30"/>
    <w:rsid w:val="00300CD1"/>
    <w:rsid w:val="00302E2C"/>
    <w:rsid w:val="00310A40"/>
    <w:rsid w:val="00312041"/>
    <w:rsid w:val="003218B5"/>
    <w:rsid w:val="00322372"/>
    <w:rsid w:val="00333349"/>
    <w:rsid w:val="00336182"/>
    <w:rsid w:val="003436FC"/>
    <w:rsid w:val="003465EE"/>
    <w:rsid w:val="003545DB"/>
    <w:rsid w:val="00367226"/>
    <w:rsid w:val="00374D35"/>
    <w:rsid w:val="003759C3"/>
    <w:rsid w:val="00375F98"/>
    <w:rsid w:val="00380575"/>
    <w:rsid w:val="00381E4C"/>
    <w:rsid w:val="00383453"/>
    <w:rsid w:val="00387564"/>
    <w:rsid w:val="00392CDE"/>
    <w:rsid w:val="0039380B"/>
    <w:rsid w:val="00394032"/>
    <w:rsid w:val="003A5741"/>
    <w:rsid w:val="003A68E1"/>
    <w:rsid w:val="003B0431"/>
    <w:rsid w:val="003B37F9"/>
    <w:rsid w:val="003B4054"/>
    <w:rsid w:val="003C083C"/>
    <w:rsid w:val="003C63A0"/>
    <w:rsid w:val="003C74D4"/>
    <w:rsid w:val="003C7D52"/>
    <w:rsid w:val="003D38A1"/>
    <w:rsid w:val="003D3D03"/>
    <w:rsid w:val="003D7418"/>
    <w:rsid w:val="003F20B8"/>
    <w:rsid w:val="003F39BB"/>
    <w:rsid w:val="003F466F"/>
    <w:rsid w:val="0040239A"/>
    <w:rsid w:val="00405D1F"/>
    <w:rsid w:val="0041192B"/>
    <w:rsid w:val="00414EE3"/>
    <w:rsid w:val="00415BEA"/>
    <w:rsid w:val="0041729C"/>
    <w:rsid w:val="004211E6"/>
    <w:rsid w:val="0042384A"/>
    <w:rsid w:val="00427630"/>
    <w:rsid w:val="004435BA"/>
    <w:rsid w:val="004640FA"/>
    <w:rsid w:val="0046449D"/>
    <w:rsid w:val="00467D9B"/>
    <w:rsid w:val="00470F84"/>
    <w:rsid w:val="00475D59"/>
    <w:rsid w:val="004768D0"/>
    <w:rsid w:val="00481E6C"/>
    <w:rsid w:val="0048384C"/>
    <w:rsid w:val="00491053"/>
    <w:rsid w:val="004C0E89"/>
    <w:rsid w:val="004D2118"/>
    <w:rsid w:val="004D727B"/>
    <w:rsid w:val="004D7AFF"/>
    <w:rsid w:val="004E3A45"/>
    <w:rsid w:val="004E5079"/>
    <w:rsid w:val="004F4D75"/>
    <w:rsid w:val="004F4EED"/>
    <w:rsid w:val="00502239"/>
    <w:rsid w:val="00503639"/>
    <w:rsid w:val="005052D7"/>
    <w:rsid w:val="00506DC0"/>
    <w:rsid w:val="00525142"/>
    <w:rsid w:val="00525339"/>
    <w:rsid w:val="005312E1"/>
    <w:rsid w:val="00533991"/>
    <w:rsid w:val="00533F5A"/>
    <w:rsid w:val="00535221"/>
    <w:rsid w:val="00541D56"/>
    <w:rsid w:val="005512C5"/>
    <w:rsid w:val="00552252"/>
    <w:rsid w:val="00554EF9"/>
    <w:rsid w:val="00562F4D"/>
    <w:rsid w:val="0056621C"/>
    <w:rsid w:val="00567591"/>
    <w:rsid w:val="00570111"/>
    <w:rsid w:val="005701F8"/>
    <w:rsid w:val="00574341"/>
    <w:rsid w:val="00574C34"/>
    <w:rsid w:val="0057718F"/>
    <w:rsid w:val="00582F70"/>
    <w:rsid w:val="00585BEE"/>
    <w:rsid w:val="00587063"/>
    <w:rsid w:val="00587FE0"/>
    <w:rsid w:val="005933FB"/>
    <w:rsid w:val="00595CA2"/>
    <w:rsid w:val="005B2973"/>
    <w:rsid w:val="005B3609"/>
    <w:rsid w:val="005B435E"/>
    <w:rsid w:val="005B43A0"/>
    <w:rsid w:val="005C06D0"/>
    <w:rsid w:val="005C6524"/>
    <w:rsid w:val="005E37A6"/>
    <w:rsid w:val="005E58B6"/>
    <w:rsid w:val="005E69D0"/>
    <w:rsid w:val="00603EEB"/>
    <w:rsid w:val="0061299B"/>
    <w:rsid w:val="00617461"/>
    <w:rsid w:val="00627478"/>
    <w:rsid w:val="0063090F"/>
    <w:rsid w:val="0063612F"/>
    <w:rsid w:val="00645C3C"/>
    <w:rsid w:val="0064786B"/>
    <w:rsid w:val="00655741"/>
    <w:rsid w:val="00655F26"/>
    <w:rsid w:val="00657841"/>
    <w:rsid w:val="00662EF1"/>
    <w:rsid w:val="00665B53"/>
    <w:rsid w:val="006704D2"/>
    <w:rsid w:val="00671506"/>
    <w:rsid w:val="00672378"/>
    <w:rsid w:val="00672E03"/>
    <w:rsid w:val="0067561F"/>
    <w:rsid w:val="00677077"/>
    <w:rsid w:val="006835B7"/>
    <w:rsid w:val="0069482C"/>
    <w:rsid w:val="00697601"/>
    <w:rsid w:val="006A1A10"/>
    <w:rsid w:val="006A4CC9"/>
    <w:rsid w:val="006B5FE0"/>
    <w:rsid w:val="006B60E2"/>
    <w:rsid w:val="006B6B0B"/>
    <w:rsid w:val="006B73AC"/>
    <w:rsid w:val="006C279B"/>
    <w:rsid w:val="006C7136"/>
    <w:rsid w:val="006D0E97"/>
    <w:rsid w:val="006D5696"/>
    <w:rsid w:val="006D57D5"/>
    <w:rsid w:val="006D7802"/>
    <w:rsid w:val="006E099C"/>
    <w:rsid w:val="006E462D"/>
    <w:rsid w:val="006E4E3C"/>
    <w:rsid w:val="006E7413"/>
    <w:rsid w:val="006F2154"/>
    <w:rsid w:val="006F44A0"/>
    <w:rsid w:val="00702F33"/>
    <w:rsid w:val="0070326F"/>
    <w:rsid w:val="00703993"/>
    <w:rsid w:val="0070547F"/>
    <w:rsid w:val="0070756B"/>
    <w:rsid w:val="007079F8"/>
    <w:rsid w:val="007102B4"/>
    <w:rsid w:val="00710A62"/>
    <w:rsid w:val="00721D19"/>
    <w:rsid w:val="00731FF3"/>
    <w:rsid w:val="00744EB9"/>
    <w:rsid w:val="00752DB5"/>
    <w:rsid w:val="00770DD3"/>
    <w:rsid w:val="00774F32"/>
    <w:rsid w:val="007750BC"/>
    <w:rsid w:val="00775323"/>
    <w:rsid w:val="00782BB0"/>
    <w:rsid w:val="00783C5D"/>
    <w:rsid w:val="00783FD9"/>
    <w:rsid w:val="00793F81"/>
    <w:rsid w:val="00796515"/>
    <w:rsid w:val="007A6D99"/>
    <w:rsid w:val="007B2660"/>
    <w:rsid w:val="007B5FC7"/>
    <w:rsid w:val="007B792D"/>
    <w:rsid w:val="007C09BD"/>
    <w:rsid w:val="007D0EA1"/>
    <w:rsid w:val="007D4557"/>
    <w:rsid w:val="007E16C1"/>
    <w:rsid w:val="007F364C"/>
    <w:rsid w:val="007F523F"/>
    <w:rsid w:val="00801BA5"/>
    <w:rsid w:val="00807F1D"/>
    <w:rsid w:val="00811418"/>
    <w:rsid w:val="00811FC7"/>
    <w:rsid w:val="00813D78"/>
    <w:rsid w:val="00815E64"/>
    <w:rsid w:val="00821A53"/>
    <w:rsid w:val="00823FC5"/>
    <w:rsid w:val="00831694"/>
    <w:rsid w:val="008362CD"/>
    <w:rsid w:val="0083687C"/>
    <w:rsid w:val="00837890"/>
    <w:rsid w:val="00840A8F"/>
    <w:rsid w:val="00842FD8"/>
    <w:rsid w:val="008468CF"/>
    <w:rsid w:val="00851036"/>
    <w:rsid w:val="00852247"/>
    <w:rsid w:val="00852390"/>
    <w:rsid w:val="00852CFD"/>
    <w:rsid w:val="008530A8"/>
    <w:rsid w:val="0085665E"/>
    <w:rsid w:val="008567E0"/>
    <w:rsid w:val="008568D6"/>
    <w:rsid w:val="0086079B"/>
    <w:rsid w:val="00866295"/>
    <w:rsid w:val="00867A52"/>
    <w:rsid w:val="0087149B"/>
    <w:rsid w:val="008716AA"/>
    <w:rsid w:val="00873C1F"/>
    <w:rsid w:val="00876718"/>
    <w:rsid w:val="008834D7"/>
    <w:rsid w:val="00887828"/>
    <w:rsid w:val="008A0051"/>
    <w:rsid w:val="008B0121"/>
    <w:rsid w:val="008B0190"/>
    <w:rsid w:val="008B1BDD"/>
    <w:rsid w:val="008B55B2"/>
    <w:rsid w:val="008B7952"/>
    <w:rsid w:val="008C4B6D"/>
    <w:rsid w:val="008C5F38"/>
    <w:rsid w:val="008D13FC"/>
    <w:rsid w:val="008D1D4D"/>
    <w:rsid w:val="008E0AD7"/>
    <w:rsid w:val="008E21C0"/>
    <w:rsid w:val="008E4069"/>
    <w:rsid w:val="008E7F77"/>
    <w:rsid w:val="008F2242"/>
    <w:rsid w:val="008F6AE4"/>
    <w:rsid w:val="0090028E"/>
    <w:rsid w:val="00904796"/>
    <w:rsid w:val="00905D78"/>
    <w:rsid w:val="00906A4E"/>
    <w:rsid w:val="00906F7D"/>
    <w:rsid w:val="00910057"/>
    <w:rsid w:val="00910B2C"/>
    <w:rsid w:val="00911181"/>
    <w:rsid w:val="009139A7"/>
    <w:rsid w:val="00914C87"/>
    <w:rsid w:val="00920FCB"/>
    <w:rsid w:val="00923C47"/>
    <w:rsid w:val="0092594F"/>
    <w:rsid w:val="0093521A"/>
    <w:rsid w:val="00935AED"/>
    <w:rsid w:val="00936583"/>
    <w:rsid w:val="0093730B"/>
    <w:rsid w:val="00942F1E"/>
    <w:rsid w:val="00943766"/>
    <w:rsid w:val="0094411A"/>
    <w:rsid w:val="009443BD"/>
    <w:rsid w:val="00944AB5"/>
    <w:rsid w:val="00963BC8"/>
    <w:rsid w:val="00963CCB"/>
    <w:rsid w:val="0096580A"/>
    <w:rsid w:val="00967AE1"/>
    <w:rsid w:val="009816E3"/>
    <w:rsid w:val="00983720"/>
    <w:rsid w:val="00984695"/>
    <w:rsid w:val="00986B60"/>
    <w:rsid w:val="00990D96"/>
    <w:rsid w:val="00995302"/>
    <w:rsid w:val="0099536C"/>
    <w:rsid w:val="00997A0F"/>
    <w:rsid w:val="009A127B"/>
    <w:rsid w:val="009A5921"/>
    <w:rsid w:val="009A6812"/>
    <w:rsid w:val="009A74D4"/>
    <w:rsid w:val="009C62EF"/>
    <w:rsid w:val="009D715E"/>
    <w:rsid w:val="009E2B79"/>
    <w:rsid w:val="009E64F5"/>
    <w:rsid w:val="009E7FDC"/>
    <w:rsid w:val="009F3448"/>
    <w:rsid w:val="009F776A"/>
    <w:rsid w:val="009F7826"/>
    <w:rsid w:val="00A02D5C"/>
    <w:rsid w:val="00A030F5"/>
    <w:rsid w:val="00A04B93"/>
    <w:rsid w:val="00A110D0"/>
    <w:rsid w:val="00A15516"/>
    <w:rsid w:val="00A2387B"/>
    <w:rsid w:val="00A25BF0"/>
    <w:rsid w:val="00A34D4D"/>
    <w:rsid w:val="00A3650E"/>
    <w:rsid w:val="00A369EA"/>
    <w:rsid w:val="00A37DC6"/>
    <w:rsid w:val="00A4067A"/>
    <w:rsid w:val="00A40A82"/>
    <w:rsid w:val="00A42D7A"/>
    <w:rsid w:val="00A446E7"/>
    <w:rsid w:val="00A47F4E"/>
    <w:rsid w:val="00A53309"/>
    <w:rsid w:val="00A56405"/>
    <w:rsid w:val="00A67C6B"/>
    <w:rsid w:val="00A75E3F"/>
    <w:rsid w:val="00A80DBA"/>
    <w:rsid w:val="00A815A0"/>
    <w:rsid w:val="00A8274E"/>
    <w:rsid w:val="00A83BBC"/>
    <w:rsid w:val="00A865B9"/>
    <w:rsid w:val="00A91926"/>
    <w:rsid w:val="00A97E87"/>
    <w:rsid w:val="00AA26F8"/>
    <w:rsid w:val="00AA353B"/>
    <w:rsid w:val="00AA4F0C"/>
    <w:rsid w:val="00AB27CC"/>
    <w:rsid w:val="00AC0E7B"/>
    <w:rsid w:val="00AC66DF"/>
    <w:rsid w:val="00AC769C"/>
    <w:rsid w:val="00AD0583"/>
    <w:rsid w:val="00AD215A"/>
    <w:rsid w:val="00AE292F"/>
    <w:rsid w:val="00AE41D3"/>
    <w:rsid w:val="00AE6B10"/>
    <w:rsid w:val="00AF0944"/>
    <w:rsid w:val="00AF31CF"/>
    <w:rsid w:val="00AF40F3"/>
    <w:rsid w:val="00AF5217"/>
    <w:rsid w:val="00AF55F2"/>
    <w:rsid w:val="00B02458"/>
    <w:rsid w:val="00B056DD"/>
    <w:rsid w:val="00B102D6"/>
    <w:rsid w:val="00B1514A"/>
    <w:rsid w:val="00B24DB4"/>
    <w:rsid w:val="00B30FD8"/>
    <w:rsid w:val="00B3468C"/>
    <w:rsid w:val="00B37C49"/>
    <w:rsid w:val="00B4097D"/>
    <w:rsid w:val="00B42371"/>
    <w:rsid w:val="00B42D05"/>
    <w:rsid w:val="00B51082"/>
    <w:rsid w:val="00B52DFF"/>
    <w:rsid w:val="00B60AFD"/>
    <w:rsid w:val="00B64C31"/>
    <w:rsid w:val="00B65A05"/>
    <w:rsid w:val="00B734EE"/>
    <w:rsid w:val="00B73989"/>
    <w:rsid w:val="00B74E62"/>
    <w:rsid w:val="00B77D25"/>
    <w:rsid w:val="00B80F43"/>
    <w:rsid w:val="00BA0F46"/>
    <w:rsid w:val="00BA4488"/>
    <w:rsid w:val="00BA62AB"/>
    <w:rsid w:val="00BB42BC"/>
    <w:rsid w:val="00BB445E"/>
    <w:rsid w:val="00BB4B44"/>
    <w:rsid w:val="00BB5BB4"/>
    <w:rsid w:val="00BC0799"/>
    <w:rsid w:val="00BC605B"/>
    <w:rsid w:val="00BC660E"/>
    <w:rsid w:val="00BD3FD9"/>
    <w:rsid w:val="00BD4259"/>
    <w:rsid w:val="00BD43D4"/>
    <w:rsid w:val="00BE4BFB"/>
    <w:rsid w:val="00BE7BBA"/>
    <w:rsid w:val="00BF600E"/>
    <w:rsid w:val="00C0458A"/>
    <w:rsid w:val="00C0675E"/>
    <w:rsid w:val="00C0796B"/>
    <w:rsid w:val="00C12FCE"/>
    <w:rsid w:val="00C13898"/>
    <w:rsid w:val="00C156EF"/>
    <w:rsid w:val="00C17876"/>
    <w:rsid w:val="00C178F6"/>
    <w:rsid w:val="00C20BC4"/>
    <w:rsid w:val="00C22020"/>
    <w:rsid w:val="00C26F9B"/>
    <w:rsid w:val="00C27D35"/>
    <w:rsid w:val="00C33B90"/>
    <w:rsid w:val="00C41095"/>
    <w:rsid w:val="00C41131"/>
    <w:rsid w:val="00C5093D"/>
    <w:rsid w:val="00C72045"/>
    <w:rsid w:val="00C72AF7"/>
    <w:rsid w:val="00C774B2"/>
    <w:rsid w:val="00C80ED9"/>
    <w:rsid w:val="00C83240"/>
    <w:rsid w:val="00C84099"/>
    <w:rsid w:val="00C84B42"/>
    <w:rsid w:val="00C871C7"/>
    <w:rsid w:val="00CA008B"/>
    <w:rsid w:val="00CA4317"/>
    <w:rsid w:val="00CA5623"/>
    <w:rsid w:val="00CB1271"/>
    <w:rsid w:val="00CB1524"/>
    <w:rsid w:val="00CB1526"/>
    <w:rsid w:val="00CB51E7"/>
    <w:rsid w:val="00CC0BC2"/>
    <w:rsid w:val="00CC4324"/>
    <w:rsid w:val="00CC5666"/>
    <w:rsid w:val="00CD72FD"/>
    <w:rsid w:val="00CE0BE4"/>
    <w:rsid w:val="00CE1753"/>
    <w:rsid w:val="00CE3072"/>
    <w:rsid w:val="00CE67EF"/>
    <w:rsid w:val="00CF2E6A"/>
    <w:rsid w:val="00CF504B"/>
    <w:rsid w:val="00CF6B02"/>
    <w:rsid w:val="00D01327"/>
    <w:rsid w:val="00D017E4"/>
    <w:rsid w:val="00D034FD"/>
    <w:rsid w:val="00D04455"/>
    <w:rsid w:val="00D1716D"/>
    <w:rsid w:val="00D239BF"/>
    <w:rsid w:val="00D302A9"/>
    <w:rsid w:val="00D30537"/>
    <w:rsid w:val="00D31FDE"/>
    <w:rsid w:val="00D34028"/>
    <w:rsid w:val="00D36338"/>
    <w:rsid w:val="00D41861"/>
    <w:rsid w:val="00D43957"/>
    <w:rsid w:val="00D454F6"/>
    <w:rsid w:val="00D46ADD"/>
    <w:rsid w:val="00D47E13"/>
    <w:rsid w:val="00D50D75"/>
    <w:rsid w:val="00D52799"/>
    <w:rsid w:val="00D54FB5"/>
    <w:rsid w:val="00D60F3D"/>
    <w:rsid w:val="00D6103A"/>
    <w:rsid w:val="00D64733"/>
    <w:rsid w:val="00D672B0"/>
    <w:rsid w:val="00D710B0"/>
    <w:rsid w:val="00D77311"/>
    <w:rsid w:val="00D80CB5"/>
    <w:rsid w:val="00D920F4"/>
    <w:rsid w:val="00D95019"/>
    <w:rsid w:val="00D96EF3"/>
    <w:rsid w:val="00DA20CB"/>
    <w:rsid w:val="00DA46CE"/>
    <w:rsid w:val="00DB691A"/>
    <w:rsid w:val="00DC1C68"/>
    <w:rsid w:val="00DC31B5"/>
    <w:rsid w:val="00DC5BF0"/>
    <w:rsid w:val="00DC5F47"/>
    <w:rsid w:val="00DC7D75"/>
    <w:rsid w:val="00DD0186"/>
    <w:rsid w:val="00DD1E8E"/>
    <w:rsid w:val="00DD55F1"/>
    <w:rsid w:val="00DE0131"/>
    <w:rsid w:val="00DE06C3"/>
    <w:rsid w:val="00DE6E73"/>
    <w:rsid w:val="00DE6E9C"/>
    <w:rsid w:val="00DF1C45"/>
    <w:rsid w:val="00DF540C"/>
    <w:rsid w:val="00DF5DB6"/>
    <w:rsid w:val="00E00F5A"/>
    <w:rsid w:val="00E01BA4"/>
    <w:rsid w:val="00E03635"/>
    <w:rsid w:val="00E05B92"/>
    <w:rsid w:val="00E1474B"/>
    <w:rsid w:val="00E160F7"/>
    <w:rsid w:val="00E16BCF"/>
    <w:rsid w:val="00E21F42"/>
    <w:rsid w:val="00E275CB"/>
    <w:rsid w:val="00E351B2"/>
    <w:rsid w:val="00E403AA"/>
    <w:rsid w:val="00E421B5"/>
    <w:rsid w:val="00E45302"/>
    <w:rsid w:val="00E52272"/>
    <w:rsid w:val="00E5353E"/>
    <w:rsid w:val="00E560E7"/>
    <w:rsid w:val="00E611CC"/>
    <w:rsid w:val="00E65282"/>
    <w:rsid w:val="00E67F0E"/>
    <w:rsid w:val="00E74061"/>
    <w:rsid w:val="00E75915"/>
    <w:rsid w:val="00E7710E"/>
    <w:rsid w:val="00E806CF"/>
    <w:rsid w:val="00E8404F"/>
    <w:rsid w:val="00EA037E"/>
    <w:rsid w:val="00EA63F6"/>
    <w:rsid w:val="00EA7A71"/>
    <w:rsid w:val="00EB17C6"/>
    <w:rsid w:val="00EB5E63"/>
    <w:rsid w:val="00EC4559"/>
    <w:rsid w:val="00EC4E4C"/>
    <w:rsid w:val="00EC6D83"/>
    <w:rsid w:val="00ED0206"/>
    <w:rsid w:val="00EE3336"/>
    <w:rsid w:val="00EE3351"/>
    <w:rsid w:val="00EE4DC1"/>
    <w:rsid w:val="00EE6AE2"/>
    <w:rsid w:val="00EF119A"/>
    <w:rsid w:val="00EF6C4E"/>
    <w:rsid w:val="00F004CA"/>
    <w:rsid w:val="00F065D5"/>
    <w:rsid w:val="00F20E39"/>
    <w:rsid w:val="00F27B75"/>
    <w:rsid w:val="00F320E8"/>
    <w:rsid w:val="00F43449"/>
    <w:rsid w:val="00F4584A"/>
    <w:rsid w:val="00F540CE"/>
    <w:rsid w:val="00F547D3"/>
    <w:rsid w:val="00F557BE"/>
    <w:rsid w:val="00F721FA"/>
    <w:rsid w:val="00F72947"/>
    <w:rsid w:val="00F8441C"/>
    <w:rsid w:val="00F911FE"/>
    <w:rsid w:val="00F922C5"/>
    <w:rsid w:val="00FA6EEE"/>
    <w:rsid w:val="00FA73D3"/>
    <w:rsid w:val="00FB7DC8"/>
    <w:rsid w:val="00FC3102"/>
    <w:rsid w:val="00FC3CA8"/>
    <w:rsid w:val="00FC77D7"/>
    <w:rsid w:val="00FD05E7"/>
    <w:rsid w:val="00FD46F3"/>
    <w:rsid w:val="00FD6ACC"/>
    <w:rsid w:val="00FD7F6D"/>
    <w:rsid w:val="00FE24A3"/>
    <w:rsid w:val="00FE58B6"/>
    <w:rsid w:val="00FE706A"/>
    <w:rsid w:val="00FE7584"/>
    <w:rsid w:val="00FF020B"/>
    <w:rsid w:val="00FF34AD"/>
    <w:rsid w:val="00FF4F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F504B"/>
    <w:pPr>
      <w:keepNext/>
      <w:numPr>
        <w:numId w:val="14"/>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6E099C"/>
    <w:pPr>
      <w:keepNext/>
      <w:numPr>
        <w:ilvl w:val="1"/>
        <w:numId w:val="14"/>
      </w:numPr>
      <w:spacing w:before="240" w:after="240"/>
      <w:ind w:left="578" w:hanging="578"/>
      <w:outlineLvl w:val="1"/>
    </w:pPr>
    <w:rPr>
      <w:rFonts w:ascii="Cambria" w:eastAsia="Times New Roman" w:hAnsi="Cambria"/>
      <w:b/>
      <w:bCs/>
      <w:i/>
      <w:iCs/>
      <w:sz w:val="24"/>
      <w:szCs w:val="28"/>
    </w:rPr>
  </w:style>
  <w:style w:type="paragraph" w:styleId="Naslov3">
    <w:name w:val="heading 3"/>
    <w:basedOn w:val="Naslov2"/>
    <w:next w:val="Navaden"/>
    <w:link w:val="Naslov3Znak"/>
    <w:uiPriority w:val="9"/>
    <w:unhideWhenUsed/>
    <w:qFormat/>
    <w:rsid w:val="006E099C"/>
    <w:pPr>
      <w:numPr>
        <w:ilvl w:val="2"/>
      </w:numPr>
      <w:outlineLvl w:val="2"/>
    </w:pPr>
    <w:rPr>
      <w:rFonts w:ascii="Calibri" w:hAnsi="Calibri"/>
      <w:bCs w:val="0"/>
      <w:i w:val="0"/>
    </w:rPr>
  </w:style>
  <w:style w:type="paragraph" w:styleId="Naslov4">
    <w:name w:val="heading 4"/>
    <w:basedOn w:val="Navaden"/>
    <w:next w:val="Navaden"/>
    <w:link w:val="Naslov4Znak"/>
    <w:uiPriority w:val="9"/>
    <w:unhideWhenUsed/>
    <w:qFormat/>
    <w:rsid w:val="00BB42BC"/>
    <w:pPr>
      <w:keepNext/>
      <w:numPr>
        <w:ilvl w:val="3"/>
        <w:numId w:val="14"/>
      </w:numPr>
      <w:spacing w:before="240" w:after="240"/>
      <w:ind w:left="862" w:hanging="862"/>
      <w:outlineLvl w:val="3"/>
    </w:pPr>
    <w:rPr>
      <w:rFonts w:eastAsia="Times New Roman"/>
      <w:b/>
      <w:bCs/>
      <w:szCs w:val="28"/>
    </w:rPr>
  </w:style>
  <w:style w:type="paragraph" w:styleId="Naslov5">
    <w:name w:val="heading 5"/>
    <w:basedOn w:val="Navaden"/>
    <w:next w:val="Navaden"/>
    <w:link w:val="Naslov5Znak"/>
    <w:uiPriority w:val="9"/>
    <w:semiHidden/>
    <w:unhideWhenUsed/>
    <w:qFormat/>
    <w:rsid w:val="00C84B42"/>
    <w:pPr>
      <w:numPr>
        <w:ilvl w:val="4"/>
        <w:numId w:val="14"/>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C84B42"/>
    <w:pPr>
      <w:numPr>
        <w:ilvl w:val="5"/>
        <w:numId w:val="14"/>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C84B42"/>
    <w:pPr>
      <w:numPr>
        <w:ilvl w:val="6"/>
        <w:numId w:val="14"/>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C84B42"/>
    <w:pPr>
      <w:numPr>
        <w:ilvl w:val="7"/>
        <w:numId w:val="14"/>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C84B42"/>
    <w:pPr>
      <w:numPr>
        <w:ilvl w:val="8"/>
        <w:numId w:val="14"/>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CF504B"/>
    <w:rPr>
      <w:rFonts w:ascii="Cambria" w:eastAsia="Times New Roman" w:hAnsi="Cambria"/>
      <w:b/>
      <w:bCs/>
      <w:kern w:val="32"/>
      <w:sz w:val="32"/>
      <w:szCs w:val="32"/>
      <w:lang w:eastAsia="en-US"/>
    </w:rPr>
  </w:style>
  <w:style w:type="character" w:customStyle="1" w:styleId="Naslov2Znak">
    <w:name w:val="Naslov 2 Znak"/>
    <w:link w:val="Naslov2"/>
    <w:uiPriority w:val="9"/>
    <w:rsid w:val="006E099C"/>
    <w:rPr>
      <w:rFonts w:ascii="Cambria" w:eastAsia="Times New Roman" w:hAnsi="Cambria"/>
      <w:b/>
      <w:bCs/>
      <w:i/>
      <w:iCs/>
      <w:sz w:val="24"/>
      <w:szCs w:val="28"/>
      <w:lang w:eastAsia="en-US"/>
    </w:rPr>
  </w:style>
  <w:style w:type="paragraph" w:customStyle="1" w:styleId="Naslov3pravi">
    <w:name w:val="Naslov 3_pravi"/>
    <w:basedOn w:val="Navaden"/>
    <w:rsid w:val="00B102D6"/>
    <w:pPr>
      <w:numPr>
        <w:ilvl w:val="2"/>
        <w:numId w:val="12"/>
      </w:numPr>
    </w:pPr>
  </w:style>
  <w:style w:type="character" w:customStyle="1" w:styleId="Naslov4Znak">
    <w:name w:val="Naslov 4 Znak"/>
    <w:link w:val="Naslov4"/>
    <w:uiPriority w:val="9"/>
    <w:rsid w:val="00BB42BC"/>
    <w:rPr>
      <w:rFonts w:eastAsia="Times New Roman"/>
      <w:b/>
      <w:bCs/>
      <w:sz w:val="22"/>
      <w:szCs w:val="28"/>
      <w:lang w:eastAsia="en-US"/>
    </w:rPr>
  </w:style>
  <w:style w:type="paragraph" w:styleId="Glava">
    <w:name w:val="header"/>
    <w:basedOn w:val="Navaden"/>
    <w:link w:val="GlavaZnak"/>
    <w:uiPriority w:val="99"/>
    <w:unhideWhenUsed/>
    <w:rsid w:val="003436FC"/>
    <w:pPr>
      <w:tabs>
        <w:tab w:val="center" w:pos="4536"/>
        <w:tab w:val="right" w:pos="9072"/>
      </w:tabs>
    </w:pPr>
  </w:style>
  <w:style w:type="character" w:customStyle="1" w:styleId="GlavaZnak">
    <w:name w:val="Glava Znak"/>
    <w:link w:val="Glava"/>
    <w:uiPriority w:val="99"/>
    <w:rsid w:val="003436FC"/>
    <w:rPr>
      <w:sz w:val="22"/>
      <w:szCs w:val="22"/>
      <w:lang w:eastAsia="en-US"/>
    </w:rPr>
  </w:style>
  <w:style w:type="paragraph" w:styleId="Noga">
    <w:name w:val="footer"/>
    <w:basedOn w:val="Navaden"/>
    <w:link w:val="NogaZnak"/>
    <w:uiPriority w:val="99"/>
    <w:unhideWhenUsed/>
    <w:rsid w:val="003436FC"/>
    <w:pPr>
      <w:tabs>
        <w:tab w:val="center" w:pos="4536"/>
        <w:tab w:val="right" w:pos="9072"/>
      </w:tabs>
    </w:pPr>
  </w:style>
  <w:style w:type="character" w:customStyle="1" w:styleId="NogaZnak">
    <w:name w:val="Noga Znak"/>
    <w:link w:val="Noga"/>
    <w:uiPriority w:val="99"/>
    <w:rsid w:val="003436FC"/>
    <w:rPr>
      <w:sz w:val="22"/>
      <w:szCs w:val="22"/>
      <w:lang w:eastAsia="en-US"/>
    </w:rPr>
  </w:style>
  <w:style w:type="paragraph" w:styleId="Napis">
    <w:name w:val="caption"/>
    <w:basedOn w:val="Navaden"/>
    <w:next w:val="Navaden"/>
    <w:link w:val="NapisZnak"/>
    <w:unhideWhenUsed/>
    <w:qFormat/>
    <w:rsid w:val="005B3609"/>
    <w:pPr>
      <w:jc w:val="both"/>
    </w:pPr>
    <w:rPr>
      <w:b/>
      <w:bCs/>
      <w:szCs w:val="20"/>
    </w:rPr>
  </w:style>
  <w:style w:type="character" w:customStyle="1" w:styleId="Naslov3Znak">
    <w:name w:val="Naslov 3 Znak"/>
    <w:link w:val="Naslov3"/>
    <w:uiPriority w:val="9"/>
    <w:rsid w:val="006E099C"/>
    <w:rPr>
      <w:rFonts w:eastAsia="Times New Roman"/>
      <w:b/>
      <w:iCs/>
      <w:sz w:val="24"/>
      <w:szCs w:val="28"/>
      <w:lang w:eastAsia="en-US"/>
    </w:rPr>
  </w:style>
  <w:style w:type="table" w:styleId="Tabelamrea">
    <w:name w:val="Table Grid"/>
    <w:basedOn w:val="Navadnatabela"/>
    <w:uiPriority w:val="59"/>
    <w:rsid w:val="001E6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5Znak">
    <w:name w:val="Naslov 5 Znak"/>
    <w:link w:val="Naslov5"/>
    <w:uiPriority w:val="9"/>
    <w:semiHidden/>
    <w:rsid w:val="00C84B42"/>
    <w:rPr>
      <w:rFonts w:ascii="Calibri" w:eastAsia="Times New Roman" w:hAnsi="Calibri" w:cs="Times New Roman"/>
      <w:b/>
      <w:bCs/>
      <w:i/>
      <w:iCs/>
      <w:sz w:val="26"/>
      <w:szCs w:val="26"/>
      <w:lang w:eastAsia="en-US"/>
    </w:rPr>
  </w:style>
  <w:style w:type="character" w:customStyle="1" w:styleId="Naslov6Znak">
    <w:name w:val="Naslov 6 Znak"/>
    <w:link w:val="Naslov6"/>
    <w:uiPriority w:val="9"/>
    <w:semiHidden/>
    <w:rsid w:val="00C84B42"/>
    <w:rPr>
      <w:rFonts w:ascii="Calibri" w:eastAsia="Times New Roman" w:hAnsi="Calibri" w:cs="Times New Roman"/>
      <w:b/>
      <w:bCs/>
      <w:sz w:val="22"/>
      <w:szCs w:val="22"/>
      <w:lang w:eastAsia="en-US"/>
    </w:rPr>
  </w:style>
  <w:style w:type="character" w:customStyle="1" w:styleId="Naslov7Znak">
    <w:name w:val="Naslov 7 Znak"/>
    <w:link w:val="Naslov7"/>
    <w:uiPriority w:val="9"/>
    <w:semiHidden/>
    <w:rsid w:val="00C84B42"/>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C84B42"/>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C84B42"/>
    <w:rPr>
      <w:rFonts w:ascii="Cambria" w:eastAsia="Times New Roman" w:hAnsi="Cambria" w:cs="Times New Roman"/>
      <w:sz w:val="22"/>
      <w:szCs w:val="22"/>
      <w:lang w:eastAsia="en-US"/>
    </w:rPr>
  </w:style>
  <w:style w:type="paragraph" w:styleId="Sprotnaopomba-besedilo">
    <w:name w:val="footnote text"/>
    <w:aliases w:val="IFZ f,Footnote,Fußnote,-E Fußnotentext,Fußnotentext Ursprung"/>
    <w:basedOn w:val="Navaden"/>
    <w:link w:val="Sprotnaopomba-besediloZnak"/>
    <w:rsid w:val="00FE7584"/>
    <w:pPr>
      <w:spacing w:after="0" w:line="260" w:lineRule="atLeast"/>
    </w:pPr>
    <w:rPr>
      <w:rFonts w:ascii="Arial" w:eastAsia="Times New Roman" w:hAnsi="Arial"/>
      <w:sz w:val="20"/>
      <w:szCs w:val="20"/>
      <w:lang w:val="en-US"/>
    </w:rPr>
  </w:style>
  <w:style w:type="character" w:customStyle="1" w:styleId="Sprotnaopomba-besediloZnak">
    <w:name w:val="Sprotna opomba - besedilo Znak"/>
    <w:aliases w:val="IFZ f Znak,Footnote Znak,Fußnote Znak,-E Fußnotentext Znak,Fußnotentext Ursprung Znak"/>
    <w:link w:val="Sprotnaopomba-besedilo"/>
    <w:rsid w:val="00FE7584"/>
    <w:rPr>
      <w:rFonts w:ascii="Arial" w:eastAsia="Times New Roman" w:hAnsi="Arial"/>
      <w:lang w:val="en-US" w:eastAsia="en-US"/>
    </w:rPr>
  </w:style>
  <w:style w:type="character" w:styleId="Sprotnaopomba-sklic">
    <w:name w:val="footnote reference"/>
    <w:rsid w:val="00FE7584"/>
    <w:rPr>
      <w:vertAlign w:val="superscript"/>
    </w:rPr>
  </w:style>
  <w:style w:type="paragraph" w:customStyle="1" w:styleId="ZADEVA">
    <w:name w:val="ZADEVA"/>
    <w:basedOn w:val="Navaden"/>
    <w:qFormat/>
    <w:rsid w:val="009A127B"/>
    <w:pPr>
      <w:tabs>
        <w:tab w:val="left" w:pos="1701"/>
      </w:tabs>
      <w:spacing w:after="0" w:line="260" w:lineRule="atLeast"/>
      <w:ind w:left="1701" w:hanging="1701"/>
    </w:pPr>
    <w:rPr>
      <w:rFonts w:ascii="Arial" w:eastAsia="Times New Roman" w:hAnsi="Arial"/>
      <w:b/>
      <w:sz w:val="20"/>
      <w:szCs w:val="24"/>
      <w:lang w:val="it-IT"/>
    </w:rPr>
  </w:style>
  <w:style w:type="paragraph" w:customStyle="1" w:styleId="Slog1">
    <w:name w:val="Slog1"/>
    <w:basedOn w:val="Napis"/>
    <w:link w:val="Slog1Znak"/>
    <w:qFormat/>
    <w:rsid w:val="00852390"/>
    <w:rPr>
      <w:sz w:val="28"/>
    </w:rPr>
  </w:style>
  <w:style w:type="paragraph" w:styleId="NaslovTOC">
    <w:name w:val="TOC Heading"/>
    <w:basedOn w:val="Naslov1"/>
    <w:next w:val="Navaden"/>
    <w:uiPriority w:val="39"/>
    <w:semiHidden/>
    <w:unhideWhenUsed/>
    <w:qFormat/>
    <w:rsid w:val="00852247"/>
    <w:pPr>
      <w:keepLines/>
      <w:numPr>
        <w:numId w:val="0"/>
      </w:numPr>
      <w:spacing w:before="480" w:after="0"/>
      <w:outlineLvl w:val="9"/>
    </w:pPr>
    <w:rPr>
      <w:color w:val="365F91"/>
      <w:kern w:val="0"/>
      <w:sz w:val="28"/>
      <w:szCs w:val="28"/>
      <w:lang w:eastAsia="sl-SI"/>
    </w:rPr>
  </w:style>
  <w:style w:type="character" w:customStyle="1" w:styleId="NapisZnak">
    <w:name w:val="Napis Znak"/>
    <w:link w:val="Napis"/>
    <w:rsid w:val="00852390"/>
    <w:rPr>
      <w:b/>
      <w:bCs/>
      <w:sz w:val="22"/>
      <w:lang w:eastAsia="en-US"/>
    </w:rPr>
  </w:style>
  <w:style w:type="character" w:customStyle="1" w:styleId="Slog1Znak">
    <w:name w:val="Slog1 Znak"/>
    <w:link w:val="Slog1"/>
    <w:rsid w:val="00852390"/>
    <w:rPr>
      <w:b/>
      <w:bCs/>
      <w:sz w:val="28"/>
      <w:lang w:eastAsia="en-US"/>
    </w:rPr>
  </w:style>
  <w:style w:type="paragraph" w:styleId="Kazalovsebine1">
    <w:name w:val="toc 1"/>
    <w:basedOn w:val="Navaden"/>
    <w:next w:val="Navaden"/>
    <w:autoRedefine/>
    <w:uiPriority w:val="39"/>
    <w:unhideWhenUsed/>
    <w:rsid w:val="00852247"/>
    <w:pPr>
      <w:tabs>
        <w:tab w:val="left" w:pos="440"/>
        <w:tab w:val="right" w:leader="dot" w:pos="9062"/>
      </w:tabs>
    </w:pPr>
    <w:rPr>
      <w:b/>
      <w:noProof/>
    </w:rPr>
  </w:style>
  <w:style w:type="paragraph" w:styleId="Kazalovsebine2">
    <w:name w:val="toc 2"/>
    <w:basedOn w:val="Navaden"/>
    <w:next w:val="Navaden"/>
    <w:autoRedefine/>
    <w:uiPriority w:val="39"/>
    <w:unhideWhenUsed/>
    <w:rsid w:val="00852247"/>
    <w:pPr>
      <w:tabs>
        <w:tab w:val="left" w:pos="880"/>
        <w:tab w:val="right" w:leader="dot" w:pos="9062"/>
      </w:tabs>
      <w:ind w:left="220"/>
    </w:pPr>
    <w:rPr>
      <w:b/>
      <w:i/>
      <w:noProof/>
    </w:rPr>
  </w:style>
  <w:style w:type="paragraph" w:styleId="Kazalovsebine3">
    <w:name w:val="toc 3"/>
    <w:basedOn w:val="Navaden"/>
    <w:next w:val="Navaden"/>
    <w:autoRedefine/>
    <w:uiPriority w:val="39"/>
    <w:unhideWhenUsed/>
    <w:rsid w:val="00852247"/>
    <w:pPr>
      <w:ind w:left="440"/>
    </w:pPr>
  </w:style>
  <w:style w:type="character" w:styleId="Hiperpovezava">
    <w:name w:val="Hyperlink"/>
    <w:uiPriority w:val="99"/>
    <w:unhideWhenUsed/>
    <w:rsid w:val="00852247"/>
    <w:rPr>
      <w:color w:val="0000FF"/>
      <w:u w:val="single"/>
    </w:rPr>
  </w:style>
  <w:style w:type="paragraph" w:styleId="Besedilooblaka">
    <w:name w:val="Balloon Text"/>
    <w:basedOn w:val="Navaden"/>
    <w:link w:val="BesedilooblakaZnak"/>
    <w:uiPriority w:val="99"/>
    <w:semiHidden/>
    <w:unhideWhenUsed/>
    <w:rsid w:val="0027344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7344E"/>
    <w:rPr>
      <w:rFonts w:ascii="Tahoma" w:hAnsi="Tahoma" w:cs="Tahoma"/>
      <w:sz w:val="16"/>
      <w:szCs w:val="16"/>
      <w:lang w:eastAsia="en-US"/>
    </w:rPr>
  </w:style>
  <w:style w:type="paragraph" w:styleId="Telobesedila">
    <w:name w:val="Body Text"/>
    <w:basedOn w:val="Navaden"/>
    <w:link w:val="TelobesedilaZnak"/>
    <w:rsid w:val="00533991"/>
    <w:pPr>
      <w:spacing w:after="120" w:line="300" w:lineRule="auto"/>
      <w:ind w:firstLine="425"/>
      <w:jc w:val="both"/>
    </w:pPr>
    <w:rPr>
      <w:rFonts w:ascii="Times New Roman" w:eastAsia="Times New Roman" w:hAnsi="Times New Roman"/>
      <w:sz w:val="24"/>
      <w:szCs w:val="20"/>
      <w:lang w:eastAsia="sl-SI"/>
    </w:rPr>
  </w:style>
  <w:style w:type="character" w:customStyle="1" w:styleId="TelobesedilaZnak">
    <w:name w:val="Telo besedila Znak"/>
    <w:link w:val="Telobesedila"/>
    <w:rsid w:val="00533991"/>
    <w:rPr>
      <w:rFonts w:ascii="Times New Roman" w:eastAsia="Times New Roman" w:hAnsi="Times New Roman"/>
      <w:sz w:val="24"/>
    </w:rPr>
  </w:style>
  <w:style w:type="character" w:styleId="Pripombasklic">
    <w:name w:val="annotation reference"/>
    <w:uiPriority w:val="99"/>
    <w:semiHidden/>
    <w:unhideWhenUsed/>
    <w:rsid w:val="007A6D99"/>
    <w:rPr>
      <w:sz w:val="16"/>
      <w:szCs w:val="16"/>
    </w:rPr>
  </w:style>
  <w:style w:type="paragraph" w:styleId="Pripombabesedilo">
    <w:name w:val="annotation text"/>
    <w:basedOn w:val="Navaden"/>
    <w:link w:val="PripombabesediloZnak"/>
    <w:uiPriority w:val="99"/>
    <w:semiHidden/>
    <w:unhideWhenUsed/>
    <w:rsid w:val="007A6D99"/>
    <w:rPr>
      <w:sz w:val="20"/>
      <w:szCs w:val="20"/>
    </w:rPr>
  </w:style>
  <w:style w:type="character" w:customStyle="1" w:styleId="PripombabesediloZnak">
    <w:name w:val="Pripomba – besedilo Znak"/>
    <w:link w:val="Pripombabesedilo"/>
    <w:uiPriority w:val="99"/>
    <w:semiHidden/>
    <w:rsid w:val="007A6D99"/>
    <w:rPr>
      <w:lang w:eastAsia="en-US"/>
    </w:rPr>
  </w:style>
  <w:style w:type="paragraph" w:styleId="Zadevapripombe">
    <w:name w:val="annotation subject"/>
    <w:basedOn w:val="Pripombabesedilo"/>
    <w:next w:val="Pripombabesedilo"/>
    <w:link w:val="ZadevapripombeZnak"/>
    <w:uiPriority w:val="99"/>
    <w:semiHidden/>
    <w:unhideWhenUsed/>
    <w:rsid w:val="007A6D99"/>
    <w:rPr>
      <w:b/>
      <w:bCs/>
    </w:rPr>
  </w:style>
  <w:style w:type="character" w:customStyle="1" w:styleId="ZadevapripombeZnak">
    <w:name w:val="Zadeva pripombe Znak"/>
    <w:link w:val="Zadevapripombe"/>
    <w:uiPriority w:val="99"/>
    <w:semiHidden/>
    <w:rsid w:val="007A6D99"/>
    <w:rPr>
      <w:b/>
      <w:bCs/>
      <w:lang w:eastAsia="en-US"/>
    </w:rPr>
  </w:style>
  <w:style w:type="paragraph" w:styleId="Odstavekseznama">
    <w:name w:val="List Paragraph"/>
    <w:basedOn w:val="Navaden"/>
    <w:uiPriority w:val="34"/>
    <w:qFormat/>
    <w:rsid w:val="000F3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eastAsia="en-US"/>
    </w:rPr>
  </w:style>
  <w:style w:type="paragraph" w:styleId="Naslov1">
    <w:name w:val="heading 1"/>
    <w:basedOn w:val="Navaden"/>
    <w:next w:val="Navaden"/>
    <w:link w:val="Naslov1Znak"/>
    <w:uiPriority w:val="9"/>
    <w:qFormat/>
    <w:rsid w:val="00CF504B"/>
    <w:pPr>
      <w:keepNext/>
      <w:numPr>
        <w:numId w:val="14"/>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6E099C"/>
    <w:pPr>
      <w:keepNext/>
      <w:numPr>
        <w:ilvl w:val="1"/>
        <w:numId w:val="14"/>
      </w:numPr>
      <w:spacing w:before="240" w:after="240"/>
      <w:ind w:left="578" w:hanging="578"/>
      <w:outlineLvl w:val="1"/>
    </w:pPr>
    <w:rPr>
      <w:rFonts w:ascii="Cambria" w:eastAsia="Times New Roman" w:hAnsi="Cambria"/>
      <w:b/>
      <w:bCs/>
      <w:i/>
      <w:iCs/>
      <w:sz w:val="24"/>
      <w:szCs w:val="28"/>
    </w:rPr>
  </w:style>
  <w:style w:type="paragraph" w:styleId="Naslov3">
    <w:name w:val="heading 3"/>
    <w:basedOn w:val="Naslov2"/>
    <w:next w:val="Navaden"/>
    <w:link w:val="Naslov3Znak"/>
    <w:uiPriority w:val="9"/>
    <w:unhideWhenUsed/>
    <w:qFormat/>
    <w:rsid w:val="006E099C"/>
    <w:pPr>
      <w:numPr>
        <w:ilvl w:val="2"/>
      </w:numPr>
      <w:outlineLvl w:val="2"/>
    </w:pPr>
    <w:rPr>
      <w:rFonts w:ascii="Calibri" w:hAnsi="Calibri"/>
      <w:bCs w:val="0"/>
      <w:i w:val="0"/>
    </w:rPr>
  </w:style>
  <w:style w:type="paragraph" w:styleId="Naslov4">
    <w:name w:val="heading 4"/>
    <w:basedOn w:val="Navaden"/>
    <w:next w:val="Navaden"/>
    <w:link w:val="Naslov4Znak"/>
    <w:uiPriority w:val="9"/>
    <w:unhideWhenUsed/>
    <w:qFormat/>
    <w:rsid w:val="00BB42BC"/>
    <w:pPr>
      <w:keepNext/>
      <w:numPr>
        <w:ilvl w:val="3"/>
        <w:numId w:val="14"/>
      </w:numPr>
      <w:spacing w:before="240" w:after="240"/>
      <w:ind w:left="862" w:hanging="862"/>
      <w:outlineLvl w:val="3"/>
    </w:pPr>
    <w:rPr>
      <w:rFonts w:eastAsia="Times New Roman"/>
      <w:b/>
      <w:bCs/>
      <w:szCs w:val="28"/>
    </w:rPr>
  </w:style>
  <w:style w:type="paragraph" w:styleId="Naslov5">
    <w:name w:val="heading 5"/>
    <w:basedOn w:val="Navaden"/>
    <w:next w:val="Navaden"/>
    <w:link w:val="Naslov5Znak"/>
    <w:uiPriority w:val="9"/>
    <w:semiHidden/>
    <w:unhideWhenUsed/>
    <w:qFormat/>
    <w:rsid w:val="00C84B42"/>
    <w:pPr>
      <w:numPr>
        <w:ilvl w:val="4"/>
        <w:numId w:val="14"/>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C84B42"/>
    <w:pPr>
      <w:numPr>
        <w:ilvl w:val="5"/>
        <w:numId w:val="14"/>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C84B42"/>
    <w:pPr>
      <w:numPr>
        <w:ilvl w:val="6"/>
        <w:numId w:val="14"/>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C84B42"/>
    <w:pPr>
      <w:numPr>
        <w:ilvl w:val="7"/>
        <w:numId w:val="14"/>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C84B42"/>
    <w:pPr>
      <w:numPr>
        <w:ilvl w:val="8"/>
        <w:numId w:val="14"/>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CF504B"/>
    <w:rPr>
      <w:rFonts w:ascii="Cambria" w:eastAsia="Times New Roman" w:hAnsi="Cambria"/>
      <w:b/>
      <w:bCs/>
      <w:kern w:val="32"/>
      <w:sz w:val="32"/>
      <w:szCs w:val="32"/>
      <w:lang w:eastAsia="en-US"/>
    </w:rPr>
  </w:style>
  <w:style w:type="character" w:customStyle="1" w:styleId="Naslov2Znak">
    <w:name w:val="Naslov 2 Znak"/>
    <w:link w:val="Naslov2"/>
    <w:uiPriority w:val="9"/>
    <w:rsid w:val="006E099C"/>
    <w:rPr>
      <w:rFonts w:ascii="Cambria" w:eastAsia="Times New Roman" w:hAnsi="Cambria"/>
      <w:b/>
      <w:bCs/>
      <w:i/>
      <w:iCs/>
      <w:sz w:val="24"/>
      <w:szCs w:val="28"/>
      <w:lang w:eastAsia="en-US"/>
    </w:rPr>
  </w:style>
  <w:style w:type="paragraph" w:customStyle="1" w:styleId="Naslov3pravi">
    <w:name w:val="Naslov 3_pravi"/>
    <w:basedOn w:val="Navaden"/>
    <w:rsid w:val="00B102D6"/>
    <w:pPr>
      <w:numPr>
        <w:ilvl w:val="2"/>
        <w:numId w:val="12"/>
      </w:numPr>
    </w:pPr>
  </w:style>
  <w:style w:type="character" w:customStyle="1" w:styleId="Naslov4Znak">
    <w:name w:val="Naslov 4 Znak"/>
    <w:link w:val="Naslov4"/>
    <w:uiPriority w:val="9"/>
    <w:rsid w:val="00BB42BC"/>
    <w:rPr>
      <w:rFonts w:eastAsia="Times New Roman"/>
      <w:b/>
      <w:bCs/>
      <w:sz w:val="22"/>
      <w:szCs w:val="28"/>
      <w:lang w:eastAsia="en-US"/>
    </w:rPr>
  </w:style>
  <w:style w:type="paragraph" w:styleId="Glava">
    <w:name w:val="header"/>
    <w:basedOn w:val="Navaden"/>
    <w:link w:val="GlavaZnak"/>
    <w:uiPriority w:val="99"/>
    <w:unhideWhenUsed/>
    <w:rsid w:val="003436FC"/>
    <w:pPr>
      <w:tabs>
        <w:tab w:val="center" w:pos="4536"/>
        <w:tab w:val="right" w:pos="9072"/>
      </w:tabs>
    </w:pPr>
  </w:style>
  <w:style w:type="character" w:customStyle="1" w:styleId="GlavaZnak">
    <w:name w:val="Glava Znak"/>
    <w:link w:val="Glava"/>
    <w:uiPriority w:val="99"/>
    <w:rsid w:val="003436FC"/>
    <w:rPr>
      <w:sz w:val="22"/>
      <w:szCs w:val="22"/>
      <w:lang w:eastAsia="en-US"/>
    </w:rPr>
  </w:style>
  <w:style w:type="paragraph" w:styleId="Noga">
    <w:name w:val="footer"/>
    <w:basedOn w:val="Navaden"/>
    <w:link w:val="NogaZnak"/>
    <w:uiPriority w:val="99"/>
    <w:unhideWhenUsed/>
    <w:rsid w:val="003436FC"/>
    <w:pPr>
      <w:tabs>
        <w:tab w:val="center" w:pos="4536"/>
        <w:tab w:val="right" w:pos="9072"/>
      </w:tabs>
    </w:pPr>
  </w:style>
  <w:style w:type="character" w:customStyle="1" w:styleId="NogaZnak">
    <w:name w:val="Noga Znak"/>
    <w:link w:val="Noga"/>
    <w:uiPriority w:val="99"/>
    <w:rsid w:val="003436FC"/>
    <w:rPr>
      <w:sz w:val="22"/>
      <w:szCs w:val="22"/>
      <w:lang w:eastAsia="en-US"/>
    </w:rPr>
  </w:style>
  <w:style w:type="paragraph" w:styleId="Napis">
    <w:name w:val="caption"/>
    <w:basedOn w:val="Navaden"/>
    <w:next w:val="Navaden"/>
    <w:link w:val="NapisZnak"/>
    <w:unhideWhenUsed/>
    <w:qFormat/>
    <w:rsid w:val="005B3609"/>
    <w:pPr>
      <w:jc w:val="both"/>
    </w:pPr>
    <w:rPr>
      <w:b/>
      <w:bCs/>
      <w:szCs w:val="20"/>
    </w:rPr>
  </w:style>
  <w:style w:type="character" w:customStyle="1" w:styleId="Naslov3Znak">
    <w:name w:val="Naslov 3 Znak"/>
    <w:link w:val="Naslov3"/>
    <w:uiPriority w:val="9"/>
    <w:rsid w:val="006E099C"/>
    <w:rPr>
      <w:rFonts w:eastAsia="Times New Roman"/>
      <w:b/>
      <w:iCs/>
      <w:sz w:val="24"/>
      <w:szCs w:val="28"/>
      <w:lang w:eastAsia="en-US"/>
    </w:rPr>
  </w:style>
  <w:style w:type="table" w:styleId="Tabelamrea">
    <w:name w:val="Table Grid"/>
    <w:basedOn w:val="Navadnatabela"/>
    <w:uiPriority w:val="59"/>
    <w:rsid w:val="001E65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5Znak">
    <w:name w:val="Naslov 5 Znak"/>
    <w:link w:val="Naslov5"/>
    <w:uiPriority w:val="9"/>
    <w:semiHidden/>
    <w:rsid w:val="00C84B42"/>
    <w:rPr>
      <w:rFonts w:ascii="Calibri" w:eastAsia="Times New Roman" w:hAnsi="Calibri" w:cs="Times New Roman"/>
      <w:b/>
      <w:bCs/>
      <w:i/>
      <w:iCs/>
      <w:sz w:val="26"/>
      <w:szCs w:val="26"/>
      <w:lang w:eastAsia="en-US"/>
    </w:rPr>
  </w:style>
  <w:style w:type="character" w:customStyle="1" w:styleId="Naslov6Znak">
    <w:name w:val="Naslov 6 Znak"/>
    <w:link w:val="Naslov6"/>
    <w:uiPriority w:val="9"/>
    <w:semiHidden/>
    <w:rsid w:val="00C84B42"/>
    <w:rPr>
      <w:rFonts w:ascii="Calibri" w:eastAsia="Times New Roman" w:hAnsi="Calibri" w:cs="Times New Roman"/>
      <w:b/>
      <w:bCs/>
      <w:sz w:val="22"/>
      <w:szCs w:val="22"/>
      <w:lang w:eastAsia="en-US"/>
    </w:rPr>
  </w:style>
  <w:style w:type="character" w:customStyle="1" w:styleId="Naslov7Znak">
    <w:name w:val="Naslov 7 Znak"/>
    <w:link w:val="Naslov7"/>
    <w:uiPriority w:val="9"/>
    <w:semiHidden/>
    <w:rsid w:val="00C84B42"/>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C84B42"/>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C84B42"/>
    <w:rPr>
      <w:rFonts w:ascii="Cambria" w:eastAsia="Times New Roman" w:hAnsi="Cambria" w:cs="Times New Roman"/>
      <w:sz w:val="22"/>
      <w:szCs w:val="22"/>
      <w:lang w:eastAsia="en-US"/>
    </w:rPr>
  </w:style>
  <w:style w:type="paragraph" w:styleId="Sprotnaopomba-besedilo">
    <w:name w:val="footnote text"/>
    <w:aliases w:val="IFZ f,Footnote,Fußnote,-E Fußnotentext,Fußnotentext Ursprung"/>
    <w:basedOn w:val="Navaden"/>
    <w:link w:val="Sprotnaopomba-besediloZnak"/>
    <w:rsid w:val="00FE7584"/>
    <w:pPr>
      <w:spacing w:after="0" w:line="260" w:lineRule="atLeast"/>
    </w:pPr>
    <w:rPr>
      <w:rFonts w:ascii="Arial" w:eastAsia="Times New Roman" w:hAnsi="Arial"/>
      <w:sz w:val="20"/>
      <w:szCs w:val="20"/>
      <w:lang w:val="en-US"/>
    </w:rPr>
  </w:style>
  <w:style w:type="character" w:customStyle="1" w:styleId="Sprotnaopomba-besediloZnak">
    <w:name w:val="Sprotna opomba - besedilo Znak"/>
    <w:aliases w:val="IFZ f Znak,Footnote Znak,Fußnote Znak,-E Fußnotentext Znak,Fußnotentext Ursprung Znak"/>
    <w:link w:val="Sprotnaopomba-besedilo"/>
    <w:rsid w:val="00FE7584"/>
    <w:rPr>
      <w:rFonts w:ascii="Arial" w:eastAsia="Times New Roman" w:hAnsi="Arial"/>
      <w:lang w:val="en-US" w:eastAsia="en-US"/>
    </w:rPr>
  </w:style>
  <w:style w:type="character" w:styleId="Sprotnaopomba-sklic">
    <w:name w:val="footnote reference"/>
    <w:rsid w:val="00FE7584"/>
    <w:rPr>
      <w:vertAlign w:val="superscript"/>
    </w:rPr>
  </w:style>
  <w:style w:type="paragraph" w:customStyle="1" w:styleId="ZADEVA">
    <w:name w:val="ZADEVA"/>
    <w:basedOn w:val="Navaden"/>
    <w:qFormat/>
    <w:rsid w:val="009A127B"/>
    <w:pPr>
      <w:tabs>
        <w:tab w:val="left" w:pos="1701"/>
      </w:tabs>
      <w:spacing w:after="0" w:line="260" w:lineRule="atLeast"/>
      <w:ind w:left="1701" w:hanging="1701"/>
    </w:pPr>
    <w:rPr>
      <w:rFonts w:ascii="Arial" w:eastAsia="Times New Roman" w:hAnsi="Arial"/>
      <w:b/>
      <w:sz w:val="20"/>
      <w:szCs w:val="24"/>
      <w:lang w:val="it-IT"/>
    </w:rPr>
  </w:style>
  <w:style w:type="paragraph" w:customStyle="1" w:styleId="Slog1">
    <w:name w:val="Slog1"/>
    <w:basedOn w:val="Napis"/>
    <w:link w:val="Slog1Znak"/>
    <w:qFormat/>
    <w:rsid w:val="00852390"/>
    <w:rPr>
      <w:sz w:val="28"/>
    </w:rPr>
  </w:style>
  <w:style w:type="paragraph" w:styleId="NaslovTOC">
    <w:name w:val="TOC Heading"/>
    <w:basedOn w:val="Naslov1"/>
    <w:next w:val="Navaden"/>
    <w:uiPriority w:val="39"/>
    <w:semiHidden/>
    <w:unhideWhenUsed/>
    <w:qFormat/>
    <w:rsid w:val="00852247"/>
    <w:pPr>
      <w:keepLines/>
      <w:numPr>
        <w:numId w:val="0"/>
      </w:numPr>
      <w:spacing w:before="480" w:after="0"/>
      <w:outlineLvl w:val="9"/>
    </w:pPr>
    <w:rPr>
      <w:color w:val="365F91"/>
      <w:kern w:val="0"/>
      <w:sz w:val="28"/>
      <w:szCs w:val="28"/>
      <w:lang w:eastAsia="sl-SI"/>
    </w:rPr>
  </w:style>
  <w:style w:type="character" w:customStyle="1" w:styleId="NapisZnak">
    <w:name w:val="Napis Znak"/>
    <w:link w:val="Napis"/>
    <w:rsid w:val="00852390"/>
    <w:rPr>
      <w:b/>
      <w:bCs/>
      <w:sz w:val="22"/>
      <w:lang w:eastAsia="en-US"/>
    </w:rPr>
  </w:style>
  <w:style w:type="character" w:customStyle="1" w:styleId="Slog1Znak">
    <w:name w:val="Slog1 Znak"/>
    <w:link w:val="Slog1"/>
    <w:rsid w:val="00852390"/>
    <w:rPr>
      <w:b/>
      <w:bCs/>
      <w:sz w:val="28"/>
      <w:lang w:eastAsia="en-US"/>
    </w:rPr>
  </w:style>
  <w:style w:type="paragraph" w:styleId="Kazalovsebine1">
    <w:name w:val="toc 1"/>
    <w:basedOn w:val="Navaden"/>
    <w:next w:val="Navaden"/>
    <w:autoRedefine/>
    <w:uiPriority w:val="39"/>
    <w:unhideWhenUsed/>
    <w:rsid w:val="00852247"/>
    <w:pPr>
      <w:tabs>
        <w:tab w:val="left" w:pos="440"/>
        <w:tab w:val="right" w:leader="dot" w:pos="9062"/>
      </w:tabs>
    </w:pPr>
    <w:rPr>
      <w:b/>
      <w:noProof/>
    </w:rPr>
  </w:style>
  <w:style w:type="paragraph" w:styleId="Kazalovsebine2">
    <w:name w:val="toc 2"/>
    <w:basedOn w:val="Navaden"/>
    <w:next w:val="Navaden"/>
    <w:autoRedefine/>
    <w:uiPriority w:val="39"/>
    <w:unhideWhenUsed/>
    <w:rsid w:val="00852247"/>
    <w:pPr>
      <w:tabs>
        <w:tab w:val="left" w:pos="880"/>
        <w:tab w:val="right" w:leader="dot" w:pos="9062"/>
      </w:tabs>
      <w:ind w:left="220"/>
    </w:pPr>
    <w:rPr>
      <w:b/>
      <w:i/>
      <w:noProof/>
    </w:rPr>
  </w:style>
  <w:style w:type="paragraph" w:styleId="Kazalovsebine3">
    <w:name w:val="toc 3"/>
    <w:basedOn w:val="Navaden"/>
    <w:next w:val="Navaden"/>
    <w:autoRedefine/>
    <w:uiPriority w:val="39"/>
    <w:unhideWhenUsed/>
    <w:rsid w:val="00852247"/>
    <w:pPr>
      <w:ind w:left="440"/>
    </w:pPr>
  </w:style>
  <w:style w:type="character" w:styleId="Hiperpovezava">
    <w:name w:val="Hyperlink"/>
    <w:uiPriority w:val="99"/>
    <w:unhideWhenUsed/>
    <w:rsid w:val="00852247"/>
    <w:rPr>
      <w:color w:val="0000FF"/>
      <w:u w:val="single"/>
    </w:rPr>
  </w:style>
  <w:style w:type="paragraph" w:styleId="Besedilooblaka">
    <w:name w:val="Balloon Text"/>
    <w:basedOn w:val="Navaden"/>
    <w:link w:val="BesedilooblakaZnak"/>
    <w:uiPriority w:val="99"/>
    <w:semiHidden/>
    <w:unhideWhenUsed/>
    <w:rsid w:val="0027344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7344E"/>
    <w:rPr>
      <w:rFonts w:ascii="Tahoma" w:hAnsi="Tahoma" w:cs="Tahoma"/>
      <w:sz w:val="16"/>
      <w:szCs w:val="16"/>
      <w:lang w:eastAsia="en-US"/>
    </w:rPr>
  </w:style>
  <w:style w:type="paragraph" w:styleId="Telobesedila">
    <w:name w:val="Body Text"/>
    <w:basedOn w:val="Navaden"/>
    <w:link w:val="TelobesedilaZnak"/>
    <w:rsid w:val="00533991"/>
    <w:pPr>
      <w:spacing w:after="120" w:line="300" w:lineRule="auto"/>
      <w:ind w:firstLine="425"/>
      <w:jc w:val="both"/>
    </w:pPr>
    <w:rPr>
      <w:rFonts w:ascii="Times New Roman" w:eastAsia="Times New Roman" w:hAnsi="Times New Roman"/>
      <w:sz w:val="24"/>
      <w:szCs w:val="20"/>
      <w:lang w:eastAsia="sl-SI"/>
    </w:rPr>
  </w:style>
  <w:style w:type="character" w:customStyle="1" w:styleId="TelobesedilaZnak">
    <w:name w:val="Telo besedila Znak"/>
    <w:link w:val="Telobesedila"/>
    <w:rsid w:val="00533991"/>
    <w:rPr>
      <w:rFonts w:ascii="Times New Roman" w:eastAsia="Times New Roman" w:hAnsi="Times New Roman"/>
      <w:sz w:val="24"/>
    </w:rPr>
  </w:style>
  <w:style w:type="character" w:styleId="Pripombasklic">
    <w:name w:val="annotation reference"/>
    <w:uiPriority w:val="99"/>
    <w:semiHidden/>
    <w:unhideWhenUsed/>
    <w:rsid w:val="007A6D99"/>
    <w:rPr>
      <w:sz w:val="16"/>
      <w:szCs w:val="16"/>
    </w:rPr>
  </w:style>
  <w:style w:type="paragraph" w:styleId="Pripombabesedilo">
    <w:name w:val="annotation text"/>
    <w:basedOn w:val="Navaden"/>
    <w:link w:val="PripombabesediloZnak"/>
    <w:uiPriority w:val="99"/>
    <w:semiHidden/>
    <w:unhideWhenUsed/>
    <w:rsid w:val="007A6D99"/>
    <w:rPr>
      <w:sz w:val="20"/>
      <w:szCs w:val="20"/>
    </w:rPr>
  </w:style>
  <w:style w:type="character" w:customStyle="1" w:styleId="PripombabesediloZnak">
    <w:name w:val="Pripomba – besedilo Znak"/>
    <w:link w:val="Pripombabesedilo"/>
    <w:uiPriority w:val="99"/>
    <w:semiHidden/>
    <w:rsid w:val="007A6D99"/>
    <w:rPr>
      <w:lang w:eastAsia="en-US"/>
    </w:rPr>
  </w:style>
  <w:style w:type="paragraph" w:styleId="Zadevapripombe">
    <w:name w:val="annotation subject"/>
    <w:basedOn w:val="Pripombabesedilo"/>
    <w:next w:val="Pripombabesedilo"/>
    <w:link w:val="ZadevapripombeZnak"/>
    <w:uiPriority w:val="99"/>
    <w:semiHidden/>
    <w:unhideWhenUsed/>
    <w:rsid w:val="007A6D99"/>
    <w:rPr>
      <w:b/>
      <w:bCs/>
    </w:rPr>
  </w:style>
  <w:style w:type="character" w:customStyle="1" w:styleId="ZadevapripombeZnak">
    <w:name w:val="Zadeva pripombe Znak"/>
    <w:link w:val="Zadevapripombe"/>
    <w:uiPriority w:val="99"/>
    <w:semiHidden/>
    <w:rsid w:val="007A6D99"/>
    <w:rPr>
      <w:b/>
      <w:bCs/>
      <w:lang w:eastAsia="en-US"/>
    </w:rPr>
  </w:style>
  <w:style w:type="paragraph" w:styleId="Odstavekseznama">
    <w:name w:val="List Paragraph"/>
    <w:basedOn w:val="Navaden"/>
    <w:uiPriority w:val="34"/>
    <w:qFormat/>
    <w:rsid w:val="000F3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408">
      <w:bodyDiv w:val="1"/>
      <w:marLeft w:val="0"/>
      <w:marRight w:val="0"/>
      <w:marTop w:val="0"/>
      <w:marBottom w:val="0"/>
      <w:divBdr>
        <w:top w:val="none" w:sz="0" w:space="0" w:color="auto"/>
        <w:left w:val="none" w:sz="0" w:space="0" w:color="auto"/>
        <w:bottom w:val="none" w:sz="0" w:space="0" w:color="auto"/>
        <w:right w:val="none" w:sz="0" w:space="0" w:color="auto"/>
      </w:divBdr>
    </w:div>
    <w:div w:id="394665768">
      <w:bodyDiv w:val="1"/>
      <w:marLeft w:val="0"/>
      <w:marRight w:val="0"/>
      <w:marTop w:val="0"/>
      <w:marBottom w:val="0"/>
      <w:divBdr>
        <w:top w:val="none" w:sz="0" w:space="0" w:color="auto"/>
        <w:left w:val="none" w:sz="0" w:space="0" w:color="auto"/>
        <w:bottom w:val="none" w:sz="0" w:space="0" w:color="auto"/>
        <w:right w:val="none" w:sz="0" w:space="0" w:color="auto"/>
      </w:divBdr>
    </w:div>
    <w:div w:id="501898661">
      <w:bodyDiv w:val="1"/>
      <w:marLeft w:val="0"/>
      <w:marRight w:val="0"/>
      <w:marTop w:val="0"/>
      <w:marBottom w:val="0"/>
      <w:divBdr>
        <w:top w:val="none" w:sz="0" w:space="0" w:color="auto"/>
        <w:left w:val="none" w:sz="0" w:space="0" w:color="auto"/>
        <w:bottom w:val="none" w:sz="0" w:space="0" w:color="auto"/>
        <w:right w:val="none" w:sz="0" w:space="0" w:color="auto"/>
      </w:divBdr>
    </w:div>
    <w:div w:id="859972086">
      <w:bodyDiv w:val="1"/>
      <w:marLeft w:val="0"/>
      <w:marRight w:val="0"/>
      <w:marTop w:val="0"/>
      <w:marBottom w:val="0"/>
      <w:divBdr>
        <w:top w:val="none" w:sz="0" w:space="0" w:color="auto"/>
        <w:left w:val="none" w:sz="0" w:space="0" w:color="auto"/>
        <w:bottom w:val="none" w:sz="0" w:space="0" w:color="auto"/>
        <w:right w:val="none" w:sz="0" w:space="0" w:color="auto"/>
      </w:divBdr>
      <w:divsChild>
        <w:div w:id="1168253682">
          <w:marLeft w:val="0"/>
          <w:marRight w:val="0"/>
          <w:marTop w:val="0"/>
          <w:marBottom w:val="0"/>
          <w:divBdr>
            <w:top w:val="none" w:sz="0" w:space="0" w:color="auto"/>
            <w:left w:val="none" w:sz="0" w:space="0" w:color="auto"/>
            <w:bottom w:val="none" w:sz="0" w:space="0" w:color="auto"/>
            <w:right w:val="none" w:sz="0" w:space="0" w:color="auto"/>
          </w:divBdr>
        </w:div>
      </w:divsChild>
    </w:div>
    <w:div w:id="925305887">
      <w:bodyDiv w:val="1"/>
      <w:marLeft w:val="0"/>
      <w:marRight w:val="0"/>
      <w:marTop w:val="0"/>
      <w:marBottom w:val="0"/>
      <w:divBdr>
        <w:top w:val="none" w:sz="0" w:space="0" w:color="auto"/>
        <w:left w:val="none" w:sz="0" w:space="0" w:color="auto"/>
        <w:bottom w:val="none" w:sz="0" w:space="0" w:color="auto"/>
        <w:right w:val="none" w:sz="0" w:space="0" w:color="auto"/>
      </w:divBdr>
    </w:div>
    <w:div w:id="1058284917">
      <w:bodyDiv w:val="1"/>
      <w:marLeft w:val="0"/>
      <w:marRight w:val="0"/>
      <w:marTop w:val="0"/>
      <w:marBottom w:val="0"/>
      <w:divBdr>
        <w:top w:val="none" w:sz="0" w:space="0" w:color="auto"/>
        <w:left w:val="none" w:sz="0" w:space="0" w:color="auto"/>
        <w:bottom w:val="none" w:sz="0" w:space="0" w:color="auto"/>
        <w:right w:val="none" w:sz="0" w:space="0" w:color="auto"/>
      </w:divBdr>
    </w:div>
    <w:div w:id="16141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552C6-C0CC-4CBB-AA86-82F83EB2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8776</Words>
  <Characters>50028</Characters>
  <Application>Microsoft Office Word</Application>
  <DocSecurity>0</DocSecurity>
  <Lines>416</Lines>
  <Paragraphs>117</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58687</CharactersWithSpaces>
  <SharedDoc>false</SharedDoc>
  <HLinks>
    <vt:vector size="120" baseType="variant">
      <vt:variant>
        <vt:i4>1507384</vt:i4>
      </vt:variant>
      <vt:variant>
        <vt:i4>116</vt:i4>
      </vt:variant>
      <vt:variant>
        <vt:i4>0</vt:i4>
      </vt:variant>
      <vt:variant>
        <vt:i4>5</vt:i4>
      </vt:variant>
      <vt:variant>
        <vt:lpwstr/>
      </vt:variant>
      <vt:variant>
        <vt:lpwstr>_Toc503180611</vt:lpwstr>
      </vt:variant>
      <vt:variant>
        <vt:i4>1507384</vt:i4>
      </vt:variant>
      <vt:variant>
        <vt:i4>110</vt:i4>
      </vt:variant>
      <vt:variant>
        <vt:i4>0</vt:i4>
      </vt:variant>
      <vt:variant>
        <vt:i4>5</vt:i4>
      </vt:variant>
      <vt:variant>
        <vt:lpwstr/>
      </vt:variant>
      <vt:variant>
        <vt:lpwstr>_Toc503180610</vt:lpwstr>
      </vt:variant>
      <vt:variant>
        <vt:i4>1441848</vt:i4>
      </vt:variant>
      <vt:variant>
        <vt:i4>104</vt:i4>
      </vt:variant>
      <vt:variant>
        <vt:i4>0</vt:i4>
      </vt:variant>
      <vt:variant>
        <vt:i4>5</vt:i4>
      </vt:variant>
      <vt:variant>
        <vt:lpwstr/>
      </vt:variant>
      <vt:variant>
        <vt:lpwstr>_Toc503180609</vt:lpwstr>
      </vt:variant>
      <vt:variant>
        <vt:i4>1441848</vt:i4>
      </vt:variant>
      <vt:variant>
        <vt:i4>98</vt:i4>
      </vt:variant>
      <vt:variant>
        <vt:i4>0</vt:i4>
      </vt:variant>
      <vt:variant>
        <vt:i4>5</vt:i4>
      </vt:variant>
      <vt:variant>
        <vt:lpwstr/>
      </vt:variant>
      <vt:variant>
        <vt:lpwstr>_Toc503180608</vt:lpwstr>
      </vt:variant>
      <vt:variant>
        <vt:i4>1441848</vt:i4>
      </vt:variant>
      <vt:variant>
        <vt:i4>92</vt:i4>
      </vt:variant>
      <vt:variant>
        <vt:i4>0</vt:i4>
      </vt:variant>
      <vt:variant>
        <vt:i4>5</vt:i4>
      </vt:variant>
      <vt:variant>
        <vt:lpwstr/>
      </vt:variant>
      <vt:variant>
        <vt:lpwstr>_Toc503180607</vt:lpwstr>
      </vt:variant>
      <vt:variant>
        <vt:i4>1441848</vt:i4>
      </vt:variant>
      <vt:variant>
        <vt:i4>86</vt:i4>
      </vt:variant>
      <vt:variant>
        <vt:i4>0</vt:i4>
      </vt:variant>
      <vt:variant>
        <vt:i4>5</vt:i4>
      </vt:variant>
      <vt:variant>
        <vt:lpwstr/>
      </vt:variant>
      <vt:variant>
        <vt:lpwstr>_Toc503180606</vt:lpwstr>
      </vt:variant>
      <vt:variant>
        <vt:i4>1441848</vt:i4>
      </vt:variant>
      <vt:variant>
        <vt:i4>80</vt:i4>
      </vt:variant>
      <vt:variant>
        <vt:i4>0</vt:i4>
      </vt:variant>
      <vt:variant>
        <vt:i4>5</vt:i4>
      </vt:variant>
      <vt:variant>
        <vt:lpwstr/>
      </vt:variant>
      <vt:variant>
        <vt:lpwstr>_Toc503180605</vt:lpwstr>
      </vt:variant>
      <vt:variant>
        <vt:i4>1441848</vt:i4>
      </vt:variant>
      <vt:variant>
        <vt:i4>74</vt:i4>
      </vt:variant>
      <vt:variant>
        <vt:i4>0</vt:i4>
      </vt:variant>
      <vt:variant>
        <vt:i4>5</vt:i4>
      </vt:variant>
      <vt:variant>
        <vt:lpwstr/>
      </vt:variant>
      <vt:variant>
        <vt:lpwstr>_Toc503180604</vt:lpwstr>
      </vt:variant>
      <vt:variant>
        <vt:i4>1441848</vt:i4>
      </vt:variant>
      <vt:variant>
        <vt:i4>68</vt:i4>
      </vt:variant>
      <vt:variant>
        <vt:i4>0</vt:i4>
      </vt:variant>
      <vt:variant>
        <vt:i4>5</vt:i4>
      </vt:variant>
      <vt:variant>
        <vt:lpwstr/>
      </vt:variant>
      <vt:variant>
        <vt:lpwstr>_Toc503180603</vt:lpwstr>
      </vt:variant>
      <vt:variant>
        <vt:i4>1441848</vt:i4>
      </vt:variant>
      <vt:variant>
        <vt:i4>62</vt:i4>
      </vt:variant>
      <vt:variant>
        <vt:i4>0</vt:i4>
      </vt:variant>
      <vt:variant>
        <vt:i4>5</vt:i4>
      </vt:variant>
      <vt:variant>
        <vt:lpwstr/>
      </vt:variant>
      <vt:variant>
        <vt:lpwstr>_Toc503180602</vt:lpwstr>
      </vt:variant>
      <vt:variant>
        <vt:i4>1441848</vt:i4>
      </vt:variant>
      <vt:variant>
        <vt:i4>56</vt:i4>
      </vt:variant>
      <vt:variant>
        <vt:i4>0</vt:i4>
      </vt:variant>
      <vt:variant>
        <vt:i4>5</vt:i4>
      </vt:variant>
      <vt:variant>
        <vt:lpwstr/>
      </vt:variant>
      <vt:variant>
        <vt:lpwstr>_Toc503180601</vt:lpwstr>
      </vt:variant>
      <vt:variant>
        <vt:i4>1441848</vt:i4>
      </vt:variant>
      <vt:variant>
        <vt:i4>50</vt:i4>
      </vt:variant>
      <vt:variant>
        <vt:i4>0</vt:i4>
      </vt:variant>
      <vt:variant>
        <vt:i4>5</vt:i4>
      </vt:variant>
      <vt:variant>
        <vt:lpwstr/>
      </vt:variant>
      <vt:variant>
        <vt:lpwstr>_Toc503180600</vt:lpwstr>
      </vt:variant>
      <vt:variant>
        <vt:i4>2031675</vt:i4>
      </vt:variant>
      <vt:variant>
        <vt:i4>44</vt:i4>
      </vt:variant>
      <vt:variant>
        <vt:i4>0</vt:i4>
      </vt:variant>
      <vt:variant>
        <vt:i4>5</vt:i4>
      </vt:variant>
      <vt:variant>
        <vt:lpwstr/>
      </vt:variant>
      <vt:variant>
        <vt:lpwstr>_Toc503180599</vt:lpwstr>
      </vt:variant>
      <vt:variant>
        <vt:i4>2031675</vt:i4>
      </vt:variant>
      <vt:variant>
        <vt:i4>38</vt:i4>
      </vt:variant>
      <vt:variant>
        <vt:i4>0</vt:i4>
      </vt:variant>
      <vt:variant>
        <vt:i4>5</vt:i4>
      </vt:variant>
      <vt:variant>
        <vt:lpwstr/>
      </vt:variant>
      <vt:variant>
        <vt:lpwstr>_Toc503180598</vt:lpwstr>
      </vt:variant>
      <vt:variant>
        <vt:i4>2031675</vt:i4>
      </vt:variant>
      <vt:variant>
        <vt:i4>32</vt:i4>
      </vt:variant>
      <vt:variant>
        <vt:i4>0</vt:i4>
      </vt:variant>
      <vt:variant>
        <vt:i4>5</vt:i4>
      </vt:variant>
      <vt:variant>
        <vt:lpwstr/>
      </vt:variant>
      <vt:variant>
        <vt:lpwstr>_Toc503180597</vt:lpwstr>
      </vt:variant>
      <vt:variant>
        <vt:i4>2031675</vt:i4>
      </vt:variant>
      <vt:variant>
        <vt:i4>26</vt:i4>
      </vt:variant>
      <vt:variant>
        <vt:i4>0</vt:i4>
      </vt:variant>
      <vt:variant>
        <vt:i4>5</vt:i4>
      </vt:variant>
      <vt:variant>
        <vt:lpwstr/>
      </vt:variant>
      <vt:variant>
        <vt:lpwstr>_Toc503180596</vt:lpwstr>
      </vt:variant>
      <vt:variant>
        <vt:i4>2031675</vt:i4>
      </vt:variant>
      <vt:variant>
        <vt:i4>20</vt:i4>
      </vt:variant>
      <vt:variant>
        <vt:i4>0</vt:i4>
      </vt:variant>
      <vt:variant>
        <vt:i4>5</vt:i4>
      </vt:variant>
      <vt:variant>
        <vt:lpwstr/>
      </vt:variant>
      <vt:variant>
        <vt:lpwstr>_Toc503180595</vt:lpwstr>
      </vt:variant>
      <vt:variant>
        <vt:i4>2031675</vt:i4>
      </vt:variant>
      <vt:variant>
        <vt:i4>14</vt:i4>
      </vt:variant>
      <vt:variant>
        <vt:i4>0</vt:i4>
      </vt:variant>
      <vt:variant>
        <vt:i4>5</vt:i4>
      </vt:variant>
      <vt:variant>
        <vt:lpwstr/>
      </vt:variant>
      <vt:variant>
        <vt:lpwstr>_Toc503180594</vt:lpwstr>
      </vt:variant>
      <vt:variant>
        <vt:i4>2031675</vt:i4>
      </vt:variant>
      <vt:variant>
        <vt:i4>8</vt:i4>
      </vt:variant>
      <vt:variant>
        <vt:i4>0</vt:i4>
      </vt:variant>
      <vt:variant>
        <vt:i4>5</vt:i4>
      </vt:variant>
      <vt:variant>
        <vt:lpwstr/>
      </vt:variant>
      <vt:variant>
        <vt:lpwstr>_Toc503180593</vt:lpwstr>
      </vt:variant>
      <vt:variant>
        <vt:i4>2031675</vt:i4>
      </vt:variant>
      <vt:variant>
        <vt:i4>2</vt:i4>
      </vt:variant>
      <vt:variant>
        <vt:i4>0</vt:i4>
      </vt:variant>
      <vt:variant>
        <vt:i4>5</vt:i4>
      </vt:variant>
      <vt:variant>
        <vt:lpwstr/>
      </vt:variant>
      <vt:variant>
        <vt:lpwstr>_Toc503180592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Jenko</dc:creator>
  <cp:lastModifiedBy>Martin Štiglic</cp:lastModifiedBy>
  <cp:revision>3</cp:revision>
  <cp:lastPrinted>2018-01-08T12:14:00Z</cp:lastPrinted>
  <dcterms:created xsi:type="dcterms:W3CDTF">2020-12-07T12:58:00Z</dcterms:created>
  <dcterms:modified xsi:type="dcterms:W3CDTF">2020-12-07T12:59:00Z</dcterms:modified>
</cp:coreProperties>
</file>