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BBBD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7B542C3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0FCF0B7C" w14:textId="2B900043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F4851">
        <w:rPr>
          <w:rFonts w:ascii="Arial" w:hAnsi="Arial" w:cs="Arial"/>
          <w:b/>
          <w:color w:val="000000"/>
          <w:sz w:val="24"/>
          <w:szCs w:val="24"/>
        </w:rPr>
        <w:t>VPRAŠANJA IN ODGOVORI</w:t>
      </w:r>
      <w:r w:rsidR="0005744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A20C8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6613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14F842F4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D86D7F" w14:textId="77777777" w:rsidR="00F6613C" w:rsidRPr="008D60EF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8D60EF">
        <w:rPr>
          <w:rFonts w:ascii="Arial" w:eastAsia="Times New Roman" w:hAnsi="Arial" w:cs="Arial"/>
          <w:lang w:bidi="en-US"/>
        </w:rPr>
        <w:t xml:space="preserve">Javni </w:t>
      </w:r>
      <w:r w:rsidR="00F6613C" w:rsidRPr="008D60EF">
        <w:rPr>
          <w:rFonts w:ascii="Arial" w:eastAsia="Times New Roman" w:hAnsi="Arial" w:cs="Arial"/>
          <w:lang w:bidi="en-US"/>
        </w:rPr>
        <w:t>razpisa za sofinanciranje projektov izgradnje ekonomsko-poslovne infrastrukture v Savinjsko-Šaleški (SAŠA) premogovni regiji v okviru Sklada za pravični prehod v obdobju 2024-2026</w:t>
      </w:r>
    </w:p>
    <w:p w14:paraId="292A34DA" w14:textId="77777777" w:rsidR="00D15797" w:rsidRPr="008D60EF" w:rsidRDefault="00D15797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33A4B96" w14:textId="00C83AEE" w:rsidR="007E27BC" w:rsidRPr="008D60EF" w:rsidRDefault="00A20C85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60EF">
        <w:rPr>
          <w:rFonts w:ascii="Arial" w:hAnsi="Arial" w:cs="Arial"/>
          <w:color w:val="000000"/>
        </w:rPr>
        <w:t>Številka: 4300-</w:t>
      </w:r>
      <w:r w:rsidR="00F6613C" w:rsidRPr="008D60EF">
        <w:rPr>
          <w:rFonts w:ascii="Arial" w:hAnsi="Arial" w:cs="Arial"/>
          <w:color w:val="000000"/>
        </w:rPr>
        <w:t>156</w:t>
      </w:r>
      <w:r w:rsidRPr="008D60EF">
        <w:rPr>
          <w:rFonts w:ascii="Arial" w:hAnsi="Arial" w:cs="Arial"/>
          <w:color w:val="000000"/>
        </w:rPr>
        <w:t>/2023</w:t>
      </w:r>
      <w:r w:rsidR="008B2008" w:rsidRPr="008D60EF">
        <w:rPr>
          <w:rFonts w:ascii="Arial" w:hAnsi="Arial" w:cs="Arial"/>
          <w:color w:val="000000"/>
        </w:rPr>
        <w:t>-MKRR-</w:t>
      </w:r>
      <w:r w:rsidR="00F6613C" w:rsidRPr="008D60EF">
        <w:rPr>
          <w:rFonts w:ascii="Arial" w:hAnsi="Arial" w:cs="Arial"/>
          <w:color w:val="000000"/>
        </w:rPr>
        <w:t>21</w:t>
      </w:r>
    </w:p>
    <w:p w14:paraId="7E72A2C3" w14:textId="3A4A2F74" w:rsidR="007E27BC" w:rsidRPr="008D60EF" w:rsidRDefault="00F6613C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60EF">
        <w:rPr>
          <w:rFonts w:ascii="Arial" w:hAnsi="Arial" w:cs="Arial"/>
          <w:color w:val="000000"/>
        </w:rPr>
        <w:t>Datum: 7</w:t>
      </w:r>
      <w:r w:rsidR="008B2008" w:rsidRPr="008D60EF">
        <w:rPr>
          <w:rFonts w:ascii="Arial" w:hAnsi="Arial" w:cs="Arial"/>
          <w:color w:val="000000"/>
        </w:rPr>
        <w:t xml:space="preserve">. </w:t>
      </w:r>
      <w:r w:rsidRPr="008D60EF">
        <w:rPr>
          <w:rFonts w:ascii="Arial" w:hAnsi="Arial" w:cs="Arial"/>
          <w:color w:val="000000"/>
        </w:rPr>
        <w:t>8</w:t>
      </w:r>
      <w:r w:rsidR="008B2008" w:rsidRPr="008D60EF">
        <w:rPr>
          <w:rFonts w:ascii="Arial" w:hAnsi="Arial" w:cs="Arial"/>
          <w:color w:val="000000"/>
        </w:rPr>
        <w:t xml:space="preserve">. </w:t>
      </w:r>
      <w:r w:rsidR="00EB7F76" w:rsidRPr="008D60EF">
        <w:rPr>
          <w:rFonts w:ascii="Arial" w:hAnsi="Arial" w:cs="Arial"/>
          <w:color w:val="000000"/>
        </w:rPr>
        <w:t>20</w:t>
      </w:r>
      <w:r w:rsidRPr="008D60EF">
        <w:rPr>
          <w:rFonts w:ascii="Arial" w:hAnsi="Arial" w:cs="Arial"/>
          <w:color w:val="000000"/>
        </w:rPr>
        <w:t>24</w:t>
      </w:r>
    </w:p>
    <w:p w14:paraId="06A43118" w14:textId="3845D7AC" w:rsidR="00D15797" w:rsidRPr="008D60EF" w:rsidRDefault="00D15797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6FBD32" w14:textId="77777777" w:rsidR="008B2008" w:rsidRPr="008D60EF" w:rsidRDefault="008B2008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33B1D4" w14:textId="6094C808" w:rsidR="00F6613C" w:rsidRPr="008D60EF" w:rsidRDefault="00D15797" w:rsidP="006D1329">
      <w:pPr>
        <w:spacing w:after="0"/>
        <w:jc w:val="both"/>
        <w:rPr>
          <w:rFonts w:ascii="Arial" w:eastAsia="Calibri" w:hAnsi="Arial" w:cs="Arial"/>
          <w14:ligatures w14:val="standardContextual"/>
        </w:rPr>
      </w:pPr>
      <w:bookmarkStart w:id="0" w:name="_Hlk152672040"/>
      <w:r w:rsidRPr="008D60EF">
        <w:rPr>
          <w:rFonts w:ascii="Arial" w:hAnsi="Arial" w:cs="Arial"/>
        </w:rPr>
        <w:t xml:space="preserve">1. </w:t>
      </w:r>
      <w:r w:rsidR="00F6613C" w:rsidRPr="008D60EF">
        <w:rPr>
          <w:rFonts w:ascii="Arial" w:eastAsia="Calibri" w:hAnsi="Arial" w:cs="Arial"/>
          <w14:ligatures w14:val="standardContextual"/>
        </w:rPr>
        <w:t>N</w:t>
      </w:r>
      <w:r w:rsidR="00F6613C" w:rsidRPr="008D60EF">
        <w:rPr>
          <w:rFonts w:ascii="Arial" w:eastAsia="Calibri" w:hAnsi="Arial" w:cs="Arial"/>
          <w14:ligatures w14:val="standardContextual"/>
        </w:rPr>
        <w:t xml:space="preserve">a Javni razpis  nameravamo prijaviti projekt </w:t>
      </w:r>
      <w:r w:rsidR="00F6613C" w:rsidRPr="008D60EF">
        <w:rPr>
          <w:rFonts w:ascii="Arial" w:eastAsia="Calibri" w:hAnsi="Arial" w:cs="Arial"/>
          <w14:ligatures w14:val="standardContextual"/>
        </w:rPr>
        <w:t xml:space="preserve">ureditve poslovne cone in imamo vprašanje vezano na </w:t>
      </w:r>
      <w:r w:rsidR="00F6613C" w:rsidRPr="008D60EF">
        <w:rPr>
          <w:rFonts w:ascii="Arial" w:eastAsia="Calibri" w:hAnsi="Arial" w:cs="Arial"/>
          <w14:ligatures w14:val="standardContextual"/>
        </w:rPr>
        <w:t xml:space="preserve"> 4.1 Presoja vplivov na okolje:</w:t>
      </w:r>
    </w:p>
    <w:p w14:paraId="629B52F5" w14:textId="49BE5875" w:rsidR="008D60EF" w:rsidRPr="008D60EF" w:rsidRDefault="00F6613C" w:rsidP="008D60EF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14:ligatures w14:val="standardContextual"/>
        </w:rPr>
      </w:pPr>
      <w:r w:rsidRPr="008D60EF">
        <w:rPr>
          <w:rFonts w:ascii="Arial" w:eastAsia="Times New Roman" w:hAnsi="Arial" w:cs="Arial"/>
          <w14:ligatures w14:val="standardContextual"/>
        </w:rPr>
        <w:t>PVO je obvezen za urbanistične posege, ki so namenjeni industrijskim dejavnostim iz poglavja C Priloge  I (industrijske cone), če presegajo 5 ha.</w:t>
      </w:r>
    </w:p>
    <w:p w14:paraId="7417FBE8" w14:textId="14860E4A" w:rsidR="00F6613C" w:rsidRPr="00F6613C" w:rsidRDefault="00F6613C" w:rsidP="008D60EF">
      <w:pPr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  <w:r w:rsidRPr="00F6613C">
        <w:rPr>
          <w:rFonts w:ascii="Arial" w:eastAsia="Calibri" w:hAnsi="Arial" w:cs="Arial"/>
          <w14:ligatures w14:val="standardContextual"/>
        </w:rPr>
        <w:t xml:space="preserve">V našem primeru, nam tega ni potrebno pridobivati, ker je cona manjša kot 5 ha. </w:t>
      </w:r>
    </w:p>
    <w:p w14:paraId="5727EF96" w14:textId="77777777" w:rsidR="00F6613C" w:rsidRPr="00F6613C" w:rsidRDefault="00F6613C" w:rsidP="006D1329">
      <w:pPr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  <w:r w:rsidRPr="00F6613C">
        <w:rPr>
          <w:rFonts w:ascii="Arial" w:eastAsia="Calibri" w:hAnsi="Arial" w:cs="Arial"/>
          <w14:ligatures w14:val="standardContextual"/>
        </w:rPr>
        <w:t>        b)  predhodni postopek presoje vplivov na okolje je potrebno izvesti za:</w:t>
      </w:r>
    </w:p>
    <w:p w14:paraId="321F3485" w14:textId="77777777" w:rsidR="00F6613C" w:rsidRPr="00F6613C" w:rsidRDefault="00F6613C" w:rsidP="006D13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14:ligatures w14:val="standardContextual"/>
        </w:rPr>
      </w:pPr>
      <w:r w:rsidRPr="00F6613C">
        <w:rPr>
          <w:rFonts w:ascii="Arial" w:eastAsia="Times New Roman" w:hAnsi="Arial" w:cs="Arial"/>
          <w14:ligatures w14:val="standardContextual"/>
        </w:rPr>
        <w:t xml:space="preserve">urbanistične posege, ki so namenjeni industrijskim dejavnostim (druge industrijske cone), če presegajo 1 ha«. </w:t>
      </w:r>
    </w:p>
    <w:p w14:paraId="722EA2C9" w14:textId="77777777" w:rsidR="00F6613C" w:rsidRPr="00F6613C" w:rsidRDefault="00F6613C" w:rsidP="006D13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14:ligatures w14:val="standardContextual"/>
        </w:rPr>
      </w:pPr>
      <w:r w:rsidRPr="00F6613C">
        <w:rPr>
          <w:rFonts w:ascii="Arial" w:eastAsia="Times New Roman" w:hAnsi="Arial" w:cs="Arial"/>
          <w14:ligatures w14:val="standardContextual"/>
        </w:rPr>
        <w:t>izvajanje zemeljskih del, ki se ne izvajajo pri gradnji drugih objektov iz Uredbe, na površini vsaj 1 ha, če se teren s tem poglablja ali zvišuje za najmanj 2 m.</w:t>
      </w:r>
    </w:p>
    <w:p w14:paraId="6C565498" w14:textId="0288DE14" w:rsidR="00F6613C" w:rsidRPr="008D60EF" w:rsidRDefault="00F6613C" w:rsidP="006D1329">
      <w:pPr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  <w:r w:rsidRPr="00F6613C">
        <w:rPr>
          <w:rFonts w:ascii="Arial" w:eastAsia="Calibri" w:hAnsi="Arial" w:cs="Arial"/>
          <w14:ligatures w14:val="standardContextual"/>
        </w:rPr>
        <w:t> Glede na obseg in naravo projekta, zapademo v sklop b.  </w:t>
      </w:r>
    </w:p>
    <w:p w14:paraId="53098C05" w14:textId="2A33D934" w:rsidR="00F6613C" w:rsidRPr="00F6613C" w:rsidRDefault="00F6613C" w:rsidP="006D1329">
      <w:pPr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  <w:r w:rsidRPr="00F6613C">
        <w:rPr>
          <w:rFonts w:ascii="Arial" w:eastAsia="Calibri" w:hAnsi="Arial" w:cs="Arial"/>
          <w14:ligatures w14:val="standardContextual"/>
        </w:rPr>
        <w:t xml:space="preserve">Zanima nas, v kolikor po veljavni Uredbi ne zapademo pod PVO ali je dovolj opis projektanta v dokumentaciji </w:t>
      </w:r>
      <w:proofErr w:type="spellStart"/>
      <w:r w:rsidRPr="00F6613C">
        <w:rPr>
          <w:rFonts w:ascii="Arial" w:eastAsia="Calibri" w:hAnsi="Arial" w:cs="Arial"/>
          <w14:ligatures w14:val="standardContextual"/>
        </w:rPr>
        <w:t>oz</w:t>
      </w:r>
      <w:proofErr w:type="spellEnd"/>
      <w:r w:rsidRPr="00F6613C">
        <w:rPr>
          <w:rFonts w:ascii="Arial" w:eastAsia="Calibri" w:hAnsi="Arial" w:cs="Arial"/>
          <w14:ligatures w14:val="standardContextual"/>
        </w:rPr>
        <w:t xml:space="preserve"> ali je potrebno izvesti PP postopek in pridobiti Odločbo pristojnega</w:t>
      </w:r>
      <w:r w:rsidR="006D1329" w:rsidRPr="008D60EF">
        <w:rPr>
          <w:rFonts w:ascii="Arial" w:eastAsia="Calibri" w:hAnsi="Arial" w:cs="Arial"/>
          <w14:ligatures w14:val="standardContextual"/>
        </w:rPr>
        <w:t xml:space="preserve"> </w:t>
      </w:r>
      <w:r w:rsidRPr="00F6613C">
        <w:rPr>
          <w:rFonts w:ascii="Arial" w:eastAsia="Calibri" w:hAnsi="Arial" w:cs="Arial"/>
          <w14:ligatures w14:val="standardContextual"/>
        </w:rPr>
        <w:t>ministrstva, da PVO ni potreben?</w:t>
      </w:r>
    </w:p>
    <w:p w14:paraId="304D8EE9" w14:textId="77777777" w:rsidR="00F6613C" w:rsidRPr="00F6613C" w:rsidRDefault="00F6613C" w:rsidP="006D1329">
      <w:pPr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  <w:r w:rsidRPr="00F6613C">
        <w:rPr>
          <w:rFonts w:ascii="Arial" w:eastAsia="Calibri" w:hAnsi="Arial" w:cs="Arial"/>
          <w14:ligatures w14:val="standardContextual"/>
        </w:rPr>
        <w:t>Ob enem pa se na vas obračamo s prošnjo, da v kolikor je odločba pristojnega ministrstva zahtevana, omogočite oddajo zahtevanega dokazila 6 mesecev od oddaje vloge (izenačite s pogojem pravnomočnega GD), saj dokazila o predhodnem postopku ni mogoče pridobiti, dokler ni pridobljenih vseh mnenj k DGD dokumentaciji.</w:t>
      </w:r>
    </w:p>
    <w:p w14:paraId="2A704B20" w14:textId="77777777" w:rsidR="00F6613C" w:rsidRPr="00F6613C" w:rsidRDefault="00F6613C" w:rsidP="00F6613C">
      <w:pPr>
        <w:spacing w:after="0" w:line="240" w:lineRule="auto"/>
        <w:rPr>
          <w:rFonts w:ascii="Arial" w:eastAsia="Calibri" w:hAnsi="Arial" w:cs="Arial"/>
          <w14:ligatures w14:val="standardContextual"/>
        </w:rPr>
      </w:pPr>
    </w:p>
    <w:bookmarkEnd w:id="0"/>
    <w:p w14:paraId="758D5531" w14:textId="2A416B12" w:rsidR="00322007" w:rsidRPr="008D60EF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8D60EF">
        <w:rPr>
          <w:rFonts w:ascii="Arial" w:hAnsi="Arial" w:cs="Arial"/>
          <w:color w:val="0070C0"/>
        </w:rPr>
        <w:t>ODGOVOR:</w:t>
      </w:r>
      <w:r w:rsidR="00322007" w:rsidRPr="008D60EF">
        <w:rPr>
          <w:rFonts w:ascii="Arial" w:hAnsi="Arial" w:cs="Arial"/>
          <w:color w:val="0070C0"/>
        </w:rPr>
        <w:t xml:space="preserve"> </w:t>
      </w:r>
      <w:r w:rsidR="006D1329" w:rsidRPr="008D60EF">
        <w:rPr>
          <w:rFonts w:ascii="Arial" w:hAnsi="Arial" w:cs="Arial"/>
          <w:color w:val="0070C0"/>
        </w:rPr>
        <w:t xml:space="preserve">V primeru, da načrtovani poseg zapade pod sklop b (posegi v sklopu b so povzeti po </w:t>
      </w:r>
      <w:r w:rsidR="008D60EF" w:rsidRPr="008D60EF">
        <w:rPr>
          <w:rFonts w:ascii="Arial" w:hAnsi="Arial" w:cs="Arial"/>
          <w:color w:val="0070C0"/>
        </w:rPr>
        <w:t>U</w:t>
      </w:r>
      <w:r w:rsidR="006D1329" w:rsidRPr="008D60EF">
        <w:rPr>
          <w:rFonts w:ascii="Arial" w:hAnsi="Arial" w:cs="Arial"/>
          <w:color w:val="0070C0"/>
        </w:rPr>
        <w:t xml:space="preserve">redbi o posegih v okolje, za katere je treba izvesti presojo vplivov na okolje)  je potrebno izvesti predhodni postopek v skladu z 90. členom </w:t>
      </w:r>
      <w:r w:rsidR="008D60EF" w:rsidRPr="008D60EF">
        <w:rPr>
          <w:rFonts w:ascii="Arial" w:hAnsi="Arial" w:cs="Arial"/>
          <w:color w:val="0070C0"/>
        </w:rPr>
        <w:t>Z</w:t>
      </w:r>
      <w:r w:rsidR="006D1329" w:rsidRPr="008D60EF">
        <w:rPr>
          <w:rFonts w:ascii="Arial" w:hAnsi="Arial" w:cs="Arial"/>
          <w:color w:val="0070C0"/>
        </w:rPr>
        <w:t xml:space="preserve">akona o varstvu okolja. </w:t>
      </w:r>
    </w:p>
    <w:p w14:paraId="740AB568" w14:textId="2AB56C81" w:rsidR="001B4F41" w:rsidRPr="008D60EF" w:rsidRDefault="001B4F41" w:rsidP="001B4F41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8D60EF">
        <w:rPr>
          <w:rFonts w:ascii="Arial" w:hAnsi="Arial" w:cs="Arial"/>
          <w:color w:val="0070C0"/>
        </w:rPr>
        <w:t xml:space="preserve">V kolikor se predhodna presoja vplivov na okolje oz. postopek izdaje okoljevarstvenega soglasja izvaja v okviru postopka za pridobitev gradbenega, se tudi za dostavo teh dokazil dopusti enak rok kot za pridobitev gradbenega dovoljenja, to je 6 mesecev po oddaji vloge na javni razpis. </w:t>
      </w:r>
    </w:p>
    <w:p w14:paraId="01291BEE" w14:textId="20A2F1CF" w:rsidR="00322007" w:rsidRPr="008D60EF" w:rsidRDefault="0032200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</w:p>
    <w:p w14:paraId="424848E5" w14:textId="256ADFB9" w:rsidR="009624B4" w:rsidRPr="009624B4" w:rsidRDefault="00322007" w:rsidP="009624B4">
      <w:pPr>
        <w:jc w:val="both"/>
        <w:rPr>
          <w:rFonts w:ascii="Arial" w:eastAsia="Calibri" w:hAnsi="Arial" w:cs="Arial"/>
          <w14:ligatures w14:val="standardContextual"/>
        </w:rPr>
      </w:pPr>
      <w:r w:rsidRPr="008D60EF">
        <w:rPr>
          <w:rFonts w:ascii="Arial" w:hAnsi="Arial" w:cs="Arial"/>
        </w:rPr>
        <w:t xml:space="preserve">2. </w:t>
      </w:r>
      <w:r w:rsidR="009624B4" w:rsidRPr="008D60EF">
        <w:rPr>
          <w:rFonts w:ascii="Arial" w:eastAsia="Calibri" w:hAnsi="Arial" w:cs="Arial"/>
          <w14:ligatures w14:val="standardContextual"/>
        </w:rPr>
        <w:t>V povezavi s tolmačenjem posebnih pogojev Javnega razpisa se na vas obračam z naslednjim vprašanjem</w:t>
      </w:r>
      <w:r w:rsidR="009624B4" w:rsidRPr="008D60EF">
        <w:rPr>
          <w:rFonts w:ascii="Arial" w:eastAsia="Calibri" w:hAnsi="Arial" w:cs="Arial"/>
          <w14:ligatures w14:val="standardContextual"/>
        </w:rPr>
        <w:t xml:space="preserve">: </w:t>
      </w:r>
      <w:r w:rsidR="009624B4" w:rsidRPr="009624B4">
        <w:rPr>
          <w:rFonts w:ascii="Arial" w:eastAsia="Calibri" w:hAnsi="Arial" w:cs="Arial"/>
          <w14:ligatures w14:val="standardContextual"/>
        </w:rPr>
        <w:t>Razvojna agencija SAŠA bo v okviru tehnične pomoči Centra za pravični prehod SAŠA za potrebe prijave občin upravičenk na omenjeni razpis pripravila Analizo stanja in potreb po poslovnih conah v premogovni regiji kot enoten dokument, kot je navedeno pod točko 20 posebnih pogojev.</w:t>
      </w:r>
      <w:r w:rsidR="009624B4" w:rsidRPr="008D60EF">
        <w:rPr>
          <w:rFonts w:ascii="Arial" w:eastAsia="Calibri" w:hAnsi="Arial" w:cs="Arial"/>
          <w14:ligatures w14:val="standardContextual"/>
        </w:rPr>
        <w:t xml:space="preserve"> </w:t>
      </w:r>
      <w:r w:rsidR="009624B4" w:rsidRPr="009624B4">
        <w:rPr>
          <w:rFonts w:ascii="Arial" w:eastAsia="Calibri" w:hAnsi="Arial" w:cs="Arial"/>
          <w14:ligatures w14:val="standardContextual"/>
        </w:rPr>
        <w:t>Zanima nas, ali se v analizi lahko osredotočimo samo na analizo potreb v občinah upravičenkah (ožje premogovno območje Velenje, Šoštanj in Šmartno ob Paki), ali mora analiza zajemati celotno Savinjsko-šaleško regijo?</w:t>
      </w:r>
    </w:p>
    <w:p w14:paraId="1A27C4D0" w14:textId="1C82D8E5" w:rsidR="009624B4" w:rsidRPr="008D60EF" w:rsidRDefault="0032200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70C0"/>
          <w14:ligatures w14:val="standardContextual"/>
        </w:rPr>
      </w:pPr>
      <w:r w:rsidRPr="008D60EF">
        <w:rPr>
          <w:rFonts w:ascii="Arial" w:hAnsi="Arial" w:cs="Arial"/>
          <w:color w:val="0070C0"/>
        </w:rPr>
        <w:t xml:space="preserve">ODGOVOR: </w:t>
      </w:r>
      <w:r w:rsidR="009624B4" w:rsidRPr="009624B4">
        <w:rPr>
          <w:rFonts w:ascii="Arial" w:eastAsia="Calibri" w:hAnsi="Arial" w:cs="Arial"/>
          <w:color w:val="0070C0"/>
          <w14:ligatures w14:val="standardContextual"/>
        </w:rPr>
        <w:t>Analiz</w:t>
      </w:r>
      <w:r w:rsidR="009624B4" w:rsidRPr="008D60EF">
        <w:rPr>
          <w:rFonts w:ascii="Arial" w:eastAsia="Calibri" w:hAnsi="Arial" w:cs="Arial"/>
          <w:color w:val="0070C0"/>
          <w14:ligatures w14:val="standardContextual"/>
        </w:rPr>
        <w:t>a</w:t>
      </w:r>
      <w:r w:rsidR="009624B4" w:rsidRPr="009624B4">
        <w:rPr>
          <w:rFonts w:ascii="Arial" w:eastAsia="Calibri" w:hAnsi="Arial" w:cs="Arial"/>
          <w:color w:val="0070C0"/>
          <w14:ligatures w14:val="standardContextual"/>
        </w:rPr>
        <w:t xml:space="preserve"> stanja in potreb po poslovnih conah v premogovni regiji </w:t>
      </w:r>
      <w:r w:rsidR="009624B4" w:rsidRPr="008D60EF">
        <w:rPr>
          <w:rFonts w:ascii="Arial" w:eastAsia="Calibri" w:hAnsi="Arial" w:cs="Arial"/>
          <w:color w:val="0070C0"/>
          <w14:ligatures w14:val="standardContextual"/>
        </w:rPr>
        <w:t xml:space="preserve">naj zajema območje celotne premogovne regije (ne zgolj ožjega območja). </w:t>
      </w:r>
    </w:p>
    <w:p w14:paraId="1E8C523B" w14:textId="77777777" w:rsidR="009624B4" w:rsidRPr="008D60EF" w:rsidRDefault="009624B4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</w:p>
    <w:p w14:paraId="66DC3B54" w14:textId="77777777" w:rsidR="009624B4" w:rsidRPr="008D60EF" w:rsidRDefault="009624B4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14:ligatures w14:val="standardContextual"/>
        </w:rPr>
      </w:pPr>
    </w:p>
    <w:sectPr w:rsidR="009624B4" w:rsidRPr="008D6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3DC9" w14:textId="77777777" w:rsidR="004A435A" w:rsidRDefault="004A435A" w:rsidP="007E27BC">
      <w:pPr>
        <w:spacing w:after="0" w:line="240" w:lineRule="auto"/>
      </w:pPr>
      <w:r>
        <w:separator/>
      </w:r>
    </w:p>
  </w:endnote>
  <w:endnote w:type="continuationSeparator" w:id="0">
    <w:p w14:paraId="53A71116" w14:textId="77777777" w:rsidR="004A435A" w:rsidRDefault="004A435A" w:rsidP="007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2340" w14:textId="77777777" w:rsidR="004A435A" w:rsidRDefault="004A435A" w:rsidP="007E27BC">
      <w:pPr>
        <w:spacing w:after="0" w:line="240" w:lineRule="auto"/>
      </w:pPr>
      <w:r>
        <w:separator/>
      </w:r>
    </w:p>
  </w:footnote>
  <w:footnote w:type="continuationSeparator" w:id="0">
    <w:p w14:paraId="6A3BC6AF" w14:textId="77777777" w:rsidR="004A435A" w:rsidRDefault="004A435A" w:rsidP="007E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18B3" w14:textId="77777777" w:rsidR="00020B79" w:rsidRDefault="00020B79">
    <w:pPr>
      <w:pStyle w:val="Glava"/>
    </w:pPr>
    <w:r>
      <w:rPr>
        <w:noProof/>
        <w:lang w:eastAsia="sl-SI"/>
      </w:rPr>
      <w:drawing>
        <wp:inline distT="0" distB="0" distL="0" distR="0" wp14:anchorId="6FF7515E" wp14:editId="7DF979D5">
          <wp:extent cx="3028315" cy="476250"/>
          <wp:effectExtent l="0" t="0" r="63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Cs w:val="24"/>
        <w:lang w:eastAsia="sl-SI"/>
      </w:rPr>
      <w:drawing>
        <wp:inline distT="0" distB="0" distL="0" distR="0" wp14:anchorId="66C3D5CA" wp14:editId="01ED9881">
          <wp:extent cx="2164080" cy="682625"/>
          <wp:effectExtent l="0" t="0" r="762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283"/>
    <w:multiLevelType w:val="multilevel"/>
    <w:tmpl w:val="9014D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27AB75C4"/>
    <w:multiLevelType w:val="hybridMultilevel"/>
    <w:tmpl w:val="4FC0CFF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6BB7"/>
    <w:multiLevelType w:val="hybridMultilevel"/>
    <w:tmpl w:val="1EBA31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46FC"/>
    <w:multiLevelType w:val="hybridMultilevel"/>
    <w:tmpl w:val="F254150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83EA8"/>
    <w:multiLevelType w:val="hybridMultilevel"/>
    <w:tmpl w:val="3FC6F2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566D"/>
    <w:multiLevelType w:val="hybridMultilevel"/>
    <w:tmpl w:val="120E02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7246988"/>
    <w:multiLevelType w:val="hybridMultilevel"/>
    <w:tmpl w:val="B2E0F1CA"/>
    <w:lvl w:ilvl="0" w:tplc="A9C80E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3699"/>
    <w:multiLevelType w:val="multilevel"/>
    <w:tmpl w:val="779AB7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 w16cid:durableId="196897564">
    <w:abstractNumId w:val="8"/>
  </w:num>
  <w:num w:numId="2" w16cid:durableId="744686285">
    <w:abstractNumId w:val="1"/>
  </w:num>
  <w:num w:numId="3" w16cid:durableId="1862160744">
    <w:abstractNumId w:val="5"/>
  </w:num>
  <w:num w:numId="4" w16cid:durableId="1046493811">
    <w:abstractNumId w:val="0"/>
  </w:num>
  <w:num w:numId="5" w16cid:durableId="2058117997">
    <w:abstractNumId w:val="3"/>
  </w:num>
  <w:num w:numId="6" w16cid:durableId="1590650409">
    <w:abstractNumId w:val="6"/>
  </w:num>
  <w:num w:numId="7" w16cid:durableId="1706327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77615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9651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BC"/>
    <w:rsid w:val="00007033"/>
    <w:rsid w:val="00020B79"/>
    <w:rsid w:val="00031AC1"/>
    <w:rsid w:val="0005744B"/>
    <w:rsid w:val="00132CCA"/>
    <w:rsid w:val="00136668"/>
    <w:rsid w:val="0016427C"/>
    <w:rsid w:val="001776D6"/>
    <w:rsid w:val="001970A1"/>
    <w:rsid w:val="001A3279"/>
    <w:rsid w:val="001B2D00"/>
    <w:rsid w:val="001B4F41"/>
    <w:rsid w:val="001C45BC"/>
    <w:rsid w:val="001E3960"/>
    <w:rsid w:val="00212085"/>
    <w:rsid w:val="00214751"/>
    <w:rsid w:val="0025457A"/>
    <w:rsid w:val="00284D44"/>
    <w:rsid w:val="002A6FA7"/>
    <w:rsid w:val="002B6330"/>
    <w:rsid w:val="00307A43"/>
    <w:rsid w:val="00312071"/>
    <w:rsid w:val="00322007"/>
    <w:rsid w:val="00323078"/>
    <w:rsid w:val="003329D8"/>
    <w:rsid w:val="003426E7"/>
    <w:rsid w:val="003801EE"/>
    <w:rsid w:val="003840A4"/>
    <w:rsid w:val="003A2AC6"/>
    <w:rsid w:val="003B1707"/>
    <w:rsid w:val="003D409E"/>
    <w:rsid w:val="004632D6"/>
    <w:rsid w:val="004836B4"/>
    <w:rsid w:val="00491B0B"/>
    <w:rsid w:val="00495562"/>
    <w:rsid w:val="004A435A"/>
    <w:rsid w:val="004A5B2D"/>
    <w:rsid w:val="004E7222"/>
    <w:rsid w:val="004F5DB3"/>
    <w:rsid w:val="00540C2F"/>
    <w:rsid w:val="0058671C"/>
    <w:rsid w:val="005B0B48"/>
    <w:rsid w:val="005D4C1A"/>
    <w:rsid w:val="005E2B26"/>
    <w:rsid w:val="005F4851"/>
    <w:rsid w:val="00650F7B"/>
    <w:rsid w:val="00651BAF"/>
    <w:rsid w:val="00657A10"/>
    <w:rsid w:val="00670EFC"/>
    <w:rsid w:val="00675854"/>
    <w:rsid w:val="00690B10"/>
    <w:rsid w:val="006922B2"/>
    <w:rsid w:val="006A045A"/>
    <w:rsid w:val="006A2A55"/>
    <w:rsid w:val="006A3404"/>
    <w:rsid w:val="006A6F25"/>
    <w:rsid w:val="006C6A63"/>
    <w:rsid w:val="006C6EE8"/>
    <w:rsid w:val="006D1329"/>
    <w:rsid w:val="006D7FDE"/>
    <w:rsid w:val="00744D60"/>
    <w:rsid w:val="00744F0D"/>
    <w:rsid w:val="00745C51"/>
    <w:rsid w:val="007A2866"/>
    <w:rsid w:val="007B588E"/>
    <w:rsid w:val="007C4723"/>
    <w:rsid w:val="007C67BC"/>
    <w:rsid w:val="007D2B0A"/>
    <w:rsid w:val="007E27BC"/>
    <w:rsid w:val="007E29EA"/>
    <w:rsid w:val="007F5020"/>
    <w:rsid w:val="008100F5"/>
    <w:rsid w:val="00823EB0"/>
    <w:rsid w:val="008367FE"/>
    <w:rsid w:val="00874A0B"/>
    <w:rsid w:val="008B2008"/>
    <w:rsid w:val="008B39AE"/>
    <w:rsid w:val="008C05E0"/>
    <w:rsid w:val="008D60EF"/>
    <w:rsid w:val="008E6475"/>
    <w:rsid w:val="008F77BA"/>
    <w:rsid w:val="00900EB9"/>
    <w:rsid w:val="00915463"/>
    <w:rsid w:val="00936849"/>
    <w:rsid w:val="009624B4"/>
    <w:rsid w:val="009669B3"/>
    <w:rsid w:val="00966C29"/>
    <w:rsid w:val="009742E9"/>
    <w:rsid w:val="0097632A"/>
    <w:rsid w:val="009771EE"/>
    <w:rsid w:val="00980AAA"/>
    <w:rsid w:val="009A5065"/>
    <w:rsid w:val="009C09C0"/>
    <w:rsid w:val="009D0119"/>
    <w:rsid w:val="009D0D69"/>
    <w:rsid w:val="009F496B"/>
    <w:rsid w:val="00A20C85"/>
    <w:rsid w:val="00A218F0"/>
    <w:rsid w:val="00A31250"/>
    <w:rsid w:val="00A34E48"/>
    <w:rsid w:val="00A36000"/>
    <w:rsid w:val="00A822C0"/>
    <w:rsid w:val="00AA39ED"/>
    <w:rsid w:val="00AB0AA1"/>
    <w:rsid w:val="00AB6366"/>
    <w:rsid w:val="00B01D32"/>
    <w:rsid w:val="00B07A2B"/>
    <w:rsid w:val="00B13BA0"/>
    <w:rsid w:val="00B20F9C"/>
    <w:rsid w:val="00B718D0"/>
    <w:rsid w:val="00BD7DFD"/>
    <w:rsid w:val="00C00028"/>
    <w:rsid w:val="00C00277"/>
    <w:rsid w:val="00C2482F"/>
    <w:rsid w:val="00C514AC"/>
    <w:rsid w:val="00C54DF6"/>
    <w:rsid w:val="00C63B0B"/>
    <w:rsid w:val="00CC40E3"/>
    <w:rsid w:val="00D15797"/>
    <w:rsid w:val="00D256F7"/>
    <w:rsid w:val="00D532AB"/>
    <w:rsid w:val="00D64C9D"/>
    <w:rsid w:val="00D726B8"/>
    <w:rsid w:val="00D911BA"/>
    <w:rsid w:val="00DB1AA4"/>
    <w:rsid w:val="00DC55A0"/>
    <w:rsid w:val="00DF43D8"/>
    <w:rsid w:val="00E02FB8"/>
    <w:rsid w:val="00E31E29"/>
    <w:rsid w:val="00E37EAC"/>
    <w:rsid w:val="00E50AEF"/>
    <w:rsid w:val="00E7400F"/>
    <w:rsid w:val="00E7505B"/>
    <w:rsid w:val="00EB106A"/>
    <w:rsid w:val="00EB78D2"/>
    <w:rsid w:val="00EB7F76"/>
    <w:rsid w:val="00EC58C8"/>
    <w:rsid w:val="00EF7605"/>
    <w:rsid w:val="00F016BA"/>
    <w:rsid w:val="00F36674"/>
    <w:rsid w:val="00F4429E"/>
    <w:rsid w:val="00F461AF"/>
    <w:rsid w:val="00F6613C"/>
    <w:rsid w:val="00F704A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9D5335"/>
  <w15:docId w15:val="{4D969FFA-8C91-4BC5-A04B-99D19E2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,N_sprotna_opomba_nadpisno,Fussnota,SUPERS,-E Fußnotenzeichen,Footnote reference number,note TESI,EN Footnote Reference,Footnote,ESPON Footnote No,number,Times 10 Point,Exposant 3 Point,Footnote Reference_LVL6,E..."/>
    <w:basedOn w:val="Privzetapisavaodstavka"/>
    <w:uiPriority w:val="99"/>
    <w:unhideWhenUsed/>
    <w:qFormat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56BCCA-B6BF-4461-9DB6-BA0BCEC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Laznik</dc:creator>
  <cp:lastModifiedBy>Jernej Prevc</cp:lastModifiedBy>
  <cp:revision>4</cp:revision>
  <cp:lastPrinted>2024-08-07T12:14:00Z</cp:lastPrinted>
  <dcterms:created xsi:type="dcterms:W3CDTF">2024-08-07T12:06:00Z</dcterms:created>
  <dcterms:modified xsi:type="dcterms:W3CDTF">2024-08-07T12:24:00Z</dcterms:modified>
</cp:coreProperties>
</file>