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7E39" w14:textId="599EDC7A" w:rsidR="00C14CC3" w:rsidRDefault="00C14CC3" w:rsidP="00857759">
      <w:pPr>
        <w:pStyle w:val="Brezrazmikov"/>
      </w:pPr>
      <w:r>
        <w:t>Številka: 215-18/2024-2560</w:t>
      </w:r>
      <w:r w:rsidR="00891FCB">
        <w:t>-</w:t>
      </w:r>
      <w:r w:rsidR="004E5A31">
        <w:t>45</w:t>
      </w:r>
    </w:p>
    <w:p w14:paraId="6FBC0BBF" w14:textId="3DAEDC43" w:rsidR="00C14CC3" w:rsidRDefault="00C14CC3" w:rsidP="00857759">
      <w:pPr>
        <w:pStyle w:val="Brezrazmikov"/>
        <w:rPr>
          <w:color w:val="FF0000"/>
        </w:rPr>
      </w:pPr>
      <w:r>
        <w:t xml:space="preserve">Datum: </w:t>
      </w:r>
      <w:r w:rsidR="00182907">
        <w:t xml:space="preserve">  </w:t>
      </w:r>
      <w:r w:rsidR="004E5A31">
        <w:t>2</w:t>
      </w:r>
      <w:r w:rsidR="00731E08">
        <w:t>7</w:t>
      </w:r>
      <w:r w:rsidR="004E5A31">
        <w:t>. 1. 2025</w:t>
      </w:r>
    </w:p>
    <w:p w14:paraId="1C1BA3B0" w14:textId="77777777" w:rsidR="00C14CC3" w:rsidRDefault="00C14CC3" w:rsidP="00C14CC3">
      <w:pPr>
        <w:spacing w:line="360" w:lineRule="auto"/>
        <w:rPr>
          <w:rFonts w:cs="Arial"/>
          <w:szCs w:val="20"/>
        </w:rPr>
      </w:pPr>
    </w:p>
    <w:p w14:paraId="6B6366BC" w14:textId="7DAF2352" w:rsidR="00C14CC3" w:rsidRPr="005644BC" w:rsidRDefault="0039138E" w:rsidP="005644BC">
      <w:pPr>
        <w:pStyle w:val="Naslov1"/>
      </w:pPr>
      <w:r>
        <w:t>Zapisnik</w:t>
      </w:r>
    </w:p>
    <w:p w14:paraId="5F69254B" w14:textId="6E2EDE96" w:rsidR="00C14CC3" w:rsidRPr="007D2AEC" w:rsidRDefault="00C14CC3" w:rsidP="007D2AEC">
      <w:pPr>
        <w:pStyle w:val="Brezrazmikov"/>
        <w:jc w:val="center"/>
        <w:rPr>
          <w:b/>
          <w:bCs/>
        </w:rPr>
      </w:pPr>
      <w:r w:rsidRPr="007D2AEC">
        <w:rPr>
          <w:b/>
          <w:bCs/>
        </w:rPr>
        <w:t xml:space="preserve">o odpiranju glasovnic </w:t>
      </w:r>
      <w:r w:rsidR="00182907" w:rsidRPr="007D2AEC">
        <w:rPr>
          <w:b/>
          <w:bCs/>
        </w:rPr>
        <w:t xml:space="preserve">za sodelovanje </w:t>
      </w:r>
      <w:r w:rsidR="00891FCB" w:rsidRPr="007D2AEC">
        <w:rPr>
          <w:b/>
          <w:bCs/>
        </w:rPr>
        <w:t>strokovnih</w:t>
      </w:r>
      <w:r w:rsidRPr="007D2AEC">
        <w:rPr>
          <w:b/>
          <w:bCs/>
        </w:rPr>
        <w:t xml:space="preserve"> organizacij in rezultatih glasovanja za članstvo v </w:t>
      </w:r>
      <w:r w:rsidR="00182907" w:rsidRPr="007D2AEC">
        <w:rPr>
          <w:b/>
          <w:bCs/>
        </w:rPr>
        <w:t>S</w:t>
      </w:r>
      <w:r w:rsidRPr="007D2AEC">
        <w:rPr>
          <w:b/>
          <w:bCs/>
        </w:rPr>
        <w:t xml:space="preserve">vetu </w:t>
      </w:r>
      <w:r w:rsidR="00182907" w:rsidRPr="007D2AEC">
        <w:rPr>
          <w:b/>
          <w:bCs/>
        </w:rPr>
        <w:t xml:space="preserve">Javnega </w:t>
      </w:r>
      <w:r w:rsidRPr="007D2AEC">
        <w:rPr>
          <w:b/>
          <w:bCs/>
        </w:rPr>
        <w:t xml:space="preserve">zavoda </w:t>
      </w:r>
      <w:r w:rsidR="00182907" w:rsidRPr="007D2AEC">
        <w:rPr>
          <w:b/>
          <w:bCs/>
        </w:rPr>
        <w:t xml:space="preserve">Triglavski narodni </w:t>
      </w:r>
      <w:r w:rsidRPr="007D2AEC">
        <w:rPr>
          <w:b/>
          <w:bCs/>
        </w:rPr>
        <w:t xml:space="preserve">park </w:t>
      </w:r>
      <w:r w:rsidR="00182907" w:rsidRPr="007D2AEC">
        <w:rPr>
          <w:b/>
          <w:bCs/>
        </w:rPr>
        <w:t>v obdobju 2024 - 2028</w:t>
      </w:r>
    </w:p>
    <w:p w14:paraId="51315309" w14:textId="77777777" w:rsidR="00C14CC3" w:rsidRDefault="00C14CC3" w:rsidP="00C14CC3">
      <w:pPr>
        <w:pStyle w:val="Telobesedila"/>
        <w:spacing w:line="360" w:lineRule="auto"/>
        <w:rPr>
          <w:rFonts w:ascii="Arial" w:hAnsi="Arial" w:cs="Arial"/>
          <w:sz w:val="20"/>
          <w:szCs w:val="20"/>
        </w:rPr>
      </w:pPr>
    </w:p>
    <w:p w14:paraId="3E566FE2" w14:textId="4921659D" w:rsidR="00280DAB" w:rsidRDefault="00C14CC3" w:rsidP="00C14CC3">
      <w:pPr>
        <w:pStyle w:val="Telobesedila"/>
        <w:spacing w:after="0"/>
        <w:jc w:val="both"/>
        <w:rPr>
          <w:rFonts w:ascii="Arial" w:hAnsi="Arial" w:cs="Arial"/>
          <w:sz w:val="20"/>
          <w:szCs w:val="20"/>
        </w:rPr>
      </w:pPr>
      <w:r>
        <w:rPr>
          <w:rFonts w:ascii="Arial" w:hAnsi="Arial" w:cs="Arial"/>
          <w:sz w:val="20"/>
          <w:szCs w:val="20"/>
        </w:rPr>
        <w:t xml:space="preserve">S sklepom o začetku postopka javnega poziva in imenovanjem komisije št.: 215-18/2024-2560 z dne 23. 7. 2024 in na podlagi tretjega odstavka 39. člena Zakona o Triglavskem narodnem parku (Uradni list RS, št. 52/10, 46/14 – ZON-C, 60/17, 82/20 in 18/23 – ZDU-1O; v nadaljevanju: ZTNP-1) je bila imenovana tri članska strokovna komisija za izvedbo javnega poziva za sodelovanje zainteresiranih nevladnih in strokovnih organizaciji v Svetu Javnega zavoda Triglavski narodni park v obdobju 2024 - 2028. </w:t>
      </w:r>
    </w:p>
    <w:p w14:paraId="7A6630C6" w14:textId="77777777" w:rsidR="00280DAB" w:rsidRDefault="00280DAB" w:rsidP="00C14CC3">
      <w:pPr>
        <w:pStyle w:val="Telobesedila"/>
        <w:spacing w:after="0"/>
        <w:jc w:val="both"/>
        <w:rPr>
          <w:rFonts w:ascii="Arial" w:hAnsi="Arial" w:cs="Arial"/>
          <w:sz w:val="20"/>
          <w:szCs w:val="20"/>
        </w:rPr>
      </w:pPr>
    </w:p>
    <w:p w14:paraId="45BF5841" w14:textId="69915904" w:rsidR="00280DAB" w:rsidRDefault="00280DAB" w:rsidP="00C14CC3">
      <w:pPr>
        <w:pStyle w:val="Telobesedila"/>
        <w:spacing w:after="0"/>
        <w:jc w:val="both"/>
        <w:rPr>
          <w:rFonts w:ascii="Arial" w:hAnsi="Arial" w:cs="Arial"/>
          <w:sz w:val="20"/>
          <w:szCs w:val="20"/>
        </w:rPr>
      </w:pPr>
      <w:r w:rsidRPr="00280DAB">
        <w:rPr>
          <w:rFonts w:ascii="Arial" w:hAnsi="Arial" w:cs="Arial"/>
          <w:sz w:val="20"/>
          <w:szCs w:val="20"/>
        </w:rPr>
        <w:t>Javni poziv za sodelovanje zainteresiranih nevladnih in strokovnih organizacij pri upravljanju Triglavskega narodnega parka v obdobju 2024 - 2028 je bil objavljen 23. 7. 2024 (št. dokumenta 215-18/2024-2560/1) na spletni stani Ministrstva za naravne vire in prostor, rok za oddajo pa je potekel 13. 8. 2024</w:t>
      </w:r>
      <w:r>
        <w:rPr>
          <w:rFonts w:ascii="Arial" w:hAnsi="Arial" w:cs="Arial"/>
          <w:sz w:val="20"/>
          <w:szCs w:val="20"/>
        </w:rPr>
        <w:t>.</w:t>
      </w:r>
      <w:r w:rsidRPr="00280DAB">
        <w:t xml:space="preserve"> </w:t>
      </w:r>
      <w:r w:rsidRPr="00280DAB">
        <w:rPr>
          <w:rFonts w:ascii="Arial" w:hAnsi="Arial" w:cs="Arial"/>
          <w:sz w:val="20"/>
          <w:szCs w:val="20"/>
        </w:rPr>
        <w:t>Na ta Javni poziv se ni odzvala nobena strokovna organizacija, zato je Ministrstvo za naravne vire in prostor dne 14. 10. 2024 objavilo nov Javni poziv za sodelovanje zainteresiranih strokovnih organizacij pri upravljanju Triglavskega narodnega parka v obdobju 2024-2028 (št. dokumenta 215-18/2024-2560/25; v nadaljevanju: Javni poziv), rok za oddajo pa je potekel 30. 10. 2024.</w:t>
      </w:r>
      <w:r>
        <w:rPr>
          <w:rFonts w:ascii="Arial" w:hAnsi="Arial" w:cs="Arial"/>
          <w:sz w:val="20"/>
          <w:szCs w:val="20"/>
        </w:rPr>
        <w:t xml:space="preserve"> </w:t>
      </w:r>
    </w:p>
    <w:p w14:paraId="755758A3" w14:textId="77777777" w:rsidR="00280DAB" w:rsidRDefault="00280DAB" w:rsidP="00C14CC3">
      <w:pPr>
        <w:pStyle w:val="Telobesedila"/>
        <w:spacing w:after="0"/>
        <w:jc w:val="both"/>
        <w:rPr>
          <w:rFonts w:ascii="Arial" w:hAnsi="Arial" w:cs="Arial"/>
          <w:sz w:val="20"/>
          <w:szCs w:val="20"/>
        </w:rPr>
      </w:pPr>
    </w:p>
    <w:p w14:paraId="4C4A01CA" w14:textId="2B9B039D" w:rsidR="00280DAB" w:rsidRDefault="00280DAB" w:rsidP="00C14CC3">
      <w:pPr>
        <w:pStyle w:val="Telobesedila"/>
        <w:spacing w:after="0"/>
        <w:jc w:val="both"/>
        <w:rPr>
          <w:rFonts w:ascii="Arial" w:hAnsi="Arial" w:cs="Arial"/>
          <w:sz w:val="20"/>
          <w:szCs w:val="20"/>
        </w:rPr>
      </w:pPr>
      <w:r>
        <w:rPr>
          <w:rFonts w:ascii="Arial" w:hAnsi="Arial" w:cs="Arial"/>
          <w:sz w:val="20"/>
          <w:szCs w:val="20"/>
        </w:rPr>
        <w:t xml:space="preserve">Strokovna komisija je s Spremembo zapisnika </w:t>
      </w:r>
      <w:r w:rsidRPr="00280DAB">
        <w:rPr>
          <w:rFonts w:ascii="Arial" w:hAnsi="Arial" w:cs="Arial"/>
          <w:sz w:val="20"/>
          <w:szCs w:val="20"/>
        </w:rPr>
        <w:t xml:space="preserve">o odpiranju prijav zainteresiranih strokovnih organizacij in evidentiranju predlaganih kandidatov za članstvo v Svetu Javnega zavoda Triglavski narodni park za obdobje 2024 </w:t>
      </w:r>
      <w:r>
        <w:rPr>
          <w:rFonts w:ascii="Arial" w:hAnsi="Arial" w:cs="Arial"/>
          <w:sz w:val="20"/>
          <w:szCs w:val="20"/>
        </w:rPr>
        <w:t>–</w:t>
      </w:r>
      <w:r w:rsidRPr="00280DAB">
        <w:rPr>
          <w:rFonts w:ascii="Arial" w:hAnsi="Arial" w:cs="Arial"/>
          <w:sz w:val="20"/>
          <w:szCs w:val="20"/>
        </w:rPr>
        <w:t xml:space="preserve"> 2028</w:t>
      </w:r>
      <w:r>
        <w:rPr>
          <w:rFonts w:ascii="Arial" w:hAnsi="Arial" w:cs="Arial"/>
          <w:sz w:val="20"/>
          <w:szCs w:val="20"/>
        </w:rPr>
        <w:t xml:space="preserve"> št. </w:t>
      </w:r>
      <w:r w:rsidRPr="00280DAB">
        <w:rPr>
          <w:rFonts w:ascii="Arial" w:hAnsi="Arial" w:cs="Arial"/>
          <w:sz w:val="20"/>
          <w:szCs w:val="20"/>
        </w:rPr>
        <w:t>215-18/2024-2560/32</w:t>
      </w:r>
      <w:r>
        <w:rPr>
          <w:rFonts w:ascii="Arial" w:hAnsi="Arial" w:cs="Arial"/>
          <w:sz w:val="20"/>
          <w:szCs w:val="20"/>
        </w:rPr>
        <w:t xml:space="preserve"> z dne 3. 12. 2024 odločila, da </w:t>
      </w:r>
      <w:r w:rsidR="001D13BE">
        <w:rPr>
          <w:rFonts w:ascii="Arial" w:hAnsi="Arial" w:cs="Arial"/>
          <w:sz w:val="20"/>
          <w:szCs w:val="20"/>
        </w:rPr>
        <w:t>se za članstvo v Svetu Javnega Zavoda Triglavski narodni park potegujeta dve strokovni organizaciji z evidentiranima kandidatoma, in sicer:</w:t>
      </w:r>
    </w:p>
    <w:p w14:paraId="75A94E5B" w14:textId="37F44DB6" w:rsidR="001D13BE" w:rsidRDefault="001D13BE" w:rsidP="001D13BE">
      <w:pPr>
        <w:pStyle w:val="Telobesedila"/>
        <w:numPr>
          <w:ilvl w:val="0"/>
          <w:numId w:val="8"/>
        </w:numPr>
        <w:spacing w:after="0"/>
        <w:jc w:val="both"/>
        <w:rPr>
          <w:rFonts w:ascii="Arial" w:hAnsi="Arial" w:cs="Arial"/>
          <w:sz w:val="20"/>
          <w:szCs w:val="20"/>
        </w:rPr>
      </w:pPr>
      <w:r w:rsidRPr="001D13BE">
        <w:rPr>
          <w:rFonts w:ascii="Arial" w:hAnsi="Arial" w:cs="Arial"/>
          <w:sz w:val="20"/>
          <w:szCs w:val="20"/>
        </w:rPr>
        <w:t>Znanstvenoraziskovalni center Slovenske akademije znanosti in umetnosti</w:t>
      </w:r>
      <w:r w:rsidR="00C30BAF">
        <w:rPr>
          <w:rFonts w:ascii="Arial" w:hAnsi="Arial" w:cs="Arial"/>
          <w:sz w:val="20"/>
          <w:szCs w:val="20"/>
        </w:rPr>
        <w:t xml:space="preserve">, </w:t>
      </w:r>
      <w:r w:rsidRPr="001D13BE">
        <w:rPr>
          <w:rFonts w:ascii="Arial" w:hAnsi="Arial" w:cs="Arial"/>
          <w:sz w:val="20"/>
          <w:szCs w:val="20"/>
        </w:rPr>
        <w:t>Novi trg 2, 1000 Ljubljana</w:t>
      </w:r>
      <w:r>
        <w:rPr>
          <w:rFonts w:ascii="Arial" w:hAnsi="Arial" w:cs="Arial"/>
          <w:sz w:val="20"/>
          <w:szCs w:val="20"/>
        </w:rPr>
        <w:t>, kandidat dr. Jure Tičar (v nadaljevanju: ZRC SAZU) in</w:t>
      </w:r>
    </w:p>
    <w:p w14:paraId="6B7408C6" w14:textId="3BCA9E57" w:rsidR="001D13BE" w:rsidRDefault="001D13BE" w:rsidP="001D13BE">
      <w:pPr>
        <w:pStyle w:val="Telobesedila"/>
        <w:numPr>
          <w:ilvl w:val="0"/>
          <w:numId w:val="8"/>
        </w:numPr>
        <w:spacing w:after="0"/>
        <w:jc w:val="both"/>
        <w:rPr>
          <w:rFonts w:ascii="Arial" w:hAnsi="Arial" w:cs="Arial"/>
          <w:sz w:val="20"/>
          <w:szCs w:val="20"/>
        </w:rPr>
      </w:pPr>
      <w:r w:rsidRPr="001D13BE">
        <w:rPr>
          <w:rFonts w:ascii="Arial" w:hAnsi="Arial" w:cs="Arial"/>
          <w:sz w:val="20"/>
          <w:szCs w:val="20"/>
        </w:rPr>
        <w:t>Turistično društvo Gorje</w:t>
      </w:r>
      <w:r>
        <w:rPr>
          <w:rFonts w:ascii="Arial" w:hAnsi="Arial" w:cs="Arial"/>
          <w:sz w:val="20"/>
          <w:szCs w:val="20"/>
        </w:rPr>
        <w:t xml:space="preserve">, </w:t>
      </w:r>
      <w:r w:rsidRPr="001D13BE">
        <w:rPr>
          <w:rFonts w:ascii="Arial" w:hAnsi="Arial" w:cs="Arial"/>
          <w:sz w:val="20"/>
          <w:szCs w:val="20"/>
        </w:rPr>
        <w:t>Podhom 80, 4247 Zgornje Gorje</w:t>
      </w:r>
      <w:r w:rsidR="00874F25">
        <w:rPr>
          <w:rFonts w:ascii="Arial" w:hAnsi="Arial" w:cs="Arial"/>
          <w:sz w:val="20"/>
          <w:szCs w:val="20"/>
        </w:rPr>
        <w:t>, kandidat Andrej Golčman</w:t>
      </w:r>
      <w:r w:rsidRPr="001D13BE">
        <w:rPr>
          <w:rFonts w:ascii="Arial" w:hAnsi="Arial" w:cs="Arial"/>
          <w:sz w:val="20"/>
          <w:szCs w:val="20"/>
        </w:rPr>
        <w:t xml:space="preserve"> (</w:t>
      </w:r>
      <w:r>
        <w:rPr>
          <w:rFonts w:ascii="Arial" w:hAnsi="Arial" w:cs="Arial"/>
          <w:sz w:val="20"/>
          <w:szCs w:val="20"/>
        </w:rPr>
        <w:t xml:space="preserve">v nadaljevanju: </w:t>
      </w:r>
      <w:r w:rsidRPr="001D13BE">
        <w:rPr>
          <w:rFonts w:ascii="Arial" w:hAnsi="Arial" w:cs="Arial"/>
          <w:sz w:val="20"/>
          <w:szCs w:val="20"/>
        </w:rPr>
        <w:t>TD Gorje)</w:t>
      </w:r>
      <w:r w:rsidR="00E25306">
        <w:rPr>
          <w:rFonts w:ascii="Arial" w:hAnsi="Arial" w:cs="Arial"/>
          <w:sz w:val="20"/>
          <w:szCs w:val="20"/>
        </w:rPr>
        <w:t>.</w:t>
      </w:r>
    </w:p>
    <w:p w14:paraId="7A395A99" w14:textId="77777777" w:rsidR="00280DAB" w:rsidRDefault="00280DAB" w:rsidP="00C14CC3">
      <w:pPr>
        <w:pStyle w:val="Telobesedila"/>
        <w:spacing w:after="0"/>
        <w:jc w:val="both"/>
        <w:rPr>
          <w:rFonts w:ascii="Arial" w:hAnsi="Arial" w:cs="Arial"/>
          <w:sz w:val="20"/>
          <w:szCs w:val="20"/>
        </w:rPr>
      </w:pPr>
    </w:p>
    <w:p w14:paraId="6C4B50AA" w14:textId="0FEF9450" w:rsidR="00C14CC3" w:rsidRDefault="00F41650" w:rsidP="00C14CC3">
      <w:pPr>
        <w:pStyle w:val="Telobesedila"/>
        <w:spacing w:after="0"/>
        <w:jc w:val="both"/>
        <w:rPr>
          <w:rFonts w:ascii="Arial" w:hAnsi="Arial" w:cs="Arial"/>
          <w:color w:val="000000"/>
          <w:sz w:val="20"/>
          <w:szCs w:val="20"/>
        </w:rPr>
      </w:pPr>
      <w:r>
        <w:rPr>
          <w:rFonts w:ascii="Arial" w:hAnsi="Arial" w:cs="Arial"/>
          <w:color w:val="000000"/>
          <w:sz w:val="20"/>
          <w:szCs w:val="20"/>
        </w:rPr>
        <w:t xml:space="preserve">Ministrstvo za naravne vire in prostor je </w:t>
      </w:r>
      <w:r w:rsidR="00D01EA6">
        <w:rPr>
          <w:rFonts w:ascii="Arial" w:hAnsi="Arial" w:cs="Arial"/>
          <w:color w:val="000000"/>
          <w:sz w:val="20"/>
          <w:szCs w:val="20"/>
        </w:rPr>
        <w:t>z dopisom »</w:t>
      </w:r>
      <w:r w:rsidRPr="00F41650">
        <w:rPr>
          <w:rFonts w:ascii="Arial" w:hAnsi="Arial" w:cs="Arial"/>
          <w:color w:val="000000"/>
          <w:sz w:val="20"/>
          <w:szCs w:val="20"/>
        </w:rPr>
        <w:t xml:space="preserve">Volitve predstavnika zainteresiranih strokovnih organizacij v Svet Javnega zavoda Triglavski narodni park </w:t>
      </w:r>
      <w:r>
        <w:rPr>
          <w:rFonts w:ascii="Arial" w:hAnsi="Arial" w:cs="Arial"/>
          <w:color w:val="000000"/>
          <w:sz w:val="20"/>
          <w:szCs w:val="20"/>
        </w:rPr>
        <w:t>–</w:t>
      </w:r>
      <w:r w:rsidRPr="00F41650">
        <w:rPr>
          <w:rFonts w:ascii="Arial" w:hAnsi="Arial" w:cs="Arial"/>
          <w:color w:val="000000"/>
          <w:sz w:val="20"/>
          <w:szCs w:val="20"/>
        </w:rPr>
        <w:t xml:space="preserve"> </w:t>
      </w:r>
      <w:r w:rsidR="00FE30A6">
        <w:rPr>
          <w:rFonts w:ascii="Arial" w:hAnsi="Arial" w:cs="Arial"/>
          <w:color w:val="000000"/>
          <w:sz w:val="20"/>
          <w:szCs w:val="20"/>
        </w:rPr>
        <w:t xml:space="preserve">PONOVNI </w:t>
      </w:r>
      <w:r w:rsidRPr="00F41650">
        <w:rPr>
          <w:rFonts w:ascii="Arial" w:hAnsi="Arial" w:cs="Arial"/>
          <w:color w:val="000000"/>
          <w:sz w:val="20"/>
          <w:szCs w:val="20"/>
        </w:rPr>
        <w:t>POZIV</w:t>
      </w:r>
      <w:r w:rsidR="00927E0A">
        <w:rPr>
          <w:rFonts w:ascii="Arial" w:hAnsi="Arial" w:cs="Arial"/>
          <w:color w:val="000000"/>
          <w:sz w:val="20"/>
          <w:szCs w:val="20"/>
        </w:rPr>
        <w:t>«</w:t>
      </w:r>
      <w:r>
        <w:rPr>
          <w:rFonts w:ascii="Arial" w:hAnsi="Arial" w:cs="Arial"/>
          <w:color w:val="000000"/>
          <w:sz w:val="20"/>
          <w:szCs w:val="20"/>
        </w:rPr>
        <w:t xml:space="preserve"> </w:t>
      </w:r>
      <w:r w:rsidR="00D01EA6">
        <w:rPr>
          <w:rFonts w:ascii="Arial" w:hAnsi="Arial" w:cs="Arial"/>
          <w:color w:val="000000"/>
          <w:sz w:val="20"/>
          <w:szCs w:val="20"/>
        </w:rPr>
        <w:t xml:space="preserve">št. </w:t>
      </w:r>
      <w:r w:rsidRPr="00F41650">
        <w:rPr>
          <w:rFonts w:ascii="Arial" w:hAnsi="Arial" w:cs="Arial"/>
          <w:color w:val="000000"/>
          <w:sz w:val="20"/>
          <w:szCs w:val="20"/>
        </w:rPr>
        <w:t>215-18/2024-2560</w:t>
      </w:r>
      <w:r w:rsidR="00FE30A6">
        <w:rPr>
          <w:rFonts w:ascii="Arial" w:hAnsi="Arial" w:cs="Arial"/>
          <w:color w:val="000000"/>
          <w:sz w:val="20"/>
          <w:szCs w:val="20"/>
        </w:rPr>
        <w:t>-42</w:t>
      </w:r>
      <w:r>
        <w:rPr>
          <w:rFonts w:ascii="Arial" w:hAnsi="Arial" w:cs="Arial"/>
          <w:color w:val="000000"/>
          <w:sz w:val="20"/>
          <w:szCs w:val="20"/>
        </w:rPr>
        <w:t xml:space="preserve"> z dne </w:t>
      </w:r>
      <w:r w:rsidR="00FE30A6">
        <w:rPr>
          <w:rFonts w:ascii="Arial" w:hAnsi="Arial" w:cs="Arial"/>
          <w:color w:val="000000"/>
          <w:sz w:val="20"/>
          <w:szCs w:val="20"/>
        </w:rPr>
        <w:t>10. 1. 2025</w:t>
      </w:r>
      <w:r>
        <w:rPr>
          <w:rFonts w:ascii="Arial" w:hAnsi="Arial" w:cs="Arial"/>
          <w:color w:val="000000"/>
          <w:sz w:val="20"/>
          <w:szCs w:val="20"/>
        </w:rPr>
        <w:t xml:space="preserve"> (v nadaljevanju: poziv) s priloženo glasovnico, pozvalo </w:t>
      </w:r>
      <w:r>
        <w:rPr>
          <w:rFonts w:ascii="Arial" w:hAnsi="Arial" w:cs="Arial"/>
          <w:sz w:val="20"/>
          <w:szCs w:val="20"/>
        </w:rPr>
        <w:t xml:space="preserve">ZRC SAZU in TD Gorje k oddaji glasovnic. Rok za oddajo glasovnic </w:t>
      </w:r>
      <w:r w:rsidR="00874F25">
        <w:rPr>
          <w:rFonts w:ascii="Arial" w:hAnsi="Arial" w:cs="Arial"/>
          <w:sz w:val="20"/>
          <w:szCs w:val="20"/>
        </w:rPr>
        <w:t xml:space="preserve">je bil </w:t>
      </w:r>
      <w:r w:rsidR="00FE30A6">
        <w:rPr>
          <w:rFonts w:ascii="Arial" w:hAnsi="Arial" w:cs="Arial"/>
          <w:sz w:val="20"/>
          <w:szCs w:val="20"/>
        </w:rPr>
        <w:t>17. 1. 2025</w:t>
      </w:r>
      <w:r w:rsidR="00874F25" w:rsidRPr="00874F25">
        <w:rPr>
          <w:rFonts w:ascii="Arial" w:hAnsi="Arial" w:cs="Arial"/>
          <w:sz w:val="20"/>
          <w:szCs w:val="20"/>
        </w:rPr>
        <w:t xml:space="preserve"> do 23.59 ure</w:t>
      </w:r>
      <w:r w:rsidR="00874F25">
        <w:rPr>
          <w:rFonts w:ascii="Arial" w:hAnsi="Arial" w:cs="Arial"/>
          <w:sz w:val="20"/>
          <w:szCs w:val="20"/>
        </w:rPr>
        <w:t xml:space="preserve">, če je bila glasovnica oddana priporočeno na pošto, oz. </w:t>
      </w:r>
      <w:r w:rsidR="00FE30A6">
        <w:rPr>
          <w:rFonts w:ascii="Arial" w:hAnsi="Arial" w:cs="Arial"/>
          <w:sz w:val="20"/>
          <w:szCs w:val="20"/>
        </w:rPr>
        <w:t>17. 1. 2025</w:t>
      </w:r>
      <w:r w:rsidR="00874F25" w:rsidRPr="00874F25">
        <w:rPr>
          <w:rFonts w:ascii="Arial" w:hAnsi="Arial" w:cs="Arial"/>
          <w:sz w:val="20"/>
          <w:szCs w:val="20"/>
        </w:rPr>
        <w:t xml:space="preserve"> do </w:t>
      </w:r>
      <w:r w:rsidR="00874F25">
        <w:rPr>
          <w:rFonts w:ascii="Arial" w:hAnsi="Arial" w:cs="Arial"/>
          <w:sz w:val="20"/>
          <w:szCs w:val="20"/>
        </w:rPr>
        <w:t>16.00</w:t>
      </w:r>
      <w:r w:rsidR="00874F25" w:rsidRPr="00874F25">
        <w:rPr>
          <w:rFonts w:ascii="Arial" w:hAnsi="Arial" w:cs="Arial"/>
          <w:sz w:val="20"/>
          <w:szCs w:val="20"/>
        </w:rPr>
        <w:t xml:space="preserve"> ure</w:t>
      </w:r>
      <w:r w:rsidR="00874F25">
        <w:rPr>
          <w:rFonts w:ascii="Arial" w:hAnsi="Arial" w:cs="Arial"/>
          <w:sz w:val="20"/>
          <w:szCs w:val="20"/>
        </w:rPr>
        <w:t>, če je bila glasovnica prinešena v vložišče Ministrstva za naravne vire in prostor.</w:t>
      </w:r>
    </w:p>
    <w:p w14:paraId="20628624" w14:textId="77777777" w:rsidR="00C14CC3" w:rsidRDefault="00C14CC3" w:rsidP="00C14CC3">
      <w:pPr>
        <w:spacing w:line="240" w:lineRule="auto"/>
        <w:jc w:val="both"/>
        <w:rPr>
          <w:rFonts w:cs="Arial"/>
          <w:b/>
          <w:szCs w:val="20"/>
        </w:rPr>
      </w:pPr>
    </w:p>
    <w:p w14:paraId="7EC0DAA2" w14:textId="73F1348C" w:rsidR="00C14CC3" w:rsidRDefault="00C14CC3" w:rsidP="00812B5A">
      <w:pPr>
        <w:tabs>
          <w:tab w:val="left" w:pos="284"/>
        </w:tabs>
        <w:jc w:val="both"/>
      </w:pPr>
      <w:r>
        <w:rPr>
          <w:b/>
        </w:rPr>
        <w:t>1.</w:t>
      </w:r>
      <w:r>
        <w:tab/>
        <w:t xml:space="preserve">Postopek odpiranja prispelih glasovnic je potekal </w:t>
      </w:r>
      <w:r w:rsidR="00FE30A6">
        <w:t>23. 1. 2025</w:t>
      </w:r>
      <w:r>
        <w:t xml:space="preserve"> s pričetkom ob </w:t>
      </w:r>
      <w:r w:rsidR="00891FCB">
        <w:t>8</w:t>
      </w:r>
      <w:r>
        <w:t>.</w:t>
      </w:r>
      <w:r w:rsidR="00FE30A6">
        <w:t>30</w:t>
      </w:r>
      <w:r>
        <w:t xml:space="preserve"> uri v </w:t>
      </w:r>
      <w:r w:rsidR="00FE30A6">
        <w:t>tretjerm</w:t>
      </w:r>
      <w:r>
        <w:t xml:space="preserve"> nadstropju Ministrstva za </w:t>
      </w:r>
      <w:r w:rsidR="00182907">
        <w:t xml:space="preserve">naravne vire </w:t>
      </w:r>
      <w:r>
        <w:t>in prostor, Dunajska cesta 47, 1000</w:t>
      </w:r>
      <w:r w:rsidR="00182907">
        <w:t xml:space="preserve"> </w:t>
      </w:r>
      <w:r>
        <w:t>Ljubljana.</w:t>
      </w:r>
    </w:p>
    <w:p w14:paraId="47906499" w14:textId="77777777" w:rsidR="00C14CC3" w:rsidRDefault="00C14CC3" w:rsidP="00C14CC3">
      <w:pPr>
        <w:tabs>
          <w:tab w:val="left" w:pos="284"/>
        </w:tabs>
      </w:pPr>
    </w:p>
    <w:p w14:paraId="09702338" w14:textId="2B13EBAC" w:rsidR="00C14CC3" w:rsidRDefault="00C14CC3" w:rsidP="00C14CC3">
      <w:pPr>
        <w:jc w:val="both"/>
      </w:pPr>
      <w:r>
        <w:rPr>
          <w:b/>
        </w:rPr>
        <w:t>2.</w:t>
      </w:r>
      <w:r>
        <w:t xml:space="preserve"> Odpiranje ovojnic z glasovnicami je vodila v imenu pozivnika imenovana </w:t>
      </w:r>
      <w:r w:rsidR="00C30BAF">
        <w:t>S</w:t>
      </w:r>
      <w:r>
        <w:t>trokovna komisija, v naslednji sestavi:</w:t>
      </w:r>
    </w:p>
    <w:p w14:paraId="2E03C275" w14:textId="5E0DE44F" w:rsidR="00C14CC3" w:rsidRDefault="00891FCB" w:rsidP="00C14CC3">
      <w:pPr>
        <w:numPr>
          <w:ilvl w:val="0"/>
          <w:numId w:val="7"/>
        </w:numPr>
        <w:spacing w:line="240" w:lineRule="auto"/>
        <w:jc w:val="both"/>
      </w:pPr>
      <w:r>
        <w:t>mag. Jana Vidic</w:t>
      </w:r>
      <w:r w:rsidR="00C14CC3">
        <w:t xml:space="preserve">, </w:t>
      </w:r>
      <w:r>
        <w:t xml:space="preserve">namestnica </w:t>
      </w:r>
      <w:r w:rsidR="00C14CC3">
        <w:t>predsednic</w:t>
      </w:r>
      <w:r>
        <w:t>e</w:t>
      </w:r>
    </w:p>
    <w:p w14:paraId="6147D54C" w14:textId="384AA178" w:rsidR="00C14CC3" w:rsidRDefault="00C14CC3" w:rsidP="00C14CC3">
      <w:pPr>
        <w:numPr>
          <w:ilvl w:val="0"/>
          <w:numId w:val="7"/>
        </w:numPr>
        <w:spacing w:line="240" w:lineRule="auto"/>
        <w:jc w:val="both"/>
      </w:pPr>
      <w:r>
        <w:t>Janja Gregorin , članica</w:t>
      </w:r>
    </w:p>
    <w:p w14:paraId="1BCEB9CD" w14:textId="3B880254" w:rsidR="00C14CC3" w:rsidRDefault="00891FCB" w:rsidP="00C14CC3">
      <w:pPr>
        <w:numPr>
          <w:ilvl w:val="0"/>
          <w:numId w:val="7"/>
        </w:numPr>
        <w:spacing w:line="240" w:lineRule="auto"/>
        <w:jc w:val="both"/>
      </w:pPr>
      <w:r>
        <w:t xml:space="preserve">mag. </w:t>
      </w:r>
      <w:r w:rsidR="00C14CC3">
        <w:t>Suzana Hrastar Zupanc, članica</w:t>
      </w:r>
    </w:p>
    <w:p w14:paraId="550221F5" w14:textId="77777777" w:rsidR="00891FCB" w:rsidRDefault="00891FCB" w:rsidP="00891FCB">
      <w:pPr>
        <w:spacing w:line="240" w:lineRule="auto"/>
        <w:jc w:val="both"/>
      </w:pPr>
    </w:p>
    <w:p w14:paraId="4888DE47" w14:textId="187DB446" w:rsidR="00891FCB" w:rsidRDefault="00891FCB" w:rsidP="00891FCB">
      <w:pPr>
        <w:spacing w:line="240" w:lineRule="auto"/>
        <w:jc w:val="both"/>
      </w:pPr>
      <w:r>
        <w:lastRenderedPageBreak/>
        <w:t xml:space="preserve">Pri odpiranju glasovnic je bil prisoten pooblaščenec Turističnega društva Gorje g. Jože Golobič iz Odvetniške družbe Osterman Perko o.p. d.o.o.. </w:t>
      </w:r>
    </w:p>
    <w:p w14:paraId="64BAA43E" w14:textId="77777777" w:rsidR="00C14CC3" w:rsidRDefault="00C14CC3" w:rsidP="00C14CC3"/>
    <w:p w14:paraId="673BD642" w14:textId="4E74762C" w:rsidR="00C14CC3" w:rsidRDefault="00C14CC3" w:rsidP="00C14CC3">
      <w:pPr>
        <w:spacing w:line="240" w:lineRule="auto"/>
        <w:jc w:val="both"/>
        <w:rPr>
          <w:rFonts w:cs="Arial"/>
          <w:szCs w:val="20"/>
        </w:rPr>
      </w:pPr>
      <w:r>
        <w:rPr>
          <w:rFonts w:cs="Arial"/>
          <w:b/>
          <w:szCs w:val="20"/>
        </w:rPr>
        <w:t>3.</w:t>
      </w:r>
      <w:r>
        <w:rPr>
          <w:rFonts w:cs="Arial"/>
          <w:szCs w:val="20"/>
        </w:rPr>
        <w:t xml:space="preserve"> Strokovna komisija je pregledala prispele ovojnice, jih odprla in ugotovila njihovo pravočasnost, pravilno opremljenost in popolnost. Prispel</w:t>
      </w:r>
      <w:r w:rsidR="000523EF">
        <w:rPr>
          <w:rFonts w:cs="Arial"/>
          <w:szCs w:val="20"/>
        </w:rPr>
        <w:t>i</w:t>
      </w:r>
      <w:r>
        <w:rPr>
          <w:rFonts w:cs="Arial"/>
          <w:szCs w:val="20"/>
        </w:rPr>
        <w:t xml:space="preserve"> s</w:t>
      </w:r>
      <w:r w:rsidR="000523EF">
        <w:rPr>
          <w:rFonts w:cs="Arial"/>
          <w:szCs w:val="20"/>
        </w:rPr>
        <w:t>ta</w:t>
      </w:r>
      <w:r>
        <w:rPr>
          <w:rFonts w:cs="Arial"/>
          <w:szCs w:val="20"/>
        </w:rPr>
        <w:t xml:space="preserve"> </w:t>
      </w:r>
      <w:r w:rsidR="000523EF">
        <w:rPr>
          <w:rFonts w:cs="Arial"/>
          <w:szCs w:val="20"/>
        </w:rPr>
        <w:t xml:space="preserve">dve </w:t>
      </w:r>
      <w:r>
        <w:rPr>
          <w:rFonts w:cs="Arial"/>
          <w:szCs w:val="20"/>
        </w:rPr>
        <w:t>(</w:t>
      </w:r>
      <w:r w:rsidR="000523EF">
        <w:rPr>
          <w:rFonts w:cs="Arial"/>
          <w:szCs w:val="20"/>
        </w:rPr>
        <w:t>2</w:t>
      </w:r>
      <w:r>
        <w:rPr>
          <w:rFonts w:cs="Arial"/>
          <w:szCs w:val="20"/>
        </w:rPr>
        <w:t>) ovojnic</w:t>
      </w:r>
      <w:r w:rsidR="000523EF">
        <w:rPr>
          <w:rFonts w:cs="Arial"/>
          <w:szCs w:val="20"/>
        </w:rPr>
        <w:t xml:space="preserve">i </w:t>
      </w:r>
      <w:r>
        <w:rPr>
          <w:rFonts w:cs="Arial"/>
          <w:szCs w:val="20"/>
        </w:rPr>
        <w:t>z glasovnicami, kot je to razvidno iz tabele 1, od tega s</w:t>
      </w:r>
      <w:r w:rsidR="000523EF">
        <w:rPr>
          <w:rFonts w:cs="Arial"/>
          <w:szCs w:val="20"/>
        </w:rPr>
        <w:t>ta</w:t>
      </w:r>
      <w:r>
        <w:rPr>
          <w:rFonts w:cs="Arial"/>
          <w:szCs w:val="20"/>
        </w:rPr>
        <w:t xml:space="preserve"> bil</w:t>
      </w:r>
      <w:r w:rsidR="000523EF">
        <w:rPr>
          <w:rFonts w:cs="Arial"/>
          <w:szCs w:val="20"/>
        </w:rPr>
        <w:t>i</w:t>
      </w:r>
      <w:r>
        <w:rPr>
          <w:rFonts w:cs="Arial"/>
          <w:szCs w:val="20"/>
        </w:rPr>
        <w:t xml:space="preserve"> pravočasno oddan</w:t>
      </w:r>
      <w:r w:rsidR="000523EF">
        <w:rPr>
          <w:rFonts w:cs="Arial"/>
          <w:szCs w:val="20"/>
        </w:rPr>
        <w:t>i</w:t>
      </w:r>
      <w:r>
        <w:rPr>
          <w:rFonts w:cs="Arial"/>
          <w:szCs w:val="20"/>
        </w:rPr>
        <w:t xml:space="preserve"> </w:t>
      </w:r>
      <w:r w:rsidR="000523EF">
        <w:rPr>
          <w:rFonts w:cs="Arial"/>
          <w:szCs w:val="20"/>
        </w:rPr>
        <w:t>dve</w:t>
      </w:r>
      <w:r w:rsidR="00874F25">
        <w:rPr>
          <w:rFonts w:cs="Arial"/>
          <w:szCs w:val="20"/>
        </w:rPr>
        <w:t xml:space="preserve"> (2)</w:t>
      </w:r>
      <w:r>
        <w:rPr>
          <w:rFonts w:cs="Arial"/>
          <w:szCs w:val="20"/>
        </w:rPr>
        <w:t xml:space="preserve"> prispel</w:t>
      </w:r>
      <w:r w:rsidR="000523EF">
        <w:rPr>
          <w:rFonts w:cs="Arial"/>
          <w:szCs w:val="20"/>
        </w:rPr>
        <w:t>i</w:t>
      </w:r>
      <w:r>
        <w:rPr>
          <w:rFonts w:cs="Arial"/>
          <w:szCs w:val="20"/>
        </w:rPr>
        <w:t xml:space="preserve"> ovojnic</w:t>
      </w:r>
      <w:r w:rsidR="00D01EA6">
        <w:rPr>
          <w:rFonts w:cs="Arial"/>
          <w:szCs w:val="20"/>
        </w:rPr>
        <w:t>e</w:t>
      </w:r>
      <w:r w:rsidR="00182907">
        <w:rPr>
          <w:rFonts w:cs="Arial"/>
          <w:szCs w:val="20"/>
        </w:rPr>
        <w:t xml:space="preserve">, to je do </w:t>
      </w:r>
      <w:r w:rsidR="000D04D7">
        <w:rPr>
          <w:rFonts w:cs="Arial"/>
          <w:szCs w:val="20"/>
        </w:rPr>
        <w:t>17. 1. 2025</w:t>
      </w:r>
      <w:r>
        <w:rPr>
          <w:rFonts w:cs="Arial"/>
          <w:szCs w:val="20"/>
        </w:rPr>
        <w:t xml:space="preserve"> do 23</w:t>
      </w:r>
      <w:r w:rsidR="00182907">
        <w:rPr>
          <w:rFonts w:cs="Arial"/>
          <w:szCs w:val="20"/>
        </w:rPr>
        <w:t>.</w:t>
      </w:r>
      <w:r>
        <w:rPr>
          <w:rFonts w:cs="Arial"/>
          <w:szCs w:val="20"/>
        </w:rPr>
        <w:t>59</w:t>
      </w:r>
      <w:r w:rsidR="00182907">
        <w:rPr>
          <w:rFonts w:cs="Arial"/>
          <w:szCs w:val="20"/>
        </w:rPr>
        <w:t xml:space="preserve"> ure</w:t>
      </w:r>
      <w:r>
        <w:rPr>
          <w:rFonts w:cs="Arial"/>
          <w:szCs w:val="20"/>
        </w:rPr>
        <w:t xml:space="preserve">). Od pravočasno prispelih prijav </w:t>
      </w:r>
      <w:r w:rsidR="000523EF">
        <w:rPr>
          <w:rFonts w:cs="Arial"/>
          <w:szCs w:val="20"/>
        </w:rPr>
        <w:t>sta</w:t>
      </w:r>
      <w:r>
        <w:rPr>
          <w:rFonts w:cs="Arial"/>
          <w:szCs w:val="20"/>
        </w:rPr>
        <w:t xml:space="preserve"> bil</w:t>
      </w:r>
      <w:r w:rsidR="000523EF">
        <w:rPr>
          <w:rFonts w:cs="Arial"/>
          <w:szCs w:val="20"/>
        </w:rPr>
        <w:t>i</w:t>
      </w:r>
      <w:r>
        <w:rPr>
          <w:rFonts w:cs="Arial"/>
          <w:szCs w:val="20"/>
        </w:rPr>
        <w:t xml:space="preserve"> </w:t>
      </w:r>
      <w:r w:rsidR="000523EF">
        <w:rPr>
          <w:rFonts w:cs="Arial"/>
          <w:szCs w:val="20"/>
        </w:rPr>
        <w:t>obe</w:t>
      </w:r>
      <w:r>
        <w:rPr>
          <w:rFonts w:cs="Arial"/>
          <w:szCs w:val="20"/>
        </w:rPr>
        <w:t xml:space="preserve"> ovojnic</w:t>
      </w:r>
      <w:r w:rsidR="000523EF">
        <w:rPr>
          <w:rFonts w:cs="Arial"/>
          <w:szCs w:val="20"/>
        </w:rPr>
        <w:t>i</w:t>
      </w:r>
      <w:r>
        <w:rPr>
          <w:rFonts w:cs="Arial"/>
          <w:szCs w:val="20"/>
        </w:rPr>
        <w:t xml:space="preserve"> pravilno opremljen</w:t>
      </w:r>
      <w:r w:rsidR="000523EF">
        <w:rPr>
          <w:rFonts w:cs="Arial"/>
          <w:szCs w:val="20"/>
        </w:rPr>
        <w:t>i</w:t>
      </w:r>
      <w:r>
        <w:rPr>
          <w:rFonts w:cs="Arial"/>
          <w:szCs w:val="20"/>
        </w:rPr>
        <w:t xml:space="preserve"> (poslan</w:t>
      </w:r>
      <w:r w:rsidR="000523EF">
        <w:rPr>
          <w:rFonts w:cs="Arial"/>
          <w:szCs w:val="20"/>
        </w:rPr>
        <w:t>i</w:t>
      </w:r>
      <w:r>
        <w:rPr>
          <w:rFonts w:cs="Arial"/>
          <w:szCs w:val="20"/>
        </w:rPr>
        <w:t xml:space="preserve"> v zaprti ovojnici z oznako </w:t>
      </w:r>
      <w:r w:rsidR="00874F25" w:rsidRPr="00874F25">
        <w:rPr>
          <w:rFonts w:cs="Arial"/>
          <w:szCs w:val="20"/>
        </w:rPr>
        <w:t>"</w:t>
      </w:r>
      <w:r w:rsidR="000D04D7">
        <w:rPr>
          <w:rFonts w:cs="Arial"/>
          <w:szCs w:val="20"/>
        </w:rPr>
        <w:t xml:space="preserve">NE ODPIRAJ - </w:t>
      </w:r>
      <w:r w:rsidR="00874F25" w:rsidRPr="00874F25">
        <w:rPr>
          <w:rFonts w:cs="Arial"/>
          <w:szCs w:val="20"/>
        </w:rPr>
        <w:t>Volitve strokovnih organizacij v Svet Javnega zavoda Triglavski narodni park"</w:t>
      </w:r>
      <w:r>
        <w:rPr>
          <w:rFonts w:cs="Arial"/>
          <w:szCs w:val="20"/>
        </w:rPr>
        <w:t xml:space="preserve">) (Tabela 2). </w:t>
      </w:r>
    </w:p>
    <w:p w14:paraId="7D9785DA" w14:textId="77777777" w:rsidR="00C14CC3" w:rsidRDefault="00C14CC3" w:rsidP="00C14CC3">
      <w:pPr>
        <w:tabs>
          <w:tab w:val="left" w:pos="284"/>
          <w:tab w:val="left" w:pos="567"/>
        </w:tabs>
        <w:spacing w:line="360" w:lineRule="auto"/>
        <w:rPr>
          <w:rFonts w:cs="Arial"/>
          <w:b/>
          <w:szCs w:val="20"/>
        </w:rPr>
      </w:pPr>
    </w:p>
    <w:p w14:paraId="38F70145" w14:textId="77777777" w:rsidR="00C14CC3" w:rsidRDefault="00C14CC3" w:rsidP="00C14CC3">
      <w:pPr>
        <w:tabs>
          <w:tab w:val="left" w:pos="284"/>
          <w:tab w:val="left" w:pos="567"/>
        </w:tabs>
        <w:spacing w:line="360" w:lineRule="auto"/>
        <w:rPr>
          <w:rFonts w:cs="Arial"/>
          <w:b/>
          <w:szCs w:val="20"/>
        </w:rPr>
      </w:pPr>
      <w:r>
        <w:rPr>
          <w:rFonts w:cs="Arial"/>
          <w:b/>
          <w:szCs w:val="20"/>
        </w:rPr>
        <w:t>Tabela 1: Prispele prijave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
        <w:gridCol w:w="3974"/>
        <w:gridCol w:w="3591"/>
      </w:tblGrid>
      <w:tr w:rsidR="00C14CC3" w14:paraId="0021D6B4" w14:textId="77777777" w:rsidTr="00874F25">
        <w:tc>
          <w:tcPr>
            <w:tcW w:w="923" w:type="dxa"/>
            <w:tcBorders>
              <w:top w:val="single" w:sz="4" w:space="0" w:color="000000"/>
              <w:left w:val="single" w:sz="4" w:space="0" w:color="000000"/>
              <w:bottom w:val="single" w:sz="4" w:space="0" w:color="000000"/>
              <w:right w:val="single" w:sz="4" w:space="0" w:color="000000"/>
            </w:tcBorders>
            <w:hideMark/>
          </w:tcPr>
          <w:p w14:paraId="76F87E51" w14:textId="79C9D8B2" w:rsidR="00C14CC3" w:rsidRDefault="00C14CC3">
            <w:pPr>
              <w:tabs>
                <w:tab w:val="left" w:pos="284"/>
                <w:tab w:val="left" w:pos="567"/>
              </w:tabs>
              <w:spacing w:line="360" w:lineRule="auto"/>
              <w:rPr>
                <w:rFonts w:cs="Arial"/>
                <w:bCs/>
                <w:szCs w:val="20"/>
              </w:rPr>
            </w:pPr>
            <w:bookmarkStart w:id="0" w:name="_Hlk185488429"/>
            <w:r>
              <w:rPr>
                <w:rFonts w:cs="Arial"/>
                <w:bCs/>
                <w:szCs w:val="20"/>
              </w:rPr>
              <w:t>Zap.</w:t>
            </w:r>
            <w:r w:rsidR="009A2EBE">
              <w:rPr>
                <w:rFonts w:cs="Arial"/>
                <w:bCs/>
                <w:szCs w:val="20"/>
              </w:rPr>
              <w:t xml:space="preserve"> </w:t>
            </w:r>
            <w:r>
              <w:rPr>
                <w:rFonts w:cs="Arial"/>
                <w:bCs/>
                <w:szCs w:val="20"/>
              </w:rPr>
              <w:t>št.</w:t>
            </w:r>
          </w:p>
        </w:tc>
        <w:tc>
          <w:tcPr>
            <w:tcW w:w="3974" w:type="dxa"/>
            <w:tcBorders>
              <w:top w:val="single" w:sz="4" w:space="0" w:color="000000"/>
              <w:left w:val="single" w:sz="4" w:space="0" w:color="000000"/>
              <w:bottom w:val="single" w:sz="4" w:space="0" w:color="000000"/>
              <w:right w:val="single" w:sz="4" w:space="0" w:color="000000"/>
            </w:tcBorders>
            <w:hideMark/>
          </w:tcPr>
          <w:p w14:paraId="3612E9DB" w14:textId="7C1B6CFE" w:rsidR="00C14CC3" w:rsidRDefault="00874F25">
            <w:pPr>
              <w:tabs>
                <w:tab w:val="left" w:pos="284"/>
                <w:tab w:val="left" w:pos="567"/>
              </w:tabs>
              <w:spacing w:line="360" w:lineRule="auto"/>
              <w:rPr>
                <w:rFonts w:cs="Arial"/>
                <w:bCs/>
                <w:szCs w:val="20"/>
              </w:rPr>
            </w:pPr>
            <w:r>
              <w:rPr>
                <w:rFonts w:cs="Arial"/>
                <w:bCs/>
                <w:szCs w:val="20"/>
              </w:rPr>
              <w:t>Strokovna o</w:t>
            </w:r>
            <w:r w:rsidR="00C14CC3">
              <w:rPr>
                <w:rFonts w:cs="Arial"/>
                <w:bCs/>
                <w:szCs w:val="20"/>
              </w:rPr>
              <w:t>rganizacija</w:t>
            </w:r>
          </w:p>
        </w:tc>
        <w:tc>
          <w:tcPr>
            <w:tcW w:w="3591" w:type="dxa"/>
            <w:tcBorders>
              <w:top w:val="single" w:sz="4" w:space="0" w:color="000000"/>
              <w:left w:val="single" w:sz="4" w:space="0" w:color="000000"/>
              <w:bottom w:val="single" w:sz="4" w:space="0" w:color="000000"/>
              <w:right w:val="single" w:sz="4" w:space="0" w:color="000000"/>
            </w:tcBorders>
            <w:hideMark/>
          </w:tcPr>
          <w:p w14:paraId="0EA236ED" w14:textId="77777777" w:rsidR="00C14CC3" w:rsidRDefault="00C14CC3">
            <w:pPr>
              <w:tabs>
                <w:tab w:val="left" w:pos="284"/>
                <w:tab w:val="left" w:pos="567"/>
              </w:tabs>
              <w:spacing w:line="360" w:lineRule="auto"/>
              <w:rPr>
                <w:rFonts w:cs="Arial"/>
                <w:bCs/>
                <w:szCs w:val="20"/>
              </w:rPr>
            </w:pPr>
            <w:r>
              <w:rPr>
                <w:rFonts w:cs="Arial"/>
                <w:bCs/>
                <w:szCs w:val="20"/>
              </w:rPr>
              <w:t>Naslov</w:t>
            </w:r>
          </w:p>
        </w:tc>
      </w:tr>
      <w:tr w:rsidR="00C14CC3" w14:paraId="0256566B" w14:textId="77777777" w:rsidTr="00874F25">
        <w:tc>
          <w:tcPr>
            <w:tcW w:w="923" w:type="dxa"/>
            <w:tcBorders>
              <w:top w:val="single" w:sz="4" w:space="0" w:color="000000"/>
              <w:left w:val="single" w:sz="4" w:space="0" w:color="000000"/>
              <w:bottom w:val="single" w:sz="4" w:space="0" w:color="000000"/>
              <w:right w:val="single" w:sz="4" w:space="0" w:color="000000"/>
            </w:tcBorders>
            <w:hideMark/>
          </w:tcPr>
          <w:p w14:paraId="2D365823" w14:textId="46C67D5F" w:rsidR="00C14CC3" w:rsidRDefault="00C14CC3">
            <w:pPr>
              <w:tabs>
                <w:tab w:val="left" w:pos="284"/>
                <w:tab w:val="left" w:pos="567"/>
              </w:tabs>
              <w:spacing w:line="360" w:lineRule="auto"/>
              <w:rPr>
                <w:rFonts w:cs="Arial"/>
                <w:bCs/>
                <w:szCs w:val="20"/>
              </w:rPr>
            </w:pPr>
            <w:r>
              <w:rPr>
                <w:rFonts w:cs="Arial"/>
                <w:bCs/>
                <w:szCs w:val="20"/>
              </w:rPr>
              <w:t>1</w:t>
            </w:r>
            <w:r w:rsidR="00D01EA6">
              <w:rPr>
                <w:rFonts w:cs="Arial"/>
                <w:bCs/>
                <w:szCs w:val="20"/>
              </w:rPr>
              <w:t>.</w:t>
            </w:r>
          </w:p>
        </w:tc>
        <w:tc>
          <w:tcPr>
            <w:tcW w:w="3974" w:type="dxa"/>
            <w:tcBorders>
              <w:top w:val="single" w:sz="4" w:space="0" w:color="000000"/>
              <w:left w:val="single" w:sz="4" w:space="0" w:color="000000"/>
              <w:bottom w:val="single" w:sz="4" w:space="0" w:color="000000"/>
              <w:right w:val="single" w:sz="4" w:space="0" w:color="000000"/>
            </w:tcBorders>
            <w:hideMark/>
          </w:tcPr>
          <w:p w14:paraId="18DFF8A8" w14:textId="7D045007" w:rsidR="00C14CC3" w:rsidRDefault="00874F25" w:rsidP="00874F25">
            <w:pPr>
              <w:pStyle w:val="Brezrazmikov"/>
              <w:rPr>
                <w:rFonts w:cs="Arial"/>
                <w:bCs/>
                <w:szCs w:val="20"/>
              </w:rPr>
            </w:pPr>
            <w:r>
              <w:t>Znanstvenoraziskovalni center Slovenske akademije znanosti in umetnosti (ZRC SAZU)</w:t>
            </w:r>
          </w:p>
        </w:tc>
        <w:tc>
          <w:tcPr>
            <w:tcW w:w="3591" w:type="dxa"/>
            <w:tcBorders>
              <w:top w:val="single" w:sz="4" w:space="0" w:color="000000"/>
              <w:left w:val="single" w:sz="4" w:space="0" w:color="000000"/>
              <w:bottom w:val="single" w:sz="4" w:space="0" w:color="000000"/>
              <w:right w:val="single" w:sz="4" w:space="0" w:color="000000"/>
            </w:tcBorders>
            <w:hideMark/>
          </w:tcPr>
          <w:p w14:paraId="635300E6" w14:textId="06E9B33A" w:rsidR="00C14CC3" w:rsidRDefault="00874F25">
            <w:pPr>
              <w:tabs>
                <w:tab w:val="left" w:pos="284"/>
                <w:tab w:val="left" w:pos="567"/>
              </w:tabs>
              <w:spacing w:line="360" w:lineRule="auto"/>
              <w:rPr>
                <w:rFonts w:cs="Arial"/>
                <w:bCs/>
                <w:szCs w:val="20"/>
              </w:rPr>
            </w:pPr>
            <w:r w:rsidRPr="00874F25">
              <w:rPr>
                <w:rFonts w:cs="Arial"/>
                <w:bCs/>
                <w:szCs w:val="20"/>
              </w:rPr>
              <w:t>Novi trg 2, 1000 Ljubljana</w:t>
            </w:r>
          </w:p>
        </w:tc>
      </w:tr>
      <w:tr w:rsidR="00C14CC3" w14:paraId="6A6785AF" w14:textId="77777777" w:rsidTr="00874F25">
        <w:tc>
          <w:tcPr>
            <w:tcW w:w="923" w:type="dxa"/>
            <w:tcBorders>
              <w:top w:val="single" w:sz="4" w:space="0" w:color="000000"/>
              <w:left w:val="single" w:sz="4" w:space="0" w:color="000000"/>
              <w:bottom w:val="single" w:sz="4" w:space="0" w:color="000000"/>
              <w:right w:val="single" w:sz="4" w:space="0" w:color="000000"/>
            </w:tcBorders>
            <w:hideMark/>
          </w:tcPr>
          <w:p w14:paraId="13EBBA6B" w14:textId="69E3B5C0" w:rsidR="00C14CC3" w:rsidRDefault="00874F25" w:rsidP="00715FA6">
            <w:pPr>
              <w:pStyle w:val="Brezrazmikov"/>
            </w:pPr>
            <w:r>
              <w:t>2</w:t>
            </w:r>
            <w:r w:rsidR="00C14CC3">
              <w:t>.</w:t>
            </w:r>
          </w:p>
        </w:tc>
        <w:tc>
          <w:tcPr>
            <w:tcW w:w="3974" w:type="dxa"/>
            <w:tcBorders>
              <w:top w:val="single" w:sz="4" w:space="0" w:color="000000"/>
              <w:left w:val="single" w:sz="4" w:space="0" w:color="000000"/>
              <w:bottom w:val="single" w:sz="4" w:space="0" w:color="000000"/>
              <w:right w:val="single" w:sz="4" w:space="0" w:color="000000"/>
            </w:tcBorders>
            <w:hideMark/>
          </w:tcPr>
          <w:p w14:paraId="555B62F3" w14:textId="013F141C" w:rsidR="00C14CC3" w:rsidRDefault="00C14CC3" w:rsidP="00715FA6">
            <w:pPr>
              <w:pStyle w:val="Brezrazmikov"/>
            </w:pPr>
            <w:bookmarkStart w:id="1" w:name="_Hlk176275127"/>
            <w:r>
              <w:t>Turistično društvo Gorje</w:t>
            </w:r>
            <w:bookmarkEnd w:id="1"/>
            <w:r w:rsidR="00874F25">
              <w:t xml:space="preserve"> (TD Gorje)</w:t>
            </w:r>
          </w:p>
        </w:tc>
        <w:tc>
          <w:tcPr>
            <w:tcW w:w="3591" w:type="dxa"/>
            <w:tcBorders>
              <w:top w:val="single" w:sz="4" w:space="0" w:color="000000"/>
              <w:left w:val="single" w:sz="4" w:space="0" w:color="000000"/>
              <w:bottom w:val="single" w:sz="4" w:space="0" w:color="000000"/>
              <w:right w:val="single" w:sz="4" w:space="0" w:color="000000"/>
            </w:tcBorders>
            <w:hideMark/>
          </w:tcPr>
          <w:p w14:paraId="2DEFFA71" w14:textId="77777777" w:rsidR="00C14CC3" w:rsidRDefault="00C14CC3" w:rsidP="00715FA6">
            <w:pPr>
              <w:pStyle w:val="Brezrazmikov"/>
            </w:pPr>
            <w:r>
              <w:t>Podhom 80, 4247 Zgornje Gorje</w:t>
            </w:r>
          </w:p>
        </w:tc>
      </w:tr>
      <w:bookmarkEnd w:id="0"/>
    </w:tbl>
    <w:p w14:paraId="2080731A" w14:textId="77777777" w:rsidR="00C14CC3" w:rsidRDefault="00C14CC3" w:rsidP="00C14CC3">
      <w:pPr>
        <w:tabs>
          <w:tab w:val="left" w:pos="284"/>
          <w:tab w:val="left" w:pos="567"/>
        </w:tabs>
        <w:spacing w:line="360" w:lineRule="auto"/>
        <w:rPr>
          <w:rFonts w:cs="Arial"/>
          <w:b/>
          <w:szCs w:val="20"/>
        </w:rPr>
      </w:pPr>
    </w:p>
    <w:p w14:paraId="7ACC6ED4" w14:textId="77777777" w:rsidR="00C14CC3" w:rsidRDefault="00C14CC3" w:rsidP="00C14CC3">
      <w:pPr>
        <w:tabs>
          <w:tab w:val="left" w:pos="284"/>
          <w:tab w:val="left" w:pos="567"/>
        </w:tabs>
        <w:spacing w:line="360" w:lineRule="auto"/>
        <w:rPr>
          <w:rFonts w:cs="Arial"/>
          <w:b/>
          <w:szCs w:val="20"/>
        </w:rPr>
      </w:pPr>
      <w:r>
        <w:rPr>
          <w:rFonts w:cs="Arial"/>
          <w:b/>
          <w:szCs w:val="20"/>
        </w:rPr>
        <w:t>Tabela 2: Pravočasno oddane in pravilno opremljene prijave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
        <w:gridCol w:w="3974"/>
        <w:gridCol w:w="3591"/>
      </w:tblGrid>
      <w:tr w:rsidR="00874F25" w14:paraId="38B2226A" w14:textId="77777777" w:rsidTr="00692BEA">
        <w:tc>
          <w:tcPr>
            <w:tcW w:w="923" w:type="dxa"/>
            <w:tcBorders>
              <w:top w:val="single" w:sz="4" w:space="0" w:color="000000"/>
              <w:left w:val="single" w:sz="4" w:space="0" w:color="000000"/>
              <w:bottom w:val="single" w:sz="4" w:space="0" w:color="000000"/>
              <w:right w:val="single" w:sz="4" w:space="0" w:color="000000"/>
            </w:tcBorders>
            <w:hideMark/>
          </w:tcPr>
          <w:p w14:paraId="088F9A32" w14:textId="4F8B185A" w:rsidR="00874F25" w:rsidRDefault="00874F25" w:rsidP="00692BEA">
            <w:pPr>
              <w:tabs>
                <w:tab w:val="left" w:pos="284"/>
                <w:tab w:val="left" w:pos="567"/>
              </w:tabs>
              <w:spacing w:line="360" w:lineRule="auto"/>
              <w:rPr>
                <w:rFonts w:cs="Arial"/>
                <w:bCs/>
                <w:szCs w:val="20"/>
              </w:rPr>
            </w:pPr>
            <w:r>
              <w:rPr>
                <w:rFonts w:cs="Arial"/>
                <w:bCs/>
                <w:szCs w:val="20"/>
              </w:rPr>
              <w:t>Zap.</w:t>
            </w:r>
            <w:r w:rsidR="009A2EBE">
              <w:rPr>
                <w:rFonts w:cs="Arial"/>
                <w:bCs/>
                <w:szCs w:val="20"/>
              </w:rPr>
              <w:t xml:space="preserve"> </w:t>
            </w:r>
            <w:r>
              <w:rPr>
                <w:rFonts w:cs="Arial"/>
                <w:bCs/>
                <w:szCs w:val="20"/>
              </w:rPr>
              <w:t>št.</w:t>
            </w:r>
          </w:p>
        </w:tc>
        <w:tc>
          <w:tcPr>
            <w:tcW w:w="3974" w:type="dxa"/>
            <w:tcBorders>
              <w:top w:val="single" w:sz="4" w:space="0" w:color="000000"/>
              <w:left w:val="single" w:sz="4" w:space="0" w:color="000000"/>
              <w:bottom w:val="single" w:sz="4" w:space="0" w:color="000000"/>
              <w:right w:val="single" w:sz="4" w:space="0" w:color="000000"/>
            </w:tcBorders>
            <w:hideMark/>
          </w:tcPr>
          <w:p w14:paraId="081B3181" w14:textId="77777777" w:rsidR="00874F25" w:rsidRDefault="00874F25" w:rsidP="00692BEA">
            <w:pPr>
              <w:tabs>
                <w:tab w:val="left" w:pos="284"/>
                <w:tab w:val="left" w:pos="567"/>
              </w:tabs>
              <w:spacing w:line="360" w:lineRule="auto"/>
              <w:rPr>
                <w:rFonts w:cs="Arial"/>
                <w:bCs/>
                <w:szCs w:val="20"/>
              </w:rPr>
            </w:pPr>
            <w:r>
              <w:rPr>
                <w:rFonts w:cs="Arial"/>
                <w:bCs/>
                <w:szCs w:val="20"/>
              </w:rPr>
              <w:t>Strokovna organizacija</w:t>
            </w:r>
          </w:p>
        </w:tc>
        <w:tc>
          <w:tcPr>
            <w:tcW w:w="3591" w:type="dxa"/>
            <w:tcBorders>
              <w:top w:val="single" w:sz="4" w:space="0" w:color="000000"/>
              <w:left w:val="single" w:sz="4" w:space="0" w:color="000000"/>
              <w:bottom w:val="single" w:sz="4" w:space="0" w:color="000000"/>
              <w:right w:val="single" w:sz="4" w:space="0" w:color="000000"/>
            </w:tcBorders>
            <w:hideMark/>
          </w:tcPr>
          <w:p w14:paraId="1646E454" w14:textId="77777777" w:rsidR="00874F25" w:rsidRDefault="00874F25" w:rsidP="00692BEA">
            <w:pPr>
              <w:tabs>
                <w:tab w:val="left" w:pos="284"/>
                <w:tab w:val="left" w:pos="567"/>
              </w:tabs>
              <w:spacing w:line="360" w:lineRule="auto"/>
              <w:rPr>
                <w:rFonts w:cs="Arial"/>
                <w:bCs/>
                <w:szCs w:val="20"/>
              </w:rPr>
            </w:pPr>
            <w:r>
              <w:rPr>
                <w:rFonts w:cs="Arial"/>
                <w:bCs/>
                <w:szCs w:val="20"/>
              </w:rPr>
              <w:t>Naslov</w:t>
            </w:r>
          </w:p>
        </w:tc>
      </w:tr>
      <w:tr w:rsidR="00874F25" w14:paraId="29A19FD6" w14:textId="77777777" w:rsidTr="00692BEA">
        <w:tc>
          <w:tcPr>
            <w:tcW w:w="923" w:type="dxa"/>
            <w:tcBorders>
              <w:top w:val="single" w:sz="4" w:space="0" w:color="000000"/>
              <w:left w:val="single" w:sz="4" w:space="0" w:color="000000"/>
              <w:bottom w:val="single" w:sz="4" w:space="0" w:color="000000"/>
              <w:right w:val="single" w:sz="4" w:space="0" w:color="000000"/>
            </w:tcBorders>
            <w:hideMark/>
          </w:tcPr>
          <w:p w14:paraId="24DF0351" w14:textId="77777777" w:rsidR="00874F25" w:rsidRDefault="00874F25" w:rsidP="00692BEA">
            <w:pPr>
              <w:tabs>
                <w:tab w:val="left" w:pos="284"/>
                <w:tab w:val="left" w:pos="567"/>
              </w:tabs>
              <w:spacing w:line="360" w:lineRule="auto"/>
              <w:rPr>
                <w:rFonts w:cs="Arial"/>
                <w:bCs/>
                <w:szCs w:val="20"/>
              </w:rPr>
            </w:pPr>
            <w:r>
              <w:rPr>
                <w:rFonts w:cs="Arial"/>
                <w:bCs/>
                <w:szCs w:val="20"/>
              </w:rPr>
              <w:t>1.</w:t>
            </w:r>
          </w:p>
        </w:tc>
        <w:tc>
          <w:tcPr>
            <w:tcW w:w="3974" w:type="dxa"/>
            <w:tcBorders>
              <w:top w:val="single" w:sz="4" w:space="0" w:color="000000"/>
              <w:left w:val="single" w:sz="4" w:space="0" w:color="000000"/>
              <w:bottom w:val="single" w:sz="4" w:space="0" w:color="000000"/>
              <w:right w:val="single" w:sz="4" w:space="0" w:color="000000"/>
            </w:tcBorders>
            <w:hideMark/>
          </w:tcPr>
          <w:p w14:paraId="1A8F06DB" w14:textId="2F823C7F" w:rsidR="00874F25" w:rsidRDefault="00874F25" w:rsidP="00692BEA">
            <w:pPr>
              <w:pStyle w:val="Brezrazmikov"/>
              <w:rPr>
                <w:rFonts w:cs="Arial"/>
                <w:bCs/>
                <w:szCs w:val="20"/>
              </w:rPr>
            </w:pPr>
            <w:r>
              <w:t xml:space="preserve">Znanstvenoraziskovalni center Slovenske akademije znanosti in umetnosti </w:t>
            </w:r>
          </w:p>
        </w:tc>
        <w:tc>
          <w:tcPr>
            <w:tcW w:w="3591" w:type="dxa"/>
            <w:tcBorders>
              <w:top w:val="single" w:sz="4" w:space="0" w:color="000000"/>
              <w:left w:val="single" w:sz="4" w:space="0" w:color="000000"/>
              <w:bottom w:val="single" w:sz="4" w:space="0" w:color="000000"/>
              <w:right w:val="single" w:sz="4" w:space="0" w:color="000000"/>
            </w:tcBorders>
            <w:hideMark/>
          </w:tcPr>
          <w:p w14:paraId="7C06BD85" w14:textId="77777777" w:rsidR="00874F25" w:rsidRDefault="00874F25" w:rsidP="00692BEA">
            <w:pPr>
              <w:tabs>
                <w:tab w:val="left" w:pos="284"/>
                <w:tab w:val="left" w:pos="567"/>
              </w:tabs>
              <w:spacing w:line="360" w:lineRule="auto"/>
              <w:rPr>
                <w:rFonts w:cs="Arial"/>
                <w:bCs/>
                <w:szCs w:val="20"/>
              </w:rPr>
            </w:pPr>
            <w:r w:rsidRPr="00874F25">
              <w:rPr>
                <w:rFonts w:cs="Arial"/>
                <w:bCs/>
                <w:szCs w:val="20"/>
              </w:rPr>
              <w:t>Novi trg 2, 1000 Ljubljana</w:t>
            </w:r>
          </w:p>
        </w:tc>
      </w:tr>
      <w:tr w:rsidR="00874F25" w14:paraId="32AD87A5" w14:textId="77777777" w:rsidTr="00692BEA">
        <w:tc>
          <w:tcPr>
            <w:tcW w:w="923" w:type="dxa"/>
            <w:tcBorders>
              <w:top w:val="single" w:sz="4" w:space="0" w:color="000000"/>
              <w:left w:val="single" w:sz="4" w:space="0" w:color="000000"/>
              <w:bottom w:val="single" w:sz="4" w:space="0" w:color="000000"/>
              <w:right w:val="single" w:sz="4" w:space="0" w:color="000000"/>
            </w:tcBorders>
            <w:hideMark/>
          </w:tcPr>
          <w:p w14:paraId="387DACC9" w14:textId="77777777" w:rsidR="00874F25" w:rsidRDefault="00874F25" w:rsidP="00715FA6">
            <w:pPr>
              <w:pStyle w:val="Brezrazmikov"/>
            </w:pPr>
            <w:r>
              <w:t>2.</w:t>
            </w:r>
          </w:p>
        </w:tc>
        <w:tc>
          <w:tcPr>
            <w:tcW w:w="3974" w:type="dxa"/>
            <w:tcBorders>
              <w:top w:val="single" w:sz="4" w:space="0" w:color="000000"/>
              <w:left w:val="single" w:sz="4" w:space="0" w:color="000000"/>
              <w:bottom w:val="single" w:sz="4" w:space="0" w:color="000000"/>
              <w:right w:val="single" w:sz="4" w:space="0" w:color="000000"/>
            </w:tcBorders>
            <w:hideMark/>
          </w:tcPr>
          <w:p w14:paraId="485A5EE8" w14:textId="3257AB5B" w:rsidR="00874F25" w:rsidRDefault="00874F25" w:rsidP="00715FA6">
            <w:pPr>
              <w:pStyle w:val="Brezrazmikov"/>
            </w:pPr>
            <w:r>
              <w:t xml:space="preserve">Turistično društvo Gorje </w:t>
            </w:r>
          </w:p>
        </w:tc>
        <w:tc>
          <w:tcPr>
            <w:tcW w:w="3591" w:type="dxa"/>
            <w:tcBorders>
              <w:top w:val="single" w:sz="4" w:space="0" w:color="000000"/>
              <w:left w:val="single" w:sz="4" w:space="0" w:color="000000"/>
              <w:bottom w:val="single" w:sz="4" w:space="0" w:color="000000"/>
              <w:right w:val="single" w:sz="4" w:space="0" w:color="000000"/>
            </w:tcBorders>
            <w:hideMark/>
          </w:tcPr>
          <w:p w14:paraId="4DF7B37C" w14:textId="77777777" w:rsidR="00874F25" w:rsidRDefault="00874F25" w:rsidP="00715FA6">
            <w:pPr>
              <w:pStyle w:val="Brezrazmikov"/>
            </w:pPr>
            <w:r>
              <w:t>Podhom 80, 4247 Zgornje Gorje</w:t>
            </w:r>
          </w:p>
        </w:tc>
      </w:tr>
    </w:tbl>
    <w:p w14:paraId="012C2BAE" w14:textId="77777777" w:rsidR="00C14CC3" w:rsidRDefault="00C14CC3" w:rsidP="00C14CC3">
      <w:pPr>
        <w:pStyle w:val="Telobesedila"/>
        <w:spacing w:after="0"/>
        <w:jc w:val="both"/>
        <w:rPr>
          <w:rFonts w:ascii="Arial" w:hAnsi="Arial" w:cs="Arial"/>
          <w:b/>
          <w:sz w:val="20"/>
          <w:szCs w:val="20"/>
        </w:rPr>
      </w:pPr>
    </w:p>
    <w:p w14:paraId="678F39A3" w14:textId="77777777" w:rsidR="00874F25" w:rsidRDefault="00874F25" w:rsidP="00C14CC3">
      <w:pPr>
        <w:pStyle w:val="Telobesedila"/>
        <w:spacing w:after="0"/>
        <w:jc w:val="both"/>
        <w:rPr>
          <w:rFonts w:ascii="Arial" w:hAnsi="Arial" w:cs="Arial"/>
          <w:b/>
          <w:sz w:val="20"/>
          <w:szCs w:val="20"/>
        </w:rPr>
      </w:pPr>
    </w:p>
    <w:p w14:paraId="16945940" w14:textId="3C7AEB1E" w:rsidR="00C14CC3" w:rsidRDefault="00C14CC3" w:rsidP="00C14CC3">
      <w:pPr>
        <w:pStyle w:val="Telobesedila"/>
        <w:spacing w:after="0"/>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Strokovna komisija je ugotovila, da se </w:t>
      </w:r>
      <w:r w:rsidR="00CD0910">
        <w:rPr>
          <w:rFonts w:ascii="Arial" w:hAnsi="Arial" w:cs="Arial"/>
          <w:sz w:val="20"/>
          <w:szCs w:val="20"/>
        </w:rPr>
        <w:t>obe</w:t>
      </w:r>
      <w:r>
        <w:rPr>
          <w:rFonts w:ascii="Arial" w:hAnsi="Arial" w:cs="Arial"/>
          <w:sz w:val="20"/>
          <w:szCs w:val="20"/>
        </w:rPr>
        <w:t xml:space="preserve"> pravočasno in pravilno opremljen</w:t>
      </w:r>
      <w:r w:rsidR="00CD0910">
        <w:rPr>
          <w:rFonts w:ascii="Arial" w:hAnsi="Arial" w:cs="Arial"/>
          <w:sz w:val="20"/>
          <w:szCs w:val="20"/>
        </w:rPr>
        <w:t>i</w:t>
      </w:r>
      <w:r>
        <w:rPr>
          <w:rFonts w:ascii="Arial" w:hAnsi="Arial" w:cs="Arial"/>
          <w:sz w:val="20"/>
          <w:szCs w:val="20"/>
        </w:rPr>
        <w:t xml:space="preserve"> ovojnic</w:t>
      </w:r>
      <w:r w:rsidR="00CD0910">
        <w:rPr>
          <w:rFonts w:ascii="Arial" w:hAnsi="Arial" w:cs="Arial"/>
          <w:sz w:val="20"/>
          <w:szCs w:val="20"/>
        </w:rPr>
        <w:t>i</w:t>
      </w:r>
      <w:r w:rsidR="00D01EA6">
        <w:rPr>
          <w:rFonts w:ascii="Arial" w:hAnsi="Arial" w:cs="Arial"/>
          <w:sz w:val="20"/>
          <w:szCs w:val="20"/>
        </w:rPr>
        <w:t>,</w:t>
      </w:r>
      <w:r>
        <w:rPr>
          <w:rFonts w:ascii="Arial" w:hAnsi="Arial" w:cs="Arial"/>
          <w:sz w:val="20"/>
          <w:szCs w:val="20"/>
        </w:rPr>
        <w:t xml:space="preserve"> naveden</w:t>
      </w:r>
      <w:r w:rsidR="00CD0910">
        <w:rPr>
          <w:rFonts w:ascii="Arial" w:hAnsi="Arial" w:cs="Arial"/>
          <w:sz w:val="20"/>
          <w:szCs w:val="20"/>
        </w:rPr>
        <w:t>i</w:t>
      </w:r>
      <w:r>
        <w:rPr>
          <w:rFonts w:ascii="Arial" w:hAnsi="Arial" w:cs="Arial"/>
          <w:sz w:val="20"/>
          <w:szCs w:val="20"/>
        </w:rPr>
        <w:t xml:space="preserve"> v Tabeli 2</w:t>
      </w:r>
      <w:r w:rsidR="00D01EA6">
        <w:rPr>
          <w:rFonts w:ascii="Arial" w:hAnsi="Arial" w:cs="Arial"/>
          <w:sz w:val="20"/>
          <w:szCs w:val="20"/>
        </w:rPr>
        <w:t>,</w:t>
      </w:r>
      <w:r>
        <w:rPr>
          <w:rFonts w:ascii="Arial" w:hAnsi="Arial" w:cs="Arial"/>
          <w:sz w:val="20"/>
          <w:szCs w:val="20"/>
        </w:rPr>
        <w:t xml:space="preserve"> nanaša</w:t>
      </w:r>
      <w:r w:rsidR="00CD0910">
        <w:rPr>
          <w:rFonts w:ascii="Arial" w:hAnsi="Arial" w:cs="Arial"/>
          <w:sz w:val="20"/>
          <w:szCs w:val="20"/>
        </w:rPr>
        <w:t>ta</w:t>
      </w:r>
      <w:r>
        <w:rPr>
          <w:rFonts w:ascii="Arial" w:hAnsi="Arial" w:cs="Arial"/>
          <w:sz w:val="20"/>
          <w:szCs w:val="20"/>
        </w:rPr>
        <w:t xml:space="preserve"> na volitve kandidatov </w:t>
      </w:r>
      <w:r w:rsidR="0082097B">
        <w:rPr>
          <w:rFonts w:ascii="Arial" w:hAnsi="Arial" w:cs="Arial"/>
          <w:sz w:val="20"/>
          <w:szCs w:val="20"/>
        </w:rPr>
        <w:t xml:space="preserve">strokovnih </w:t>
      </w:r>
      <w:r w:rsidR="00182907">
        <w:rPr>
          <w:rFonts w:ascii="Arial" w:hAnsi="Arial" w:cs="Arial"/>
          <w:sz w:val="20"/>
          <w:szCs w:val="20"/>
        </w:rPr>
        <w:t xml:space="preserve">organizacij </w:t>
      </w:r>
      <w:r>
        <w:rPr>
          <w:rFonts w:ascii="Arial" w:hAnsi="Arial" w:cs="Arial"/>
          <w:sz w:val="20"/>
          <w:szCs w:val="20"/>
        </w:rPr>
        <w:t xml:space="preserve">v </w:t>
      </w:r>
      <w:r w:rsidR="00182907">
        <w:rPr>
          <w:rFonts w:ascii="Arial" w:hAnsi="Arial" w:cs="Arial"/>
          <w:sz w:val="20"/>
          <w:szCs w:val="20"/>
        </w:rPr>
        <w:t>S</w:t>
      </w:r>
      <w:r>
        <w:rPr>
          <w:rFonts w:ascii="Arial" w:hAnsi="Arial" w:cs="Arial"/>
          <w:sz w:val="20"/>
          <w:szCs w:val="20"/>
        </w:rPr>
        <w:t xml:space="preserve">vet </w:t>
      </w:r>
      <w:r w:rsidR="0082097B">
        <w:rPr>
          <w:rFonts w:ascii="Arial" w:hAnsi="Arial" w:cs="Arial"/>
          <w:sz w:val="20"/>
          <w:szCs w:val="20"/>
        </w:rPr>
        <w:t xml:space="preserve">Javnega </w:t>
      </w:r>
      <w:r>
        <w:rPr>
          <w:rFonts w:ascii="Arial" w:hAnsi="Arial" w:cs="Arial"/>
          <w:sz w:val="20"/>
          <w:szCs w:val="20"/>
        </w:rPr>
        <w:t xml:space="preserve">zavoda </w:t>
      </w:r>
      <w:r w:rsidR="00182907">
        <w:rPr>
          <w:rFonts w:ascii="Arial" w:hAnsi="Arial" w:cs="Arial"/>
          <w:sz w:val="20"/>
          <w:szCs w:val="20"/>
        </w:rPr>
        <w:t>T</w:t>
      </w:r>
      <w:r w:rsidR="0082097B">
        <w:rPr>
          <w:rFonts w:ascii="Arial" w:hAnsi="Arial" w:cs="Arial"/>
          <w:sz w:val="20"/>
          <w:szCs w:val="20"/>
        </w:rPr>
        <w:t>riglavski narodni park</w:t>
      </w:r>
      <w:r>
        <w:rPr>
          <w:rFonts w:ascii="Arial" w:hAnsi="Arial" w:cs="Arial"/>
          <w:sz w:val="20"/>
          <w:szCs w:val="20"/>
        </w:rPr>
        <w:t>.</w:t>
      </w:r>
    </w:p>
    <w:p w14:paraId="5430B814" w14:textId="77777777" w:rsidR="00C14CC3" w:rsidRDefault="00C14CC3" w:rsidP="00C14CC3">
      <w:pPr>
        <w:pStyle w:val="Telobesedila"/>
        <w:spacing w:after="0"/>
        <w:jc w:val="both"/>
        <w:rPr>
          <w:rFonts w:ascii="Arial" w:hAnsi="Arial" w:cs="Arial"/>
          <w:b/>
          <w:sz w:val="20"/>
          <w:szCs w:val="20"/>
        </w:rPr>
      </w:pPr>
    </w:p>
    <w:p w14:paraId="6C12B5B6" w14:textId="2E49443A" w:rsidR="00C14CC3" w:rsidRDefault="00C14CC3" w:rsidP="00C14CC3">
      <w:pPr>
        <w:pStyle w:val="Telobesedila"/>
        <w:spacing w:after="0"/>
        <w:jc w:val="both"/>
        <w:rPr>
          <w:rFonts w:ascii="Arial" w:hAnsi="Arial" w:cs="Arial"/>
          <w:sz w:val="20"/>
          <w:szCs w:val="20"/>
        </w:rPr>
      </w:pPr>
      <w:r>
        <w:rPr>
          <w:rFonts w:ascii="Arial" w:hAnsi="Arial" w:cs="Arial"/>
          <w:b/>
          <w:sz w:val="20"/>
          <w:szCs w:val="20"/>
        </w:rPr>
        <w:t>5.</w:t>
      </w:r>
      <w:r>
        <w:rPr>
          <w:rFonts w:ascii="Arial" w:hAnsi="Arial" w:cs="Arial"/>
          <w:sz w:val="20"/>
          <w:szCs w:val="20"/>
        </w:rPr>
        <w:t xml:space="preserve"> </w:t>
      </w:r>
      <w:r w:rsidR="006E6D17">
        <w:rPr>
          <w:rFonts w:ascii="Arial" w:hAnsi="Arial" w:cs="Arial"/>
          <w:sz w:val="20"/>
          <w:szCs w:val="20"/>
        </w:rPr>
        <w:t>Strokovna k</w:t>
      </w:r>
      <w:r>
        <w:rPr>
          <w:rFonts w:ascii="Arial" w:hAnsi="Arial" w:cs="Arial"/>
          <w:sz w:val="20"/>
          <w:szCs w:val="20"/>
        </w:rPr>
        <w:t xml:space="preserve">omisija je glede popolnosti glasovnic ugotovila, da </w:t>
      </w:r>
      <w:r w:rsidR="00CD0910">
        <w:rPr>
          <w:rFonts w:ascii="Arial" w:hAnsi="Arial" w:cs="Arial"/>
          <w:sz w:val="20"/>
          <w:szCs w:val="20"/>
        </w:rPr>
        <w:t xml:space="preserve">obe </w:t>
      </w:r>
      <w:r>
        <w:rPr>
          <w:rFonts w:ascii="Arial" w:hAnsi="Arial" w:cs="Arial"/>
          <w:sz w:val="20"/>
          <w:szCs w:val="20"/>
        </w:rPr>
        <w:t>glasovnic</w:t>
      </w:r>
      <w:r w:rsidR="00CD0910">
        <w:rPr>
          <w:rFonts w:ascii="Arial" w:hAnsi="Arial" w:cs="Arial"/>
          <w:sz w:val="20"/>
          <w:szCs w:val="20"/>
        </w:rPr>
        <w:t>i</w:t>
      </w:r>
      <w:r>
        <w:rPr>
          <w:rFonts w:ascii="Arial" w:hAnsi="Arial" w:cs="Arial"/>
          <w:sz w:val="20"/>
          <w:szCs w:val="20"/>
        </w:rPr>
        <w:t xml:space="preserve"> </w:t>
      </w:r>
      <w:r w:rsidR="00182907">
        <w:rPr>
          <w:rFonts w:ascii="Arial" w:hAnsi="Arial" w:cs="Arial"/>
          <w:sz w:val="20"/>
          <w:szCs w:val="20"/>
        </w:rPr>
        <w:t>vsebuje</w:t>
      </w:r>
      <w:r w:rsidR="00CD0910">
        <w:rPr>
          <w:rFonts w:ascii="Arial" w:hAnsi="Arial" w:cs="Arial"/>
          <w:sz w:val="20"/>
          <w:szCs w:val="20"/>
        </w:rPr>
        <w:t>ta</w:t>
      </w:r>
      <w:r w:rsidR="00182907">
        <w:rPr>
          <w:rFonts w:ascii="Arial" w:hAnsi="Arial" w:cs="Arial"/>
          <w:sz w:val="20"/>
          <w:szCs w:val="20"/>
        </w:rPr>
        <w:t xml:space="preserve"> </w:t>
      </w:r>
      <w:r>
        <w:rPr>
          <w:rFonts w:ascii="Arial" w:hAnsi="Arial" w:cs="Arial"/>
          <w:sz w:val="20"/>
          <w:szCs w:val="20"/>
        </w:rPr>
        <w:t xml:space="preserve">zahtevane vsebine, to je, da je na </w:t>
      </w:r>
      <w:r w:rsidR="00CD0910">
        <w:rPr>
          <w:rFonts w:ascii="Arial" w:hAnsi="Arial" w:cs="Arial"/>
          <w:sz w:val="20"/>
          <w:szCs w:val="20"/>
        </w:rPr>
        <w:t xml:space="preserve">obeh </w:t>
      </w:r>
      <w:r>
        <w:rPr>
          <w:rFonts w:ascii="Arial" w:hAnsi="Arial" w:cs="Arial"/>
          <w:sz w:val="20"/>
          <w:szCs w:val="20"/>
        </w:rPr>
        <w:t>glasovnicah obkrožen po en (1) kandidat.</w:t>
      </w:r>
    </w:p>
    <w:p w14:paraId="24D1F291" w14:textId="77777777" w:rsidR="00C14CC3" w:rsidRDefault="00C14CC3" w:rsidP="00C14CC3">
      <w:pPr>
        <w:pStyle w:val="Telobesedila"/>
        <w:spacing w:after="0"/>
        <w:jc w:val="both"/>
        <w:rPr>
          <w:rFonts w:ascii="Arial" w:hAnsi="Arial" w:cs="Arial"/>
          <w:sz w:val="20"/>
          <w:szCs w:val="20"/>
        </w:rPr>
      </w:pPr>
    </w:p>
    <w:p w14:paraId="25536A70" w14:textId="3368080B" w:rsidR="00C14CC3" w:rsidRDefault="00C14CC3" w:rsidP="00C14CC3">
      <w:pPr>
        <w:pStyle w:val="Telobesedila"/>
        <w:spacing w:after="0"/>
        <w:jc w:val="both"/>
        <w:rPr>
          <w:rFonts w:ascii="Arial" w:hAnsi="Arial" w:cs="Arial"/>
          <w:sz w:val="20"/>
          <w:szCs w:val="20"/>
        </w:rPr>
      </w:pPr>
      <w:r>
        <w:rPr>
          <w:rFonts w:ascii="Arial" w:hAnsi="Arial" w:cs="Arial"/>
          <w:b/>
          <w:sz w:val="20"/>
          <w:szCs w:val="20"/>
        </w:rPr>
        <w:t>6.</w:t>
      </w:r>
      <w:r>
        <w:rPr>
          <w:rFonts w:ascii="Arial" w:hAnsi="Arial" w:cs="Arial"/>
          <w:sz w:val="20"/>
          <w:szCs w:val="20"/>
        </w:rPr>
        <w:t xml:space="preserve"> </w:t>
      </w:r>
      <w:r w:rsidR="006E6D17">
        <w:rPr>
          <w:rFonts w:ascii="Arial" w:hAnsi="Arial" w:cs="Arial"/>
          <w:sz w:val="20"/>
          <w:szCs w:val="20"/>
        </w:rPr>
        <w:t>Strokovna k</w:t>
      </w:r>
      <w:r>
        <w:rPr>
          <w:rFonts w:ascii="Arial" w:hAnsi="Arial" w:cs="Arial"/>
          <w:sz w:val="20"/>
          <w:szCs w:val="20"/>
        </w:rPr>
        <w:t>omisija je preštela število glasov po posamezn</w:t>
      </w:r>
      <w:r w:rsidR="00CD0910">
        <w:rPr>
          <w:rFonts w:ascii="Arial" w:hAnsi="Arial" w:cs="Arial"/>
          <w:sz w:val="20"/>
          <w:szCs w:val="20"/>
        </w:rPr>
        <w:t xml:space="preserve">em kandidatu </w:t>
      </w:r>
      <w:r>
        <w:rPr>
          <w:rFonts w:ascii="Arial" w:hAnsi="Arial" w:cs="Arial"/>
          <w:sz w:val="20"/>
          <w:szCs w:val="20"/>
        </w:rPr>
        <w:t xml:space="preserve">(Tabela </w:t>
      </w:r>
      <w:r w:rsidR="00386A50">
        <w:rPr>
          <w:rFonts w:ascii="Arial" w:hAnsi="Arial" w:cs="Arial"/>
          <w:sz w:val="20"/>
          <w:szCs w:val="20"/>
        </w:rPr>
        <w:t>3</w:t>
      </w:r>
      <w:r>
        <w:rPr>
          <w:rFonts w:ascii="Arial" w:hAnsi="Arial" w:cs="Arial"/>
          <w:sz w:val="20"/>
          <w:szCs w:val="20"/>
        </w:rPr>
        <w:t xml:space="preserve">) in ugotovila, da </w:t>
      </w:r>
      <w:r w:rsidR="00CD0910">
        <w:rPr>
          <w:rFonts w:ascii="Arial" w:hAnsi="Arial" w:cs="Arial"/>
          <w:sz w:val="20"/>
          <w:szCs w:val="20"/>
        </w:rPr>
        <w:t>sta oba kandidata prejela po en (1) glas in da je glasovanje izenačeno.</w:t>
      </w:r>
    </w:p>
    <w:p w14:paraId="0C27024A" w14:textId="77777777" w:rsidR="00C14CC3" w:rsidRDefault="00C14CC3" w:rsidP="00C14CC3">
      <w:pPr>
        <w:spacing w:line="240" w:lineRule="auto"/>
        <w:rPr>
          <w:rFonts w:cs="Arial"/>
          <w:b/>
          <w:szCs w:val="20"/>
        </w:rPr>
      </w:pPr>
    </w:p>
    <w:p w14:paraId="4F8F7BD1" w14:textId="526536A3" w:rsidR="00C14CC3" w:rsidRDefault="00C14CC3" w:rsidP="00C14CC3">
      <w:pPr>
        <w:spacing w:line="240" w:lineRule="auto"/>
        <w:rPr>
          <w:rFonts w:cs="Arial"/>
          <w:b/>
          <w:szCs w:val="20"/>
        </w:rPr>
      </w:pPr>
      <w:r>
        <w:rPr>
          <w:rFonts w:cs="Arial"/>
          <w:b/>
          <w:szCs w:val="20"/>
        </w:rPr>
        <w:t xml:space="preserve">Tabela </w:t>
      </w:r>
      <w:r w:rsidR="00386A50">
        <w:rPr>
          <w:rFonts w:cs="Arial"/>
          <w:b/>
          <w:szCs w:val="20"/>
        </w:rPr>
        <w:t>3</w:t>
      </w:r>
      <w:r>
        <w:rPr>
          <w:rFonts w:cs="Arial"/>
          <w:b/>
          <w:szCs w:val="20"/>
        </w:rPr>
        <w:t>: Evidentiranje glasov na glasovnicah po posamezn</w:t>
      </w:r>
      <w:r w:rsidR="004B3DD7">
        <w:rPr>
          <w:rFonts w:cs="Arial"/>
          <w:b/>
          <w:szCs w:val="20"/>
        </w:rPr>
        <w:t>em</w:t>
      </w:r>
      <w:r>
        <w:rPr>
          <w:rFonts w:cs="Arial"/>
          <w:b/>
          <w:szCs w:val="20"/>
        </w:rPr>
        <w:t xml:space="preserve"> kandid</w:t>
      </w:r>
      <w:r w:rsidR="004B3DD7">
        <w:rPr>
          <w:rFonts w:cs="Arial"/>
          <w:b/>
          <w:szCs w:val="20"/>
        </w:rPr>
        <w:t>atu</w:t>
      </w:r>
    </w:p>
    <w:p w14:paraId="4E8DDDD6" w14:textId="77777777" w:rsidR="00C14CC3" w:rsidRDefault="00C14CC3" w:rsidP="00C14CC3">
      <w:pPr>
        <w:rPr>
          <w:rFonts w:cs="Arial"/>
          <w:szCs w:val="2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4057"/>
        <w:gridCol w:w="1842"/>
        <w:gridCol w:w="1701"/>
      </w:tblGrid>
      <w:tr w:rsidR="004B3DD7" w14:paraId="15D9D59D" w14:textId="77777777" w:rsidTr="00715FA6">
        <w:tc>
          <w:tcPr>
            <w:tcW w:w="900" w:type="dxa"/>
            <w:tcBorders>
              <w:top w:val="single" w:sz="4" w:space="0" w:color="000000"/>
              <w:left w:val="single" w:sz="4" w:space="0" w:color="000000"/>
              <w:bottom w:val="single" w:sz="4" w:space="0" w:color="000000"/>
              <w:right w:val="single" w:sz="4" w:space="0" w:color="000000"/>
            </w:tcBorders>
            <w:hideMark/>
          </w:tcPr>
          <w:p w14:paraId="33843D93" w14:textId="26321FEB" w:rsidR="004B3DD7" w:rsidRPr="00E366A2" w:rsidRDefault="004B3DD7">
            <w:pPr>
              <w:tabs>
                <w:tab w:val="left" w:pos="284"/>
                <w:tab w:val="left" w:pos="567"/>
              </w:tabs>
              <w:jc w:val="center"/>
              <w:rPr>
                <w:rFonts w:cs="Arial"/>
                <w:bCs/>
                <w:szCs w:val="20"/>
              </w:rPr>
            </w:pPr>
            <w:r w:rsidRPr="00E366A2">
              <w:rPr>
                <w:rFonts w:cs="Arial"/>
                <w:bCs/>
                <w:szCs w:val="20"/>
              </w:rPr>
              <w:t>Zap.</w:t>
            </w:r>
            <w:r w:rsidR="009A2EBE">
              <w:rPr>
                <w:rFonts w:cs="Arial"/>
                <w:bCs/>
                <w:szCs w:val="20"/>
              </w:rPr>
              <w:t xml:space="preserve"> </w:t>
            </w:r>
            <w:r w:rsidRPr="00E366A2">
              <w:rPr>
                <w:rFonts w:cs="Arial"/>
                <w:bCs/>
                <w:szCs w:val="20"/>
              </w:rPr>
              <w:t>št.</w:t>
            </w:r>
          </w:p>
        </w:tc>
        <w:tc>
          <w:tcPr>
            <w:tcW w:w="4057" w:type="dxa"/>
            <w:tcBorders>
              <w:top w:val="single" w:sz="4" w:space="0" w:color="000000"/>
              <w:left w:val="single" w:sz="4" w:space="0" w:color="000000"/>
              <w:bottom w:val="single" w:sz="4" w:space="0" w:color="000000"/>
              <w:right w:val="single" w:sz="4" w:space="0" w:color="000000"/>
            </w:tcBorders>
            <w:hideMark/>
          </w:tcPr>
          <w:p w14:paraId="733AFA47" w14:textId="07C40024" w:rsidR="004B3DD7" w:rsidRPr="00E366A2" w:rsidRDefault="003506A9" w:rsidP="00065341">
            <w:pPr>
              <w:tabs>
                <w:tab w:val="left" w:pos="284"/>
                <w:tab w:val="left" w:pos="567"/>
              </w:tabs>
              <w:rPr>
                <w:rFonts w:cs="Arial"/>
                <w:bCs/>
                <w:szCs w:val="20"/>
              </w:rPr>
            </w:pPr>
            <w:r>
              <w:rPr>
                <w:rFonts w:cs="Arial"/>
                <w:bCs/>
                <w:szCs w:val="20"/>
              </w:rPr>
              <w:t>Strokovna o</w:t>
            </w:r>
            <w:r w:rsidR="004B3DD7" w:rsidRPr="00E366A2">
              <w:rPr>
                <w:rFonts w:cs="Arial"/>
                <w:bCs/>
                <w:szCs w:val="20"/>
              </w:rPr>
              <w:t>rganizacija</w:t>
            </w:r>
          </w:p>
        </w:tc>
        <w:tc>
          <w:tcPr>
            <w:tcW w:w="1842" w:type="dxa"/>
            <w:tcBorders>
              <w:top w:val="single" w:sz="4" w:space="0" w:color="000000"/>
              <w:left w:val="single" w:sz="4" w:space="0" w:color="000000"/>
              <w:bottom w:val="single" w:sz="4" w:space="0" w:color="000000"/>
              <w:right w:val="single" w:sz="4" w:space="0" w:color="000000"/>
            </w:tcBorders>
            <w:hideMark/>
          </w:tcPr>
          <w:p w14:paraId="38A079BE" w14:textId="7A18AC73" w:rsidR="004B3DD7" w:rsidRPr="00E366A2" w:rsidRDefault="004B3DD7">
            <w:pPr>
              <w:tabs>
                <w:tab w:val="left" w:pos="284"/>
                <w:tab w:val="left" w:pos="567"/>
              </w:tabs>
              <w:jc w:val="center"/>
              <w:rPr>
                <w:rFonts w:cs="Arial"/>
                <w:bCs/>
                <w:szCs w:val="20"/>
              </w:rPr>
            </w:pPr>
            <w:r w:rsidRPr="00E366A2">
              <w:rPr>
                <w:rFonts w:cs="Arial"/>
                <w:bCs/>
                <w:szCs w:val="20"/>
              </w:rPr>
              <w:t>dr. Jure Tičar</w:t>
            </w:r>
          </w:p>
        </w:tc>
        <w:tc>
          <w:tcPr>
            <w:tcW w:w="1701" w:type="dxa"/>
            <w:tcBorders>
              <w:top w:val="single" w:sz="4" w:space="0" w:color="000000"/>
              <w:left w:val="single" w:sz="4" w:space="0" w:color="000000"/>
              <w:bottom w:val="single" w:sz="4" w:space="0" w:color="000000"/>
              <w:right w:val="single" w:sz="4" w:space="0" w:color="000000"/>
            </w:tcBorders>
            <w:hideMark/>
          </w:tcPr>
          <w:p w14:paraId="50F3037E" w14:textId="77777777" w:rsidR="004B3DD7" w:rsidRPr="00E366A2" w:rsidRDefault="004B3DD7">
            <w:pPr>
              <w:tabs>
                <w:tab w:val="left" w:pos="284"/>
                <w:tab w:val="left" w:pos="567"/>
              </w:tabs>
              <w:jc w:val="center"/>
              <w:rPr>
                <w:rFonts w:cs="Arial"/>
                <w:bCs/>
                <w:szCs w:val="20"/>
              </w:rPr>
            </w:pPr>
            <w:r w:rsidRPr="00E366A2">
              <w:rPr>
                <w:rFonts w:cs="Arial"/>
                <w:bCs/>
                <w:szCs w:val="20"/>
              </w:rPr>
              <w:t>Andrej Golčman</w:t>
            </w:r>
          </w:p>
        </w:tc>
      </w:tr>
      <w:tr w:rsidR="004B3DD7" w14:paraId="0C072FE9" w14:textId="77777777" w:rsidTr="00715FA6">
        <w:tc>
          <w:tcPr>
            <w:tcW w:w="900" w:type="dxa"/>
            <w:tcBorders>
              <w:top w:val="single" w:sz="4" w:space="0" w:color="000000"/>
              <w:left w:val="single" w:sz="4" w:space="0" w:color="000000"/>
              <w:bottom w:val="single" w:sz="4" w:space="0" w:color="000000"/>
              <w:right w:val="single" w:sz="4" w:space="0" w:color="000000"/>
            </w:tcBorders>
            <w:hideMark/>
          </w:tcPr>
          <w:p w14:paraId="60E49D88" w14:textId="74D3D601" w:rsidR="004B3DD7" w:rsidRDefault="004B3DD7">
            <w:pPr>
              <w:tabs>
                <w:tab w:val="left" w:pos="284"/>
                <w:tab w:val="left" w:pos="567"/>
              </w:tabs>
              <w:rPr>
                <w:rFonts w:cs="Arial"/>
                <w:szCs w:val="20"/>
              </w:rPr>
            </w:pPr>
            <w:r>
              <w:rPr>
                <w:rFonts w:cs="Arial"/>
                <w:szCs w:val="20"/>
              </w:rPr>
              <w:t>1</w:t>
            </w:r>
            <w:r w:rsidR="006E6D17">
              <w:rPr>
                <w:rFonts w:cs="Arial"/>
                <w:szCs w:val="20"/>
              </w:rPr>
              <w:t>.</w:t>
            </w:r>
          </w:p>
        </w:tc>
        <w:tc>
          <w:tcPr>
            <w:tcW w:w="4057" w:type="dxa"/>
            <w:tcBorders>
              <w:top w:val="single" w:sz="4" w:space="0" w:color="000000"/>
              <w:left w:val="single" w:sz="4" w:space="0" w:color="000000"/>
              <w:bottom w:val="single" w:sz="4" w:space="0" w:color="000000"/>
              <w:right w:val="single" w:sz="4" w:space="0" w:color="000000"/>
            </w:tcBorders>
            <w:hideMark/>
          </w:tcPr>
          <w:p w14:paraId="3D7C5EC5" w14:textId="6328C93C" w:rsidR="004B3DD7" w:rsidRDefault="00715FA6">
            <w:pPr>
              <w:tabs>
                <w:tab w:val="left" w:pos="284"/>
                <w:tab w:val="left" w:pos="567"/>
              </w:tabs>
              <w:rPr>
                <w:rFonts w:cs="Arial"/>
                <w:szCs w:val="20"/>
              </w:rPr>
            </w:pPr>
            <w:r w:rsidRPr="00715FA6">
              <w:rPr>
                <w:rFonts w:cs="Arial"/>
                <w:szCs w:val="20"/>
              </w:rPr>
              <w:t>Znanstvenoraziskovalni center Slovenske akademije znanosti in umetnosti</w:t>
            </w:r>
          </w:p>
        </w:tc>
        <w:tc>
          <w:tcPr>
            <w:tcW w:w="1842" w:type="dxa"/>
            <w:tcBorders>
              <w:top w:val="single" w:sz="4" w:space="0" w:color="000000"/>
              <w:left w:val="single" w:sz="4" w:space="0" w:color="000000"/>
              <w:bottom w:val="single" w:sz="4" w:space="0" w:color="000000"/>
              <w:right w:val="single" w:sz="4" w:space="0" w:color="000000"/>
            </w:tcBorders>
            <w:hideMark/>
          </w:tcPr>
          <w:p w14:paraId="674C88C6" w14:textId="70D717EF" w:rsidR="004B3DD7" w:rsidRPr="008E02BF" w:rsidRDefault="008E02BF">
            <w:pPr>
              <w:tabs>
                <w:tab w:val="left" w:pos="284"/>
                <w:tab w:val="left" w:pos="567"/>
              </w:tabs>
              <w:rPr>
                <w:rFonts w:cs="Arial"/>
                <w:bCs/>
                <w:sz w:val="24"/>
              </w:rPr>
            </w:pPr>
            <w:r>
              <w:rPr>
                <w:rFonts w:cs="Arial"/>
                <w:bCs/>
                <w:sz w:val="24"/>
              </w:rPr>
              <w:t>x</w:t>
            </w:r>
          </w:p>
        </w:tc>
        <w:tc>
          <w:tcPr>
            <w:tcW w:w="1701" w:type="dxa"/>
            <w:tcBorders>
              <w:top w:val="single" w:sz="4" w:space="0" w:color="000000"/>
              <w:left w:val="single" w:sz="4" w:space="0" w:color="000000"/>
              <w:bottom w:val="single" w:sz="4" w:space="0" w:color="000000"/>
              <w:right w:val="single" w:sz="4" w:space="0" w:color="000000"/>
            </w:tcBorders>
            <w:hideMark/>
          </w:tcPr>
          <w:p w14:paraId="625FB09C" w14:textId="77777777" w:rsidR="004B3DD7" w:rsidRPr="008E02BF" w:rsidRDefault="004B3DD7">
            <w:pPr>
              <w:tabs>
                <w:tab w:val="left" w:pos="284"/>
                <w:tab w:val="left" w:pos="567"/>
              </w:tabs>
              <w:rPr>
                <w:rFonts w:cs="Arial"/>
                <w:bCs/>
                <w:sz w:val="24"/>
              </w:rPr>
            </w:pPr>
            <w:r w:rsidRPr="008E02BF">
              <w:rPr>
                <w:rFonts w:cs="Arial"/>
                <w:bCs/>
                <w:sz w:val="24"/>
              </w:rPr>
              <w:t>/</w:t>
            </w:r>
          </w:p>
        </w:tc>
      </w:tr>
      <w:tr w:rsidR="004B3DD7" w14:paraId="3FE566FB" w14:textId="77777777" w:rsidTr="00715FA6">
        <w:tc>
          <w:tcPr>
            <w:tcW w:w="900" w:type="dxa"/>
            <w:tcBorders>
              <w:top w:val="single" w:sz="4" w:space="0" w:color="000000"/>
              <w:left w:val="single" w:sz="4" w:space="0" w:color="000000"/>
              <w:bottom w:val="single" w:sz="4" w:space="0" w:color="000000"/>
              <w:right w:val="single" w:sz="4" w:space="0" w:color="000000"/>
            </w:tcBorders>
          </w:tcPr>
          <w:p w14:paraId="731053C0" w14:textId="7DC5E90F" w:rsidR="004B3DD7" w:rsidRDefault="004B3DD7">
            <w:pPr>
              <w:tabs>
                <w:tab w:val="left" w:pos="284"/>
                <w:tab w:val="left" w:pos="567"/>
              </w:tabs>
              <w:rPr>
                <w:rFonts w:cs="Arial"/>
                <w:szCs w:val="20"/>
              </w:rPr>
            </w:pPr>
            <w:r>
              <w:rPr>
                <w:rFonts w:cs="Arial"/>
                <w:szCs w:val="20"/>
              </w:rPr>
              <w:t>2</w:t>
            </w:r>
            <w:r w:rsidR="006E6D17">
              <w:rPr>
                <w:rFonts w:cs="Arial"/>
                <w:szCs w:val="20"/>
              </w:rPr>
              <w:t>.</w:t>
            </w:r>
          </w:p>
        </w:tc>
        <w:tc>
          <w:tcPr>
            <w:tcW w:w="4057" w:type="dxa"/>
            <w:tcBorders>
              <w:top w:val="single" w:sz="4" w:space="0" w:color="000000"/>
              <w:left w:val="single" w:sz="4" w:space="0" w:color="000000"/>
              <w:bottom w:val="single" w:sz="4" w:space="0" w:color="000000"/>
              <w:right w:val="single" w:sz="4" w:space="0" w:color="000000"/>
            </w:tcBorders>
          </w:tcPr>
          <w:p w14:paraId="5469F199" w14:textId="5BF764D8" w:rsidR="004B3DD7" w:rsidRDefault="004B3DD7">
            <w:pPr>
              <w:tabs>
                <w:tab w:val="left" w:pos="284"/>
                <w:tab w:val="left" w:pos="567"/>
              </w:tabs>
              <w:rPr>
                <w:rFonts w:cs="Arial"/>
                <w:szCs w:val="20"/>
              </w:rPr>
            </w:pPr>
            <w:r>
              <w:rPr>
                <w:rFonts w:cs="Arial"/>
                <w:szCs w:val="20"/>
              </w:rPr>
              <w:t>T</w:t>
            </w:r>
            <w:r w:rsidR="00715FA6">
              <w:rPr>
                <w:rFonts w:cs="Arial"/>
                <w:szCs w:val="20"/>
              </w:rPr>
              <w:t xml:space="preserve">uristično društvo </w:t>
            </w:r>
            <w:r>
              <w:rPr>
                <w:rFonts w:cs="Arial"/>
                <w:szCs w:val="20"/>
              </w:rPr>
              <w:t>Gorje</w:t>
            </w:r>
          </w:p>
        </w:tc>
        <w:tc>
          <w:tcPr>
            <w:tcW w:w="1842" w:type="dxa"/>
            <w:tcBorders>
              <w:top w:val="single" w:sz="4" w:space="0" w:color="000000"/>
              <w:left w:val="single" w:sz="4" w:space="0" w:color="000000"/>
              <w:bottom w:val="single" w:sz="4" w:space="0" w:color="000000"/>
              <w:right w:val="single" w:sz="4" w:space="0" w:color="000000"/>
            </w:tcBorders>
          </w:tcPr>
          <w:p w14:paraId="7F66565E" w14:textId="4210562F" w:rsidR="004B3DD7" w:rsidRPr="008E02BF" w:rsidRDefault="004B3DD7">
            <w:pPr>
              <w:tabs>
                <w:tab w:val="left" w:pos="284"/>
                <w:tab w:val="left" w:pos="567"/>
              </w:tabs>
              <w:rPr>
                <w:rFonts w:cs="Arial"/>
                <w:bCs/>
                <w:sz w:val="24"/>
              </w:rPr>
            </w:pPr>
            <w:r w:rsidRPr="008E02BF">
              <w:rPr>
                <w:rFonts w:cs="Arial"/>
                <w:bCs/>
                <w:sz w:val="24"/>
              </w:rPr>
              <w:t>/</w:t>
            </w:r>
          </w:p>
        </w:tc>
        <w:tc>
          <w:tcPr>
            <w:tcW w:w="1701" w:type="dxa"/>
            <w:tcBorders>
              <w:top w:val="single" w:sz="4" w:space="0" w:color="000000"/>
              <w:left w:val="single" w:sz="4" w:space="0" w:color="000000"/>
              <w:bottom w:val="single" w:sz="4" w:space="0" w:color="000000"/>
              <w:right w:val="single" w:sz="4" w:space="0" w:color="000000"/>
            </w:tcBorders>
          </w:tcPr>
          <w:p w14:paraId="353B52D4" w14:textId="3C4DFC4C" w:rsidR="004B3DD7" w:rsidRPr="008E02BF" w:rsidRDefault="008E02BF">
            <w:pPr>
              <w:tabs>
                <w:tab w:val="left" w:pos="284"/>
                <w:tab w:val="left" w:pos="567"/>
              </w:tabs>
              <w:rPr>
                <w:rFonts w:cs="Arial"/>
                <w:bCs/>
                <w:sz w:val="24"/>
              </w:rPr>
            </w:pPr>
            <w:r w:rsidRPr="008E02BF">
              <w:rPr>
                <w:rFonts w:cs="Arial"/>
                <w:bCs/>
                <w:sz w:val="24"/>
              </w:rPr>
              <w:t>x</w:t>
            </w:r>
          </w:p>
        </w:tc>
      </w:tr>
    </w:tbl>
    <w:p w14:paraId="083C62F0" w14:textId="77777777" w:rsidR="00C14CC3" w:rsidRDefault="00C14CC3" w:rsidP="00C14CC3">
      <w:pPr>
        <w:tabs>
          <w:tab w:val="left" w:pos="284"/>
        </w:tabs>
        <w:spacing w:line="360" w:lineRule="auto"/>
        <w:rPr>
          <w:rFonts w:cs="Arial"/>
          <w:b/>
          <w:szCs w:val="20"/>
          <w:highlight w:val="magenta"/>
        </w:rPr>
      </w:pPr>
    </w:p>
    <w:p w14:paraId="19C6460B" w14:textId="6657DFA1" w:rsidR="00E04169" w:rsidRDefault="00E04169" w:rsidP="00E04169">
      <w:pPr>
        <w:tabs>
          <w:tab w:val="left" w:pos="284"/>
          <w:tab w:val="left" w:pos="567"/>
        </w:tabs>
        <w:spacing w:line="240" w:lineRule="auto"/>
        <w:jc w:val="both"/>
        <w:rPr>
          <w:rFonts w:cs="Arial"/>
          <w:b/>
          <w:szCs w:val="20"/>
        </w:rPr>
      </w:pPr>
      <w:r>
        <w:rPr>
          <w:rFonts w:cs="Arial"/>
          <w:b/>
          <w:szCs w:val="20"/>
        </w:rPr>
        <w:t>7</w:t>
      </w:r>
      <w:r w:rsidR="00927E0A">
        <w:rPr>
          <w:rFonts w:cs="Arial"/>
          <w:b/>
          <w:szCs w:val="20"/>
        </w:rPr>
        <w:t xml:space="preserve">. </w:t>
      </w:r>
      <w:r w:rsidRPr="00E04169">
        <w:rPr>
          <w:rFonts w:cs="Arial"/>
          <w:bCs/>
          <w:szCs w:val="20"/>
        </w:rPr>
        <w:t>S strani</w:t>
      </w:r>
      <w:r>
        <w:rPr>
          <w:rFonts w:cs="Arial"/>
          <w:bCs/>
          <w:szCs w:val="20"/>
        </w:rPr>
        <w:t xml:space="preserve"> pooblaščenca TD Gorje je Strokovna komisija na samem javnem odbiranju glasovnic prejela »</w:t>
      </w:r>
      <w:r w:rsidR="000D04D7">
        <w:rPr>
          <w:rFonts w:cs="Arial"/>
          <w:bCs/>
          <w:szCs w:val="20"/>
        </w:rPr>
        <w:t>Ponovni p</w:t>
      </w:r>
      <w:r w:rsidRPr="00E04169">
        <w:rPr>
          <w:rFonts w:cs="Arial"/>
          <w:bCs/>
          <w:szCs w:val="20"/>
        </w:rPr>
        <w:t>oziv k spremembi odločitve, sprejete v zapisniku o odpiranju prijav zainteresiranih strokovnih organizacij in evidentiranju predlaganih kandidatov za članstvo v Svetu Javnega zavoda Triglavski narodni park za obdobje 2024 - 2028, št. 215-18/2024-2560/29 z dne 26.11. 2024</w:t>
      </w:r>
      <w:r>
        <w:rPr>
          <w:rFonts w:cs="Arial"/>
          <w:bCs/>
          <w:szCs w:val="20"/>
        </w:rPr>
        <w:t>«</w:t>
      </w:r>
      <w:r w:rsidR="00C33533">
        <w:rPr>
          <w:rFonts w:cs="Arial"/>
          <w:bCs/>
          <w:szCs w:val="20"/>
        </w:rPr>
        <w:t xml:space="preserve"> (v nadaljevanju: </w:t>
      </w:r>
      <w:r w:rsidR="00E91D66">
        <w:rPr>
          <w:rFonts w:cs="Arial"/>
          <w:bCs/>
          <w:szCs w:val="20"/>
        </w:rPr>
        <w:t>Ponovni p</w:t>
      </w:r>
      <w:r w:rsidR="00C33533">
        <w:rPr>
          <w:rFonts w:cs="Arial"/>
          <w:bCs/>
          <w:szCs w:val="20"/>
        </w:rPr>
        <w:t>oziv OD)</w:t>
      </w:r>
      <w:r>
        <w:rPr>
          <w:rFonts w:cs="Arial"/>
          <w:bCs/>
          <w:szCs w:val="20"/>
        </w:rPr>
        <w:t xml:space="preserve">. Komisija se je odločila, da se bo do </w:t>
      </w:r>
      <w:r w:rsidR="00C33533">
        <w:rPr>
          <w:rFonts w:cs="Arial"/>
          <w:bCs/>
          <w:szCs w:val="20"/>
        </w:rPr>
        <w:t>P</w:t>
      </w:r>
      <w:r>
        <w:rPr>
          <w:rFonts w:cs="Arial"/>
          <w:bCs/>
          <w:szCs w:val="20"/>
        </w:rPr>
        <w:t>oziva</w:t>
      </w:r>
      <w:r w:rsidR="00C33533">
        <w:rPr>
          <w:rFonts w:cs="Arial"/>
          <w:bCs/>
          <w:szCs w:val="20"/>
        </w:rPr>
        <w:t xml:space="preserve"> OD</w:t>
      </w:r>
      <w:r>
        <w:rPr>
          <w:rFonts w:cs="Arial"/>
          <w:bCs/>
          <w:szCs w:val="20"/>
        </w:rPr>
        <w:t xml:space="preserve"> opredelila ločeno od tega zapisnika</w:t>
      </w:r>
      <w:r w:rsidR="00C33533">
        <w:rPr>
          <w:rFonts w:cs="Arial"/>
          <w:bCs/>
          <w:szCs w:val="20"/>
        </w:rPr>
        <w:t>. Na samem javnem odpiranju glasovnic se Strokovna komisija z vsebino Poziva OD ni natančno seznanila.</w:t>
      </w:r>
    </w:p>
    <w:p w14:paraId="76031F41" w14:textId="77777777" w:rsidR="006E6D9F" w:rsidRDefault="006E6D9F" w:rsidP="006E6D9F">
      <w:pPr>
        <w:tabs>
          <w:tab w:val="left" w:pos="284"/>
          <w:tab w:val="left" w:pos="567"/>
        </w:tabs>
        <w:spacing w:line="240" w:lineRule="auto"/>
        <w:jc w:val="both"/>
        <w:rPr>
          <w:rFonts w:cs="Arial"/>
          <w:b/>
          <w:szCs w:val="20"/>
        </w:rPr>
      </w:pPr>
    </w:p>
    <w:p w14:paraId="76D94364" w14:textId="3BE4D4CF" w:rsidR="00E04169" w:rsidRDefault="00C33533" w:rsidP="00E04169">
      <w:pPr>
        <w:tabs>
          <w:tab w:val="left" w:pos="284"/>
          <w:tab w:val="left" w:pos="567"/>
        </w:tabs>
        <w:spacing w:line="240" w:lineRule="auto"/>
        <w:jc w:val="both"/>
        <w:rPr>
          <w:rFonts w:cs="Arial"/>
          <w:szCs w:val="20"/>
        </w:rPr>
      </w:pPr>
      <w:r>
        <w:rPr>
          <w:rFonts w:cs="Arial"/>
          <w:b/>
          <w:szCs w:val="20"/>
        </w:rPr>
        <w:t>8</w:t>
      </w:r>
      <w:r w:rsidR="00E04169">
        <w:rPr>
          <w:rFonts w:cs="Arial"/>
          <w:b/>
          <w:szCs w:val="20"/>
        </w:rPr>
        <w:t>.</w:t>
      </w:r>
      <w:r w:rsidR="00E04169">
        <w:rPr>
          <w:rFonts w:cs="Arial"/>
          <w:szCs w:val="20"/>
        </w:rPr>
        <w:t xml:space="preserve"> Strokovna komisija je ugotovila, da je bil postopek javnega odpiranja glasovnic izveden pravilno, v skladu z veljavnimi predpisi in odločila, da se zapisnik objavi na spletni strani ter pošlje zainteresiranima strokovnima organizacijama. </w:t>
      </w:r>
    </w:p>
    <w:p w14:paraId="54463F50" w14:textId="77777777" w:rsidR="00E04169" w:rsidRDefault="00E04169" w:rsidP="00C14CC3">
      <w:pPr>
        <w:tabs>
          <w:tab w:val="left" w:pos="284"/>
          <w:tab w:val="left" w:pos="567"/>
        </w:tabs>
        <w:spacing w:line="240" w:lineRule="auto"/>
        <w:jc w:val="both"/>
        <w:rPr>
          <w:rFonts w:cs="Arial"/>
          <w:b/>
          <w:szCs w:val="20"/>
        </w:rPr>
      </w:pPr>
    </w:p>
    <w:p w14:paraId="21159C75" w14:textId="098F8B4E" w:rsidR="00841E96" w:rsidRDefault="00C33533" w:rsidP="00C14CC3">
      <w:pPr>
        <w:tabs>
          <w:tab w:val="left" w:pos="284"/>
          <w:tab w:val="left" w:pos="567"/>
        </w:tabs>
        <w:spacing w:line="240" w:lineRule="auto"/>
        <w:jc w:val="both"/>
        <w:rPr>
          <w:rFonts w:cs="Arial"/>
          <w:szCs w:val="20"/>
        </w:rPr>
      </w:pPr>
      <w:r>
        <w:rPr>
          <w:rFonts w:cs="Arial"/>
          <w:b/>
          <w:szCs w:val="20"/>
        </w:rPr>
        <w:t>9</w:t>
      </w:r>
      <w:r w:rsidR="00C14CC3">
        <w:rPr>
          <w:rFonts w:cs="Arial"/>
          <w:b/>
          <w:szCs w:val="20"/>
        </w:rPr>
        <w:t>.</w:t>
      </w:r>
      <w:r w:rsidR="00C14CC3">
        <w:rPr>
          <w:rFonts w:cs="Arial"/>
          <w:szCs w:val="20"/>
        </w:rPr>
        <w:t xml:space="preserve"> </w:t>
      </w:r>
      <w:r w:rsidR="00841E96">
        <w:rPr>
          <w:rFonts w:cs="Arial"/>
          <w:szCs w:val="20"/>
        </w:rPr>
        <w:t>Postopek</w:t>
      </w:r>
      <w:r w:rsidR="00C14CC3">
        <w:rPr>
          <w:rFonts w:cs="Arial"/>
          <w:szCs w:val="20"/>
        </w:rPr>
        <w:t xml:space="preserve"> odpiranja glasovnic ter evidentiranj</w:t>
      </w:r>
      <w:r w:rsidR="00841E96">
        <w:rPr>
          <w:rFonts w:cs="Arial"/>
          <w:szCs w:val="20"/>
        </w:rPr>
        <w:t xml:space="preserve">e glasov na glasovnicah za člana </w:t>
      </w:r>
      <w:r w:rsidR="00CD1EC7">
        <w:rPr>
          <w:rFonts w:cs="Arial"/>
          <w:szCs w:val="20"/>
        </w:rPr>
        <w:t xml:space="preserve">strokovne </w:t>
      </w:r>
      <w:r w:rsidR="00C14CC3">
        <w:rPr>
          <w:rFonts w:cs="Arial"/>
          <w:szCs w:val="20"/>
        </w:rPr>
        <w:t xml:space="preserve">organizacije v </w:t>
      </w:r>
      <w:r w:rsidR="00111253">
        <w:rPr>
          <w:rFonts w:cs="Arial"/>
          <w:szCs w:val="20"/>
        </w:rPr>
        <w:t>S</w:t>
      </w:r>
      <w:r w:rsidR="00C14CC3">
        <w:rPr>
          <w:rFonts w:cs="Arial"/>
          <w:szCs w:val="20"/>
        </w:rPr>
        <w:t xml:space="preserve">vet </w:t>
      </w:r>
      <w:r w:rsidR="00CD1EC7">
        <w:rPr>
          <w:rFonts w:cs="Arial"/>
          <w:szCs w:val="20"/>
        </w:rPr>
        <w:t xml:space="preserve">Javnega </w:t>
      </w:r>
      <w:r w:rsidR="00C14CC3">
        <w:rPr>
          <w:rFonts w:cs="Arial"/>
          <w:szCs w:val="20"/>
        </w:rPr>
        <w:t xml:space="preserve">zavoda </w:t>
      </w:r>
      <w:r w:rsidR="00CD1EC7">
        <w:rPr>
          <w:rFonts w:cs="Arial"/>
          <w:szCs w:val="20"/>
        </w:rPr>
        <w:t>Triglavski narodni park</w:t>
      </w:r>
      <w:r w:rsidR="00841E96">
        <w:rPr>
          <w:rFonts w:cs="Arial"/>
          <w:szCs w:val="20"/>
        </w:rPr>
        <w:t xml:space="preserve"> je bil</w:t>
      </w:r>
      <w:r w:rsidR="00C14CC3">
        <w:rPr>
          <w:rFonts w:cs="Arial"/>
          <w:szCs w:val="20"/>
        </w:rPr>
        <w:t xml:space="preserve"> zaključen </w:t>
      </w:r>
      <w:r w:rsidR="000D04D7">
        <w:rPr>
          <w:rFonts w:cs="Arial"/>
          <w:szCs w:val="20"/>
        </w:rPr>
        <w:t>23. 1. 2025</w:t>
      </w:r>
      <w:r w:rsidR="00C14CC3">
        <w:rPr>
          <w:rFonts w:cs="Arial"/>
          <w:szCs w:val="20"/>
        </w:rPr>
        <w:t xml:space="preserve"> ob </w:t>
      </w:r>
      <w:r w:rsidR="00CD1EC7">
        <w:rPr>
          <w:rFonts w:cs="Arial"/>
          <w:szCs w:val="20"/>
        </w:rPr>
        <w:t xml:space="preserve">8. </w:t>
      </w:r>
      <w:r w:rsidR="000D04D7">
        <w:rPr>
          <w:rFonts w:cs="Arial"/>
          <w:szCs w:val="20"/>
        </w:rPr>
        <w:t>45</w:t>
      </w:r>
      <w:r w:rsidR="00C02DD1">
        <w:rPr>
          <w:rFonts w:cs="Arial"/>
          <w:szCs w:val="20"/>
        </w:rPr>
        <w:t xml:space="preserve"> uri</w:t>
      </w:r>
      <w:r w:rsidR="00C14CC3">
        <w:rPr>
          <w:rFonts w:cs="Arial"/>
          <w:szCs w:val="20"/>
        </w:rPr>
        <w:t>.</w:t>
      </w:r>
      <w:r w:rsidR="00CD1EC7" w:rsidRPr="00CD1EC7">
        <w:rPr>
          <w:rFonts w:cs="Arial"/>
          <w:szCs w:val="20"/>
        </w:rPr>
        <w:t xml:space="preserve"> </w:t>
      </w:r>
    </w:p>
    <w:p w14:paraId="1CF3EE96" w14:textId="77777777" w:rsidR="00C33533" w:rsidRDefault="00C33533" w:rsidP="00C33533">
      <w:pPr>
        <w:tabs>
          <w:tab w:val="left" w:pos="284"/>
          <w:tab w:val="left" w:pos="567"/>
        </w:tabs>
        <w:spacing w:line="240" w:lineRule="auto"/>
        <w:jc w:val="both"/>
        <w:rPr>
          <w:rFonts w:cs="Arial"/>
          <w:b/>
          <w:szCs w:val="20"/>
        </w:rPr>
      </w:pPr>
    </w:p>
    <w:p w14:paraId="5D5B8D03" w14:textId="77777777" w:rsidR="00E91D66" w:rsidRDefault="00C33533" w:rsidP="00C33533">
      <w:pPr>
        <w:tabs>
          <w:tab w:val="left" w:pos="284"/>
          <w:tab w:val="left" w:pos="567"/>
        </w:tabs>
        <w:spacing w:line="240" w:lineRule="auto"/>
        <w:jc w:val="both"/>
        <w:rPr>
          <w:rFonts w:cs="Arial"/>
          <w:bCs/>
          <w:szCs w:val="20"/>
        </w:rPr>
      </w:pPr>
      <w:r>
        <w:rPr>
          <w:rFonts w:cs="Arial"/>
          <w:b/>
          <w:szCs w:val="20"/>
        </w:rPr>
        <w:t>10</w:t>
      </w:r>
      <w:r w:rsidRPr="001D263A">
        <w:rPr>
          <w:rFonts w:cs="Arial"/>
          <w:b/>
          <w:szCs w:val="20"/>
        </w:rPr>
        <w:t xml:space="preserve">. </w:t>
      </w:r>
      <w:r w:rsidRPr="001D263A">
        <w:rPr>
          <w:rFonts w:cs="Arial"/>
          <w:bCs/>
          <w:szCs w:val="20"/>
        </w:rPr>
        <w:t>Strokovna komisija</w:t>
      </w:r>
      <w:r>
        <w:rPr>
          <w:rFonts w:cs="Arial"/>
          <w:bCs/>
          <w:szCs w:val="20"/>
        </w:rPr>
        <w:t xml:space="preserve"> se je naknadno, po koncu javnega odpiranja glasovnic,</w:t>
      </w:r>
      <w:r w:rsidRPr="001D263A">
        <w:rPr>
          <w:rFonts w:cs="Arial"/>
          <w:bCs/>
          <w:szCs w:val="20"/>
        </w:rPr>
        <w:t xml:space="preserve"> </w:t>
      </w:r>
      <w:r w:rsidR="00E91D66">
        <w:rPr>
          <w:rFonts w:cs="Arial"/>
          <w:bCs/>
          <w:szCs w:val="20"/>
        </w:rPr>
        <w:t>seznanila s</w:t>
      </w:r>
      <w:r>
        <w:rPr>
          <w:rFonts w:cs="Arial"/>
          <w:bCs/>
          <w:szCs w:val="20"/>
        </w:rPr>
        <w:t xml:space="preserve"> </w:t>
      </w:r>
      <w:r w:rsidR="00E91D66">
        <w:rPr>
          <w:rFonts w:cs="Arial"/>
          <w:bCs/>
          <w:szCs w:val="20"/>
        </w:rPr>
        <w:t>Ponovnim pozivom</w:t>
      </w:r>
      <w:r>
        <w:rPr>
          <w:rFonts w:cs="Arial"/>
          <w:bCs/>
          <w:szCs w:val="20"/>
        </w:rPr>
        <w:t xml:space="preserve"> OD</w:t>
      </w:r>
      <w:r w:rsidR="00E91D66">
        <w:rPr>
          <w:rFonts w:cs="Arial"/>
          <w:bCs/>
          <w:szCs w:val="20"/>
        </w:rPr>
        <w:t>. Strokovna komisija se je odločila, da Ponovnemu pozivu OD ne bo ugodila, odgovor z obrazložitvijo bo pooblaščencu TD Gorje posredovan ločeno.</w:t>
      </w:r>
    </w:p>
    <w:p w14:paraId="0147761E" w14:textId="77777777" w:rsidR="00E91D66" w:rsidRDefault="00E91D66" w:rsidP="00C33533">
      <w:pPr>
        <w:tabs>
          <w:tab w:val="left" w:pos="284"/>
          <w:tab w:val="left" w:pos="567"/>
        </w:tabs>
        <w:spacing w:line="240" w:lineRule="auto"/>
        <w:jc w:val="both"/>
        <w:rPr>
          <w:rFonts w:cs="Arial"/>
          <w:bCs/>
          <w:szCs w:val="20"/>
        </w:rPr>
      </w:pPr>
    </w:p>
    <w:p w14:paraId="4A3C8D58" w14:textId="14462453" w:rsidR="00E91D66" w:rsidRDefault="00E91D66" w:rsidP="00C33533">
      <w:pPr>
        <w:tabs>
          <w:tab w:val="left" w:pos="284"/>
          <w:tab w:val="left" w:pos="567"/>
        </w:tabs>
        <w:spacing w:line="240" w:lineRule="auto"/>
        <w:jc w:val="both"/>
        <w:rPr>
          <w:rFonts w:cs="Arial"/>
          <w:bCs/>
          <w:szCs w:val="20"/>
        </w:rPr>
      </w:pPr>
      <w:r w:rsidRPr="00E91D66">
        <w:rPr>
          <w:rFonts w:cs="Arial"/>
          <w:b/>
          <w:szCs w:val="20"/>
        </w:rPr>
        <w:t>11</w:t>
      </w:r>
      <w:r>
        <w:rPr>
          <w:rFonts w:cs="Arial"/>
          <w:bCs/>
          <w:szCs w:val="20"/>
        </w:rPr>
        <w:t>. Strokovna komisija se je na podlagi dejstva, da sta bila glasova izenačena</w:t>
      </w:r>
      <w:r w:rsidR="00731E08">
        <w:rPr>
          <w:rFonts w:cs="Arial"/>
          <w:bCs/>
          <w:szCs w:val="20"/>
        </w:rPr>
        <w:t xml:space="preserve"> ter</w:t>
      </w:r>
      <w:r>
        <w:rPr>
          <w:rFonts w:cs="Arial"/>
          <w:bCs/>
          <w:szCs w:val="20"/>
        </w:rPr>
        <w:t xml:space="preserve"> na podlagi odločitve iz 10. točke tega zapisnika odločila, da bo objavila nov Javni poziv za sodelovanje zainteresiranih strokovnih organizacij pri upravljanju Triglavskega narodnega parka v obdobju 2024-2028.</w:t>
      </w:r>
    </w:p>
    <w:p w14:paraId="46E4D965" w14:textId="77777777" w:rsidR="00841E96" w:rsidRDefault="00841E96" w:rsidP="00C14CC3">
      <w:pPr>
        <w:tabs>
          <w:tab w:val="left" w:pos="284"/>
          <w:tab w:val="left" w:pos="567"/>
        </w:tabs>
        <w:spacing w:line="240" w:lineRule="auto"/>
        <w:jc w:val="both"/>
        <w:rPr>
          <w:rFonts w:cs="Arial"/>
          <w:szCs w:val="20"/>
        </w:rPr>
      </w:pPr>
    </w:p>
    <w:p w14:paraId="45CC5D8F" w14:textId="5E9C2463" w:rsidR="00C14CC3" w:rsidRDefault="00927E0A" w:rsidP="00C14CC3">
      <w:pPr>
        <w:tabs>
          <w:tab w:val="left" w:pos="284"/>
          <w:tab w:val="left" w:pos="567"/>
        </w:tabs>
        <w:spacing w:line="240" w:lineRule="auto"/>
        <w:jc w:val="both"/>
        <w:rPr>
          <w:rFonts w:cs="Arial"/>
          <w:szCs w:val="20"/>
        </w:rPr>
      </w:pPr>
      <w:r>
        <w:rPr>
          <w:rFonts w:cs="Arial"/>
          <w:b/>
          <w:bCs/>
          <w:szCs w:val="20"/>
        </w:rPr>
        <w:t>1</w:t>
      </w:r>
      <w:r w:rsidR="00E91D66">
        <w:rPr>
          <w:rFonts w:cs="Arial"/>
          <w:b/>
          <w:bCs/>
          <w:szCs w:val="20"/>
        </w:rPr>
        <w:t>2</w:t>
      </w:r>
      <w:r w:rsidR="00841E96">
        <w:rPr>
          <w:rFonts w:cs="Arial"/>
          <w:szCs w:val="20"/>
        </w:rPr>
        <w:t xml:space="preserve">. </w:t>
      </w:r>
      <w:r w:rsidR="006861C4">
        <w:rPr>
          <w:rFonts w:cs="Arial"/>
          <w:szCs w:val="20"/>
        </w:rPr>
        <w:t>Strokovna komisija</w:t>
      </w:r>
      <w:r w:rsidR="00CD1EC7">
        <w:rPr>
          <w:rFonts w:cs="Arial"/>
          <w:szCs w:val="20"/>
        </w:rPr>
        <w:t xml:space="preserve"> </w:t>
      </w:r>
      <w:r w:rsidR="006861C4">
        <w:rPr>
          <w:rFonts w:cs="Arial"/>
          <w:szCs w:val="20"/>
        </w:rPr>
        <w:t>je</w:t>
      </w:r>
      <w:r w:rsidR="00CD1EC7">
        <w:rPr>
          <w:rFonts w:cs="Arial"/>
          <w:szCs w:val="20"/>
        </w:rPr>
        <w:t xml:space="preserve"> z vsebino</w:t>
      </w:r>
      <w:r w:rsidR="00C33533">
        <w:rPr>
          <w:rFonts w:cs="Arial"/>
          <w:szCs w:val="20"/>
        </w:rPr>
        <w:t xml:space="preserve"> tega zapisnika</w:t>
      </w:r>
      <w:r w:rsidR="00CD1EC7">
        <w:rPr>
          <w:rFonts w:cs="Arial"/>
          <w:szCs w:val="20"/>
        </w:rPr>
        <w:t xml:space="preserve"> seznanjen</w:t>
      </w:r>
      <w:r w:rsidR="006861C4">
        <w:rPr>
          <w:rFonts w:cs="Arial"/>
          <w:szCs w:val="20"/>
        </w:rPr>
        <w:t>a</w:t>
      </w:r>
      <w:r w:rsidR="00CD1EC7">
        <w:rPr>
          <w:rFonts w:cs="Arial"/>
          <w:szCs w:val="20"/>
        </w:rPr>
        <w:t xml:space="preserve"> in se z njo strinja, kar </w:t>
      </w:r>
      <w:r w:rsidR="006861C4">
        <w:rPr>
          <w:rFonts w:cs="Arial"/>
          <w:szCs w:val="20"/>
        </w:rPr>
        <w:t xml:space="preserve">je </w:t>
      </w:r>
      <w:r w:rsidR="00CD1EC7">
        <w:rPr>
          <w:rFonts w:cs="Arial"/>
          <w:szCs w:val="20"/>
        </w:rPr>
        <w:t>potrj</w:t>
      </w:r>
      <w:r w:rsidR="006861C4">
        <w:rPr>
          <w:rFonts w:cs="Arial"/>
          <w:szCs w:val="20"/>
        </w:rPr>
        <w:t>eno</w:t>
      </w:r>
      <w:r w:rsidR="00CD1EC7">
        <w:rPr>
          <w:rFonts w:cs="Arial"/>
          <w:szCs w:val="20"/>
        </w:rPr>
        <w:t xml:space="preserve"> z elektronskim podpisom tega zapisnika.</w:t>
      </w:r>
    </w:p>
    <w:p w14:paraId="4C2E0AA5" w14:textId="77777777" w:rsidR="00C14CC3" w:rsidRDefault="00C14CC3" w:rsidP="00C14CC3">
      <w:pPr>
        <w:tabs>
          <w:tab w:val="left" w:pos="284"/>
          <w:tab w:val="left" w:pos="567"/>
        </w:tabs>
        <w:spacing w:line="360" w:lineRule="auto"/>
        <w:rPr>
          <w:rFonts w:cs="Arial"/>
          <w:szCs w:val="20"/>
        </w:rPr>
      </w:pPr>
    </w:p>
    <w:p w14:paraId="1D5B31A9" w14:textId="77777777" w:rsidR="00C14CC3" w:rsidRDefault="00C14CC3" w:rsidP="00C14CC3">
      <w:pPr>
        <w:tabs>
          <w:tab w:val="left" w:pos="284"/>
          <w:tab w:val="left" w:pos="567"/>
        </w:tabs>
        <w:spacing w:line="360" w:lineRule="auto"/>
        <w:rPr>
          <w:rFonts w:cs="Arial"/>
          <w:szCs w:val="20"/>
        </w:rPr>
      </w:pPr>
    </w:p>
    <w:p w14:paraId="5C78B872" w14:textId="77777777" w:rsidR="00841E96" w:rsidRDefault="00C14CC3" w:rsidP="00C14CC3">
      <w:pPr>
        <w:tabs>
          <w:tab w:val="left" w:pos="284"/>
          <w:tab w:val="left" w:pos="567"/>
        </w:tabs>
        <w:spacing w:line="360" w:lineRule="auto"/>
        <w:rPr>
          <w:rFonts w:cs="Arial"/>
          <w:szCs w:val="20"/>
        </w:rPr>
      </w:pPr>
      <w:r>
        <w:rPr>
          <w:rFonts w:cs="Arial"/>
          <w:szCs w:val="20"/>
        </w:rPr>
        <w:t xml:space="preserve">                                    </w:t>
      </w:r>
      <w:r>
        <w:rPr>
          <w:rFonts w:cs="Arial"/>
          <w:szCs w:val="20"/>
        </w:rPr>
        <w:tab/>
      </w:r>
      <w:r>
        <w:rPr>
          <w:rFonts w:cs="Arial"/>
          <w:szCs w:val="20"/>
        </w:rPr>
        <w:tab/>
      </w:r>
      <w:r>
        <w:rPr>
          <w:rFonts w:cs="Arial"/>
          <w:b/>
          <w:szCs w:val="20"/>
        </w:rPr>
        <w:t>Komisija</w:t>
      </w:r>
      <w:r>
        <w:rPr>
          <w:rFonts w:cs="Arial"/>
          <w:szCs w:val="20"/>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41E96" w14:paraId="665C4900" w14:textId="77777777" w:rsidTr="00841E96">
        <w:tc>
          <w:tcPr>
            <w:tcW w:w="4244" w:type="dxa"/>
          </w:tcPr>
          <w:p w14:paraId="68469EB9" w14:textId="77777777" w:rsidR="00841E96" w:rsidRDefault="00841E96" w:rsidP="00C14CC3">
            <w:pPr>
              <w:tabs>
                <w:tab w:val="left" w:pos="284"/>
                <w:tab w:val="left" w:pos="567"/>
              </w:tabs>
              <w:spacing w:line="360" w:lineRule="auto"/>
              <w:rPr>
                <w:rFonts w:cs="Arial"/>
                <w:szCs w:val="20"/>
              </w:rPr>
            </w:pPr>
          </w:p>
        </w:tc>
        <w:tc>
          <w:tcPr>
            <w:tcW w:w="4244" w:type="dxa"/>
          </w:tcPr>
          <w:p w14:paraId="1B5F8636" w14:textId="61CAA697" w:rsidR="00841E96" w:rsidRDefault="00841E96" w:rsidP="00C14CC3">
            <w:pPr>
              <w:tabs>
                <w:tab w:val="left" w:pos="284"/>
                <w:tab w:val="left" w:pos="567"/>
              </w:tabs>
              <w:spacing w:line="360" w:lineRule="auto"/>
              <w:rPr>
                <w:rFonts w:cs="Arial"/>
                <w:szCs w:val="20"/>
              </w:rPr>
            </w:pPr>
            <w:r>
              <w:rPr>
                <w:rFonts w:cs="Arial"/>
                <w:szCs w:val="20"/>
              </w:rPr>
              <w:t>mag. Jana Vidic, namestnica predsednice</w:t>
            </w:r>
          </w:p>
          <w:p w14:paraId="1C6F388C" w14:textId="77777777" w:rsidR="00841E96" w:rsidRDefault="00841E96" w:rsidP="00C14CC3">
            <w:pPr>
              <w:tabs>
                <w:tab w:val="left" w:pos="284"/>
                <w:tab w:val="left" w:pos="567"/>
              </w:tabs>
              <w:spacing w:line="360" w:lineRule="auto"/>
              <w:rPr>
                <w:rFonts w:cs="Arial"/>
                <w:szCs w:val="20"/>
              </w:rPr>
            </w:pPr>
            <w:r>
              <w:rPr>
                <w:rFonts w:cs="Arial"/>
                <w:szCs w:val="20"/>
              </w:rPr>
              <w:t>Janja Gregorin, članica</w:t>
            </w:r>
          </w:p>
          <w:p w14:paraId="78441165" w14:textId="060D863C" w:rsidR="00841E96" w:rsidRDefault="00841E96" w:rsidP="00C14CC3">
            <w:pPr>
              <w:tabs>
                <w:tab w:val="left" w:pos="284"/>
                <w:tab w:val="left" w:pos="567"/>
              </w:tabs>
              <w:spacing w:line="360" w:lineRule="auto"/>
              <w:rPr>
                <w:rFonts w:cs="Arial"/>
                <w:szCs w:val="20"/>
              </w:rPr>
            </w:pPr>
            <w:r>
              <w:rPr>
                <w:rFonts w:cs="Arial"/>
                <w:szCs w:val="20"/>
              </w:rPr>
              <w:t>mag. Suzana Zupanc Hrastar, članica</w:t>
            </w:r>
          </w:p>
        </w:tc>
      </w:tr>
    </w:tbl>
    <w:p w14:paraId="4E8CF271" w14:textId="18B114D4" w:rsidR="00C14CC3" w:rsidRDefault="00C14CC3" w:rsidP="00C14CC3">
      <w:pPr>
        <w:tabs>
          <w:tab w:val="left" w:pos="284"/>
          <w:tab w:val="left" w:pos="567"/>
        </w:tabs>
        <w:spacing w:line="360" w:lineRule="auto"/>
        <w:rPr>
          <w:rFonts w:cs="Arial"/>
          <w:szCs w:val="20"/>
        </w:rPr>
      </w:pPr>
      <w:r>
        <w:rPr>
          <w:rFonts w:cs="Arial"/>
          <w:szCs w:val="20"/>
        </w:rPr>
        <w:t xml:space="preserve">      </w:t>
      </w:r>
      <w:r>
        <w:rPr>
          <w:rFonts w:cs="Arial"/>
          <w:szCs w:val="20"/>
        </w:rPr>
        <w:tab/>
      </w:r>
      <w:r>
        <w:rPr>
          <w:rFonts w:cs="Arial"/>
          <w:szCs w:val="20"/>
        </w:rPr>
        <w:tab/>
      </w:r>
    </w:p>
    <w:p w14:paraId="75D11287" w14:textId="77777777" w:rsidR="00C14CC3" w:rsidRDefault="00C14CC3" w:rsidP="00C14CC3">
      <w:pPr>
        <w:spacing w:line="360" w:lineRule="auto"/>
        <w:ind w:left="7080"/>
        <w:rPr>
          <w:rFonts w:cs="Arial"/>
          <w:szCs w:val="20"/>
        </w:rPr>
      </w:pPr>
    </w:p>
    <w:p w14:paraId="21A29FB8" w14:textId="1474D9D0" w:rsidR="006E1548" w:rsidRPr="00C14CC3" w:rsidRDefault="006E1548" w:rsidP="00C14CC3"/>
    <w:sectPr w:rsidR="006E1548" w:rsidRPr="00C14CC3"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4359" w14:textId="77777777" w:rsidR="000E6851" w:rsidRDefault="000E6851">
      <w:r>
        <w:separator/>
      </w:r>
    </w:p>
  </w:endnote>
  <w:endnote w:type="continuationSeparator" w:id="0">
    <w:p w14:paraId="1FD372C7" w14:textId="77777777" w:rsidR="000E6851" w:rsidRDefault="000E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5C1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4252"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0CF8"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5A7C" w14:textId="77777777" w:rsidR="000E6851" w:rsidRDefault="000E6851">
      <w:r>
        <w:separator/>
      </w:r>
    </w:p>
  </w:footnote>
  <w:footnote w:type="continuationSeparator" w:id="0">
    <w:p w14:paraId="0ACC4355" w14:textId="77777777" w:rsidR="000E6851" w:rsidRDefault="000E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B59D"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2717"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72F1" w14:textId="77777777" w:rsidR="00805AA7" w:rsidRDefault="0080686A" w:rsidP="0080686A">
    <w:pPr>
      <w:autoSpaceDE w:val="0"/>
      <w:autoSpaceDN w:val="0"/>
      <w:adjustRightInd w:val="0"/>
      <w:spacing w:line="240" w:lineRule="auto"/>
      <w:rPr>
        <w:rFonts w:ascii="Republika" w:hAnsi="Republika"/>
      </w:rPr>
    </w:pPr>
    <w:r>
      <w:rPr>
        <w:noProof/>
      </w:rPr>
      <w:drawing>
        <wp:anchor distT="0" distB="0" distL="114300" distR="114300" simplePos="0" relativeHeight="251658752" behindDoc="1" locked="0" layoutInCell="1" allowOverlap="1" wp14:anchorId="589CD39D" wp14:editId="136F204E">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293703E3" wp14:editId="3E9CF41B">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AE79"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60AC5147" w14:textId="77777777" w:rsidR="0080686A" w:rsidRDefault="0080686A" w:rsidP="0080686A">
    <w:pPr>
      <w:pStyle w:val="Glava"/>
      <w:tabs>
        <w:tab w:val="clear" w:pos="4320"/>
        <w:tab w:val="left" w:pos="5112"/>
      </w:tabs>
      <w:spacing w:line="240" w:lineRule="exact"/>
      <w:rPr>
        <w:rFonts w:cs="Arial"/>
        <w:sz w:val="16"/>
      </w:rPr>
    </w:pPr>
  </w:p>
  <w:p w14:paraId="4DB706CE" w14:textId="77777777" w:rsidR="0080686A" w:rsidRDefault="0080686A" w:rsidP="0080686A">
    <w:pPr>
      <w:pStyle w:val="Glava"/>
      <w:tabs>
        <w:tab w:val="clear" w:pos="4320"/>
        <w:tab w:val="left" w:pos="5112"/>
      </w:tabs>
      <w:spacing w:line="240" w:lineRule="exact"/>
      <w:rPr>
        <w:rFonts w:cs="Arial"/>
        <w:sz w:val="16"/>
      </w:rPr>
    </w:pPr>
  </w:p>
  <w:p w14:paraId="018CE9E7" w14:textId="77777777" w:rsidR="00593FC6" w:rsidRDefault="00593FC6" w:rsidP="0080686A">
    <w:pPr>
      <w:pStyle w:val="Glava"/>
      <w:tabs>
        <w:tab w:val="clear" w:pos="4320"/>
        <w:tab w:val="left" w:pos="5112"/>
      </w:tabs>
      <w:spacing w:line="240" w:lineRule="exact"/>
      <w:rPr>
        <w:rFonts w:cs="Arial"/>
        <w:sz w:val="16"/>
      </w:rPr>
    </w:pPr>
    <w:r>
      <w:rPr>
        <w:rFonts w:cs="Arial"/>
        <w:sz w:val="16"/>
      </w:rPr>
      <w:t>Dunajska cesta 4</w:t>
    </w:r>
    <w:r w:rsidR="008D7188">
      <w:rPr>
        <w:rFonts w:cs="Arial"/>
        <w:sz w:val="16"/>
      </w:rPr>
      <w:t>8</w:t>
    </w:r>
    <w:r>
      <w:rPr>
        <w:rFonts w:cs="Arial"/>
        <w:sz w:val="16"/>
      </w:rPr>
      <w:t>, 1000 Ljubljana</w:t>
    </w:r>
    <w:r>
      <w:rPr>
        <w:rFonts w:cs="Arial"/>
        <w:sz w:val="16"/>
      </w:rPr>
      <w:tab/>
      <w:t>T: 01 478 7</w:t>
    </w:r>
    <w:r w:rsidR="008D7188">
      <w:rPr>
        <w:rFonts w:cs="Arial"/>
        <w:sz w:val="16"/>
      </w:rPr>
      <w:t>0</w:t>
    </w:r>
    <w:r>
      <w:rPr>
        <w:rFonts w:cs="Arial"/>
        <w:sz w:val="16"/>
      </w:rPr>
      <w:t xml:space="preserve"> 00</w:t>
    </w:r>
  </w:p>
  <w:p w14:paraId="15F5E6F6" w14:textId="77777777" w:rsidR="00593FC6" w:rsidRDefault="00593FC6" w:rsidP="00593FC6">
    <w:pPr>
      <w:pStyle w:val="Glava"/>
      <w:tabs>
        <w:tab w:val="clear" w:pos="4320"/>
        <w:tab w:val="left" w:pos="5112"/>
      </w:tabs>
      <w:spacing w:line="240" w:lineRule="exact"/>
      <w:rPr>
        <w:rFonts w:cs="Arial"/>
        <w:sz w:val="16"/>
      </w:rPr>
    </w:pPr>
    <w:r>
      <w:rPr>
        <w:rFonts w:cs="Arial"/>
        <w:sz w:val="16"/>
      </w:rPr>
      <w:tab/>
      <w:t xml:space="preserve">F: 01 478 74 25 </w:t>
    </w:r>
  </w:p>
  <w:p w14:paraId="15AA2D02" w14:textId="77777777" w:rsidR="00593FC6" w:rsidRDefault="00593FC6" w:rsidP="00593FC6">
    <w:pPr>
      <w:pStyle w:val="Glava"/>
      <w:tabs>
        <w:tab w:val="clear" w:pos="4320"/>
        <w:tab w:val="left" w:pos="5112"/>
      </w:tabs>
      <w:spacing w:line="240" w:lineRule="exact"/>
      <w:rPr>
        <w:rFonts w:cs="Arial"/>
        <w:sz w:val="16"/>
      </w:rPr>
    </w:pPr>
    <w:r>
      <w:rPr>
        <w:rFonts w:cs="Arial"/>
        <w:sz w:val="16"/>
      </w:rPr>
      <w:tab/>
      <w:t>E: gp.m</w:t>
    </w:r>
    <w:r w:rsidR="00A0060E">
      <w:rPr>
        <w:rFonts w:cs="Arial"/>
        <w:sz w:val="16"/>
      </w:rPr>
      <w:t>nvp</w:t>
    </w:r>
    <w:r>
      <w:rPr>
        <w:rFonts w:cs="Arial"/>
        <w:sz w:val="16"/>
      </w:rPr>
      <w:t>@gov.si</w:t>
    </w:r>
  </w:p>
  <w:p w14:paraId="3C8D6933" w14:textId="77777777" w:rsidR="00593FC6" w:rsidRDefault="00593FC6" w:rsidP="00593FC6">
    <w:pPr>
      <w:pStyle w:val="Glava"/>
      <w:tabs>
        <w:tab w:val="clear" w:pos="4320"/>
        <w:tab w:val="left" w:pos="5112"/>
      </w:tabs>
      <w:spacing w:line="240" w:lineRule="exact"/>
      <w:rPr>
        <w:rFonts w:cs="Arial"/>
        <w:sz w:val="16"/>
      </w:rPr>
    </w:pPr>
    <w:r>
      <w:rPr>
        <w:rFonts w:cs="Arial"/>
        <w:sz w:val="16"/>
      </w:rPr>
      <w:tab/>
      <w:t>www.m</w:t>
    </w:r>
    <w:r w:rsidR="00A0060E">
      <w:rPr>
        <w:rFonts w:cs="Arial"/>
        <w:sz w:val="16"/>
      </w:rPr>
      <w:t>nvp</w:t>
    </w:r>
    <w:r>
      <w:rPr>
        <w:rFonts w:cs="Arial"/>
        <w:sz w:val="16"/>
      </w:rPr>
      <w:t>.gov.si</w:t>
    </w:r>
  </w:p>
  <w:p w14:paraId="1809A5F4" w14:textId="77777777" w:rsidR="00805AA7" w:rsidRPr="008F3500" w:rsidRDefault="00805AA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1C51D0"/>
    <w:multiLevelType w:val="hybridMultilevel"/>
    <w:tmpl w:val="E08298A6"/>
    <w:lvl w:ilvl="0" w:tplc="2E1659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EA506F"/>
    <w:multiLevelType w:val="hybridMultilevel"/>
    <w:tmpl w:val="698CB618"/>
    <w:lvl w:ilvl="0" w:tplc="41B89E3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DF859C9"/>
    <w:multiLevelType w:val="hybridMultilevel"/>
    <w:tmpl w:val="0E74F4A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4909610">
    <w:abstractNumId w:val="6"/>
  </w:num>
  <w:num w:numId="2" w16cid:durableId="373889666">
    <w:abstractNumId w:val="3"/>
  </w:num>
  <w:num w:numId="3" w16cid:durableId="1549994874">
    <w:abstractNumId w:val="5"/>
  </w:num>
  <w:num w:numId="4" w16cid:durableId="1287278138">
    <w:abstractNumId w:val="0"/>
  </w:num>
  <w:num w:numId="5" w16cid:durableId="204412691">
    <w:abstractNumId w:val="1"/>
  </w:num>
  <w:num w:numId="6" w16cid:durableId="944388733">
    <w:abstractNumId w:val="7"/>
  </w:num>
  <w:num w:numId="7" w16cid:durableId="1525166664">
    <w:abstractNumId w:val="4"/>
  </w:num>
  <w:num w:numId="8" w16cid:durableId="741219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wNTUzNLU0MbMwNjdU0lEKTi0uzszPAykwNK4FAFNYU6stAAAA"/>
  </w:docVars>
  <w:rsids>
    <w:rsidRoot w:val="000A0F13"/>
    <w:rsid w:val="0001550E"/>
    <w:rsid w:val="00023A88"/>
    <w:rsid w:val="00027744"/>
    <w:rsid w:val="000414E2"/>
    <w:rsid w:val="00043F68"/>
    <w:rsid w:val="0004659B"/>
    <w:rsid w:val="000523EF"/>
    <w:rsid w:val="00065341"/>
    <w:rsid w:val="0008549A"/>
    <w:rsid w:val="00097B3D"/>
    <w:rsid w:val="000A0F13"/>
    <w:rsid w:val="000A5663"/>
    <w:rsid w:val="000A7238"/>
    <w:rsid w:val="000C220D"/>
    <w:rsid w:val="000D04D7"/>
    <w:rsid w:val="000D0DB0"/>
    <w:rsid w:val="000E1264"/>
    <w:rsid w:val="000E6851"/>
    <w:rsid w:val="000F68F7"/>
    <w:rsid w:val="00111253"/>
    <w:rsid w:val="00130C42"/>
    <w:rsid w:val="001357B2"/>
    <w:rsid w:val="001438EB"/>
    <w:rsid w:val="001531AB"/>
    <w:rsid w:val="00155A15"/>
    <w:rsid w:val="00164BE3"/>
    <w:rsid w:val="00182907"/>
    <w:rsid w:val="001C59F7"/>
    <w:rsid w:val="001D13BE"/>
    <w:rsid w:val="001D263A"/>
    <w:rsid w:val="00202A77"/>
    <w:rsid w:val="00271CE5"/>
    <w:rsid w:val="00280DAB"/>
    <w:rsid w:val="00282020"/>
    <w:rsid w:val="002B2979"/>
    <w:rsid w:val="002B7A82"/>
    <w:rsid w:val="002D1010"/>
    <w:rsid w:val="002F6DF5"/>
    <w:rsid w:val="002F7E17"/>
    <w:rsid w:val="00300324"/>
    <w:rsid w:val="003138CE"/>
    <w:rsid w:val="003506A9"/>
    <w:rsid w:val="003636BF"/>
    <w:rsid w:val="0037479F"/>
    <w:rsid w:val="00381C4F"/>
    <w:rsid w:val="00382D4C"/>
    <w:rsid w:val="003845B4"/>
    <w:rsid w:val="00386A50"/>
    <w:rsid w:val="00387B1A"/>
    <w:rsid w:val="0039138E"/>
    <w:rsid w:val="003A619B"/>
    <w:rsid w:val="003C66C8"/>
    <w:rsid w:val="003C6C99"/>
    <w:rsid w:val="003E1C74"/>
    <w:rsid w:val="003F7521"/>
    <w:rsid w:val="00420CCC"/>
    <w:rsid w:val="004238BD"/>
    <w:rsid w:val="00442DE2"/>
    <w:rsid w:val="00446386"/>
    <w:rsid w:val="00467F29"/>
    <w:rsid w:val="0048055B"/>
    <w:rsid w:val="004A28CE"/>
    <w:rsid w:val="004B3DD7"/>
    <w:rsid w:val="004C7E17"/>
    <w:rsid w:val="004E5A31"/>
    <w:rsid w:val="004F3CCC"/>
    <w:rsid w:val="00502A26"/>
    <w:rsid w:val="00526246"/>
    <w:rsid w:val="005644BC"/>
    <w:rsid w:val="00567106"/>
    <w:rsid w:val="005762BD"/>
    <w:rsid w:val="00593FC6"/>
    <w:rsid w:val="005A07E9"/>
    <w:rsid w:val="005E1D3C"/>
    <w:rsid w:val="005E6108"/>
    <w:rsid w:val="00613A7C"/>
    <w:rsid w:val="0062057D"/>
    <w:rsid w:val="00632253"/>
    <w:rsid w:val="00642714"/>
    <w:rsid w:val="006455CE"/>
    <w:rsid w:val="00665721"/>
    <w:rsid w:val="00675A97"/>
    <w:rsid w:val="00677197"/>
    <w:rsid w:val="006861C4"/>
    <w:rsid w:val="00690CE9"/>
    <w:rsid w:val="006C2F3D"/>
    <w:rsid w:val="006D42D9"/>
    <w:rsid w:val="006E1548"/>
    <w:rsid w:val="006E6D17"/>
    <w:rsid w:val="006E6D9F"/>
    <w:rsid w:val="00707289"/>
    <w:rsid w:val="00715FA6"/>
    <w:rsid w:val="00731E08"/>
    <w:rsid w:val="00733017"/>
    <w:rsid w:val="00742284"/>
    <w:rsid w:val="00783310"/>
    <w:rsid w:val="007A4A6D"/>
    <w:rsid w:val="007D1BCF"/>
    <w:rsid w:val="007D2AEC"/>
    <w:rsid w:val="007D75CF"/>
    <w:rsid w:val="007E6DC5"/>
    <w:rsid w:val="00805AA7"/>
    <w:rsid w:val="0080686A"/>
    <w:rsid w:val="00812B5A"/>
    <w:rsid w:val="0082097B"/>
    <w:rsid w:val="008312D3"/>
    <w:rsid w:val="00841E96"/>
    <w:rsid w:val="00857759"/>
    <w:rsid w:val="00857834"/>
    <w:rsid w:val="0086793D"/>
    <w:rsid w:val="00874F25"/>
    <w:rsid w:val="0088043C"/>
    <w:rsid w:val="00887050"/>
    <w:rsid w:val="008906C9"/>
    <w:rsid w:val="00891FCB"/>
    <w:rsid w:val="008A37E0"/>
    <w:rsid w:val="008A7ECA"/>
    <w:rsid w:val="008B3FE1"/>
    <w:rsid w:val="008C5738"/>
    <w:rsid w:val="008D04F0"/>
    <w:rsid w:val="008D7188"/>
    <w:rsid w:val="008E02BF"/>
    <w:rsid w:val="008F3500"/>
    <w:rsid w:val="00924E3C"/>
    <w:rsid w:val="00927E0A"/>
    <w:rsid w:val="00944315"/>
    <w:rsid w:val="009607A8"/>
    <w:rsid w:val="009612BB"/>
    <w:rsid w:val="0098589B"/>
    <w:rsid w:val="00994953"/>
    <w:rsid w:val="009A20ED"/>
    <w:rsid w:val="009A2EBE"/>
    <w:rsid w:val="009B706D"/>
    <w:rsid w:val="00A0060E"/>
    <w:rsid w:val="00A125C5"/>
    <w:rsid w:val="00A30943"/>
    <w:rsid w:val="00A30E31"/>
    <w:rsid w:val="00A5039D"/>
    <w:rsid w:val="00A65EE7"/>
    <w:rsid w:val="00A70133"/>
    <w:rsid w:val="00A72269"/>
    <w:rsid w:val="00AC2465"/>
    <w:rsid w:val="00AE1F31"/>
    <w:rsid w:val="00AE4DEF"/>
    <w:rsid w:val="00B17141"/>
    <w:rsid w:val="00B20536"/>
    <w:rsid w:val="00B24DD1"/>
    <w:rsid w:val="00B31575"/>
    <w:rsid w:val="00B66CA1"/>
    <w:rsid w:val="00B8547D"/>
    <w:rsid w:val="00B95595"/>
    <w:rsid w:val="00BA5D34"/>
    <w:rsid w:val="00BC4E24"/>
    <w:rsid w:val="00BD18D5"/>
    <w:rsid w:val="00BE3297"/>
    <w:rsid w:val="00BE6745"/>
    <w:rsid w:val="00C00FDC"/>
    <w:rsid w:val="00C02DD1"/>
    <w:rsid w:val="00C14CC3"/>
    <w:rsid w:val="00C22796"/>
    <w:rsid w:val="00C250D5"/>
    <w:rsid w:val="00C30BAF"/>
    <w:rsid w:val="00C33533"/>
    <w:rsid w:val="00C44A73"/>
    <w:rsid w:val="00C63643"/>
    <w:rsid w:val="00C719F1"/>
    <w:rsid w:val="00C92898"/>
    <w:rsid w:val="00CC5BE7"/>
    <w:rsid w:val="00CC6531"/>
    <w:rsid w:val="00CD0910"/>
    <w:rsid w:val="00CD1EC7"/>
    <w:rsid w:val="00CE7514"/>
    <w:rsid w:val="00D01EA6"/>
    <w:rsid w:val="00D248DE"/>
    <w:rsid w:val="00D36AC0"/>
    <w:rsid w:val="00D478FE"/>
    <w:rsid w:val="00D65AC8"/>
    <w:rsid w:val="00D71EEC"/>
    <w:rsid w:val="00D8542D"/>
    <w:rsid w:val="00D870FC"/>
    <w:rsid w:val="00D92806"/>
    <w:rsid w:val="00DC6A71"/>
    <w:rsid w:val="00DE5B46"/>
    <w:rsid w:val="00DF3C83"/>
    <w:rsid w:val="00E0357D"/>
    <w:rsid w:val="00E04169"/>
    <w:rsid w:val="00E24EC2"/>
    <w:rsid w:val="00E25306"/>
    <w:rsid w:val="00E366A2"/>
    <w:rsid w:val="00E45B17"/>
    <w:rsid w:val="00E65A1A"/>
    <w:rsid w:val="00E7593A"/>
    <w:rsid w:val="00E91D66"/>
    <w:rsid w:val="00E96041"/>
    <w:rsid w:val="00EA77B5"/>
    <w:rsid w:val="00EB0368"/>
    <w:rsid w:val="00EB2E02"/>
    <w:rsid w:val="00F052D4"/>
    <w:rsid w:val="00F23209"/>
    <w:rsid w:val="00F240BB"/>
    <w:rsid w:val="00F25603"/>
    <w:rsid w:val="00F41650"/>
    <w:rsid w:val="00F46724"/>
    <w:rsid w:val="00F57FED"/>
    <w:rsid w:val="00F603AC"/>
    <w:rsid w:val="00F84DDB"/>
    <w:rsid w:val="00FE30A6"/>
    <w:rsid w:val="00FF54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0A7DB6"/>
  <w15:chartTrackingRefBased/>
  <w15:docId w15:val="{513D15AC-84CB-41ED-9D38-BF5F1250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4CC3"/>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5644BC"/>
    <w:pPr>
      <w:keepNext/>
      <w:spacing w:before="240" w:after="60"/>
      <w:jc w:val="center"/>
      <w:outlineLvl w:val="0"/>
    </w:pPr>
    <w:rPr>
      <w:b/>
      <w:kern w:val="32"/>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uiPriority w:val="34"/>
    <w:qFormat/>
    <w:rsid w:val="00A30E31"/>
    <w:pPr>
      <w:ind w:left="720"/>
      <w:contextualSpacing/>
    </w:pPr>
  </w:style>
  <w:style w:type="character" w:styleId="Nerazreenaomemba">
    <w:name w:val="Unresolved Mention"/>
    <w:basedOn w:val="Privzetapisavaodstavka"/>
    <w:uiPriority w:val="99"/>
    <w:semiHidden/>
    <w:unhideWhenUsed/>
    <w:rsid w:val="0086793D"/>
    <w:rPr>
      <w:color w:val="605E5C"/>
      <w:shd w:val="clear" w:color="auto" w:fill="E1DFDD"/>
    </w:rPr>
  </w:style>
  <w:style w:type="paragraph" w:styleId="Revizija">
    <w:name w:val="Revision"/>
    <w:hidden/>
    <w:uiPriority w:val="99"/>
    <w:semiHidden/>
    <w:rsid w:val="00665721"/>
    <w:rPr>
      <w:rFonts w:ascii="Arial" w:hAnsi="Arial"/>
      <w:szCs w:val="24"/>
      <w:lang w:eastAsia="en-US"/>
    </w:rPr>
  </w:style>
  <w:style w:type="character" w:customStyle="1" w:styleId="Naslov1Znak">
    <w:name w:val="Naslov 1 Znak"/>
    <w:aliases w:val="NASLOV Znak"/>
    <w:basedOn w:val="Privzetapisavaodstavka"/>
    <w:link w:val="Naslov1"/>
    <w:rsid w:val="005644BC"/>
    <w:rPr>
      <w:rFonts w:ascii="Arial" w:hAnsi="Arial"/>
      <w:b/>
      <w:kern w:val="32"/>
      <w:sz w:val="28"/>
      <w:szCs w:val="28"/>
    </w:rPr>
  </w:style>
  <w:style w:type="paragraph" w:styleId="Telobesedila">
    <w:name w:val="Body Text"/>
    <w:basedOn w:val="Navaden"/>
    <w:link w:val="TelobesedilaZnak"/>
    <w:unhideWhenUsed/>
    <w:rsid w:val="00C14CC3"/>
    <w:pPr>
      <w:suppressAutoHyphens/>
      <w:spacing w:after="120" w:line="240" w:lineRule="auto"/>
    </w:pPr>
    <w:rPr>
      <w:rFonts w:ascii="Times New Roman" w:hAnsi="Times New Roman"/>
      <w:sz w:val="22"/>
      <w:lang w:eastAsia="ar-SA"/>
    </w:rPr>
  </w:style>
  <w:style w:type="character" w:customStyle="1" w:styleId="TelobesedilaZnak">
    <w:name w:val="Telo besedila Znak"/>
    <w:basedOn w:val="Privzetapisavaodstavka"/>
    <w:link w:val="Telobesedila"/>
    <w:rsid w:val="00C14CC3"/>
    <w:rPr>
      <w:sz w:val="22"/>
      <w:szCs w:val="24"/>
      <w:lang w:eastAsia="ar-SA"/>
    </w:rPr>
  </w:style>
  <w:style w:type="character" w:styleId="Pripombasklic">
    <w:name w:val="annotation reference"/>
    <w:basedOn w:val="Privzetapisavaodstavka"/>
    <w:rsid w:val="00182907"/>
    <w:rPr>
      <w:sz w:val="16"/>
      <w:szCs w:val="16"/>
    </w:rPr>
  </w:style>
  <w:style w:type="paragraph" w:styleId="Pripombabesedilo">
    <w:name w:val="annotation text"/>
    <w:basedOn w:val="Navaden"/>
    <w:link w:val="PripombabesediloZnak"/>
    <w:rsid w:val="00182907"/>
    <w:pPr>
      <w:spacing w:line="240" w:lineRule="auto"/>
    </w:pPr>
    <w:rPr>
      <w:szCs w:val="20"/>
    </w:rPr>
  </w:style>
  <w:style w:type="character" w:customStyle="1" w:styleId="PripombabesediloZnak">
    <w:name w:val="Pripomba – besedilo Znak"/>
    <w:basedOn w:val="Privzetapisavaodstavka"/>
    <w:link w:val="Pripombabesedilo"/>
    <w:rsid w:val="00182907"/>
    <w:rPr>
      <w:rFonts w:ascii="Arial" w:hAnsi="Arial"/>
      <w:lang w:eastAsia="en-US"/>
    </w:rPr>
  </w:style>
  <w:style w:type="paragraph" w:styleId="Zadevapripombe">
    <w:name w:val="annotation subject"/>
    <w:basedOn w:val="Pripombabesedilo"/>
    <w:next w:val="Pripombabesedilo"/>
    <w:link w:val="ZadevapripombeZnak"/>
    <w:rsid w:val="00182907"/>
    <w:rPr>
      <w:b/>
      <w:bCs/>
    </w:rPr>
  </w:style>
  <w:style w:type="character" w:customStyle="1" w:styleId="ZadevapripombeZnak">
    <w:name w:val="Zadeva pripombe Znak"/>
    <w:basedOn w:val="PripombabesediloZnak"/>
    <w:link w:val="Zadevapripombe"/>
    <w:rsid w:val="00182907"/>
    <w:rPr>
      <w:rFonts w:ascii="Arial" w:hAnsi="Arial"/>
      <w:b/>
      <w:bCs/>
      <w:lang w:eastAsia="en-US"/>
    </w:rPr>
  </w:style>
  <w:style w:type="paragraph" w:styleId="Brezrazmikov">
    <w:name w:val="No Spacing"/>
    <w:uiPriority w:val="1"/>
    <w:qFormat/>
    <w:rsid w:val="00874F2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022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HladnikJ26\D%20disk\Dokumenti\TNP\vintgar\2024\Odg%20IJZ%20Vintgar-Sklep%2020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Odg IJZ Vintgar-Sklep 2023</Template>
  <TotalTime>168</TotalTime>
  <Pages>3</Pages>
  <Words>1035</Words>
  <Characters>5903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MNVP</dc:creator>
  <cp:keywords/>
  <cp:lastModifiedBy>Janja Gregorin</cp:lastModifiedBy>
  <cp:revision>42</cp:revision>
  <cp:lastPrinted>2010-07-05T09:38:00Z</cp:lastPrinted>
  <dcterms:created xsi:type="dcterms:W3CDTF">2024-09-05T09:09:00Z</dcterms:created>
  <dcterms:modified xsi:type="dcterms:W3CDTF">2025-01-27T07:18:00Z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y fmtid="{D5CDD505-2E9C-101B-9397-08002B2CF9AE}" pid="3" name="GrammarlyDocumentId">
    <vt:lpwstr>90131bd2b872830a790feec956ac51a703e7e157253631211526a1c4c66389b4</vt:lpwstr>
  </property>
</Properties>
</file>