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E" w:rsidRDefault="00943B12">
      <w:pPr>
        <w:spacing w:after="783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B70DE" w:rsidRDefault="00943B12">
      <w:pPr>
        <w:spacing w:after="0" w:line="259" w:lineRule="auto"/>
        <w:ind w:left="15" w:firstLine="0"/>
        <w:jc w:val="left"/>
      </w:pPr>
      <w:r>
        <w:rPr>
          <w:noProof/>
        </w:rPr>
        <w:drawing>
          <wp:inline distT="0" distB="0" distL="0" distR="0">
            <wp:extent cx="1572201" cy="771243"/>
            <wp:effectExtent l="0" t="0" r="0" b="0"/>
            <wp:docPr id="15" name="Picture 15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01" cy="77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EUROPEAN</w:t>
      </w:r>
      <w:r>
        <w:rPr>
          <w:rFonts w:ascii="Arial" w:eastAsia="Arial" w:hAnsi="Arial" w:cs="Arial"/>
        </w:rPr>
        <w:t xml:space="preserve"> </w:t>
      </w:r>
    </w:p>
    <w:p w:rsidR="00DB70DE" w:rsidRDefault="00943B12">
      <w:pPr>
        <w:tabs>
          <w:tab w:val="center" w:pos="3316"/>
          <w:tab w:val="center" w:pos="8898"/>
        </w:tabs>
        <w:spacing w:after="10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COMMISSION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DB70DE" w:rsidRDefault="00943B12">
      <w:pPr>
        <w:spacing w:after="0" w:line="265" w:lineRule="auto"/>
        <w:jc w:val="center"/>
      </w:pPr>
      <w:proofErr w:type="spellStart"/>
      <w:r>
        <w:t>Brussels</w:t>
      </w:r>
      <w:proofErr w:type="spellEnd"/>
      <w:r>
        <w:t xml:space="preserve">, 12.12.2018  </w:t>
      </w:r>
    </w:p>
    <w:p w:rsidR="00DB70DE" w:rsidRDefault="00943B12">
      <w:pPr>
        <w:spacing w:after="519" w:line="265" w:lineRule="auto"/>
        <w:ind w:right="172"/>
        <w:jc w:val="center"/>
      </w:pPr>
      <w:r>
        <w:t xml:space="preserve">C(2018) 8364 </w:t>
      </w:r>
      <w:proofErr w:type="spellStart"/>
      <w:r>
        <w:t>final</w:t>
      </w:r>
      <w:proofErr w:type="spellEnd"/>
      <w:r>
        <w:t xml:space="preserve"> </w:t>
      </w:r>
    </w:p>
    <w:p w:rsidR="00DB70DE" w:rsidRDefault="00943B12">
      <w:pPr>
        <w:spacing w:after="496" w:line="259" w:lineRule="auto"/>
        <w:ind w:left="1138" w:firstLine="0"/>
        <w:jc w:val="center"/>
      </w:pPr>
      <w:r>
        <w:rPr>
          <w:i/>
          <w:sz w:val="32"/>
        </w:rPr>
        <w:t xml:space="preserve"> </w:t>
      </w:r>
    </w:p>
    <w:p w:rsidR="00DB70DE" w:rsidRDefault="00943B12">
      <w:pPr>
        <w:spacing w:after="333" w:line="259" w:lineRule="auto"/>
        <w:ind w:left="10" w:right="68"/>
        <w:jc w:val="center"/>
      </w:pPr>
      <w:r>
        <w:rPr>
          <w:b/>
        </w:rPr>
        <w:t xml:space="preserve">COMMISSION IMPLEMENTING DECISION </w:t>
      </w:r>
    </w:p>
    <w:p w:rsidR="00DB70DE" w:rsidRDefault="00943B12">
      <w:pPr>
        <w:spacing w:after="333" w:line="259" w:lineRule="auto"/>
        <w:ind w:left="10" w:right="61"/>
        <w:jc w:val="center"/>
      </w:pPr>
      <w:proofErr w:type="spellStart"/>
      <w:r>
        <w:rPr>
          <w:b/>
        </w:rPr>
        <w:t>of</w:t>
      </w:r>
      <w:proofErr w:type="spellEnd"/>
      <w:r>
        <w:rPr>
          <w:b/>
        </w:rPr>
        <w:t xml:space="preserve"> 12.12.2018 </w:t>
      </w:r>
    </w:p>
    <w:p w:rsidR="00DB70DE" w:rsidRDefault="00943B12">
      <w:pPr>
        <w:spacing w:after="0" w:line="259" w:lineRule="auto"/>
        <w:ind w:left="10" w:right="69"/>
        <w:jc w:val="center"/>
      </w:pPr>
      <w:proofErr w:type="spellStart"/>
      <w:r>
        <w:rPr>
          <w:b/>
        </w:rPr>
        <w:t>amending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C(2015)5126</w:t>
      </w:r>
      <w:r>
        <w:rPr>
          <w:b/>
          <w:i/>
        </w:rPr>
        <w:t xml:space="preserve"> </w:t>
      </w:r>
      <w:proofErr w:type="spellStart"/>
      <w:r>
        <w:rPr>
          <w:b/>
        </w:rPr>
        <w:t>approving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</w:p>
    <w:p w:rsidR="00DB70DE" w:rsidRDefault="00943B12">
      <w:pPr>
        <w:spacing w:after="691" w:line="265" w:lineRule="auto"/>
        <w:ind w:left="124"/>
        <w:jc w:val="left"/>
      </w:pPr>
      <w:proofErr w:type="spellStart"/>
      <w:r>
        <w:rPr>
          <w:b/>
        </w:rPr>
        <w:t>Slovenia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Fund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period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2014 to 2020 </w:t>
      </w:r>
    </w:p>
    <w:p w:rsidR="00DB70DE" w:rsidRDefault="00943B12">
      <w:pPr>
        <w:tabs>
          <w:tab w:val="center" w:pos="4504"/>
          <w:tab w:val="center" w:pos="9012"/>
        </w:tabs>
        <w:spacing w:after="7330" w:line="23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(ONLY THE SLOVENIAN TEXT IS AUTHENTIC) </w:t>
      </w:r>
      <w:r>
        <w:tab/>
        <w:t xml:space="preserve"> </w:t>
      </w:r>
    </w:p>
    <w:p w:rsidR="00DB70DE" w:rsidRDefault="00943B12">
      <w:pPr>
        <w:spacing w:after="0" w:line="259" w:lineRule="auto"/>
        <w:ind w:left="132" w:firstLine="0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:rsidR="00DB70DE" w:rsidRDefault="00943B12">
      <w:pPr>
        <w:spacing w:after="333" w:line="259" w:lineRule="auto"/>
        <w:ind w:left="10" w:right="7"/>
        <w:jc w:val="center"/>
      </w:pPr>
      <w:r>
        <w:rPr>
          <w:b/>
        </w:rPr>
        <w:t xml:space="preserve">COMMISSION IMPLEMENTING DECISION </w:t>
      </w:r>
    </w:p>
    <w:p w:rsidR="00DB70DE" w:rsidRDefault="00943B12">
      <w:pPr>
        <w:spacing w:after="333" w:line="259" w:lineRule="auto"/>
        <w:ind w:left="10"/>
        <w:jc w:val="center"/>
      </w:pPr>
      <w:proofErr w:type="spellStart"/>
      <w:r>
        <w:rPr>
          <w:b/>
        </w:rPr>
        <w:t>of</w:t>
      </w:r>
      <w:proofErr w:type="spellEnd"/>
      <w:r>
        <w:rPr>
          <w:b/>
        </w:rPr>
        <w:t xml:space="preserve"> 12.12.2018 </w:t>
      </w:r>
    </w:p>
    <w:p w:rsidR="00DB70DE" w:rsidRDefault="00943B12">
      <w:pPr>
        <w:spacing w:after="0" w:line="259" w:lineRule="auto"/>
        <w:ind w:left="10" w:right="9"/>
        <w:jc w:val="center"/>
      </w:pPr>
      <w:proofErr w:type="spellStart"/>
      <w:r>
        <w:rPr>
          <w:b/>
        </w:rPr>
        <w:t>amending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C(2015)5126</w:t>
      </w:r>
      <w:r>
        <w:rPr>
          <w:b/>
          <w:i/>
        </w:rPr>
        <w:t xml:space="preserve"> </w:t>
      </w:r>
      <w:proofErr w:type="spellStart"/>
      <w:r>
        <w:rPr>
          <w:b/>
        </w:rPr>
        <w:t>approving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>
        <w:rPr>
          <w:b/>
        </w:rPr>
        <w:t>f</w:t>
      </w:r>
      <w:proofErr w:type="spellEnd"/>
      <w:r>
        <w:rPr>
          <w:b/>
        </w:rPr>
        <w:t xml:space="preserve"> </w:t>
      </w:r>
    </w:p>
    <w:p w:rsidR="00DB70DE" w:rsidRDefault="00943B12">
      <w:pPr>
        <w:spacing w:after="325" w:line="265" w:lineRule="auto"/>
        <w:ind w:left="124"/>
        <w:jc w:val="left"/>
      </w:pPr>
      <w:proofErr w:type="spellStart"/>
      <w:r>
        <w:rPr>
          <w:b/>
        </w:rPr>
        <w:t>Slovenia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Fund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period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2014 to 2020 </w:t>
      </w:r>
    </w:p>
    <w:p w:rsidR="00DB70DE" w:rsidRDefault="00943B12">
      <w:pPr>
        <w:spacing w:after="570" w:line="265" w:lineRule="auto"/>
        <w:ind w:left="10" w:right="8"/>
        <w:jc w:val="center"/>
      </w:pPr>
      <w:r>
        <w:t xml:space="preserve">(ONLY THE SLOVENIAN TEXT IS AUTHENTIC) </w:t>
      </w:r>
    </w:p>
    <w:p w:rsidR="00DB70DE" w:rsidRDefault="00943B12">
      <w:pPr>
        <w:ind w:left="-5"/>
      </w:pPr>
      <w:r>
        <w:t xml:space="preserve">THE EUROPEAN COMMISSION, </w:t>
      </w:r>
    </w:p>
    <w:p w:rsidR="00DB70DE" w:rsidRDefault="00943B12">
      <w:pPr>
        <w:ind w:left="-5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Union, </w:t>
      </w:r>
    </w:p>
    <w:p w:rsidR="00DB70DE" w:rsidRDefault="00943B12">
      <w:pPr>
        <w:spacing w:after="137"/>
        <w:ind w:left="-5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Regulation</w:t>
      </w:r>
      <w:proofErr w:type="spellEnd"/>
      <w:r>
        <w:t xml:space="preserve"> (</w:t>
      </w:r>
      <w:r>
        <w:t xml:space="preserve">EU) No 515/2014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16 April 2014, </w:t>
      </w:r>
      <w:proofErr w:type="spellStart"/>
      <w:r>
        <w:t>establishing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Fund, </w:t>
      </w:r>
      <w:proofErr w:type="spellStart"/>
      <w:r>
        <w:t>the</w:t>
      </w:r>
      <w:proofErr w:type="spellEnd"/>
      <w:r>
        <w:t xml:space="preserve"> instrument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No 574/2007/EC</w:t>
      </w:r>
      <w:r>
        <w:rPr>
          <w:vertAlign w:val="superscript"/>
        </w:rPr>
        <w:footnoteReference w:id="1"/>
      </w:r>
      <w:r>
        <w:t xml:space="preserve">, </w:t>
      </w:r>
    </w:p>
    <w:p w:rsidR="00DB70DE" w:rsidRDefault="00943B12">
      <w:pPr>
        <w:ind w:left="-5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Regulation</w:t>
      </w:r>
      <w:proofErr w:type="spellEnd"/>
      <w:r>
        <w:t xml:space="preserve"> (EU) No 514/2014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16 April 2014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general </w:t>
      </w:r>
      <w:proofErr w:type="spellStart"/>
      <w:r>
        <w:t>provisions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Asylum</w:t>
      </w:r>
      <w:proofErr w:type="spellEnd"/>
      <w:r>
        <w:t xml:space="preserve">,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Fund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instrument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police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pre</w:t>
      </w:r>
      <w:r>
        <w:t>venting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combating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management</w:t>
      </w:r>
      <w:r>
        <w:rPr>
          <w:vertAlign w:val="superscript"/>
        </w:rPr>
        <w:footnoteReference w:id="2"/>
      </w:r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14(9) </w:t>
      </w:r>
    </w:p>
    <w:p w:rsidR="00DB70DE" w:rsidRDefault="00943B12">
      <w:pPr>
        <w:ind w:left="-5"/>
      </w:pPr>
      <w:proofErr w:type="spellStart"/>
      <w:r>
        <w:t>thereof</w:t>
      </w:r>
      <w:proofErr w:type="spellEnd"/>
      <w:r>
        <w:t xml:space="preserve">, </w:t>
      </w:r>
    </w:p>
    <w:p w:rsidR="00DB70DE" w:rsidRDefault="00943B12">
      <w:pPr>
        <w:ind w:left="-5"/>
      </w:pPr>
      <w:proofErr w:type="spellStart"/>
      <w:r>
        <w:t>Whereas</w:t>
      </w:r>
      <w:proofErr w:type="spellEnd"/>
      <w:r>
        <w:t xml:space="preserve">: </w:t>
      </w:r>
    </w:p>
    <w:p w:rsidR="00DB70DE" w:rsidRDefault="00943B12">
      <w:pPr>
        <w:numPr>
          <w:ilvl w:val="0"/>
          <w:numId w:val="1"/>
        </w:numPr>
        <w:ind w:hanging="708"/>
      </w:pPr>
      <w:proofErr w:type="spellStart"/>
      <w:r>
        <w:t>Commission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C(2015)5126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Fund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from</w:t>
      </w:r>
      <w:proofErr w:type="spellEnd"/>
      <w:r>
        <w:t xml:space="preserve"> 2014 to 2020 </w:t>
      </w:r>
      <w:proofErr w:type="spellStart"/>
      <w:r>
        <w:t>submitted</w:t>
      </w:r>
      <w:proofErr w:type="spellEnd"/>
      <w:r>
        <w:t xml:space="preserve"> on 23 </w:t>
      </w:r>
      <w:proofErr w:type="spellStart"/>
      <w:r>
        <w:t>June</w:t>
      </w:r>
      <w:proofErr w:type="spellEnd"/>
      <w:r>
        <w:t xml:space="preserve"> 2015 </w:t>
      </w:r>
      <w:proofErr w:type="spellStart"/>
      <w:r>
        <w:t>and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Fund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</w:t>
      </w:r>
      <w:r>
        <w:t>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</w:t>
      </w:r>
    </w:p>
    <w:p w:rsidR="00DB70DE" w:rsidRDefault="00943B12">
      <w:pPr>
        <w:numPr>
          <w:ilvl w:val="0"/>
          <w:numId w:val="1"/>
        </w:numPr>
        <w:ind w:hanging="708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64 (1) </w:t>
      </w:r>
      <w:proofErr w:type="spellStart"/>
      <w:r>
        <w:t>and</w:t>
      </w:r>
      <w:proofErr w:type="spellEnd"/>
      <w:r>
        <w:t xml:space="preserve"> (2)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2017/2226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rPr>
          <w:vertAlign w:val="superscript"/>
        </w:rPr>
        <w:footnoteReference w:id="3"/>
      </w:r>
      <w:r>
        <w:t xml:space="preserve">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Entry-Exit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(EES),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Schengen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Countrie</w:t>
      </w:r>
      <w:r>
        <w:t>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Uniform </w:t>
      </w:r>
      <w:proofErr w:type="spellStart"/>
      <w:r>
        <w:t>Interface</w:t>
      </w:r>
      <w:proofErr w:type="spellEnd"/>
      <w:r>
        <w:t xml:space="preserve"> (NUI),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NUI,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NUI, </w:t>
      </w:r>
      <w:proofErr w:type="spellStart"/>
      <w:r>
        <w:t>shall</w:t>
      </w:r>
      <w:proofErr w:type="spellEnd"/>
      <w:r>
        <w:t xml:space="preserve"> be borne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</w:t>
      </w:r>
      <w:r>
        <w:t xml:space="preserve">nion. </w:t>
      </w:r>
    </w:p>
    <w:p w:rsidR="00DB70DE" w:rsidRDefault="00943B12">
      <w:pPr>
        <w:numPr>
          <w:ilvl w:val="0"/>
          <w:numId w:val="1"/>
        </w:numPr>
        <w:spacing w:after="10"/>
        <w:ind w:hanging="708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2018/1728</w:t>
      </w:r>
      <w:r>
        <w:rPr>
          <w:vertAlign w:val="superscript"/>
        </w:rPr>
        <w:footnoteReference w:id="4"/>
      </w:r>
      <w:r>
        <w:t xml:space="preserve">, EUR 192 378 000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Schengen </w:t>
      </w:r>
    </w:p>
    <w:p w:rsidR="00DB70DE" w:rsidRDefault="00943B12">
      <w:pPr>
        <w:spacing w:after="120" w:line="238" w:lineRule="auto"/>
        <w:ind w:left="10" w:right="-7"/>
        <w:jc w:val="right"/>
      </w:pPr>
      <w:proofErr w:type="spellStart"/>
      <w:r>
        <w:lastRenderedPageBreak/>
        <w:t>Associated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Article</w:t>
      </w:r>
      <w:proofErr w:type="spellEnd"/>
      <w:r>
        <w:t xml:space="preserve"> 64(1) </w:t>
      </w:r>
      <w:proofErr w:type="spellStart"/>
      <w:r>
        <w:t>and</w:t>
      </w:r>
      <w:proofErr w:type="spellEnd"/>
      <w:r>
        <w:t xml:space="preserve"> (2)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r>
        <w:t xml:space="preserve">(EU) 2017/2226.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Schengen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EUR 6 412 600. </w:t>
      </w:r>
    </w:p>
    <w:p w:rsidR="00DB70DE" w:rsidRDefault="00943B12">
      <w:pPr>
        <w:numPr>
          <w:ilvl w:val="0"/>
          <w:numId w:val="1"/>
        </w:numPr>
        <w:ind w:hanging="708"/>
      </w:pPr>
      <w:r>
        <w:t xml:space="preserve">On 2 </w:t>
      </w:r>
      <w:proofErr w:type="spellStart"/>
      <w:r>
        <w:t>October</w:t>
      </w:r>
      <w:proofErr w:type="spellEnd"/>
      <w:r>
        <w:t xml:space="preserve"> 2018,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Commission's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data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(SFC2014),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to take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</w:t>
      </w:r>
      <w:r>
        <w:t>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Union </w:t>
      </w:r>
      <w:proofErr w:type="spellStart"/>
      <w:r>
        <w:t>contribution</w:t>
      </w:r>
      <w:proofErr w:type="spellEnd"/>
      <w:r>
        <w:t xml:space="preserve">. </w:t>
      </w:r>
    </w:p>
    <w:p w:rsidR="00DB70DE" w:rsidRDefault="00943B12">
      <w:pPr>
        <w:numPr>
          <w:ilvl w:val="0"/>
          <w:numId w:val="1"/>
        </w:numPr>
        <w:ind w:hanging="708"/>
      </w:pPr>
      <w:proofErr w:type="spellStart"/>
      <w:r>
        <w:t>This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a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110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(EU, </w:t>
      </w:r>
      <w:proofErr w:type="spellStart"/>
      <w:r>
        <w:t>Euratom</w:t>
      </w:r>
      <w:proofErr w:type="spellEnd"/>
      <w:r>
        <w:t xml:space="preserve">) No 2018/1046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rPr>
          <w:vertAlign w:val="superscript"/>
        </w:rPr>
        <w:footnoteReference w:id="5"/>
      </w:r>
      <w:r>
        <w:t xml:space="preserve"> </w:t>
      </w:r>
      <w:proofErr w:type="spellStart"/>
      <w:r>
        <w:t>and</w:t>
      </w:r>
      <w:proofErr w:type="spellEnd"/>
      <w:r>
        <w:t xml:space="preserve"> a legal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</w:t>
      </w:r>
      <w:r>
        <w:t>t</w:t>
      </w:r>
      <w:proofErr w:type="spellEnd"/>
      <w:r>
        <w:t xml:space="preserve"> (37)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</w:p>
    <w:p w:rsidR="00DB70DE" w:rsidRDefault="00943B12">
      <w:pPr>
        <w:numPr>
          <w:ilvl w:val="0"/>
          <w:numId w:val="1"/>
        </w:numPr>
        <w:spacing w:after="234" w:line="347" w:lineRule="auto"/>
        <w:ind w:hanging="708"/>
      </w:pPr>
      <w:proofErr w:type="spellStart"/>
      <w:r>
        <w:t>Decision</w:t>
      </w:r>
      <w:proofErr w:type="spellEnd"/>
      <w:r>
        <w:t xml:space="preserve"> C(2015)5126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be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, HAS ADOPTED THIS DECISION:  </w:t>
      </w:r>
    </w:p>
    <w:p w:rsidR="00DB70DE" w:rsidRDefault="00943B12">
      <w:pPr>
        <w:spacing w:after="0" w:line="342" w:lineRule="auto"/>
        <w:ind w:left="-15" w:right="3212" w:firstLine="4119"/>
      </w:pPr>
      <w:proofErr w:type="spellStart"/>
      <w:r>
        <w:rPr>
          <w:i/>
        </w:rPr>
        <w:t>Article</w:t>
      </w:r>
      <w:proofErr w:type="spellEnd"/>
      <w:r>
        <w:rPr>
          <w:i/>
        </w:rPr>
        <w:t xml:space="preserve"> 1 </w:t>
      </w:r>
      <w:proofErr w:type="spellStart"/>
      <w:r>
        <w:t>Decision</w:t>
      </w:r>
      <w:proofErr w:type="spellEnd"/>
      <w:r>
        <w:t xml:space="preserve"> C(2015)5126 is </w:t>
      </w:r>
      <w:proofErr w:type="spellStart"/>
      <w:r>
        <w:t>amended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</w:t>
      </w:r>
    </w:p>
    <w:p w:rsidR="00DB70DE" w:rsidRDefault="00943B12">
      <w:pPr>
        <w:spacing w:after="96" w:line="259" w:lineRule="auto"/>
        <w:ind w:left="0" w:firstLine="0"/>
        <w:jc w:val="left"/>
      </w:pPr>
      <w:r>
        <w:t xml:space="preserve"> </w:t>
      </w:r>
    </w:p>
    <w:p w:rsidR="00DB70DE" w:rsidRDefault="00943B12">
      <w:pPr>
        <w:spacing w:after="346"/>
        <w:ind w:left="-5"/>
      </w:pPr>
      <w:r>
        <w:t xml:space="preserve">(1) </w:t>
      </w:r>
      <w:proofErr w:type="spellStart"/>
      <w:r>
        <w:t>Article</w:t>
      </w:r>
      <w:proofErr w:type="spellEnd"/>
      <w:r>
        <w:t xml:space="preserve"> 1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</w:t>
      </w:r>
    </w:p>
    <w:p w:rsidR="00DB70DE" w:rsidRDefault="00943B12">
      <w:pPr>
        <w:pStyle w:val="Naslov1"/>
      </w:pPr>
      <w:r>
        <w:t>"</w:t>
      </w:r>
      <w:proofErr w:type="spellStart"/>
      <w:r>
        <w:t>Article</w:t>
      </w:r>
      <w:proofErr w:type="spellEnd"/>
      <w:r>
        <w:t xml:space="preserve"> 1 </w:t>
      </w:r>
    </w:p>
    <w:p w:rsidR="00DB70DE" w:rsidRDefault="00943B12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revise</w:t>
      </w:r>
      <w:r>
        <w:t>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Fund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2014 to 31 December 2020, as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on 2 </w:t>
      </w:r>
      <w:proofErr w:type="spellStart"/>
      <w:r>
        <w:t>October</w:t>
      </w:r>
      <w:proofErr w:type="spellEnd"/>
      <w:r>
        <w:t xml:space="preserve"> 2018, is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." </w:t>
      </w:r>
    </w:p>
    <w:p w:rsidR="00DB70DE" w:rsidRDefault="00943B12">
      <w:pPr>
        <w:spacing w:after="96" w:line="259" w:lineRule="auto"/>
        <w:ind w:left="0" w:firstLine="0"/>
        <w:jc w:val="left"/>
      </w:pPr>
      <w:r>
        <w:t xml:space="preserve"> </w:t>
      </w:r>
    </w:p>
    <w:p w:rsidR="00DB70DE" w:rsidRDefault="00943B12">
      <w:pPr>
        <w:spacing w:after="346"/>
        <w:ind w:left="-5"/>
      </w:pPr>
      <w:r>
        <w:t xml:space="preserve">(2) </w:t>
      </w:r>
      <w:proofErr w:type="spellStart"/>
      <w:r>
        <w:t>Article</w:t>
      </w:r>
      <w:proofErr w:type="spellEnd"/>
      <w:r>
        <w:t xml:space="preserve"> 2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</w:t>
      </w:r>
    </w:p>
    <w:p w:rsidR="00DB70DE" w:rsidRDefault="00943B12">
      <w:pPr>
        <w:pStyle w:val="Naslov1"/>
      </w:pPr>
      <w:r>
        <w:t>"</w:t>
      </w:r>
      <w:proofErr w:type="spellStart"/>
      <w:r>
        <w:t>Article</w:t>
      </w:r>
      <w:proofErr w:type="spellEnd"/>
      <w:r>
        <w:t xml:space="preserve"> 2  </w:t>
      </w:r>
    </w:p>
    <w:p w:rsidR="00DB70DE" w:rsidRDefault="00943B12">
      <w:pPr>
        <w:numPr>
          <w:ilvl w:val="0"/>
          <w:numId w:val="2"/>
        </w:numPr>
        <w:ind w:hanging="850"/>
      </w:pP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Fund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is set at EUR 51 702 342, to be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 as </w:t>
      </w:r>
      <w:proofErr w:type="spellStart"/>
      <w:r>
        <w:t>follows</w:t>
      </w:r>
      <w:proofErr w:type="spellEnd"/>
      <w:r>
        <w:t xml:space="preserve">: </w:t>
      </w:r>
    </w:p>
    <w:p w:rsidR="00DB70DE" w:rsidRDefault="00943B12">
      <w:pPr>
        <w:numPr>
          <w:ilvl w:val="1"/>
          <w:numId w:val="2"/>
        </w:numPr>
        <w:ind w:hanging="566"/>
      </w:pPr>
      <w:proofErr w:type="spellStart"/>
      <w:r>
        <w:t>budget</w:t>
      </w:r>
      <w:proofErr w:type="spellEnd"/>
      <w:r>
        <w:t xml:space="preserve"> line 18 02 01 01: EUR 36 446 971 </w:t>
      </w:r>
    </w:p>
    <w:p w:rsidR="00DB70DE" w:rsidRDefault="00943B12">
      <w:pPr>
        <w:numPr>
          <w:ilvl w:val="1"/>
          <w:numId w:val="2"/>
        </w:numPr>
        <w:spacing w:after="0" w:line="351" w:lineRule="auto"/>
        <w:ind w:hanging="566"/>
      </w:pPr>
      <w:proofErr w:type="spellStart"/>
      <w:r>
        <w:t>budget</w:t>
      </w:r>
      <w:proofErr w:type="spellEnd"/>
      <w:r>
        <w:t xml:space="preserve"> line 18 02 01 02: EUR 11 255 371 (c)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budget</w:t>
      </w:r>
      <w:proofErr w:type="spellEnd"/>
      <w:r>
        <w:t xml:space="preserve"> line 18 02 01 03: EUR 4 000 000. </w:t>
      </w:r>
    </w:p>
    <w:p w:rsidR="00DB70DE" w:rsidRDefault="00943B12">
      <w:pPr>
        <w:numPr>
          <w:ilvl w:val="0"/>
          <w:numId w:val="2"/>
        </w:numPr>
        <w:ind w:hanging="850"/>
      </w:pP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line 18 02 01 01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: </w:t>
      </w:r>
    </w:p>
    <w:p w:rsidR="00DB70DE" w:rsidRDefault="00943B12">
      <w:pPr>
        <w:numPr>
          <w:ilvl w:val="1"/>
          <w:numId w:val="2"/>
        </w:numPr>
        <w:ind w:hanging="566"/>
      </w:pPr>
      <w:r>
        <w:t xml:space="preserve">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30 669 103, </w:t>
      </w:r>
      <w:proofErr w:type="spellStart"/>
      <w:r>
        <w:t>allocated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I to </w:t>
      </w:r>
      <w:proofErr w:type="spellStart"/>
      <w:r>
        <w:t>Regulation</w:t>
      </w:r>
      <w:proofErr w:type="spellEnd"/>
      <w:r>
        <w:t xml:space="preserve"> (EU)</w:t>
      </w:r>
      <w:r>
        <w:t xml:space="preserve"> No 515/2014. </w:t>
      </w:r>
    </w:p>
    <w:p w:rsidR="00DB70DE" w:rsidRDefault="00943B12">
      <w:pPr>
        <w:numPr>
          <w:ilvl w:val="1"/>
          <w:numId w:val="2"/>
        </w:numPr>
        <w:ind w:hanging="566"/>
      </w:pP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635 040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allocated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</w:p>
    <w:p w:rsidR="00DB70DE" w:rsidRDefault="00943B12">
      <w:pPr>
        <w:numPr>
          <w:ilvl w:val="1"/>
          <w:numId w:val="2"/>
        </w:numPr>
        <w:ind w:hanging="566"/>
      </w:pP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2 730 228 </w:t>
      </w:r>
      <w:proofErr w:type="spellStart"/>
      <w:r>
        <w:t>allocated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6(1)(c)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5</w:t>
      </w:r>
      <w:r>
        <w:t xml:space="preserve">15/2014. </w:t>
      </w:r>
    </w:p>
    <w:p w:rsidR="00DB70DE" w:rsidRDefault="00943B12">
      <w:pPr>
        <w:numPr>
          <w:ilvl w:val="1"/>
          <w:numId w:val="2"/>
        </w:numPr>
        <w:ind w:hanging="566"/>
      </w:pPr>
      <w:proofErr w:type="spellStart"/>
      <w:r>
        <w:lastRenderedPageBreak/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2 412 600,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2017/2226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Entry-Exit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(EES)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5(5)(b)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515/201</w:t>
      </w:r>
      <w:r>
        <w:t xml:space="preserve">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2018/1728. </w:t>
      </w:r>
    </w:p>
    <w:p w:rsidR="00DB70DE" w:rsidRDefault="00943B12">
      <w:pPr>
        <w:numPr>
          <w:ilvl w:val="0"/>
          <w:numId w:val="2"/>
        </w:numPr>
        <w:spacing w:after="350"/>
        <w:ind w:hanging="850"/>
      </w:pP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line 18 02 01 03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 4 000 000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2017/2226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es</w:t>
      </w:r>
      <w:r>
        <w:t>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Entry-Exit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(EES)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5(5)(b)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515/2014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2018/1728."  </w:t>
      </w:r>
    </w:p>
    <w:p w:rsidR="00DB70DE" w:rsidRDefault="00943B12">
      <w:pPr>
        <w:pStyle w:val="Naslov1"/>
        <w:ind w:right="5"/>
      </w:pPr>
      <w:proofErr w:type="spellStart"/>
      <w:r>
        <w:t>Article</w:t>
      </w:r>
      <w:proofErr w:type="spellEnd"/>
      <w:r>
        <w:t xml:space="preserve"> 2 </w:t>
      </w:r>
    </w:p>
    <w:p w:rsidR="00DB70DE" w:rsidRDefault="00943B12">
      <w:pPr>
        <w:ind w:left="-5"/>
      </w:pPr>
      <w:proofErr w:type="spellStart"/>
      <w:r>
        <w:t>This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is </w:t>
      </w:r>
      <w:proofErr w:type="spellStart"/>
      <w:r>
        <w:t>addressed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</w:t>
      </w:r>
    </w:p>
    <w:p w:rsidR="00DB70DE" w:rsidRDefault="00943B12">
      <w:pPr>
        <w:spacing w:after="96" w:line="259" w:lineRule="auto"/>
        <w:ind w:left="0" w:firstLine="0"/>
        <w:jc w:val="left"/>
      </w:pPr>
      <w:r>
        <w:t xml:space="preserve"> </w:t>
      </w:r>
    </w:p>
    <w:p w:rsidR="00DB70DE" w:rsidRDefault="00943B12">
      <w:pPr>
        <w:spacing w:after="706"/>
        <w:ind w:left="-5"/>
      </w:pPr>
      <w:r>
        <w:t xml:space="preserve">Done at </w:t>
      </w:r>
      <w:proofErr w:type="spellStart"/>
      <w:r>
        <w:t>Brussels</w:t>
      </w:r>
      <w:proofErr w:type="spellEnd"/>
      <w:r>
        <w:t>, 12.12.201</w:t>
      </w:r>
      <w:r>
        <w:t xml:space="preserve">8 </w:t>
      </w:r>
    </w:p>
    <w:p w:rsidR="00DB70DE" w:rsidRDefault="00943B12">
      <w:pPr>
        <w:tabs>
          <w:tab w:val="center" w:pos="5234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Commission</w:t>
      </w:r>
      <w:proofErr w:type="spellEnd"/>
      <w:r>
        <w:rPr>
          <w:i/>
        </w:rPr>
        <w:t xml:space="preserve"> </w:t>
      </w:r>
    </w:p>
    <w:p w:rsidR="00DB70DE" w:rsidRDefault="00943B12">
      <w:pPr>
        <w:tabs>
          <w:tab w:val="center" w:pos="562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DB70DE" w:rsidRDefault="00943B12">
      <w:pPr>
        <w:tabs>
          <w:tab w:val="center" w:pos="5577"/>
        </w:tabs>
        <w:spacing w:after="389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Commission</w:t>
      </w:r>
      <w:proofErr w:type="spellEnd"/>
      <w:r>
        <w:rPr>
          <w:i/>
        </w:rPr>
        <w:t xml:space="preserve"> </w:t>
      </w:r>
    </w:p>
    <w:p w:rsidR="00DB70DE" w:rsidRDefault="00943B12">
      <w:pPr>
        <w:spacing w:after="245" w:line="259" w:lineRule="auto"/>
        <w:ind w:left="4253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374" name="Picture 374" descr="podpis direktorja" title="podpis direktor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0DE" w:rsidRDefault="00943B12">
      <w:pPr>
        <w:spacing w:after="0" w:line="259" w:lineRule="auto"/>
        <w:ind w:left="0" w:firstLine="0"/>
        <w:jc w:val="left"/>
      </w:pPr>
      <w:r>
        <w:t xml:space="preserve"> </w:t>
      </w:r>
    </w:p>
    <w:sectPr w:rsidR="00DB70DE">
      <w:footerReference w:type="even" r:id="rId9"/>
      <w:footerReference w:type="default" r:id="rId10"/>
      <w:footerReference w:type="first" r:id="rId11"/>
      <w:pgSz w:w="11906" w:h="16838"/>
      <w:pgMar w:top="1135" w:right="1414" w:bottom="710" w:left="1416" w:header="708" w:footer="71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3B12">
      <w:pPr>
        <w:spacing w:after="0" w:line="240" w:lineRule="auto"/>
      </w:pPr>
      <w:r>
        <w:separator/>
      </w:r>
    </w:p>
  </w:endnote>
  <w:endnote w:type="continuationSeparator" w:id="0">
    <w:p w:rsidR="00000000" w:rsidRDefault="009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DE" w:rsidRDefault="00943B12">
    <w:pPr>
      <w:tabs>
        <w:tab w:val="center" w:pos="4537"/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EN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EN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DE" w:rsidRDefault="00943B12">
    <w:pPr>
      <w:tabs>
        <w:tab w:val="center" w:pos="4537"/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EN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DE" w:rsidRDefault="00943B12">
    <w:pPr>
      <w:tabs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EN </w:t>
    </w:r>
    <w:r>
      <w:rPr>
        <w:rFonts w:ascii="Arial" w:eastAsia="Arial" w:hAnsi="Arial" w:cs="Arial"/>
        <w:b/>
        <w:sz w:val="48"/>
      </w:rPr>
      <w:tab/>
    </w:r>
    <w:r>
      <w:t xml:space="preserve"> </w:t>
    </w:r>
    <w:proofErr w:type="spellStart"/>
    <w:r>
      <w:rPr>
        <w:rFonts w:ascii="Arial" w:eastAsia="Arial" w:hAnsi="Arial" w:cs="Arial"/>
        <w:b/>
        <w:sz w:val="48"/>
      </w:rPr>
      <w:t>EN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DE" w:rsidRDefault="00943B12">
      <w:pPr>
        <w:spacing w:after="0" w:line="264" w:lineRule="auto"/>
        <w:ind w:left="720" w:hanging="720"/>
      </w:pPr>
      <w:r>
        <w:separator/>
      </w:r>
    </w:p>
  </w:footnote>
  <w:footnote w:type="continuationSeparator" w:id="0">
    <w:p w:rsidR="00DB70DE" w:rsidRDefault="00943B12">
      <w:pPr>
        <w:spacing w:after="0" w:line="264" w:lineRule="auto"/>
        <w:ind w:left="720" w:hanging="720"/>
      </w:pPr>
      <w:r>
        <w:continuationSeparator/>
      </w:r>
    </w:p>
  </w:footnote>
  <w:footnote w:id="1">
    <w:p w:rsidR="00DB70DE" w:rsidRDefault="00943B12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</w:t>
      </w:r>
      <w:r>
        <w:t xml:space="preserve">OJ L 150, 20.5.2014, p. 143.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19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No 514/2014 (EU)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instrument. </w:t>
      </w:r>
    </w:p>
  </w:footnote>
  <w:footnote w:id="2">
    <w:p w:rsidR="00DB70DE" w:rsidRDefault="00943B12">
      <w:pPr>
        <w:pStyle w:val="footnotedescription"/>
        <w:tabs>
          <w:tab w:val="center" w:pos="1866"/>
        </w:tabs>
        <w:spacing w:after="4"/>
        <w:ind w:lef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OJ L 150, 20.5.2014, p. 112. </w:t>
      </w:r>
    </w:p>
  </w:footnote>
  <w:footnote w:id="3">
    <w:p w:rsidR="00DB70DE" w:rsidRDefault="00943B12">
      <w:pPr>
        <w:pStyle w:val="footnotedescription"/>
        <w:spacing w:line="246" w:lineRule="auto"/>
        <w:ind w:right="3"/>
      </w:pPr>
      <w:r>
        <w:rPr>
          <w:rStyle w:val="footnotemark"/>
        </w:rPr>
        <w:footnoteRef/>
      </w:r>
      <w:r>
        <w:t xml:space="preserve"> </w:t>
      </w:r>
      <w:proofErr w:type="spellStart"/>
      <w:r>
        <w:t>Regulation</w:t>
      </w:r>
      <w:proofErr w:type="spellEnd"/>
      <w:r>
        <w:t xml:space="preserve"> (EU) No 2017/2226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</w:t>
      </w:r>
      <w:r>
        <w:t>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 November 2017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Entry</w:t>
      </w:r>
      <w:proofErr w:type="spellEnd"/>
      <w:r>
        <w:t>/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(EES) to register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thirdcountry</w:t>
      </w:r>
      <w:proofErr w:type="spellEnd"/>
      <w:r>
        <w:t xml:space="preserve"> </w:t>
      </w:r>
      <w:proofErr w:type="spellStart"/>
      <w:r>
        <w:t>nationals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Schengen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(EC) No 767/2008 </w:t>
      </w:r>
      <w:proofErr w:type="spellStart"/>
      <w:r>
        <w:t>and</w:t>
      </w:r>
      <w:proofErr w:type="spellEnd"/>
      <w:r>
        <w:t xml:space="preserve"> (EU) No 1077/2011 (OJ L 327, 09.12.2017, p. 20-82). </w:t>
      </w:r>
    </w:p>
  </w:footnote>
  <w:footnote w:id="4">
    <w:p w:rsidR="00DB70DE" w:rsidRDefault="00943B12">
      <w:pPr>
        <w:pStyle w:val="footnotedescription"/>
        <w:spacing w:line="256" w:lineRule="auto"/>
        <w:ind w:right="10"/>
      </w:pPr>
      <w:r>
        <w:rPr>
          <w:rStyle w:val="footnotemark"/>
        </w:rPr>
        <w:footnoteRef/>
      </w:r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2018/1728 </w:t>
      </w:r>
      <w:proofErr w:type="spellStart"/>
      <w:r>
        <w:t>of</w:t>
      </w:r>
      <w:proofErr w:type="spellEnd"/>
      <w:r>
        <w:t xml:space="preserve"> 13 </w:t>
      </w:r>
      <w:proofErr w:type="spellStart"/>
      <w:r>
        <w:t>July</w:t>
      </w:r>
      <w:proofErr w:type="spellEnd"/>
      <w:r>
        <w:t xml:space="preserve"> 2018 </w:t>
      </w:r>
      <w:proofErr w:type="spellStart"/>
      <w:r>
        <w:t>supplementi</w:t>
      </w:r>
      <w:r>
        <w:t>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515/2014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budget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(OJ L 288, 16.11.2018, p. 1–3). </w:t>
      </w:r>
    </w:p>
  </w:footnote>
  <w:footnote w:id="5">
    <w:p w:rsidR="00DB70DE" w:rsidRDefault="00943B12">
      <w:pPr>
        <w:pStyle w:val="footnotedescription"/>
        <w:spacing w:line="272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Regulation</w:t>
      </w:r>
      <w:proofErr w:type="spellEnd"/>
      <w:r>
        <w:t xml:space="preserve"> (EU, </w:t>
      </w:r>
      <w:proofErr w:type="spellStart"/>
      <w:r>
        <w:t>Euratom</w:t>
      </w:r>
      <w:proofErr w:type="spellEnd"/>
      <w:r>
        <w:t xml:space="preserve">) No 2018/1046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>
        <w:t>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 </w:t>
      </w:r>
      <w:proofErr w:type="spellStart"/>
      <w:r>
        <w:t>July</w:t>
      </w:r>
      <w:proofErr w:type="spellEnd"/>
      <w:r>
        <w:t xml:space="preserve"> 2018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 (OJ L 193, 30.7.2018, p.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E77"/>
    <w:multiLevelType w:val="hybridMultilevel"/>
    <w:tmpl w:val="70DC30E4"/>
    <w:lvl w:ilvl="0" w:tplc="291C736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7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A1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C2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86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5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E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CC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6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C4A07"/>
    <w:multiLevelType w:val="hybridMultilevel"/>
    <w:tmpl w:val="667E50D0"/>
    <w:lvl w:ilvl="0" w:tplc="96C8F63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434CE">
      <w:start w:val="1"/>
      <w:numFmt w:val="lowerLetter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20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21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5DA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4B1E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4E49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2494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8817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E"/>
    <w:rsid w:val="00793A91"/>
    <w:rsid w:val="00943B12"/>
    <w:rsid w:val="00D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717B-FFAB-4866-B265-FF22EA5D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11" w:line="249" w:lineRule="auto"/>
      <w:ind w:left="30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6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/>
      <w:ind w:left="720" w:hanging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2023-04-24T14:29:00Z</dcterms:created>
  <dcterms:modified xsi:type="dcterms:W3CDTF">2023-04-24T14:30:00Z</dcterms:modified>
</cp:coreProperties>
</file>