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w:t>
      </w:r>
      <w:r w:rsidR="00AB5E06" w:rsidRPr="003C658C">
        <w:rPr>
          <w:sz w:val="20"/>
        </w:rPr>
        <w:t>besedilo, 65/08, 69/08-ZTFI-A, 69/08-ZZavar-E, 4</w:t>
      </w:r>
      <w:r w:rsidR="003C658C" w:rsidRPr="003C658C">
        <w:rPr>
          <w:sz w:val="20"/>
        </w:rPr>
        <w:t xml:space="preserve">0/12-ZUJF, 158/20 – ZIntPK-C, </w:t>
      </w:r>
      <w:r w:rsidR="00AB5E06" w:rsidRPr="003C658C">
        <w:rPr>
          <w:sz w:val="20"/>
        </w:rPr>
        <w:t>203/20 – ZIUPOPDVE</w:t>
      </w:r>
      <w:r w:rsidR="003C658C" w:rsidRPr="003C658C">
        <w:rPr>
          <w:sz w:val="20"/>
        </w:rPr>
        <w:t xml:space="preserve">, </w:t>
      </w:r>
      <w:hyperlink r:id="rId8" w:tgtFrame="_blank" w:tooltip="Odločba o razveljavitvi tretjega, četrtega in petega odstavka 89. člena Zakona o delovnih razmerjih ter 156.a člena Zakona o javnih uslužbencih" w:history="1">
        <w:r w:rsidR="003C658C" w:rsidRPr="003C658C">
          <w:rPr>
            <w:sz w:val="20"/>
          </w:rPr>
          <w:t>202/21</w:t>
        </w:r>
      </w:hyperlink>
      <w:r w:rsidR="003C658C" w:rsidRPr="003C658C">
        <w:rPr>
          <w:sz w:val="20"/>
        </w:rPr>
        <w:t> – odl. US in </w:t>
      </w:r>
      <w:hyperlink r:id="rId9" w:tgtFrame="_blank" w:tooltip="Zakon o debirokratizaciji" w:history="1">
        <w:r w:rsidR="003C658C" w:rsidRPr="003C658C">
          <w:rPr>
            <w:sz w:val="20"/>
          </w:rPr>
          <w:t>3/22</w:t>
        </w:r>
      </w:hyperlink>
      <w:r w:rsidR="003C658C" w:rsidRPr="003C658C">
        <w:rPr>
          <w:sz w:val="20"/>
        </w:rPr>
        <w:t> – ZDeb</w:t>
      </w:r>
      <w:r w:rsidR="00AB5E06" w:rsidRPr="003C658C">
        <w:rPr>
          <w:sz w:val="20"/>
        </w:rPr>
        <w:t>; v</w:t>
      </w:r>
      <w:r w:rsidR="00AB5E06" w:rsidRPr="00EB7896">
        <w:rPr>
          <w:rFonts w:cs="Arial"/>
          <w:color w:val="000000" w:themeColor="text1"/>
          <w:sz w:val="20"/>
        </w:rPr>
        <w:t xml:space="preserve"> nadaljevanju ZJU</w:t>
      </w:r>
      <w:r w:rsidRPr="00AC693A">
        <w:rPr>
          <w:sz w:val="20"/>
        </w:rPr>
        <w:t>)</w:t>
      </w:r>
      <w:r w:rsidR="00CA0E10" w:rsidRPr="00AC693A">
        <w:rPr>
          <w:sz w:val="20"/>
        </w:rPr>
        <w:t xml:space="preserve"> </w:t>
      </w:r>
      <w:r w:rsidRPr="00AC693A">
        <w:rPr>
          <w:b/>
          <w:sz w:val="20"/>
        </w:rPr>
        <w:t>M</w:t>
      </w:r>
      <w:r w:rsidR="006D70C7">
        <w:rPr>
          <w:b/>
          <w:sz w:val="20"/>
        </w:rPr>
        <w:t xml:space="preserve">inistrstvo za notranje zadeve, </w:t>
      </w:r>
      <w:r w:rsidRPr="00AC693A">
        <w:rPr>
          <w:b/>
          <w:sz w:val="20"/>
        </w:rPr>
        <w:t xml:space="preserve">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253307">
        <w:rPr>
          <w:sz w:val="20"/>
        </w:rPr>
        <w:t xml:space="preserve"> </w:t>
      </w:r>
      <w:r w:rsidR="006F2D45">
        <w:rPr>
          <w:sz w:val="20"/>
        </w:rPr>
        <w:t>u</w:t>
      </w:r>
      <w:r w:rsidR="00253307">
        <w:rPr>
          <w:sz w:val="20"/>
        </w:rPr>
        <w:t>radniškega</w:t>
      </w:r>
      <w:r w:rsidR="00114D5B" w:rsidRPr="00AC693A">
        <w:rPr>
          <w:sz w:val="20"/>
        </w:rPr>
        <w:t xml:space="preserve"> delovn</w:t>
      </w:r>
      <w:r w:rsidR="00253307">
        <w:rPr>
          <w:sz w:val="20"/>
        </w:rPr>
        <w:t>ega</w:t>
      </w:r>
      <w:r w:rsidRPr="00AC693A">
        <w:rPr>
          <w:sz w:val="20"/>
        </w:rPr>
        <w:t xml:space="preserve"> </w:t>
      </w:r>
      <w:r w:rsidR="006B68BE" w:rsidRPr="00AC693A">
        <w:rPr>
          <w:sz w:val="20"/>
        </w:rPr>
        <w:t>mest</w:t>
      </w:r>
      <w:r w:rsidR="00253307">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231EF"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virtualizacije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0"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14113E">
        <w:rPr>
          <w:rFonts w:ascii="Arial" w:hAnsi="Arial" w:cs="Arial"/>
          <w:b/>
          <w:bCs/>
          <w:color w:val="000000"/>
          <w:sz w:val="20"/>
          <w:szCs w:val="20"/>
        </w:rPr>
        <w:t>74/2025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14113E">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4D67A9" w:rsidRPr="000D1101">
        <w:rPr>
          <w:sz w:val="20"/>
        </w:rPr>
        <w:t>Informacije o delovnem področju</w:t>
      </w:r>
      <w:bookmarkStart w:id="0" w:name="_GoBack"/>
      <w:bookmarkEnd w:id="0"/>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MT">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D67A9">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D67A9">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4683"/>
    <w:rsid w:val="00134B84"/>
    <w:rsid w:val="0014113E"/>
    <w:rsid w:val="00141FDB"/>
    <w:rsid w:val="00144030"/>
    <w:rsid w:val="00145378"/>
    <w:rsid w:val="00153723"/>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67A9"/>
    <w:rsid w:val="004D7653"/>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85A6E0-D68B-451A-BEFA-CEDBCC87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7548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8695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2024-09-06T12:21:00Z</cp:lastPrinted>
  <dcterms:created xsi:type="dcterms:W3CDTF">2025-03-05T07:41:00Z</dcterms:created>
  <dcterms:modified xsi:type="dcterms:W3CDTF">2025-03-05T07:41:00Z</dcterms:modified>
</cp:coreProperties>
</file>