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89A2" w14:textId="5F917C28" w:rsidR="007E30F1" w:rsidRDefault="00E509BD" w:rsidP="003F2D1F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Podrobneje o vsebini p</w:t>
      </w:r>
      <w:r w:rsidR="007E30F1" w:rsidRPr="007E30F1">
        <w:rPr>
          <w:rFonts w:eastAsia="Times New Roman"/>
          <w:b/>
          <w:bCs/>
          <w:sz w:val="24"/>
          <w:szCs w:val="24"/>
        </w:rPr>
        <w:t>osodobljen</w:t>
      </w:r>
      <w:r>
        <w:rPr>
          <w:rFonts w:eastAsia="Times New Roman"/>
          <w:b/>
          <w:bCs/>
          <w:sz w:val="24"/>
          <w:szCs w:val="24"/>
        </w:rPr>
        <w:t xml:space="preserve">ega </w:t>
      </w:r>
      <w:r w:rsidR="007E30F1" w:rsidRPr="007E30F1">
        <w:rPr>
          <w:rFonts w:eastAsia="Times New Roman"/>
          <w:b/>
          <w:bCs/>
          <w:sz w:val="24"/>
          <w:szCs w:val="24"/>
        </w:rPr>
        <w:t>NEPN (2024)</w:t>
      </w:r>
    </w:p>
    <w:p w14:paraId="0910AC44" w14:textId="77777777" w:rsidR="007E30F1" w:rsidRDefault="007E30F1" w:rsidP="003F2D1F">
      <w:pPr>
        <w:jc w:val="both"/>
        <w:rPr>
          <w:rFonts w:eastAsia="Times New Roman"/>
          <w:b/>
          <w:bCs/>
          <w:sz w:val="24"/>
          <w:szCs w:val="24"/>
        </w:rPr>
      </w:pPr>
    </w:p>
    <w:p w14:paraId="70E64EDE" w14:textId="0786687B" w:rsidR="00B0310A" w:rsidRPr="00AB6D3C" w:rsidRDefault="001554B9" w:rsidP="003F2D1F">
      <w:pPr>
        <w:jc w:val="both"/>
        <w:rPr>
          <w:rFonts w:eastAsia="Times New Roman"/>
          <w:sz w:val="24"/>
          <w:szCs w:val="24"/>
        </w:rPr>
      </w:pPr>
      <w:r w:rsidRPr="003E36A0">
        <w:rPr>
          <w:rFonts w:eastAsia="Times New Roman"/>
          <w:b/>
          <w:bCs/>
          <w:sz w:val="24"/>
          <w:szCs w:val="24"/>
        </w:rPr>
        <w:t xml:space="preserve">Vsebinski </w:t>
      </w:r>
      <w:r w:rsidR="007E30F1">
        <w:rPr>
          <w:rFonts w:eastAsia="Times New Roman"/>
          <w:b/>
          <w:bCs/>
          <w:sz w:val="24"/>
          <w:szCs w:val="24"/>
        </w:rPr>
        <w:t>poudarki</w:t>
      </w:r>
      <w:r w:rsidRPr="003E36A0">
        <w:rPr>
          <w:rFonts w:eastAsia="Times New Roman"/>
          <w:b/>
          <w:bCs/>
          <w:sz w:val="24"/>
          <w:szCs w:val="24"/>
        </w:rPr>
        <w:t>:</w:t>
      </w:r>
      <w:r w:rsidRPr="00AB6D3C">
        <w:rPr>
          <w:rFonts w:eastAsia="Times New Roman"/>
          <w:sz w:val="24"/>
          <w:szCs w:val="24"/>
        </w:rPr>
        <w:t xml:space="preserve"> </w:t>
      </w:r>
      <w:r w:rsidRPr="003E36A0">
        <w:rPr>
          <w:rFonts w:eastAsia="Times New Roman"/>
          <w:b/>
          <w:bCs/>
          <w:sz w:val="24"/>
          <w:szCs w:val="24"/>
        </w:rPr>
        <w:t xml:space="preserve">ključni cilji, jedrska </w:t>
      </w:r>
      <w:r w:rsidR="00157192" w:rsidRPr="003E36A0">
        <w:rPr>
          <w:rFonts w:eastAsia="Times New Roman"/>
          <w:b/>
          <w:bCs/>
          <w:sz w:val="24"/>
          <w:szCs w:val="24"/>
        </w:rPr>
        <w:t>e</w:t>
      </w:r>
      <w:r w:rsidRPr="003E36A0">
        <w:rPr>
          <w:rFonts w:eastAsia="Times New Roman"/>
          <w:b/>
          <w:bCs/>
          <w:sz w:val="24"/>
          <w:szCs w:val="24"/>
        </w:rPr>
        <w:t>nergija</w:t>
      </w:r>
      <w:r w:rsidR="00D2148C" w:rsidRPr="003E36A0">
        <w:rPr>
          <w:rFonts w:eastAsia="Times New Roman"/>
          <w:b/>
          <w:bCs/>
          <w:sz w:val="24"/>
          <w:szCs w:val="24"/>
        </w:rPr>
        <w:t xml:space="preserve">, </w:t>
      </w:r>
      <w:r w:rsidR="00F2760F" w:rsidRPr="003E36A0">
        <w:rPr>
          <w:rFonts w:eastAsia="Times New Roman"/>
          <w:b/>
          <w:bCs/>
          <w:sz w:val="24"/>
          <w:szCs w:val="24"/>
        </w:rPr>
        <w:t>izstop iz premoga</w:t>
      </w:r>
      <w:r w:rsidR="00F12E0F" w:rsidRPr="003E36A0">
        <w:rPr>
          <w:rFonts w:eastAsia="Times New Roman"/>
          <w:b/>
          <w:bCs/>
          <w:sz w:val="24"/>
          <w:szCs w:val="24"/>
        </w:rPr>
        <w:t>, hidroenergija, scenariji, promet</w:t>
      </w:r>
      <w:r w:rsidR="003E36A0">
        <w:rPr>
          <w:rFonts w:eastAsia="Times New Roman"/>
          <w:sz w:val="24"/>
          <w:szCs w:val="24"/>
        </w:rPr>
        <w:t xml:space="preserve"> (</w:t>
      </w:r>
      <w:r w:rsidR="00C4558A">
        <w:rPr>
          <w:rFonts w:eastAsia="Times New Roman"/>
          <w:sz w:val="24"/>
          <w:szCs w:val="24"/>
        </w:rPr>
        <w:t>18.</w:t>
      </w:r>
      <w:r w:rsidR="003E36A0">
        <w:rPr>
          <w:rFonts w:eastAsia="Times New Roman"/>
          <w:sz w:val="24"/>
          <w:szCs w:val="24"/>
        </w:rPr>
        <w:t xml:space="preserve"> </w:t>
      </w:r>
      <w:r w:rsidR="00257041">
        <w:rPr>
          <w:rFonts w:eastAsia="Times New Roman"/>
          <w:sz w:val="24"/>
          <w:szCs w:val="24"/>
        </w:rPr>
        <w:t>december 2024</w:t>
      </w:r>
      <w:r w:rsidR="003E36A0">
        <w:rPr>
          <w:rFonts w:eastAsia="Times New Roman"/>
          <w:sz w:val="24"/>
          <w:szCs w:val="24"/>
        </w:rPr>
        <w:t>)</w:t>
      </w:r>
    </w:p>
    <w:p w14:paraId="0C61433F" w14:textId="77777777" w:rsidR="00DC579D" w:rsidRPr="00133BB6" w:rsidRDefault="00DC579D" w:rsidP="00133BB6">
      <w:pPr>
        <w:jc w:val="both"/>
        <w:rPr>
          <w:rFonts w:eastAsia="Times New Roman"/>
          <w:bCs/>
          <w:highlight w:val="yellow"/>
        </w:rPr>
      </w:pPr>
    </w:p>
    <w:p w14:paraId="6D027080" w14:textId="1FCE2CE1" w:rsidR="00F12E0F" w:rsidRPr="00AB6D3C" w:rsidRDefault="00F12E0F" w:rsidP="00AB6D3C">
      <w:pPr>
        <w:jc w:val="both"/>
        <w:rPr>
          <w:rFonts w:eastAsia="Times New Roman"/>
        </w:rPr>
      </w:pPr>
      <w:r w:rsidRPr="00AB6D3C">
        <w:rPr>
          <w:rFonts w:eastAsia="Times New Roman"/>
        </w:rPr>
        <w:t>Pripravo Celovitega nacionalnega energetskega in podnebnega načrta (NEPN) in njegove posodobitve določa Uredba (EU) 2018/1999, ki je kot EU pravni akt neposredno pravno zavezujoča za Slovenijo.</w:t>
      </w:r>
    </w:p>
    <w:p w14:paraId="44B72ED3" w14:textId="77777777" w:rsidR="00F12E0F" w:rsidRDefault="00F12E0F" w:rsidP="003F2D1F">
      <w:pPr>
        <w:jc w:val="both"/>
        <w:rPr>
          <w:rFonts w:eastAsia="Times New Roman"/>
        </w:rPr>
      </w:pPr>
    </w:p>
    <w:p w14:paraId="70D2DD5A" w14:textId="3F7626BB" w:rsidR="00441286" w:rsidRDefault="00234D70" w:rsidP="003F2D1F">
      <w:pPr>
        <w:jc w:val="both"/>
        <w:rPr>
          <w:rFonts w:eastAsia="Times New Roman"/>
        </w:rPr>
      </w:pPr>
      <w:r>
        <w:rPr>
          <w:rFonts w:eastAsia="Times New Roman"/>
        </w:rPr>
        <w:t xml:space="preserve">Zvišanje </w:t>
      </w:r>
      <w:r w:rsidR="001554B9">
        <w:rPr>
          <w:rFonts w:eastAsia="Times New Roman"/>
        </w:rPr>
        <w:t xml:space="preserve">energetskih in podnebnih </w:t>
      </w:r>
      <w:r>
        <w:rPr>
          <w:rFonts w:eastAsia="Times New Roman"/>
        </w:rPr>
        <w:t>ciljev do 2030 na ravni E</w:t>
      </w:r>
      <w:r w:rsidR="00770CDE">
        <w:rPr>
          <w:rFonts w:eastAsia="Times New Roman"/>
        </w:rPr>
        <w:t xml:space="preserve">vropske unije </w:t>
      </w:r>
      <w:r w:rsidR="001554B9">
        <w:rPr>
          <w:rFonts w:eastAsia="Times New Roman"/>
        </w:rPr>
        <w:t xml:space="preserve">(Pripravljeni na 55 </w:t>
      </w:r>
      <w:r w:rsidR="00770CDE">
        <w:rPr>
          <w:rFonts w:eastAsia="Times New Roman"/>
        </w:rPr>
        <w:t>in</w:t>
      </w:r>
      <w:r w:rsidR="001554B9">
        <w:rPr>
          <w:rFonts w:eastAsia="Times New Roman"/>
        </w:rPr>
        <w:t xml:space="preserve"> </w:t>
      </w:r>
      <w:proofErr w:type="spellStart"/>
      <w:r w:rsidR="001554B9">
        <w:rPr>
          <w:rFonts w:eastAsia="Times New Roman"/>
        </w:rPr>
        <w:t>REPowerEU</w:t>
      </w:r>
      <w:proofErr w:type="spellEnd"/>
      <w:r w:rsidR="001554B9">
        <w:rPr>
          <w:rFonts w:eastAsia="Times New Roman"/>
        </w:rPr>
        <w:t xml:space="preserve">) </w:t>
      </w:r>
      <w:r>
        <w:rPr>
          <w:rFonts w:eastAsia="Times New Roman"/>
        </w:rPr>
        <w:t>se odraža v n</w:t>
      </w:r>
      <w:r w:rsidR="009A2AE2">
        <w:rPr>
          <w:rFonts w:eastAsia="Times New Roman"/>
        </w:rPr>
        <w:t>ov</w:t>
      </w:r>
      <w:r>
        <w:rPr>
          <w:rFonts w:eastAsia="Times New Roman"/>
        </w:rPr>
        <w:t>em</w:t>
      </w:r>
      <w:r w:rsidR="009A2AE2">
        <w:rPr>
          <w:rFonts w:eastAsia="Times New Roman"/>
        </w:rPr>
        <w:t xml:space="preserve"> posodobljen</w:t>
      </w:r>
      <w:r>
        <w:rPr>
          <w:rFonts w:eastAsia="Times New Roman"/>
        </w:rPr>
        <w:t>em</w:t>
      </w:r>
      <w:r w:rsidR="009A2AE2">
        <w:rPr>
          <w:rFonts w:eastAsia="Times New Roman"/>
        </w:rPr>
        <w:t xml:space="preserve"> NEPN</w:t>
      </w:r>
      <w:r w:rsidR="001554B9">
        <w:rPr>
          <w:rFonts w:eastAsia="Times New Roman"/>
        </w:rPr>
        <w:t xml:space="preserve"> </w:t>
      </w:r>
      <w:r w:rsidR="00D2148C">
        <w:rPr>
          <w:rFonts w:eastAsia="Times New Roman"/>
        </w:rPr>
        <w:t>–</w:t>
      </w:r>
      <w:r w:rsidR="001554B9">
        <w:rPr>
          <w:rFonts w:eastAsia="Times New Roman"/>
        </w:rPr>
        <w:t xml:space="preserve"> ta </w:t>
      </w:r>
      <w:r>
        <w:rPr>
          <w:rFonts w:eastAsia="Times New Roman"/>
        </w:rPr>
        <w:t xml:space="preserve">je </w:t>
      </w:r>
      <w:r w:rsidR="009A2AE2">
        <w:rPr>
          <w:rFonts w:eastAsia="Times New Roman"/>
        </w:rPr>
        <w:t>bolj ambiciozen</w:t>
      </w:r>
      <w:r w:rsidR="001554B9">
        <w:rPr>
          <w:rFonts w:eastAsia="Times New Roman"/>
        </w:rPr>
        <w:t>, predvsem</w:t>
      </w:r>
      <w:r w:rsidR="00D6443E" w:rsidRPr="00D6443E">
        <w:rPr>
          <w:rFonts w:eastAsia="Times New Roman"/>
        </w:rPr>
        <w:t xml:space="preserve"> pri </w:t>
      </w:r>
      <w:r w:rsidR="003A785C">
        <w:rPr>
          <w:rFonts w:eastAsia="Times New Roman"/>
        </w:rPr>
        <w:t xml:space="preserve">zmanjševanju </w:t>
      </w:r>
      <w:r w:rsidR="00D6443E" w:rsidRPr="00D6443E">
        <w:rPr>
          <w:rFonts w:eastAsia="Times New Roman"/>
        </w:rPr>
        <w:t>emisij</w:t>
      </w:r>
      <w:r w:rsidR="001554B9">
        <w:rPr>
          <w:rFonts w:eastAsia="Times New Roman"/>
        </w:rPr>
        <w:t xml:space="preserve"> </w:t>
      </w:r>
      <w:r w:rsidR="007E30F1">
        <w:rPr>
          <w:rFonts w:eastAsia="Times New Roman"/>
        </w:rPr>
        <w:t>toplogrednih plinov (</w:t>
      </w:r>
      <w:r w:rsidR="001554B9">
        <w:rPr>
          <w:rFonts w:eastAsia="Times New Roman"/>
        </w:rPr>
        <w:t>TGP</w:t>
      </w:r>
      <w:r w:rsidR="007E30F1">
        <w:rPr>
          <w:rFonts w:eastAsia="Times New Roman"/>
        </w:rPr>
        <w:t>)</w:t>
      </w:r>
      <w:r w:rsidR="00D6443E" w:rsidRPr="00D6443E">
        <w:rPr>
          <w:rFonts w:eastAsia="Times New Roman"/>
        </w:rPr>
        <w:t xml:space="preserve">, </w:t>
      </w:r>
      <w:r w:rsidR="007E30F1">
        <w:rPr>
          <w:rFonts w:eastAsia="Times New Roman"/>
        </w:rPr>
        <w:t>obnovljivih vir</w:t>
      </w:r>
      <w:r w:rsidR="00770CDE">
        <w:rPr>
          <w:rFonts w:eastAsia="Times New Roman"/>
        </w:rPr>
        <w:t xml:space="preserve">ih </w:t>
      </w:r>
      <w:r w:rsidR="007E30F1">
        <w:rPr>
          <w:rFonts w:eastAsia="Times New Roman"/>
        </w:rPr>
        <w:t>energije (</w:t>
      </w:r>
      <w:r w:rsidR="00D6443E" w:rsidRPr="00D6443E">
        <w:rPr>
          <w:rFonts w:eastAsia="Times New Roman"/>
        </w:rPr>
        <w:t>OVE</w:t>
      </w:r>
      <w:r w:rsidR="007E30F1">
        <w:rPr>
          <w:rFonts w:eastAsia="Times New Roman"/>
        </w:rPr>
        <w:t>)</w:t>
      </w:r>
      <w:r w:rsidR="00D6443E" w:rsidRPr="00D6443E">
        <w:rPr>
          <w:rFonts w:eastAsia="Times New Roman"/>
        </w:rPr>
        <w:t xml:space="preserve"> in učinkoviti rabi energije</w:t>
      </w:r>
      <w:r w:rsidR="00F0226A">
        <w:rPr>
          <w:rFonts w:eastAsia="Times New Roman"/>
        </w:rPr>
        <w:t xml:space="preserve"> (URE)</w:t>
      </w:r>
      <w:r w:rsidR="00D2148C">
        <w:rPr>
          <w:rFonts w:eastAsia="Times New Roman"/>
        </w:rPr>
        <w:t>.</w:t>
      </w:r>
      <w:r w:rsidR="00D6443E" w:rsidRPr="00D6443E">
        <w:rPr>
          <w:rFonts w:eastAsia="Times New Roman"/>
        </w:rPr>
        <w:t xml:space="preserve"> </w:t>
      </w:r>
    </w:p>
    <w:p w14:paraId="3753B58C" w14:textId="77777777" w:rsidR="001554B9" w:rsidRDefault="001554B9" w:rsidP="003F2D1F">
      <w:pPr>
        <w:pStyle w:val="Odstavekseznama"/>
        <w:ind w:left="360"/>
        <w:jc w:val="both"/>
        <w:rPr>
          <w:rFonts w:eastAsia="Times New Roman"/>
          <w:b/>
          <w:bCs/>
        </w:rPr>
      </w:pPr>
    </w:p>
    <w:p w14:paraId="7AC4D6ED" w14:textId="6501245C" w:rsidR="001554B9" w:rsidRDefault="001554B9" w:rsidP="003F2D1F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PREGLED KLJUČNIH </w:t>
      </w:r>
      <w:r w:rsidRPr="00D2148C">
        <w:rPr>
          <w:rFonts w:eastAsia="Times New Roman"/>
          <w:b/>
          <w:bCs/>
        </w:rPr>
        <w:t>CILJ</w:t>
      </w:r>
      <w:r>
        <w:rPr>
          <w:rFonts w:eastAsia="Times New Roman"/>
          <w:b/>
          <w:bCs/>
        </w:rPr>
        <w:t>EV</w:t>
      </w:r>
    </w:p>
    <w:p w14:paraId="75F783DD" w14:textId="77777777" w:rsidR="00876CE8" w:rsidRDefault="00876CE8" w:rsidP="003F2D1F">
      <w:pPr>
        <w:jc w:val="both"/>
        <w:rPr>
          <w:rFonts w:eastAsia="Times New Roman"/>
          <w:b/>
          <w:bCs/>
        </w:rPr>
      </w:pPr>
    </w:p>
    <w:p w14:paraId="1AC14F41" w14:textId="79C2DEBE" w:rsidR="003A785C" w:rsidRDefault="001554B9" w:rsidP="003F2D1F">
      <w:pPr>
        <w:pStyle w:val="Odstavekseznama"/>
        <w:ind w:left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Zmanjševanje emisij TGP</w:t>
      </w:r>
      <w:r w:rsidR="003A785C" w:rsidRPr="0046150C">
        <w:rPr>
          <w:rFonts w:eastAsia="Times New Roman"/>
          <w:b/>
          <w:bCs/>
        </w:rPr>
        <w:t xml:space="preserve"> </w:t>
      </w:r>
    </w:p>
    <w:p w14:paraId="6CD9DD4A" w14:textId="77777777" w:rsidR="00876CE8" w:rsidRPr="0046150C" w:rsidRDefault="00876CE8" w:rsidP="003F2D1F">
      <w:pPr>
        <w:pStyle w:val="Odstavekseznama"/>
        <w:ind w:left="0"/>
        <w:jc w:val="both"/>
        <w:rPr>
          <w:rFonts w:eastAsia="Times New Roman"/>
          <w:b/>
          <w:bCs/>
        </w:rPr>
      </w:pPr>
    </w:p>
    <w:p w14:paraId="0C0801D1" w14:textId="1165345C" w:rsidR="00441286" w:rsidRDefault="00B128E1" w:rsidP="003F2D1F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</w:rPr>
      </w:pPr>
      <w:r>
        <w:rPr>
          <w:rFonts w:eastAsia="Times New Roman"/>
          <w:b/>
          <w:bCs/>
        </w:rPr>
        <w:t>S</w:t>
      </w:r>
      <w:r w:rsidRPr="00B128E1">
        <w:rPr>
          <w:rFonts w:eastAsia="Times New Roman"/>
          <w:b/>
          <w:bCs/>
        </w:rPr>
        <w:t xml:space="preserve">ektorji, ki niso vključeni </w:t>
      </w:r>
      <w:r>
        <w:rPr>
          <w:rFonts w:eastAsia="Times New Roman"/>
          <w:b/>
          <w:bCs/>
        </w:rPr>
        <w:t xml:space="preserve">v </w:t>
      </w:r>
      <w:r w:rsidRPr="00B128E1">
        <w:rPr>
          <w:rFonts w:eastAsia="Times New Roman"/>
          <w:b/>
          <w:bCs/>
        </w:rPr>
        <w:t>sistem trgovanja s pravicami do emisij toplogrednih plinov (</w:t>
      </w:r>
      <w:proofErr w:type="spellStart"/>
      <w:r w:rsidRPr="00B128E1">
        <w:rPr>
          <w:rFonts w:eastAsia="Times New Roman"/>
          <w:b/>
          <w:bCs/>
        </w:rPr>
        <w:t>neETS</w:t>
      </w:r>
      <w:proofErr w:type="spellEnd"/>
      <w:r w:rsidRPr="00B128E1">
        <w:rPr>
          <w:rFonts w:eastAsia="Times New Roman"/>
          <w:b/>
          <w:bCs/>
        </w:rPr>
        <w:t>)</w:t>
      </w:r>
      <w:r w:rsidR="001554B9">
        <w:rPr>
          <w:rFonts w:eastAsia="Times New Roman"/>
          <w:b/>
          <w:bCs/>
        </w:rPr>
        <w:t xml:space="preserve">: </w:t>
      </w:r>
      <w:r w:rsidR="00D6443E" w:rsidRPr="00ED383A">
        <w:rPr>
          <w:rFonts w:eastAsia="Times New Roman"/>
          <w:b/>
          <w:bCs/>
        </w:rPr>
        <w:t>višji cilj</w:t>
      </w:r>
      <w:r w:rsidR="00D6443E" w:rsidRPr="00441286">
        <w:rPr>
          <w:rFonts w:eastAsia="Times New Roman"/>
        </w:rPr>
        <w:t>, kot je bil določen s prenovljeno Uredbo o delitvi bremen</w:t>
      </w:r>
      <w:r w:rsidR="001554B9">
        <w:rPr>
          <w:rFonts w:eastAsia="Times New Roman"/>
        </w:rPr>
        <w:t>, ki</w:t>
      </w:r>
      <w:r w:rsidR="00D6443E" w:rsidRPr="00441286">
        <w:rPr>
          <w:rFonts w:eastAsia="Times New Roman"/>
        </w:rPr>
        <w:t xml:space="preserve"> določa za Slovenijo </w:t>
      </w:r>
      <w:r w:rsidR="00876CE8">
        <w:rPr>
          <w:rFonts w:eastAsia="Times New Roman"/>
        </w:rPr>
        <w:t xml:space="preserve">minus </w:t>
      </w:r>
      <w:r w:rsidR="00D6443E" w:rsidRPr="00441286">
        <w:rPr>
          <w:rFonts w:eastAsia="Times New Roman"/>
        </w:rPr>
        <w:t>2</w:t>
      </w:r>
      <w:r w:rsidR="004B2CA8">
        <w:rPr>
          <w:rFonts w:eastAsia="Times New Roman"/>
        </w:rPr>
        <w:t>7</w:t>
      </w:r>
      <w:r>
        <w:rPr>
          <w:rFonts w:eastAsia="Times New Roman"/>
        </w:rPr>
        <w:t xml:space="preserve"> odstotkov</w:t>
      </w:r>
      <w:r w:rsidR="00D6443E" w:rsidRPr="00441286">
        <w:rPr>
          <w:rFonts w:eastAsia="Times New Roman"/>
        </w:rPr>
        <w:t xml:space="preserve">, posodobljeni NEPN </w:t>
      </w:r>
      <w:r>
        <w:rPr>
          <w:rFonts w:eastAsia="Times New Roman"/>
        </w:rPr>
        <w:t xml:space="preserve">pa </w:t>
      </w:r>
      <w:r w:rsidR="00D6443E" w:rsidRPr="00441286">
        <w:rPr>
          <w:rFonts w:eastAsia="Times New Roman"/>
        </w:rPr>
        <w:t>predlaga</w:t>
      </w:r>
      <w:r w:rsidR="00876CE8">
        <w:rPr>
          <w:rFonts w:eastAsia="Times New Roman"/>
        </w:rPr>
        <w:t xml:space="preserve"> minus</w:t>
      </w:r>
      <w:r w:rsidR="00876CE8">
        <w:rPr>
          <w:rFonts w:eastAsia="Times New Roman"/>
          <w:b/>
          <w:bCs/>
        </w:rPr>
        <w:t xml:space="preserve"> </w:t>
      </w:r>
      <w:r w:rsidR="00D6443E" w:rsidRPr="00ED383A">
        <w:rPr>
          <w:rFonts w:eastAsia="Times New Roman"/>
          <w:b/>
          <w:bCs/>
        </w:rPr>
        <w:t>28</w:t>
      </w:r>
      <w:r>
        <w:rPr>
          <w:rFonts w:eastAsia="Times New Roman"/>
          <w:b/>
          <w:bCs/>
        </w:rPr>
        <w:t xml:space="preserve"> odstotkov </w:t>
      </w:r>
      <w:r w:rsidR="00441286">
        <w:rPr>
          <w:rFonts w:eastAsia="Times New Roman"/>
        </w:rPr>
        <w:t>glede na leto 2005</w:t>
      </w:r>
      <w:r w:rsidR="00876CE8">
        <w:rPr>
          <w:rFonts w:eastAsia="Times New Roman"/>
        </w:rPr>
        <w:t>.</w:t>
      </w:r>
    </w:p>
    <w:p w14:paraId="54EAFDA7" w14:textId="729661DE" w:rsidR="00441286" w:rsidRPr="000C4D71" w:rsidRDefault="00876CE8" w:rsidP="003F2D1F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</w:rPr>
      </w:pPr>
      <w:r>
        <w:rPr>
          <w:rFonts w:eastAsia="Times New Roman"/>
          <w:b/>
          <w:bCs/>
        </w:rPr>
        <w:t>Z</w:t>
      </w:r>
      <w:r w:rsidR="001554B9">
        <w:rPr>
          <w:rFonts w:eastAsia="Times New Roman"/>
          <w:b/>
          <w:bCs/>
        </w:rPr>
        <w:t xml:space="preserve">nižanje </w:t>
      </w:r>
      <w:r w:rsidR="001554B9" w:rsidRPr="00ED383A">
        <w:rPr>
          <w:rFonts w:eastAsia="Times New Roman"/>
          <w:b/>
          <w:bCs/>
        </w:rPr>
        <w:t>skupn</w:t>
      </w:r>
      <w:r w:rsidR="001554B9">
        <w:rPr>
          <w:rFonts w:eastAsia="Times New Roman"/>
          <w:b/>
          <w:bCs/>
        </w:rPr>
        <w:t>ih</w:t>
      </w:r>
      <w:r w:rsidR="001554B9" w:rsidRPr="00ED383A">
        <w:rPr>
          <w:rFonts w:eastAsia="Times New Roman"/>
          <w:b/>
          <w:bCs/>
        </w:rPr>
        <w:t xml:space="preserve"> </w:t>
      </w:r>
      <w:r w:rsidR="00D6443E" w:rsidRPr="00ED383A">
        <w:rPr>
          <w:rFonts w:eastAsia="Times New Roman"/>
          <w:b/>
          <w:bCs/>
        </w:rPr>
        <w:t>emisij TGP</w:t>
      </w:r>
      <w:r w:rsidR="001554B9" w:rsidRPr="00D2148C">
        <w:rPr>
          <w:rFonts w:eastAsia="Times New Roman"/>
        </w:rPr>
        <w:t>, upoštevajoč</w:t>
      </w:r>
      <w:r w:rsidR="00D6443E" w:rsidRPr="00D2148C">
        <w:rPr>
          <w:rFonts w:eastAsia="Times New Roman"/>
        </w:rPr>
        <w:t xml:space="preserve"> </w:t>
      </w:r>
      <w:r w:rsidR="001554B9">
        <w:rPr>
          <w:rFonts w:eastAsia="Times New Roman"/>
        </w:rPr>
        <w:t xml:space="preserve">tudi </w:t>
      </w:r>
      <w:r w:rsidR="00D6443E" w:rsidRPr="00441286">
        <w:rPr>
          <w:rFonts w:eastAsia="Times New Roman"/>
        </w:rPr>
        <w:t>izstop iz premoga</w:t>
      </w:r>
      <w:r w:rsidR="00B818FB">
        <w:rPr>
          <w:rFonts w:eastAsia="Times New Roman"/>
        </w:rPr>
        <w:t>,</w:t>
      </w:r>
      <w:r w:rsidR="00D6443E" w:rsidRPr="00441286">
        <w:rPr>
          <w:rFonts w:eastAsia="Times New Roman"/>
        </w:rPr>
        <w:t xml:space="preserve"> </w:t>
      </w:r>
      <w:r w:rsidR="00D6443E" w:rsidRPr="00ED383A">
        <w:rPr>
          <w:rFonts w:eastAsia="Times New Roman"/>
          <w:b/>
          <w:bCs/>
        </w:rPr>
        <w:t>vsaj za 55</w:t>
      </w:r>
      <w:r w:rsidR="00B128E1">
        <w:rPr>
          <w:rFonts w:eastAsia="Times New Roman"/>
          <w:b/>
          <w:bCs/>
        </w:rPr>
        <w:t xml:space="preserve"> odstotkov </w:t>
      </w:r>
      <w:r w:rsidR="00D6443E" w:rsidRPr="00ED383A">
        <w:rPr>
          <w:rFonts w:eastAsia="Times New Roman"/>
          <w:b/>
          <w:bCs/>
        </w:rPr>
        <w:t>do leta 2033</w:t>
      </w:r>
      <w:r w:rsidR="00D6443E" w:rsidRPr="00441286">
        <w:rPr>
          <w:rFonts w:eastAsia="Times New Roman"/>
        </w:rPr>
        <w:t xml:space="preserve"> </w:t>
      </w:r>
      <w:r w:rsidR="00B818FB">
        <w:rPr>
          <w:rFonts w:eastAsia="Times New Roman"/>
        </w:rPr>
        <w:t>(</w:t>
      </w:r>
      <w:r w:rsidR="0095467D">
        <w:rPr>
          <w:rFonts w:eastAsia="Times New Roman"/>
        </w:rPr>
        <w:t xml:space="preserve">in </w:t>
      </w:r>
      <w:r w:rsidR="00F355C8">
        <w:rPr>
          <w:rFonts w:eastAsia="Times New Roman"/>
        </w:rPr>
        <w:t xml:space="preserve">od </w:t>
      </w:r>
      <w:r w:rsidR="00234D70" w:rsidRPr="000C4D71">
        <w:rPr>
          <w:rFonts w:eastAsia="Times New Roman"/>
          <w:b/>
          <w:bCs/>
        </w:rPr>
        <w:t>3</w:t>
      </w:r>
      <w:r w:rsidR="00B20176" w:rsidRPr="000C4D71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 xml:space="preserve"> </w:t>
      </w:r>
      <w:r w:rsidR="00234559" w:rsidRPr="000C4D71">
        <w:rPr>
          <w:rFonts w:eastAsia="Times New Roman"/>
          <w:b/>
          <w:bCs/>
        </w:rPr>
        <w:t>do 4</w:t>
      </w:r>
      <w:r w:rsidR="000C4D71" w:rsidRPr="000C4D71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 xml:space="preserve"> odstotkov</w:t>
      </w:r>
      <w:r w:rsidR="00234559" w:rsidRPr="000C4D71">
        <w:rPr>
          <w:rFonts w:eastAsia="Times New Roman"/>
          <w:b/>
          <w:bCs/>
        </w:rPr>
        <w:t xml:space="preserve"> </w:t>
      </w:r>
      <w:r w:rsidR="00234D70" w:rsidRPr="000C4D71">
        <w:rPr>
          <w:rFonts w:eastAsia="Times New Roman"/>
          <w:b/>
          <w:bCs/>
        </w:rPr>
        <w:t>do leta 2030</w:t>
      </w:r>
      <w:r w:rsidR="00234D70" w:rsidRPr="000C4D71">
        <w:rPr>
          <w:rFonts w:eastAsia="Times New Roman"/>
        </w:rPr>
        <w:t xml:space="preserve"> </w:t>
      </w:r>
      <w:r w:rsidR="00D6443E" w:rsidRPr="000C4D71">
        <w:rPr>
          <w:rFonts w:eastAsia="Times New Roman"/>
        </w:rPr>
        <w:t>glede na 2005</w:t>
      </w:r>
      <w:r w:rsidR="00234559" w:rsidRPr="000C4D71">
        <w:rPr>
          <w:rFonts w:eastAsia="Times New Roman"/>
        </w:rPr>
        <w:t xml:space="preserve"> – </w:t>
      </w:r>
      <w:r w:rsidR="000C4D71">
        <w:rPr>
          <w:rFonts w:eastAsia="Times New Roman"/>
        </w:rPr>
        <w:t>odvisno od</w:t>
      </w:r>
      <w:r w:rsidR="00D7579F" w:rsidRPr="000C4D71">
        <w:rPr>
          <w:rFonts w:eastAsia="Times New Roman"/>
        </w:rPr>
        <w:t xml:space="preserve"> obseg</w:t>
      </w:r>
      <w:r w:rsidR="000C4D71">
        <w:rPr>
          <w:rFonts w:eastAsia="Times New Roman"/>
        </w:rPr>
        <w:t xml:space="preserve">a </w:t>
      </w:r>
      <w:r w:rsidR="00D7579F" w:rsidRPr="000C4D71">
        <w:rPr>
          <w:rFonts w:eastAsia="Times New Roman"/>
        </w:rPr>
        <w:t>zmanjšanja delovanja</w:t>
      </w:r>
      <w:r w:rsidR="00234559" w:rsidRPr="000C4D71">
        <w:rPr>
          <w:rFonts w:eastAsia="Times New Roman"/>
        </w:rPr>
        <w:t xml:space="preserve"> T</w:t>
      </w:r>
      <w:r>
        <w:rPr>
          <w:rFonts w:eastAsia="Times New Roman"/>
        </w:rPr>
        <w:t>ermoelektrarne Šoštanj</w:t>
      </w:r>
      <w:r w:rsidR="00B818FB" w:rsidRPr="000C4D71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2C26D3F7" w14:textId="222230C0" w:rsidR="00F75925" w:rsidRPr="00F75925" w:rsidRDefault="00876CE8" w:rsidP="003F2D1F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F75925" w:rsidRPr="000C4D71">
        <w:rPr>
          <w:rFonts w:eastAsia="Times New Roman"/>
        </w:rPr>
        <w:t>manjšanje</w:t>
      </w:r>
      <w:r w:rsidR="00F75925" w:rsidRPr="000C4D71">
        <w:rPr>
          <w:rFonts w:eastAsia="Times New Roman"/>
          <w:b/>
          <w:bCs/>
        </w:rPr>
        <w:t xml:space="preserve"> emisij TGP</w:t>
      </w:r>
      <w:r w:rsidR="00F75925">
        <w:rPr>
          <w:rFonts w:eastAsia="Times New Roman"/>
          <w:b/>
          <w:bCs/>
        </w:rPr>
        <w:t xml:space="preserve"> v stavbah za vsaj 70</w:t>
      </w:r>
      <w:r>
        <w:rPr>
          <w:rFonts w:eastAsia="Times New Roman"/>
          <w:b/>
          <w:bCs/>
        </w:rPr>
        <w:t xml:space="preserve"> odstotkov </w:t>
      </w:r>
      <w:r w:rsidR="00F75925" w:rsidRPr="00AB6D3C">
        <w:rPr>
          <w:rFonts w:eastAsia="Times New Roman"/>
        </w:rPr>
        <w:t>do leta 2030 glede na leto 2005</w:t>
      </w:r>
      <w:r>
        <w:rPr>
          <w:rFonts w:eastAsia="Times New Roman"/>
        </w:rPr>
        <w:t>.</w:t>
      </w:r>
    </w:p>
    <w:p w14:paraId="58A014B4" w14:textId="09593F7D" w:rsidR="003A785C" w:rsidRDefault="00876CE8" w:rsidP="003F2D1F">
      <w:pPr>
        <w:pStyle w:val="Odstavekseznama"/>
        <w:widowControl w:val="0"/>
        <w:numPr>
          <w:ilvl w:val="0"/>
          <w:numId w:val="2"/>
        </w:numPr>
        <w:ind w:left="360"/>
        <w:jc w:val="both"/>
        <w:rPr>
          <w:rFonts w:eastAsia="Times New Roman"/>
        </w:rPr>
      </w:pPr>
      <w:r>
        <w:rPr>
          <w:rFonts w:eastAsia="Times New Roman"/>
          <w:b/>
          <w:bCs/>
        </w:rPr>
        <w:t>R</w:t>
      </w:r>
      <w:r w:rsidR="003A785C" w:rsidRPr="00ED383A">
        <w:rPr>
          <w:rFonts w:eastAsia="Times New Roman"/>
          <w:b/>
          <w:bCs/>
        </w:rPr>
        <w:t>azogljičenje proizvodnje električne energije</w:t>
      </w:r>
      <w:r w:rsidR="003A785C">
        <w:rPr>
          <w:rFonts w:eastAsia="Times New Roman"/>
        </w:rPr>
        <w:t xml:space="preserve"> </w:t>
      </w:r>
      <w:r w:rsidR="00B818FB">
        <w:rPr>
          <w:rFonts w:eastAsia="Times New Roman"/>
        </w:rPr>
        <w:t xml:space="preserve">z izstopom iz premoga </w:t>
      </w:r>
      <w:r w:rsidR="003A785C">
        <w:rPr>
          <w:rFonts w:eastAsia="Times New Roman"/>
        </w:rPr>
        <w:t>najkasneje do leta 2033 po načelih pravičnega prehoda</w:t>
      </w:r>
      <w:r w:rsidR="00625704">
        <w:rPr>
          <w:rFonts w:eastAsia="Times New Roman"/>
        </w:rPr>
        <w:t xml:space="preserve"> (glede na razogl</w:t>
      </w:r>
      <w:r w:rsidR="00157192">
        <w:rPr>
          <w:rFonts w:eastAsia="Times New Roman"/>
        </w:rPr>
        <w:t>j</w:t>
      </w:r>
      <w:r w:rsidR="00625704">
        <w:rPr>
          <w:rFonts w:eastAsia="Times New Roman"/>
        </w:rPr>
        <w:t>ičenje oskrbe s plini</w:t>
      </w:r>
      <w:r w:rsidR="0095467D">
        <w:rPr>
          <w:rFonts w:eastAsia="Times New Roman"/>
        </w:rPr>
        <w:t>,</w:t>
      </w:r>
      <w:r w:rsidR="00625704">
        <w:rPr>
          <w:rFonts w:eastAsia="Times New Roman"/>
        </w:rPr>
        <w:t xml:space="preserve"> do leta 2040/2050 </w:t>
      </w:r>
      <w:r w:rsidR="00157192">
        <w:rPr>
          <w:rFonts w:eastAsia="Times New Roman"/>
        </w:rPr>
        <w:t>razogljiči</w:t>
      </w:r>
      <w:r w:rsidR="00625704">
        <w:rPr>
          <w:rFonts w:eastAsia="Times New Roman"/>
        </w:rPr>
        <w:t xml:space="preserve"> še preostali manjši delež proizvodnje električne energije)</w:t>
      </w:r>
      <w:r>
        <w:rPr>
          <w:rFonts w:eastAsia="Times New Roman"/>
        </w:rPr>
        <w:t>.</w:t>
      </w:r>
    </w:p>
    <w:p w14:paraId="2AFDFFE1" w14:textId="7C970C20" w:rsidR="00F75925" w:rsidRPr="00F75925" w:rsidRDefault="00876CE8" w:rsidP="003F2D1F">
      <w:pPr>
        <w:pStyle w:val="Odstavekseznama"/>
        <w:widowControl w:val="0"/>
        <w:numPr>
          <w:ilvl w:val="0"/>
          <w:numId w:val="2"/>
        </w:numPr>
        <w:ind w:left="360"/>
        <w:jc w:val="both"/>
        <w:rPr>
          <w:rFonts w:eastAsia="Times New Roman"/>
        </w:rPr>
      </w:pPr>
      <w:r>
        <w:rPr>
          <w:rFonts w:eastAsia="Times New Roman"/>
        </w:rPr>
        <w:t>U</w:t>
      </w:r>
      <w:r w:rsidR="00F75925" w:rsidRPr="00AB6D3C">
        <w:rPr>
          <w:rFonts w:eastAsia="Times New Roman"/>
        </w:rPr>
        <w:t>kinjanje spodbud za rabo fosilnih goriv do leta 2030</w:t>
      </w:r>
      <w:r>
        <w:rPr>
          <w:rFonts w:eastAsia="Times New Roman"/>
        </w:rPr>
        <w:t>.</w:t>
      </w:r>
    </w:p>
    <w:p w14:paraId="310AB73A" w14:textId="77777777" w:rsidR="00D2148C" w:rsidRDefault="00D2148C" w:rsidP="003F2D1F">
      <w:pPr>
        <w:jc w:val="both"/>
        <w:rPr>
          <w:rFonts w:cstheme="minorHAnsi"/>
          <w:b/>
        </w:rPr>
      </w:pPr>
    </w:p>
    <w:p w14:paraId="0170CA3D" w14:textId="77777777" w:rsidR="00876CE8" w:rsidRDefault="00B818FB" w:rsidP="003F2D1F">
      <w:pPr>
        <w:jc w:val="both"/>
        <w:rPr>
          <w:rFonts w:cstheme="minorHAnsi"/>
          <w:b/>
        </w:rPr>
      </w:pPr>
      <w:r w:rsidRPr="00D2148C">
        <w:rPr>
          <w:rFonts w:cstheme="minorHAnsi"/>
          <w:b/>
        </w:rPr>
        <w:t>OVE</w:t>
      </w:r>
    </w:p>
    <w:p w14:paraId="4E1083FB" w14:textId="77777777" w:rsidR="00876CE8" w:rsidRDefault="00876CE8" w:rsidP="003F2D1F">
      <w:pPr>
        <w:jc w:val="both"/>
        <w:rPr>
          <w:rFonts w:cstheme="minorHAnsi"/>
          <w:b/>
        </w:rPr>
      </w:pPr>
    </w:p>
    <w:p w14:paraId="07544F8C" w14:textId="1A7816C5" w:rsidR="005B2ED1" w:rsidRPr="00D2148C" w:rsidRDefault="00876CE8" w:rsidP="003F2D1F">
      <w:pPr>
        <w:jc w:val="both"/>
        <w:rPr>
          <w:rFonts w:cstheme="minorHAnsi"/>
          <w:b/>
        </w:rPr>
      </w:pPr>
      <w:r>
        <w:rPr>
          <w:rFonts w:cstheme="minorHAnsi"/>
          <w:b/>
        </w:rPr>
        <w:t>Z</w:t>
      </w:r>
      <w:r w:rsidR="003A785C" w:rsidRPr="00D2148C">
        <w:rPr>
          <w:rFonts w:cstheme="minorHAnsi"/>
          <w:b/>
        </w:rPr>
        <w:t xml:space="preserve">višanje deleža OVE na vsaj </w:t>
      </w:r>
      <w:r w:rsidR="00234D70" w:rsidRPr="00D2148C">
        <w:rPr>
          <w:rFonts w:cstheme="minorHAnsi"/>
          <w:b/>
        </w:rPr>
        <w:t>33</w:t>
      </w:r>
      <w:r>
        <w:rPr>
          <w:rFonts w:cstheme="minorHAnsi"/>
          <w:b/>
        </w:rPr>
        <w:t xml:space="preserve"> </w:t>
      </w:r>
      <w:r>
        <w:rPr>
          <w:rFonts w:eastAsia="Times New Roman"/>
          <w:b/>
          <w:bCs/>
        </w:rPr>
        <w:t>odstotkov</w:t>
      </w:r>
      <w:r w:rsidRPr="00D2148C">
        <w:rPr>
          <w:rFonts w:cstheme="minorHAnsi"/>
          <w:b/>
        </w:rPr>
        <w:t xml:space="preserve"> </w:t>
      </w:r>
      <w:r w:rsidR="003A785C" w:rsidRPr="00D2148C">
        <w:rPr>
          <w:rFonts w:cstheme="minorHAnsi"/>
          <w:b/>
        </w:rPr>
        <w:t>v končni rabi energije</w:t>
      </w:r>
      <w:r w:rsidR="00234D70" w:rsidRPr="00D2148C">
        <w:rPr>
          <w:rFonts w:cstheme="minorHAnsi"/>
          <w:b/>
        </w:rPr>
        <w:t xml:space="preserve"> do 2030</w:t>
      </w:r>
      <w:r>
        <w:rPr>
          <w:rFonts w:cstheme="minorHAnsi"/>
          <w:b/>
        </w:rPr>
        <w:t>:</w:t>
      </w:r>
    </w:p>
    <w:p w14:paraId="62DF50FD" w14:textId="58971DAB" w:rsidR="005B2ED1" w:rsidRPr="00D2148C" w:rsidRDefault="00876CE8" w:rsidP="003F2D1F">
      <w:pPr>
        <w:pStyle w:val="Odstavekseznama"/>
        <w:widowControl w:val="0"/>
        <w:numPr>
          <w:ilvl w:val="0"/>
          <w:numId w:val="6"/>
        </w:numPr>
        <w:jc w:val="both"/>
        <w:rPr>
          <w:rFonts w:eastAsia="Times New Roman"/>
        </w:rPr>
      </w:pPr>
      <w:r>
        <w:rPr>
          <w:rFonts w:cstheme="minorHAnsi"/>
          <w:bCs/>
        </w:rPr>
        <w:t>V</w:t>
      </w:r>
      <w:r w:rsidR="005B2ED1" w:rsidRPr="00D2148C">
        <w:rPr>
          <w:rFonts w:cstheme="minorHAnsi"/>
          <w:bCs/>
        </w:rPr>
        <w:t>saj 55</w:t>
      </w:r>
      <w:r>
        <w:rPr>
          <w:rFonts w:cstheme="minorHAnsi"/>
          <w:bCs/>
        </w:rPr>
        <w:t xml:space="preserve"> </w:t>
      </w:r>
      <w:r w:rsidRPr="00876CE8">
        <w:rPr>
          <w:rFonts w:eastAsia="Times New Roman"/>
        </w:rPr>
        <w:t xml:space="preserve">odstotni </w:t>
      </w:r>
      <w:r w:rsidR="005B2ED1" w:rsidRPr="00D2148C">
        <w:rPr>
          <w:rFonts w:cstheme="minorHAnsi"/>
          <w:bCs/>
        </w:rPr>
        <w:t>delež OVE pri proizvodnji električne</w:t>
      </w:r>
      <w:r w:rsidR="005B2ED1" w:rsidRPr="00D2148C">
        <w:rPr>
          <w:rFonts w:eastAsia="Times New Roman"/>
        </w:rPr>
        <w:t xml:space="preserve"> energije (OVE je prednostna usmeritev pri proizvodnji električne energije)</w:t>
      </w:r>
      <w:r>
        <w:rPr>
          <w:rFonts w:eastAsia="Times New Roman"/>
        </w:rPr>
        <w:t>.</w:t>
      </w:r>
    </w:p>
    <w:p w14:paraId="2C32EDD3" w14:textId="09E87427" w:rsidR="005B2ED1" w:rsidRPr="00D2148C" w:rsidRDefault="00876CE8" w:rsidP="003F2D1F">
      <w:pPr>
        <w:pStyle w:val="Odstavekseznama"/>
        <w:widowControl w:val="0"/>
        <w:numPr>
          <w:ilvl w:val="0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V</w:t>
      </w:r>
      <w:r w:rsidR="005B2ED1" w:rsidRPr="00D2148C">
        <w:rPr>
          <w:rFonts w:eastAsia="Times New Roman"/>
        </w:rPr>
        <w:t>saj 45</w:t>
      </w:r>
      <w:r>
        <w:rPr>
          <w:rFonts w:eastAsia="Times New Roman"/>
        </w:rPr>
        <w:t xml:space="preserve"> </w:t>
      </w:r>
      <w:r w:rsidRPr="00876CE8">
        <w:rPr>
          <w:rFonts w:eastAsia="Times New Roman"/>
        </w:rPr>
        <w:t>odstotni</w:t>
      </w:r>
      <w:r w:rsidR="005B2ED1" w:rsidRPr="00D2148C">
        <w:rPr>
          <w:rFonts w:eastAsia="Times New Roman"/>
        </w:rPr>
        <w:t xml:space="preserve"> delež OVE pri ogrevanju in hlajenju</w:t>
      </w:r>
      <w:r>
        <w:rPr>
          <w:rFonts w:eastAsia="Times New Roman"/>
        </w:rPr>
        <w:t>.</w:t>
      </w:r>
    </w:p>
    <w:p w14:paraId="38DA916B" w14:textId="0494DEC6" w:rsidR="005B2ED1" w:rsidRPr="00D2148C" w:rsidRDefault="00876CE8" w:rsidP="003F2D1F">
      <w:pPr>
        <w:pStyle w:val="Odstavekseznama"/>
        <w:widowControl w:val="0"/>
        <w:numPr>
          <w:ilvl w:val="0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V</w:t>
      </w:r>
      <w:r w:rsidR="005B2ED1" w:rsidRPr="00D2148C">
        <w:rPr>
          <w:rFonts w:eastAsia="Times New Roman"/>
        </w:rPr>
        <w:t>saj 26</w:t>
      </w:r>
      <w:r>
        <w:rPr>
          <w:rFonts w:eastAsia="Times New Roman"/>
        </w:rPr>
        <w:t xml:space="preserve"> </w:t>
      </w:r>
      <w:r w:rsidRPr="00876CE8">
        <w:rPr>
          <w:rFonts w:eastAsia="Times New Roman"/>
        </w:rPr>
        <w:t xml:space="preserve">odstotni </w:t>
      </w:r>
      <w:r w:rsidR="005B2ED1" w:rsidRPr="00D2148C">
        <w:rPr>
          <w:rFonts w:eastAsia="Times New Roman"/>
        </w:rPr>
        <w:t>delež OVE v prometu</w:t>
      </w:r>
      <w:r>
        <w:rPr>
          <w:rFonts w:eastAsia="Times New Roman"/>
        </w:rPr>
        <w:t>.</w:t>
      </w:r>
    </w:p>
    <w:p w14:paraId="14DCB47A" w14:textId="1B2BEB77" w:rsidR="003A785C" w:rsidRPr="0098011D" w:rsidRDefault="003A785C" w:rsidP="003F2D1F">
      <w:pPr>
        <w:pStyle w:val="Odstavekseznama"/>
        <w:ind w:left="360"/>
        <w:jc w:val="both"/>
        <w:rPr>
          <w:rFonts w:eastAsia="Times New Roman"/>
        </w:rPr>
      </w:pPr>
    </w:p>
    <w:p w14:paraId="6F669837" w14:textId="60E71AD4" w:rsidR="00876CE8" w:rsidRDefault="00B818FB" w:rsidP="003F2D1F">
      <w:pPr>
        <w:jc w:val="both"/>
        <w:rPr>
          <w:rFonts w:cstheme="minorHAnsi"/>
          <w:b/>
          <w:bCs/>
        </w:rPr>
      </w:pPr>
      <w:r w:rsidRPr="00D2148C">
        <w:rPr>
          <w:rFonts w:cstheme="minorHAnsi"/>
          <w:b/>
          <w:bCs/>
        </w:rPr>
        <w:t>URE</w:t>
      </w:r>
      <w:r w:rsidR="00876CE8">
        <w:rPr>
          <w:rFonts w:cstheme="minorHAnsi"/>
          <w:b/>
          <w:bCs/>
        </w:rPr>
        <w:t xml:space="preserve"> </w:t>
      </w:r>
    </w:p>
    <w:p w14:paraId="33552265" w14:textId="77777777" w:rsidR="00876CE8" w:rsidRDefault="00876CE8" w:rsidP="003F2D1F">
      <w:pPr>
        <w:jc w:val="both"/>
        <w:rPr>
          <w:rFonts w:cstheme="minorHAnsi"/>
          <w:b/>
          <w:bCs/>
        </w:rPr>
      </w:pPr>
    </w:p>
    <w:p w14:paraId="28FD9BEC" w14:textId="2AE48FAD" w:rsidR="006E641B" w:rsidRDefault="00876CE8" w:rsidP="003F2D1F">
      <w:pPr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="003A785C" w:rsidRPr="00D2148C">
        <w:rPr>
          <w:rFonts w:cstheme="minorHAnsi"/>
        </w:rPr>
        <w:t xml:space="preserve">istematično izvajanje ukrepov, </w:t>
      </w:r>
      <w:r w:rsidR="003A785C" w:rsidRPr="00D2148C">
        <w:rPr>
          <w:rFonts w:cstheme="minorHAnsi"/>
          <w:b/>
          <w:bCs/>
        </w:rPr>
        <w:t>da</w:t>
      </w:r>
      <w:r w:rsidR="003A785C" w:rsidRPr="00D2148C">
        <w:rPr>
          <w:rFonts w:cstheme="minorHAnsi"/>
        </w:rPr>
        <w:t xml:space="preserve"> </w:t>
      </w:r>
      <w:r w:rsidR="003A785C" w:rsidRPr="00D2148C">
        <w:rPr>
          <w:rFonts w:cstheme="minorHAnsi"/>
          <w:b/>
          <w:bCs/>
        </w:rPr>
        <w:t xml:space="preserve">raba končne energije ne bo presegla </w:t>
      </w:r>
      <w:r w:rsidR="00B0310A" w:rsidRPr="00D2148C">
        <w:rPr>
          <w:rFonts w:cstheme="minorHAnsi"/>
          <w:b/>
          <w:bCs/>
        </w:rPr>
        <w:t>50,2</w:t>
      </w:r>
      <w:r w:rsidR="003A785C" w:rsidRPr="00D2148C">
        <w:rPr>
          <w:rFonts w:cstheme="minorHAnsi"/>
          <w:b/>
          <w:bCs/>
        </w:rPr>
        <w:t xml:space="preserve"> </w:t>
      </w:r>
      <w:proofErr w:type="spellStart"/>
      <w:r w:rsidR="003A785C" w:rsidRPr="00D2148C">
        <w:rPr>
          <w:rFonts w:cstheme="minorHAnsi"/>
          <w:b/>
          <w:bCs/>
        </w:rPr>
        <w:t>TWh</w:t>
      </w:r>
      <w:proofErr w:type="spellEnd"/>
      <w:r w:rsidR="00B0310A" w:rsidRPr="00D2148C">
        <w:rPr>
          <w:rFonts w:cstheme="minorHAnsi"/>
          <w:b/>
          <w:bCs/>
        </w:rPr>
        <w:t xml:space="preserve"> (4</w:t>
      </w:r>
      <w:r w:rsidR="00625704">
        <w:rPr>
          <w:rFonts w:cstheme="minorHAnsi"/>
          <w:b/>
          <w:bCs/>
        </w:rPr>
        <w:t>.</w:t>
      </w:r>
      <w:r w:rsidR="00B0310A" w:rsidRPr="00D2148C">
        <w:rPr>
          <w:rFonts w:cstheme="minorHAnsi"/>
          <w:b/>
          <w:bCs/>
        </w:rPr>
        <w:t xml:space="preserve">320 </w:t>
      </w:r>
      <w:proofErr w:type="spellStart"/>
      <w:r w:rsidR="00B0310A" w:rsidRPr="00D2148C">
        <w:rPr>
          <w:rFonts w:cstheme="minorHAnsi"/>
          <w:b/>
          <w:bCs/>
        </w:rPr>
        <w:t>ktoe</w:t>
      </w:r>
      <w:proofErr w:type="spellEnd"/>
      <w:r w:rsidR="00B0310A" w:rsidRPr="00D2148C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:</w:t>
      </w:r>
      <w:r w:rsidR="006E641B">
        <w:rPr>
          <w:rFonts w:cstheme="minorHAnsi"/>
          <w:b/>
          <w:bCs/>
        </w:rPr>
        <w:t xml:space="preserve"> </w:t>
      </w:r>
    </w:p>
    <w:p w14:paraId="3D4F7FDC" w14:textId="2C7A6F7F" w:rsidR="003A785C" w:rsidRPr="006E641B" w:rsidRDefault="006E641B" w:rsidP="006E641B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 w:rsidRPr="006E641B">
        <w:rPr>
          <w:rFonts w:cstheme="minorHAnsi"/>
        </w:rPr>
        <w:t xml:space="preserve">zmanjšanje za </w:t>
      </w:r>
      <w:r w:rsidR="00B75423" w:rsidRPr="006E641B">
        <w:rPr>
          <w:rFonts w:cstheme="minorHAnsi"/>
        </w:rPr>
        <w:t xml:space="preserve">11,1 </w:t>
      </w:r>
      <w:r w:rsidR="00876CE8">
        <w:rPr>
          <w:rFonts w:cstheme="minorHAnsi"/>
        </w:rPr>
        <w:t xml:space="preserve">odstotka </w:t>
      </w:r>
      <w:r w:rsidRPr="006E641B">
        <w:rPr>
          <w:rFonts w:cstheme="minorHAnsi"/>
        </w:rPr>
        <w:t>glede na referenčni scenarij 2020</w:t>
      </w:r>
      <w:r w:rsidR="00876CE8">
        <w:rPr>
          <w:rFonts w:cstheme="minorHAnsi"/>
        </w:rPr>
        <w:t>,</w:t>
      </w:r>
    </w:p>
    <w:p w14:paraId="77854DE4" w14:textId="701422D7" w:rsidR="0095467D" w:rsidRDefault="0095467D" w:rsidP="003F2D1F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sledimo načelu »</w:t>
      </w:r>
      <w:r w:rsidRPr="00625704">
        <w:rPr>
          <w:rFonts w:cstheme="minorHAnsi"/>
        </w:rPr>
        <w:t>energetska učinkovitost na prvem mestu</w:t>
      </w:r>
      <w:r>
        <w:rPr>
          <w:rFonts w:cstheme="minorHAnsi"/>
        </w:rPr>
        <w:t>«</w:t>
      </w:r>
      <w:r w:rsidR="00876CE8">
        <w:rPr>
          <w:rFonts w:cstheme="minorHAnsi"/>
        </w:rPr>
        <w:t>,</w:t>
      </w:r>
    </w:p>
    <w:p w14:paraId="26425C8D" w14:textId="4F898BCA" w:rsidR="00B0310A" w:rsidRDefault="00B0310A" w:rsidP="003F2D1F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 w:rsidRPr="00AB6D3C">
        <w:rPr>
          <w:rFonts w:cstheme="minorHAnsi"/>
          <w:b/>
          <w:bCs/>
        </w:rPr>
        <w:t>zmanjšanje rabe končne energije v stavbah za 15</w:t>
      </w:r>
      <w:r w:rsidR="00876CE8">
        <w:rPr>
          <w:rFonts w:cstheme="minorHAnsi"/>
          <w:b/>
          <w:bCs/>
        </w:rPr>
        <w:t xml:space="preserve"> odstotkov </w:t>
      </w:r>
      <w:r w:rsidRPr="00AB6D3C">
        <w:rPr>
          <w:rFonts w:cstheme="minorHAnsi"/>
          <w:b/>
          <w:bCs/>
        </w:rPr>
        <w:t>do 2030</w:t>
      </w:r>
      <w:r>
        <w:rPr>
          <w:rFonts w:cstheme="minorHAnsi"/>
        </w:rPr>
        <w:t xml:space="preserve"> glede na leto 2020</w:t>
      </w:r>
      <w:r w:rsidR="00876CE8">
        <w:rPr>
          <w:rFonts w:cstheme="minorHAnsi"/>
        </w:rPr>
        <w:t>,</w:t>
      </w:r>
    </w:p>
    <w:p w14:paraId="7635778C" w14:textId="6AC49D9F" w:rsidR="00625704" w:rsidRDefault="0046150C" w:rsidP="003F2D1F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zmanjšanje rabe končne energije v javnem sektorju do 2030 za </w:t>
      </w:r>
      <w:r w:rsidRPr="0046150C">
        <w:rPr>
          <w:rFonts w:cstheme="minorHAnsi"/>
          <w:b/>
          <w:bCs/>
        </w:rPr>
        <w:t>1,9</w:t>
      </w:r>
      <w:r w:rsidR="00876CE8">
        <w:rPr>
          <w:rFonts w:cstheme="minorHAnsi"/>
          <w:b/>
          <w:bCs/>
        </w:rPr>
        <w:t xml:space="preserve"> odstotka </w:t>
      </w:r>
      <w:r>
        <w:rPr>
          <w:rFonts w:cstheme="minorHAnsi"/>
        </w:rPr>
        <w:t>letno</w:t>
      </w:r>
      <w:r w:rsidR="00F75925">
        <w:rPr>
          <w:rFonts w:cstheme="minorHAnsi"/>
        </w:rPr>
        <w:t xml:space="preserve"> glede na izhodiščno leto</w:t>
      </w:r>
      <w:r w:rsidR="00876CE8">
        <w:rPr>
          <w:rFonts w:cstheme="minorHAnsi"/>
        </w:rPr>
        <w:t>,</w:t>
      </w:r>
    </w:p>
    <w:p w14:paraId="5CAD531A" w14:textId="13DFC36B" w:rsidR="00F75925" w:rsidRDefault="00F75925" w:rsidP="003F2D1F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letna prenova 3</w:t>
      </w:r>
      <w:r w:rsidR="00876CE8">
        <w:rPr>
          <w:rFonts w:cstheme="minorHAnsi"/>
        </w:rPr>
        <w:t xml:space="preserve"> odstotkov </w:t>
      </w:r>
      <w:r>
        <w:rPr>
          <w:rFonts w:cstheme="minorHAnsi"/>
        </w:rPr>
        <w:t>skupne tlorisne površine stavb v javnem sektorju</w:t>
      </w:r>
      <w:r w:rsidR="00876CE8">
        <w:rPr>
          <w:rFonts w:cstheme="minorHAnsi"/>
        </w:rPr>
        <w:t>.</w:t>
      </w:r>
    </w:p>
    <w:p w14:paraId="4C886835" w14:textId="77777777" w:rsidR="00746AD3" w:rsidRDefault="00746AD3" w:rsidP="003F2D1F">
      <w:pPr>
        <w:pStyle w:val="Odstavekseznama"/>
        <w:ind w:left="0"/>
        <w:jc w:val="both"/>
        <w:rPr>
          <w:rFonts w:cstheme="minorHAnsi"/>
          <w:b/>
          <w:bCs/>
        </w:rPr>
      </w:pPr>
    </w:p>
    <w:p w14:paraId="1E4A9A1E" w14:textId="73E2EAB3" w:rsidR="0046150C" w:rsidRDefault="00D2148C" w:rsidP="003F2D1F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</w:t>
      </w:r>
      <w:r w:rsidR="0046150C" w:rsidRPr="0046150C">
        <w:rPr>
          <w:rFonts w:cstheme="minorHAnsi"/>
          <w:b/>
          <w:bCs/>
        </w:rPr>
        <w:t>nergetska varnost</w:t>
      </w:r>
      <w:r w:rsidR="002A3346">
        <w:rPr>
          <w:rFonts w:cstheme="minorHAnsi"/>
          <w:b/>
          <w:bCs/>
        </w:rPr>
        <w:t xml:space="preserve"> in notranji trgi</w:t>
      </w:r>
    </w:p>
    <w:p w14:paraId="5073E551" w14:textId="77777777" w:rsidR="00B43809" w:rsidRPr="0046150C" w:rsidRDefault="00B43809" w:rsidP="003F2D1F">
      <w:pPr>
        <w:jc w:val="both"/>
        <w:rPr>
          <w:rFonts w:cstheme="minorHAnsi"/>
          <w:b/>
          <w:bCs/>
        </w:rPr>
      </w:pPr>
    </w:p>
    <w:p w14:paraId="66239DE4" w14:textId="208BE1A8" w:rsidR="0046150C" w:rsidRDefault="00876CE8" w:rsidP="003F2D1F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Z</w:t>
      </w:r>
      <w:r w:rsidR="0046150C">
        <w:rPr>
          <w:rFonts w:cstheme="minorHAnsi"/>
        </w:rPr>
        <w:t>agotavljanje zanesljive in konkurenčne oskrbe z energijo</w:t>
      </w:r>
      <w:r w:rsidR="002A3346">
        <w:rPr>
          <w:rFonts w:cstheme="minorHAnsi"/>
        </w:rPr>
        <w:t xml:space="preserve"> - </w:t>
      </w:r>
      <w:r w:rsidR="002A3346" w:rsidRPr="00AB6D3C">
        <w:rPr>
          <w:rFonts w:cstheme="minorHAnsi"/>
          <w:b/>
          <w:bCs/>
        </w:rPr>
        <w:t>diverzifikacija dobavnih virov in poti, proizvodnih zmogljivosti, lokacij, tehnologij in energentov</w:t>
      </w:r>
      <w:r w:rsidR="002A3346" w:rsidRPr="002A3346">
        <w:rPr>
          <w:rFonts w:cstheme="minorHAnsi"/>
        </w:rPr>
        <w:t xml:space="preserve"> pri oskrbi z energijo</w:t>
      </w:r>
      <w:r>
        <w:rPr>
          <w:rFonts w:cstheme="minorHAnsi"/>
        </w:rPr>
        <w:t>.</w:t>
      </w:r>
    </w:p>
    <w:p w14:paraId="5CB4308C" w14:textId="13FD5566" w:rsidR="00876CE8" w:rsidRPr="00876CE8" w:rsidRDefault="00876CE8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lastRenderedPageBreak/>
        <w:t>V</w:t>
      </w:r>
      <w:r w:rsidR="0046150C" w:rsidRPr="002A3346">
        <w:rPr>
          <w:rFonts w:cstheme="minorHAnsi"/>
        </w:rPr>
        <w:t>saj 85</w:t>
      </w:r>
      <w:r>
        <w:rPr>
          <w:rFonts w:cstheme="minorHAnsi"/>
        </w:rPr>
        <w:t xml:space="preserve"> odstotkov </w:t>
      </w:r>
      <w:r w:rsidR="0046150C" w:rsidRPr="002A3346">
        <w:rPr>
          <w:rFonts w:cstheme="minorHAnsi"/>
        </w:rPr>
        <w:t xml:space="preserve">oskrbe z </w:t>
      </w:r>
      <w:r>
        <w:rPr>
          <w:rFonts w:cstheme="minorHAnsi"/>
        </w:rPr>
        <w:t>električno energijo</w:t>
      </w:r>
      <w:r w:rsidR="0046150C" w:rsidRPr="002A3346">
        <w:rPr>
          <w:rFonts w:cstheme="minorHAnsi"/>
        </w:rPr>
        <w:t xml:space="preserve"> iz proizvodnih naprav v Sloveniji do 2030 in 100% do leta 2040</w:t>
      </w:r>
      <w:r w:rsidR="002A3346" w:rsidRPr="002A3346">
        <w:rPr>
          <w:rFonts w:cstheme="minorHAnsi"/>
        </w:rPr>
        <w:t xml:space="preserve"> ter</w:t>
      </w:r>
      <w:r w:rsidR="002A3346">
        <w:rPr>
          <w:rFonts w:cstheme="minorHAnsi"/>
          <w:b/>
          <w:bCs/>
        </w:rPr>
        <w:t xml:space="preserve"> </w:t>
      </w:r>
      <w:r w:rsidR="0046150C" w:rsidRPr="00AB6D3C">
        <w:rPr>
          <w:rFonts w:cstheme="minorHAnsi"/>
          <w:b/>
          <w:bCs/>
        </w:rPr>
        <w:t>zagotavljanje zadostnih proizvodnih zmogljivosti</w:t>
      </w:r>
      <w:r>
        <w:rPr>
          <w:rFonts w:cstheme="minorHAnsi"/>
          <w:b/>
          <w:bCs/>
        </w:rPr>
        <w:t>.</w:t>
      </w:r>
    </w:p>
    <w:p w14:paraId="07547999" w14:textId="307C5635" w:rsidR="0046150C" w:rsidRPr="002A3346" w:rsidRDefault="00876CE8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V</w:t>
      </w:r>
      <w:r w:rsidR="002A3346" w:rsidRPr="002A3346">
        <w:rPr>
          <w:rFonts w:cstheme="minorHAnsi"/>
        </w:rPr>
        <w:t xml:space="preserve">saj </w:t>
      </w:r>
      <w:r w:rsidR="00C4558A">
        <w:rPr>
          <w:rFonts w:cstheme="minorHAnsi"/>
        </w:rPr>
        <w:t>75</w:t>
      </w:r>
      <w:r w:rsidR="002A3346" w:rsidRPr="002A3346">
        <w:rPr>
          <w:rFonts w:cstheme="minorHAnsi"/>
        </w:rPr>
        <w:t xml:space="preserve"> </w:t>
      </w:r>
      <w:r>
        <w:rPr>
          <w:rFonts w:cstheme="minorHAnsi"/>
        </w:rPr>
        <w:t xml:space="preserve">odstotkov </w:t>
      </w:r>
      <w:r w:rsidR="002A3346" w:rsidRPr="002A3346">
        <w:rPr>
          <w:rFonts w:cstheme="minorHAnsi"/>
        </w:rPr>
        <w:t>potrebne moči v kritičnih urah obremenitev prenosnega elektroenergetskega omrežja z domačimi proizvodnimi kapacitetami</w:t>
      </w:r>
      <w:r>
        <w:rPr>
          <w:rFonts w:cstheme="minorHAnsi"/>
        </w:rPr>
        <w:t>,</w:t>
      </w:r>
    </w:p>
    <w:p w14:paraId="2CF9BE63" w14:textId="5A63FF75" w:rsidR="002A3346" w:rsidRPr="00AB6D3C" w:rsidRDefault="00876CE8" w:rsidP="003F2D1F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  <w:b/>
          <w:bCs/>
        </w:rPr>
        <w:t>N</w:t>
      </w:r>
      <w:r w:rsidR="002A3346" w:rsidRPr="00AB6D3C">
        <w:rPr>
          <w:rFonts w:cstheme="minorHAnsi"/>
          <w:b/>
          <w:bCs/>
        </w:rPr>
        <w:t xml:space="preserve">adaljevanje izkoriščanja jedrske energije </w:t>
      </w:r>
      <w:r w:rsidR="002A3346" w:rsidRPr="00E5196F">
        <w:rPr>
          <w:rFonts w:cstheme="minorHAnsi"/>
        </w:rPr>
        <w:t xml:space="preserve">in </w:t>
      </w:r>
      <w:r w:rsidR="002A3346" w:rsidRPr="00F75925">
        <w:rPr>
          <w:rFonts w:cstheme="minorHAnsi"/>
        </w:rPr>
        <w:t xml:space="preserve">čim prej </w:t>
      </w:r>
      <w:r w:rsidR="00F75925" w:rsidRPr="00AB6D3C">
        <w:rPr>
          <w:rFonts w:cstheme="minorHAnsi"/>
        </w:rPr>
        <w:t>in ne pozneje kot leta 202</w:t>
      </w:r>
      <w:r w:rsidR="0060666A">
        <w:rPr>
          <w:rFonts w:cstheme="minorHAnsi"/>
        </w:rPr>
        <w:t>8</w:t>
      </w:r>
      <w:r w:rsidR="00F75925">
        <w:rPr>
          <w:rFonts w:cstheme="minorHAnsi"/>
          <w:b/>
          <w:bCs/>
        </w:rPr>
        <w:t xml:space="preserve"> sprejeti kakovostno in transparentno</w:t>
      </w:r>
      <w:r w:rsidR="00E5196F">
        <w:rPr>
          <w:rFonts w:cstheme="minorHAnsi"/>
        </w:rPr>
        <w:t xml:space="preserve"> </w:t>
      </w:r>
      <w:r w:rsidR="002A3346" w:rsidRPr="00AB6D3C">
        <w:rPr>
          <w:rFonts w:cstheme="minorHAnsi"/>
          <w:b/>
          <w:bCs/>
        </w:rPr>
        <w:t>odločitev o gradnji nove jedrske elektrarne</w:t>
      </w:r>
      <w:r w:rsidR="00FA761D">
        <w:rPr>
          <w:rFonts w:cstheme="minorHAnsi"/>
          <w:b/>
          <w:bCs/>
        </w:rPr>
        <w:t>.</w:t>
      </w:r>
    </w:p>
    <w:p w14:paraId="37A4ACF4" w14:textId="0101DFE7" w:rsidR="002A3346" w:rsidRPr="0046150C" w:rsidRDefault="00FA761D" w:rsidP="002A3346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  <w:b/>
          <w:bCs/>
        </w:rPr>
        <w:t>P</w:t>
      </w:r>
      <w:r w:rsidR="002A3346" w:rsidRPr="00C67597">
        <w:rPr>
          <w:rFonts w:cstheme="minorHAnsi"/>
          <w:b/>
          <w:bCs/>
        </w:rPr>
        <w:t>ospešen razvoj tehnologij, infrastrukture in storitev za shranjevanje energije</w:t>
      </w:r>
      <w:r w:rsidR="002A3346">
        <w:rPr>
          <w:rFonts w:cstheme="minorHAnsi"/>
        </w:rPr>
        <w:t xml:space="preserve"> (</w:t>
      </w:r>
      <w:r>
        <w:rPr>
          <w:rFonts w:cstheme="minorHAnsi"/>
        </w:rPr>
        <w:t xml:space="preserve">črpalne hidroelektrarne, </w:t>
      </w:r>
      <w:r w:rsidR="00B43809">
        <w:rPr>
          <w:rFonts w:cstheme="minorHAnsi"/>
        </w:rPr>
        <w:t xml:space="preserve">sistemi za hranjenje električne energije, </w:t>
      </w:r>
      <w:r w:rsidR="002A3346">
        <w:rPr>
          <w:rFonts w:cstheme="minorHAnsi"/>
        </w:rPr>
        <w:t>pretvorniki v vodik)</w:t>
      </w:r>
      <w:r w:rsidR="00E5196F">
        <w:rPr>
          <w:rFonts w:cstheme="minorHAnsi"/>
        </w:rPr>
        <w:t xml:space="preserve"> in prožnosti</w:t>
      </w:r>
      <w:r>
        <w:rPr>
          <w:rFonts w:cstheme="minorHAnsi"/>
        </w:rPr>
        <w:t>.</w:t>
      </w:r>
    </w:p>
    <w:p w14:paraId="62AFD8F5" w14:textId="74FC4D42" w:rsidR="0046150C" w:rsidRDefault="00B43809" w:rsidP="003F2D1F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  <w:b/>
          <w:bCs/>
        </w:rPr>
        <w:t>Z</w:t>
      </w:r>
      <w:r w:rsidR="0046150C" w:rsidRPr="00AB6D3C">
        <w:rPr>
          <w:rFonts w:cstheme="minorHAnsi"/>
          <w:b/>
          <w:bCs/>
        </w:rPr>
        <w:t>agotavljanje zanesljive in konkurenčne oskrbe s plini</w:t>
      </w:r>
      <w:r w:rsidR="00E5196F">
        <w:rPr>
          <w:rFonts w:cstheme="minorHAnsi"/>
        </w:rPr>
        <w:t>, postopni prehod na OVE in NO pline (vsaj 10</w:t>
      </w:r>
      <w:r>
        <w:rPr>
          <w:rFonts w:cstheme="minorHAnsi"/>
        </w:rPr>
        <w:t xml:space="preserve"> odstotkov </w:t>
      </w:r>
      <w:r w:rsidR="00E5196F">
        <w:rPr>
          <w:rFonts w:cstheme="minorHAnsi"/>
        </w:rPr>
        <w:t>do leta 2030)</w:t>
      </w:r>
      <w:r>
        <w:rPr>
          <w:rFonts w:cstheme="minorHAnsi"/>
        </w:rPr>
        <w:t>.</w:t>
      </w:r>
    </w:p>
    <w:p w14:paraId="65BBFD3E" w14:textId="2672738B" w:rsidR="0046150C" w:rsidRDefault="00B43809" w:rsidP="003F2D1F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Z</w:t>
      </w:r>
      <w:r w:rsidR="0046150C">
        <w:rPr>
          <w:rFonts w:cstheme="minorHAnsi"/>
        </w:rPr>
        <w:t>manjševanje uvozne odvisnosti tudi z domačo proizvodnjo</w:t>
      </w:r>
      <w:r w:rsidR="00E5196F">
        <w:rPr>
          <w:rFonts w:cstheme="minorHAnsi"/>
        </w:rPr>
        <w:t xml:space="preserve"> </w:t>
      </w:r>
      <w:r w:rsidR="0046150C">
        <w:rPr>
          <w:rFonts w:cstheme="minorHAnsi"/>
        </w:rPr>
        <w:t xml:space="preserve">obnovljivih in </w:t>
      </w:r>
      <w:proofErr w:type="spellStart"/>
      <w:r w:rsidR="0046150C">
        <w:rPr>
          <w:rFonts w:cstheme="minorHAnsi"/>
        </w:rPr>
        <w:t>nizkooglj</w:t>
      </w:r>
      <w:r>
        <w:rPr>
          <w:rFonts w:cstheme="minorHAnsi"/>
        </w:rPr>
        <w:t>ičnih</w:t>
      </w:r>
      <w:proofErr w:type="spellEnd"/>
      <w:r w:rsidR="0046150C">
        <w:rPr>
          <w:rFonts w:cstheme="minorHAnsi"/>
        </w:rPr>
        <w:t xml:space="preserve"> plinastih in tekočih goriv (do 2030 vsaj 5</w:t>
      </w:r>
      <w:r>
        <w:rPr>
          <w:rFonts w:cstheme="minorHAnsi"/>
        </w:rPr>
        <w:t xml:space="preserve"> odstotni</w:t>
      </w:r>
      <w:r w:rsidR="0046150C">
        <w:rPr>
          <w:rFonts w:cstheme="minorHAnsi"/>
        </w:rPr>
        <w:t xml:space="preserve"> delež plinastih goriv in 1</w:t>
      </w:r>
      <w:r>
        <w:rPr>
          <w:rFonts w:cstheme="minorHAnsi"/>
        </w:rPr>
        <w:t xml:space="preserve"> odstotek</w:t>
      </w:r>
      <w:r w:rsidR="0046150C">
        <w:rPr>
          <w:rFonts w:cstheme="minorHAnsi"/>
        </w:rPr>
        <w:t xml:space="preserve"> tekočih goriv iz virov v S</w:t>
      </w:r>
      <w:r>
        <w:rPr>
          <w:rFonts w:cstheme="minorHAnsi"/>
        </w:rPr>
        <w:t>loveniji</w:t>
      </w:r>
      <w:r w:rsidR="0046150C">
        <w:rPr>
          <w:rFonts w:cstheme="minorHAnsi"/>
        </w:rPr>
        <w:t>)</w:t>
      </w:r>
      <w:r>
        <w:rPr>
          <w:rFonts w:cstheme="minorHAnsi"/>
        </w:rPr>
        <w:t>.</w:t>
      </w:r>
    </w:p>
    <w:p w14:paraId="670B974A" w14:textId="1793B156" w:rsidR="002A3346" w:rsidRPr="00AB6D3C" w:rsidRDefault="00B43809" w:rsidP="003F2D1F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Z</w:t>
      </w:r>
      <w:r w:rsidR="002A3346" w:rsidRPr="002A3346">
        <w:rPr>
          <w:rFonts w:cstheme="minorHAnsi"/>
        </w:rPr>
        <w:t xml:space="preserve">agotoviti dodatne finančne, človeške in tehnične vire za </w:t>
      </w:r>
      <w:r w:rsidR="002A3346" w:rsidRPr="00AB6D3C">
        <w:rPr>
          <w:rFonts w:cstheme="minorHAnsi"/>
          <w:b/>
          <w:bCs/>
        </w:rPr>
        <w:t>pospešitev celovitega razvoja in vodenja omrežja za distribucijo električne energije</w:t>
      </w:r>
      <w:r>
        <w:rPr>
          <w:rFonts w:cstheme="minorHAnsi"/>
          <w:b/>
          <w:bCs/>
        </w:rPr>
        <w:t>.</w:t>
      </w:r>
    </w:p>
    <w:p w14:paraId="399F1D3D" w14:textId="3C6E5360" w:rsidR="00E949C5" w:rsidRPr="00E949C5" w:rsidRDefault="00B43809" w:rsidP="00E949C5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O</w:t>
      </w:r>
      <w:r w:rsidR="00E5196F" w:rsidRPr="00E949C5">
        <w:rPr>
          <w:rFonts w:cstheme="minorHAnsi"/>
        </w:rPr>
        <w:t xml:space="preserve">mogočiti </w:t>
      </w:r>
      <w:r w:rsidR="00E5196F" w:rsidRPr="00AB6D3C">
        <w:rPr>
          <w:rFonts w:cstheme="minorHAnsi"/>
          <w:b/>
          <w:bCs/>
        </w:rPr>
        <w:t>blaženje in zmanjševanje energetske revščine</w:t>
      </w:r>
      <w:r w:rsidR="00E5196F" w:rsidRPr="00E949C5">
        <w:rPr>
          <w:rFonts w:cstheme="minorHAnsi"/>
          <w:b/>
          <w:bCs/>
        </w:rPr>
        <w:t xml:space="preserve"> </w:t>
      </w:r>
      <w:r w:rsidR="00E5196F" w:rsidRPr="00AB6D3C">
        <w:rPr>
          <w:rFonts w:cstheme="minorHAnsi"/>
        </w:rPr>
        <w:t>s ciljem zmanjšanja deleža energetsko revnih gospodinjstev do leta 2030 do vrednosti največ med 4,6 in 3,8</w:t>
      </w:r>
      <w:r>
        <w:rPr>
          <w:rFonts w:cstheme="minorHAnsi"/>
        </w:rPr>
        <w:t xml:space="preserve"> odstotka</w:t>
      </w:r>
      <w:r w:rsidR="00E949C5" w:rsidRPr="00E949C5">
        <w:rPr>
          <w:rFonts w:cstheme="minorHAnsi"/>
        </w:rPr>
        <w:t xml:space="preserve">: izvesti naložbe </w:t>
      </w:r>
      <w:r>
        <w:rPr>
          <w:rFonts w:cstheme="minorHAnsi"/>
        </w:rPr>
        <w:t xml:space="preserve">v </w:t>
      </w:r>
      <w:r w:rsidR="00E949C5" w:rsidRPr="00E949C5">
        <w:rPr>
          <w:rFonts w:cstheme="minorHAnsi"/>
        </w:rPr>
        <w:t>URE in OVE v</w:t>
      </w:r>
      <w:r w:rsidR="00E949C5">
        <w:rPr>
          <w:rFonts w:cstheme="minorHAnsi"/>
        </w:rPr>
        <w:t xml:space="preserve"> najmanj 8000 energetsko revnih gospodinjstvih do leta 2030.</w:t>
      </w:r>
    </w:p>
    <w:p w14:paraId="362BE8B5" w14:textId="77777777" w:rsidR="00D2148C" w:rsidRDefault="00D2148C" w:rsidP="003F2D1F">
      <w:pPr>
        <w:jc w:val="both"/>
        <w:rPr>
          <w:rFonts w:eastAsia="Times New Roman"/>
          <w:b/>
          <w:bCs/>
        </w:rPr>
      </w:pPr>
    </w:p>
    <w:p w14:paraId="7DD0899C" w14:textId="27804962" w:rsidR="003A785C" w:rsidRPr="00D2148C" w:rsidRDefault="00B818FB" w:rsidP="003F2D1F">
      <w:pPr>
        <w:jc w:val="both"/>
        <w:rPr>
          <w:rFonts w:eastAsia="Times New Roman"/>
        </w:rPr>
      </w:pPr>
      <w:r w:rsidRPr="00D2148C">
        <w:rPr>
          <w:rFonts w:eastAsia="Times New Roman"/>
          <w:b/>
          <w:bCs/>
        </w:rPr>
        <w:t>Raziskave, inovacije in konkurenčnost:</w:t>
      </w:r>
      <w:r w:rsidRPr="00D2148C">
        <w:rPr>
          <w:rFonts w:eastAsia="Times New Roman"/>
        </w:rPr>
        <w:t xml:space="preserve"> </w:t>
      </w:r>
      <w:r w:rsidR="000E0668" w:rsidRPr="00D2148C">
        <w:rPr>
          <w:rFonts w:eastAsia="Times New Roman"/>
        </w:rPr>
        <w:t xml:space="preserve">povečanje vlaganj v raziskave in razvoj </w:t>
      </w:r>
      <w:r w:rsidRPr="00D2148C">
        <w:rPr>
          <w:rFonts w:eastAsia="Times New Roman"/>
        </w:rPr>
        <w:t xml:space="preserve">na </w:t>
      </w:r>
      <w:r w:rsidR="000E0668" w:rsidRPr="00D2148C">
        <w:rPr>
          <w:rFonts w:eastAsia="Times New Roman"/>
        </w:rPr>
        <w:t>najmanj</w:t>
      </w:r>
      <w:r w:rsidR="000E0668" w:rsidRPr="00D2148C">
        <w:rPr>
          <w:rFonts w:eastAsia="Times New Roman"/>
          <w:b/>
          <w:bCs/>
        </w:rPr>
        <w:t xml:space="preserve"> 3,5</w:t>
      </w:r>
      <w:r w:rsidR="00F0226A">
        <w:rPr>
          <w:rFonts w:eastAsia="Times New Roman"/>
          <w:b/>
          <w:bCs/>
        </w:rPr>
        <w:t xml:space="preserve"> odstotka </w:t>
      </w:r>
      <w:r w:rsidR="000E0668" w:rsidRPr="00D2148C">
        <w:rPr>
          <w:rFonts w:eastAsia="Times New Roman"/>
          <w:b/>
          <w:bCs/>
        </w:rPr>
        <w:t>BDP</w:t>
      </w:r>
      <w:r w:rsidR="000E0668" w:rsidRPr="00D2148C">
        <w:rPr>
          <w:rFonts w:eastAsia="Times New Roman"/>
        </w:rPr>
        <w:t>, od tega 1,25</w:t>
      </w:r>
      <w:r w:rsidR="00F0226A">
        <w:rPr>
          <w:rFonts w:eastAsia="Times New Roman"/>
        </w:rPr>
        <w:t xml:space="preserve"> odstotka </w:t>
      </w:r>
      <w:r w:rsidR="000E0668" w:rsidRPr="00D2148C">
        <w:rPr>
          <w:rFonts w:eastAsia="Times New Roman"/>
        </w:rPr>
        <w:t>BDP javnih sredstev do leta 2030</w:t>
      </w:r>
      <w:r w:rsidR="00F0226A">
        <w:rPr>
          <w:rFonts w:eastAsia="Times New Roman"/>
        </w:rPr>
        <w:t>.</w:t>
      </w:r>
    </w:p>
    <w:p w14:paraId="0EF7D03B" w14:textId="77777777" w:rsidR="00B818FB" w:rsidRDefault="00B818FB" w:rsidP="003F2D1F">
      <w:pPr>
        <w:jc w:val="both"/>
        <w:rPr>
          <w:rFonts w:eastAsia="Times New Roman"/>
          <w:b/>
          <w:bCs/>
        </w:rPr>
      </w:pPr>
    </w:p>
    <w:p w14:paraId="07F3B953" w14:textId="77777777" w:rsidR="003F2D1F" w:rsidRDefault="003F2D1F" w:rsidP="003F2D1F">
      <w:pPr>
        <w:jc w:val="both"/>
        <w:rPr>
          <w:rFonts w:cs="Tahoma"/>
          <w:b/>
          <w:bCs/>
        </w:rPr>
      </w:pPr>
      <w:r w:rsidRPr="003F2D1F">
        <w:rPr>
          <w:rFonts w:cs="Tahoma"/>
          <w:b/>
          <w:bCs/>
        </w:rPr>
        <w:t>Nekateri drugi cilji</w:t>
      </w:r>
    </w:p>
    <w:p w14:paraId="367A2E83" w14:textId="77777777" w:rsidR="00F0226A" w:rsidRPr="003F2D1F" w:rsidRDefault="00F0226A" w:rsidP="003F2D1F">
      <w:pPr>
        <w:jc w:val="both"/>
        <w:rPr>
          <w:rFonts w:cs="Tahoma"/>
          <w:b/>
          <w:bCs/>
        </w:rPr>
      </w:pPr>
    </w:p>
    <w:p w14:paraId="72A1D77A" w14:textId="677DE7FC" w:rsidR="003F2D1F" w:rsidRDefault="00F0226A" w:rsidP="003F2D1F">
      <w:pPr>
        <w:pStyle w:val="Odstavekseznama"/>
        <w:widowControl w:val="0"/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3F2D1F" w:rsidRPr="003F2D1F">
        <w:rPr>
          <w:rFonts w:eastAsia="Times New Roman"/>
        </w:rPr>
        <w:t xml:space="preserve">ospešeno umeščanje OVE </w:t>
      </w:r>
      <w:r w:rsidR="00E5196F">
        <w:rPr>
          <w:rFonts w:eastAsia="Times New Roman"/>
        </w:rPr>
        <w:t xml:space="preserve">in </w:t>
      </w:r>
      <w:r w:rsidR="00E5196F" w:rsidRPr="00E5196F">
        <w:rPr>
          <w:rFonts w:eastAsia="Times New Roman"/>
        </w:rPr>
        <w:t xml:space="preserve">elektroenergetske infrastrukture </w:t>
      </w:r>
      <w:r w:rsidR="003F2D1F" w:rsidRPr="003F2D1F">
        <w:rPr>
          <w:rFonts w:eastAsia="Times New Roman"/>
        </w:rPr>
        <w:t>v prostor</w:t>
      </w:r>
      <w:r>
        <w:rPr>
          <w:rFonts w:eastAsia="Times New Roman"/>
        </w:rPr>
        <w:t>.</w:t>
      </w:r>
    </w:p>
    <w:p w14:paraId="6649C90D" w14:textId="62AF7997" w:rsidR="003F2D1F" w:rsidRPr="003F2D1F" w:rsidRDefault="00F0226A" w:rsidP="003F2D1F">
      <w:pPr>
        <w:pStyle w:val="Odstavekseznama"/>
        <w:widowControl w:val="0"/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3F2D1F" w:rsidRPr="003F2D1F">
        <w:rPr>
          <w:rFonts w:eastAsia="Times New Roman"/>
        </w:rPr>
        <w:t>ospešena solarizacija streh v javnem sektorju</w:t>
      </w:r>
      <w:r>
        <w:rPr>
          <w:rFonts w:eastAsia="Times New Roman"/>
        </w:rPr>
        <w:t>.</w:t>
      </w:r>
    </w:p>
    <w:p w14:paraId="37B2E44B" w14:textId="5D06CFD3" w:rsidR="003F2D1F" w:rsidRPr="003F2D1F" w:rsidRDefault="00F0226A" w:rsidP="003F2D1F">
      <w:pPr>
        <w:pStyle w:val="Odstavekseznama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3F2D1F" w:rsidRPr="003F2D1F">
        <w:rPr>
          <w:rFonts w:cstheme="minorHAnsi"/>
        </w:rPr>
        <w:t>višanje stopnje energijskih prenov stavb (postopne celovite prenove, trajnostna prenova, višina subv</w:t>
      </w:r>
      <w:r>
        <w:rPr>
          <w:rFonts w:cstheme="minorHAnsi"/>
        </w:rPr>
        <w:t xml:space="preserve">encije </w:t>
      </w:r>
      <w:r w:rsidR="003F2D1F" w:rsidRPr="003F2D1F">
        <w:rPr>
          <w:rFonts w:cstheme="minorHAnsi"/>
        </w:rPr>
        <w:t>odvisna od dohodkov)</w:t>
      </w:r>
      <w:r>
        <w:rPr>
          <w:rFonts w:cstheme="minorHAnsi"/>
        </w:rPr>
        <w:t>.</w:t>
      </w:r>
    </w:p>
    <w:p w14:paraId="529A261A" w14:textId="08350FFE" w:rsidR="003F2D1F" w:rsidRPr="003F2D1F" w:rsidRDefault="00F0226A" w:rsidP="003F2D1F">
      <w:pPr>
        <w:pStyle w:val="Odstavekseznama"/>
        <w:numPr>
          <w:ilvl w:val="0"/>
          <w:numId w:val="11"/>
        </w:numPr>
        <w:jc w:val="both"/>
        <w:rPr>
          <w:rFonts w:eastAsia="Times New Roman"/>
        </w:rPr>
      </w:pPr>
      <w:r>
        <w:rPr>
          <w:rFonts w:cstheme="minorHAnsi"/>
        </w:rPr>
        <w:t>P</w:t>
      </w:r>
      <w:r w:rsidR="003F2D1F" w:rsidRPr="003F2D1F">
        <w:rPr>
          <w:rFonts w:cstheme="minorHAnsi"/>
        </w:rPr>
        <w:t xml:space="preserve">ovečanje odpornosti elektrodistribucijskega omrežja proti motnjam; diverzifikacija proizvodnih virov, tehnologij in lokacij (OVE, JE, </w:t>
      </w:r>
      <w:proofErr w:type="spellStart"/>
      <w:r w:rsidR="003F2D1F" w:rsidRPr="003F2D1F">
        <w:rPr>
          <w:rFonts w:cstheme="minorHAnsi"/>
        </w:rPr>
        <w:t>nizkoogljični</w:t>
      </w:r>
      <w:proofErr w:type="spellEnd"/>
      <w:r w:rsidR="003F2D1F" w:rsidRPr="003F2D1F">
        <w:rPr>
          <w:rFonts w:cstheme="minorHAnsi"/>
        </w:rPr>
        <w:t xml:space="preserve"> viri)</w:t>
      </w:r>
      <w:r>
        <w:rPr>
          <w:rFonts w:cstheme="minorHAnsi"/>
        </w:rPr>
        <w:t>.</w:t>
      </w:r>
    </w:p>
    <w:p w14:paraId="76C89471" w14:textId="77777777" w:rsidR="003F2D1F" w:rsidRDefault="003F2D1F" w:rsidP="003F2D1F">
      <w:pPr>
        <w:jc w:val="both"/>
        <w:rPr>
          <w:rFonts w:eastAsia="Times New Roman"/>
          <w:b/>
          <w:bCs/>
        </w:rPr>
      </w:pPr>
    </w:p>
    <w:p w14:paraId="104ADB6F" w14:textId="1C21394E" w:rsidR="003A785C" w:rsidRDefault="00F0226A" w:rsidP="003F2D1F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J</w:t>
      </w:r>
      <w:r w:rsidRPr="00195422">
        <w:rPr>
          <w:rFonts w:eastAsia="Times New Roman"/>
          <w:b/>
          <w:bCs/>
        </w:rPr>
        <w:t>edrska energija</w:t>
      </w:r>
    </w:p>
    <w:p w14:paraId="10A08236" w14:textId="77777777" w:rsidR="00F0226A" w:rsidRPr="00195422" w:rsidRDefault="00F0226A" w:rsidP="003F2D1F">
      <w:pPr>
        <w:jc w:val="both"/>
        <w:rPr>
          <w:rFonts w:eastAsia="Times New Roman"/>
          <w:b/>
          <w:bCs/>
        </w:rPr>
      </w:pPr>
    </w:p>
    <w:p w14:paraId="7FDC60C3" w14:textId="4CE57CBD" w:rsidR="00195422" w:rsidRDefault="00F0226A" w:rsidP="003F2D1F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</w:rPr>
      </w:pPr>
      <w:r>
        <w:rPr>
          <w:rFonts w:eastAsia="Times New Roman"/>
        </w:rPr>
        <w:t>N</w:t>
      </w:r>
      <w:r w:rsidR="0046150C" w:rsidRPr="00195422">
        <w:rPr>
          <w:rFonts w:eastAsia="Times New Roman"/>
        </w:rPr>
        <w:t>adaljevanje izkoriščanja jedrske energije in ohranjanje odličnosti pri obratovanju jedrskih objektov v Sloveniji</w:t>
      </w:r>
      <w:r>
        <w:rPr>
          <w:rFonts w:eastAsia="Times New Roman"/>
        </w:rPr>
        <w:t>.</w:t>
      </w:r>
    </w:p>
    <w:p w14:paraId="759FBC91" w14:textId="14341B5E" w:rsidR="0046150C" w:rsidRDefault="00F0226A" w:rsidP="003F2D1F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</w:rPr>
      </w:pPr>
      <w:r>
        <w:rPr>
          <w:rFonts w:eastAsia="Times New Roman"/>
        </w:rPr>
        <w:t>Č</w:t>
      </w:r>
      <w:r w:rsidR="0046150C" w:rsidRPr="00195422">
        <w:rPr>
          <w:rFonts w:eastAsia="Times New Roman"/>
        </w:rPr>
        <w:t xml:space="preserve">im prej in ne pozneje kot </w:t>
      </w:r>
      <w:r w:rsidR="0046150C" w:rsidRPr="00E87322">
        <w:rPr>
          <w:rFonts w:eastAsia="Times New Roman"/>
          <w:b/>
          <w:bCs/>
        </w:rPr>
        <w:t>leta 202</w:t>
      </w:r>
      <w:r w:rsidR="00B75423">
        <w:rPr>
          <w:rFonts w:eastAsia="Times New Roman"/>
          <w:b/>
          <w:bCs/>
        </w:rPr>
        <w:t>8</w:t>
      </w:r>
      <w:r w:rsidR="005F1A41">
        <w:rPr>
          <w:rFonts w:eastAsia="Times New Roman"/>
          <w:b/>
          <w:bCs/>
        </w:rPr>
        <w:t xml:space="preserve"> </w:t>
      </w:r>
      <w:r w:rsidR="00322450">
        <w:rPr>
          <w:rFonts w:eastAsia="Times New Roman"/>
        </w:rPr>
        <w:t>pripraviti vse potrebn</w:t>
      </w:r>
      <w:r w:rsidR="00157192">
        <w:rPr>
          <w:rFonts w:eastAsia="Times New Roman"/>
        </w:rPr>
        <w:t>e</w:t>
      </w:r>
      <w:r w:rsidR="00322450">
        <w:rPr>
          <w:rFonts w:eastAsia="Times New Roman"/>
        </w:rPr>
        <w:t xml:space="preserve"> podlage ter </w:t>
      </w:r>
      <w:r w:rsidR="0046150C" w:rsidRPr="00195422">
        <w:rPr>
          <w:rFonts w:eastAsia="Times New Roman"/>
        </w:rPr>
        <w:t>sprejeti kakovostno in transparentno odločitev o gradnji nove jedrske elektrarne</w:t>
      </w:r>
      <w:r>
        <w:rPr>
          <w:rFonts w:eastAsia="Times New Roman"/>
        </w:rPr>
        <w:t>.</w:t>
      </w:r>
    </w:p>
    <w:p w14:paraId="09F3662B" w14:textId="226B1763" w:rsidR="00D87355" w:rsidRPr="00D87355" w:rsidRDefault="00F0226A" w:rsidP="003F2D1F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  <w:bCs/>
        </w:rPr>
      </w:pPr>
      <w:r>
        <w:rPr>
          <w:bCs/>
        </w:rPr>
        <w:t>J</w:t>
      </w:r>
      <w:r w:rsidR="00D87355" w:rsidRPr="001B3F31">
        <w:rPr>
          <w:bCs/>
        </w:rPr>
        <w:t xml:space="preserve">edrski scenarij </w:t>
      </w:r>
      <w:r w:rsidR="00D87355">
        <w:rPr>
          <w:bCs/>
        </w:rPr>
        <w:t>predvideva postavitev nove jedrske elektrarne do 2040 ter izgradnjo manjšega modularnega reaktorja do 2050 (moč okrog 250 MW)</w:t>
      </w:r>
      <w:r>
        <w:rPr>
          <w:bCs/>
        </w:rPr>
        <w:t>.</w:t>
      </w:r>
    </w:p>
    <w:p w14:paraId="379806C6" w14:textId="424D176E" w:rsidR="00F12E0F" w:rsidRPr="00AB6D3C" w:rsidRDefault="00F0226A" w:rsidP="00F12E0F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  <w:bCs/>
        </w:rPr>
      </w:pPr>
      <w:r>
        <w:rPr>
          <w:bCs/>
        </w:rPr>
        <w:t>S</w:t>
      </w:r>
      <w:r w:rsidR="00D87355" w:rsidRPr="00D87355">
        <w:rPr>
          <w:bCs/>
        </w:rPr>
        <w:t xml:space="preserve">cenarij </w:t>
      </w:r>
      <w:r w:rsidR="00E87322">
        <w:rPr>
          <w:bCs/>
        </w:rPr>
        <w:t xml:space="preserve">DU-JE </w:t>
      </w:r>
      <w:r w:rsidR="00D87355" w:rsidRPr="00D87355">
        <w:rPr>
          <w:bCs/>
        </w:rPr>
        <w:t>se do leta 2030 ne razlikuje od scenarija 100</w:t>
      </w:r>
      <w:r>
        <w:rPr>
          <w:bCs/>
        </w:rPr>
        <w:t xml:space="preserve"> odstotkov </w:t>
      </w:r>
      <w:r w:rsidR="00D87355" w:rsidRPr="00D87355">
        <w:rPr>
          <w:bCs/>
        </w:rPr>
        <w:t>OVE</w:t>
      </w:r>
      <w:r w:rsidR="00D87355">
        <w:rPr>
          <w:bCs/>
        </w:rPr>
        <w:t xml:space="preserve">, po </w:t>
      </w:r>
      <w:r w:rsidR="00E949C5">
        <w:rPr>
          <w:bCs/>
        </w:rPr>
        <w:t xml:space="preserve">letu </w:t>
      </w:r>
      <w:r w:rsidR="00D87355">
        <w:rPr>
          <w:bCs/>
        </w:rPr>
        <w:t>2030 pa manj intenziven razvoj OVE, razlika še večja po l</w:t>
      </w:r>
      <w:r w:rsidR="006E54ED">
        <w:rPr>
          <w:bCs/>
        </w:rPr>
        <w:t>etu</w:t>
      </w:r>
      <w:r w:rsidR="000175AF">
        <w:rPr>
          <w:bCs/>
        </w:rPr>
        <w:t xml:space="preserve"> </w:t>
      </w:r>
      <w:r w:rsidR="00D87355">
        <w:rPr>
          <w:bCs/>
        </w:rPr>
        <w:t>2040</w:t>
      </w:r>
      <w:r>
        <w:rPr>
          <w:bCs/>
        </w:rPr>
        <w:t>.</w:t>
      </w:r>
    </w:p>
    <w:p w14:paraId="4614A38E" w14:textId="4C34BAA2" w:rsidR="00F12E0F" w:rsidRPr="00AB6D3C" w:rsidRDefault="006E54ED" w:rsidP="00F12E0F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  <w:bCs/>
        </w:rPr>
      </w:pPr>
      <w:r>
        <w:t>O</w:t>
      </w:r>
      <w:r w:rsidR="00F12E0F" w:rsidRPr="00AB6D3C">
        <w:t>cena učinkov obeh scenarijev (DU-JE in DU-OVE) po letu 2030</w:t>
      </w:r>
      <w:r w:rsidR="00F12E0F" w:rsidRPr="00F12E0F">
        <w:t xml:space="preserve"> je v NEPN zaradi</w:t>
      </w:r>
      <w:r w:rsidR="00F12E0F">
        <w:t xml:space="preserve"> velike negotovosti vhodnih podatkov preliminarna in indikativna, zato ne more biti podlaga za sprejem odločitve o JEK2</w:t>
      </w:r>
      <w:r w:rsidR="00E509BD">
        <w:t>.</w:t>
      </w:r>
    </w:p>
    <w:p w14:paraId="636737BE" w14:textId="77777777" w:rsidR="00956145" w:rsidRDefault="00956145" w:rsidP="003F2D1F">
      <w:pPr>
        <w:ind w:left="360"/>
        <w:jc w:val="both"/>
        <w:rPr>
          <w:rFonts w:eastAsia="Times New Roman"/>
          <w:b/>
          <w:bCs/>
        </w:rPr>
      </w:pPr>
    </w:p>
    <w:p w14:paraId="307858BD" w14:textId="7C837B6F" w:rsidR="00956145" w:rsidRDefault="00E509BD" w:rsidP="003F2D1F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Izstop iz premoga</w:t>
      </w:r>
    </w:p>
    <w:p w14:paraId="71D0DE42" w14:textId="77777777" w:rsidR="00E509BD" w:rsidRPr="00175AD7" w:rsidRDefault="00E509BD" w:rsidP="003F2D1F">
      <w:pPr>
        <w:jc w:val="both"/>
        <w:rPr>
          <w:rFonts w:eastAsia="Times New Roman"/>
          <w:b/>
          <w:bCs/>
        </w:rPr>
      </w:pPr>
    </w:p>
    <w:p w14:paraId="097F595A" w14:textId="6B9B1A85" w:rsidR="00A651D1" w:rsidRPr="00AB6D3C" w:rsidRDefault="000175AF" w:rsidP="00E06256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</w:rPr>
      </w:pPr>
      <w:r>
        <w:t>Izstop iz premoga</w:t>
      </w:r>
      <w:r w:rsidR="00956145">
        <w:t xml:space="preserve"> </w:t>
      </w:r>
      <w:r w:rsidR="00956145" w:rsidRPr="00E35A17">
        <w:t>najkasneje do leta 2033</w:t>
      </w:r>
      <w:r w:rsidR="00A651D1">
        <w:t xml:space="preserve"> - </w:t>
      </w:r>
      <w:r w:rsidR="00956145" w:rsidRPr="00AB6D3C">
        <w:rPr>
          <w:b/>
          <w:bCs/>
        </w:rPr>
        <w:t xml:space="preserve">pravočasno je treba </w:t>
      </w:r>
      <w:r w:rsidR="00A651D1" w:rsidRPr="00C67597">
        <w:rPr>
          <w:b/>
          <w:bCs/>
        </w:rPr>
        <w:t>zagotoviti oz</w:t>
      </w:r>
      <w:r w:rsidR="00E509BD">
        <w:rPr>
          <w:b/>
          <w:bCs/>
        </w:rPr>
        <w:t>iroma</w:t>
      </w:r>
      <w:r w:rsidR="00A651D1" w:rsidRPr="00C67597">
        <w:rPr>
          <w:b/>
          <w:bCs/>
        </w:rPr>
        <w:t xml:space="preserve"> ohraniti diverzifikacijo virov, tehnologij in lokacij</w:t>
      </w:r>
      <w:r w:rsidR="00A651D1">
        <w:t xml:space="preserve"> </w:t>
      </w:r>
      <w:r w:rsidR="00A651D1" w:rsidRPr="00E35A17">
        <w:t>za</w:t>
      </w:r>
      <w:r w:rsidR="00A651D1">
        <w:t xml:space="preserve"> zanesljivo oskrbo z EE:</w:t>
      </w:r>
    </w:p>
    <w:p w14:paraId="1B7FAABB" w14:textId="6862AD7C" w:rsidR="00A651D1" w:rsidRPr="00AB6D3C" w:rsidRDefault="00E5196F" w:rsidP="00A651D1">
      <w:pPr>
        <w:pStyle w:val="Odstavekseznama"/>
        <w:numPr>
          <w:ilvl w:val="0"/>
          <w:numId w:val="7"/>
        </w:numPr>
        <w:jc w:val="both"/>
        <w:rPr>
          <w:rFonts w:eastAsia="Times New Roman"/>
          <w:bCs/>
        </w:rPr>
      </w:pPr>
      <w:r w:rsidRPr="00AB6D3C">
        <w:rPr>
          <w:rFonts w:eastAsia="Times New Roman"/>
          <w:b/>
        </w:rPr>
        <w:t>OVE</w:t>
      </w:r>
      <w:r w:rsidR="00A651D1">
        <w:rPr>
          <w:rFonts w:eastAsia="Times New Roman"/>
          <w:b/>
        </w:rPr>
        <w:t>:</w:t>
      </w:r>
      <w:r w:rsidRPr="00AB6D3C">
        <w:rPr>
          <w:rFonts w:eastAsia="Times New Roman"/>
          <w:bCs/>
        </w:rPr>
        <w:t xml:space="preserve"> </w:t>
      </w:r>
      <w:r w:rsidR="00C4558A">
        <w:rPr>
          <w:rFonts w:eastAsia="Times New Roman"/>
          <w:bCs/>
        </w:rPr>
        <w:t>pospešeno uvajanje OVE</w:t>
      </w:r>
    </w:p>
    <w:p w14:paraId="41C129B5" w14:textId="47270361" w:rsidR="00A651D1" w:rsidRPr="00A651D1" w:rsidRDefault="00A651D1">
      <w:pPr>
        <w:pStyle w:val="Odstavekseznama"/>
        <w:numPr>
          <w:ilvl w:val="0"/>
          <w:numId w:val="7"/>
        </w:numPr>
        <w:jc w:val="both"/>
        <w:rPr>
          <w:rFonts w:eastAsia="Times New Roman"/>
        </w:rPr>
      </w:pPr>
      <w:r w:rsidRPr="00AB6D3C">
        <w:rPr>
          <w:rFonts w:eastAsia="Times New Roman"/>
          <w:b/>
        </w:rPr>
        <w:t>p</w:t>
      </w:r>
      <w:r w:rsidR="00E5196F" w:rsidRPr="00AB6D3C">
        <w:rPr>
          <w:rFonts w:eastAsia="Times New Roman"/>
          <w:b/>
        </w:rPr>
        <w:t>linsk</w:t>
      </w:r>
      <w:r w:rsidRPr="00AB6D3C">
        <w:rPr>
          <w:rFonts w:eastAsia="Times New Roman"/>
          <w:b/>
        </w:rPr>
        <w:t xml:space="preserve">e </w:t>
      </w:r>
      <w:r w:rsidR="00E5196F" w:rsidRPr="00AB6D3C">
        <w:rPr>
          <w:rFonts w:eastAsia="Times New Roman"/>
          <w:b/>
        </w:rPr>
        <w:t>kapacitet</w:t>
      </w:r>
      <w:r w:rsidRPr="00AB6D3C">
        <w:rPr>
          <w:rFonts w:eastAsia="Times New Roman"/>
          <w:b/>
        </w:rPr>
        <w:t>e</w:t>
      </w:r>
      <w:r w:rsidRPr="00A651D1">
        <w:rPr>
          <w:rFonts w:eastAsia="Times New Roman"/>
        </w:rPr>
        <w:t xml:space="preserve">: </w:t>
      </w:r>
      <w:r w:rsidR="00322450" w:rsidRPr="00AB6D3C">
        <w:rPr>
          <w:rFonts w:eastAsia="Times New Roman"/>
          <w:bCs/>
        </w:rPr>
        <w:t>~500 MW ter</w:t>
      </w:r>
    </w:p>
    <w:p w14:paraId="3F1B4D90" w14:textId="499999FE" w:rsidR="00A651D1" w:rsidRDefault="00322450" w:rsidP="00A651D1">
      <w:pPr>
        <w:pStyle w:val="Odstavekseznama"/>
        <w:numPr>
          <w:ilvl w:val="0"/>
          <w:numId w:val="7"/>
        </w:numPr>
        <w:jc w:val="both"/>
        <w:rPr>
          <w:rFonts w:eastAsia="Times New Roman"/>
          <w:bCs/>
        </w:rPr>
      </w:pPr>
      <w:r w:rsidRPr="00AB6D3C">
        <w:rPr>
          <w:rFonts w:eastAsia="Times New Roman"/>
          <w:b/>
        </w:rPr>
        <w:t>hranilniki</w:t>
      </w:r>
      <w:r w:rsidR="00A651D1">
        <w:rPr>
          <w:rFonts w:eastAsia="Times New Roman"/>
          <w:bCs/>
        </w:rPr>
        <w:t>:</w:t>
      </w:r>
      <w:r w:rsidRPr="00AB6D3C">
        <w:rPr>
          <w:rFonts w:eastAsia="Times New Roman"/>
          <w:bCs/>
        </w:rPr>
        <w:t xml:space="preserve"> ČHE Kozjak, vsaj </w:t>
      </w:r>
      <w:r w:rsidR="00A651D1">
        <w:rPr>
          <w:rFonts w:eastAsia="Times New Roman"/>
          <w:bCs/>
        </w:rPr>
        <w:t>400</w:t>
      </w:r>
      <w:r w:rsidRPr="00AB6D3C">
        <w:rPr>
          <w:rFonts w:eastAsia="Times New Roman"/>
          <w:bCs/>
        </w:rPr>
        <w:t xml:space="preserve"> MW </w:t>
      </w:r>
      <w:r w:rsidR="00A651D1" w:rsidRPr="00AB6D3C">
        <w:rPr>
          <w:rFonts w:eastAsia="Times New Roman"/>
          <w:bCs/>
        </w:rPr>
        <w:t xml:space="preserve">baterij in </w:t>
      </w:r>
      <w:r w:rsidR="00A651D1">
        <w:rPr>
          <w:rFonts w:eastAsia="Times New Roman"/>
          <w:bCs/>
        </w:rPr>
        <w:t>1</w:t>
      </w:r>
      <w:r w:rsidR="00A651D1" w:rsidRPr="00AB6D3C">
        <w:rPr>
          <w:rFonts w:eastAsia="Times New Roman"/>
          <w:bCs/>
        </w:rPr>
        <w:t xml:space="preserve">00 MW </w:t>
      </w:r>
      <w:proofErr w:type="spellStart"/>
      <w:r w:rsidR="00A651D1" w:rsidRPr="00AB6D3C">
        <w:rPr>
          <w:rFonts w:eastAsia="Times New Roman"/>
          <w:bCs/>
        </w:rPr>
        <w:t>elektrolizerjev</w:t>
      </w:r>
      <w:proofErr w:type="spellEnd"/>
      <w:r w:rsidRPr="00AB6D3C">
        <w:rPr>
          <w:rFonts w:eastAsia="Times New Roman"/>
          <w:bCs/>
        </w:rPr>
        <w:t>,</w:t>
      </w:r>
    </w:p>
    <w:p w14:paraId="1C4488C3" w14:textId="3C76364F" w:rsidR="000175AF" w:rsidRPr="00AB6D3C" w:rsidRDefault="00E509BD" w:rsidP="00AB6D3C">
      <w:pPr>
        <w:ind w:left="360"/>
      </w:pPr>
      <w:r>
        <w:rPr>
          <w:rFonts w:eastAsia="Times New Roman"/>
          <w:bCs/>
        </w:rPr>
        <w:lastRenderedPageBreak/>
        <w:t>T</w:t>
      </w:r>
      <w:r w:rsidR="00322450" w:rsidRPr="00AB6D3C">
        <w:rPr>
          <w:rFonts w:eastAsia="Times New Roman"/>
          <w:bCs/>
        </w:rPr>
        <w:t xml:space="preserve">o je </w:t>
      </w:r>
      <w:r w:rsidR="00A651D1">
        <w:rPr>
          <w:rFonts w:eastAsia="Times New Roman"/>
          <w:bCs/>
        </w:rPr>
        <w:t xml:space="preserve">poleg URE </w:t>
      </w:r>
      <w:r w:rsidR="00322450" w:rsidRPr="00AB6D3C">
        <w:rPr>
          <w:rFonts w:eastAsia="Times New Roman"/>
          <w:bCs/>
        </w:rPr>
        <w:t>ključna prioriteta</w:t>
      </w:r>
      <w:r w:rsidR="00A651D1">
        <w:rPr>
          <w:rFonts w:eastAsia="Times New Roman"/>
          <w:bCs/>
        </w:rPr>
        <w:t xml:space="preserve">, </w:t>
      </w:r>
      <w:r w:rsidR="00322450" w:rsidRPr="00AB6D3C">
        <w:rPr>
          <w:rFonts w:eastAsia="Times New Roman"/>
          <w:bCs/>
        </w:rPr>
        <w:t xml:space="preserve">zato do leta 2030 ni razlik med scenarijema </w:t>
      </w:r>
      <w:r w:rsidR="00322450" w:rsidRPr="00EA12A3">
        <w:t>(</w:t>
      </w:r>
      <w:r w:rsidR="00A74FA7" w:rsidRPr="00EA12A3">
        <w:t>DU</w:t>
      </w:r>
      <w:r w:rsidR="00322450" w:rsidRPr="00EA12A3">
        <w:t>-JE in DU</w:t>
      </w:r>
      <w:r w:rsidR="00A74FA7" w:rsidRPr="00EA12A3">
        <w:t>–OVE</w:t>
      </w:r>
      <w:r w:rsidR="00322450" w:rsidRPr="00EA12A3">
        <w:t>)</w:t>
      </w:r>
      <w:r w:rsidR="00A651D1">
        <w:t>.</w:t>
      </w:r>
    </w:p>
    <w:p w14:paraId="0ECDCF7F" w14:textId="77777777" w:rsidR="00175AD7" w:rsidRDefault="00175AD7" w:rsidP="003F2D1F">
      <w:pPr>
        <w:pStyle w:val="Odstavekseznama"/>
        <w:jc w:val="both"/>
      </w:pPr>
    </w:p>
    <w:p w14:paraId="0B9D0A27" w14:textId="12991C24" w:rsidR="005B2ED1" w:rsidRDefault="00A74FA7" w:rsidP="003F2D1F">
      <w:pPr>
        <w:jc w:val="both"/>
        <w:rPr>
          <w:b/>
          <w:bCs/>
        </w:rPr>
      </w:pPr>
      <w:r w:rsidRPr="00D2148C">
        <w:rPr>
          <w:b/>
          <w:bCs/>
        </w:rPr>
        <w:t>H</w:t>
      </w:r>
      <w:r w:rsidR="00E509BD" w:rsidRPr="00D2148C">
        <w:rPr>
          <w:b/>
          <w:bCs/>
        </w:rPr>
        <w:t>idroenergija</w:t>
      </w:r>
      <w:r w:rsidR="00E509BD">
        <w:rPr>
          <w:b/>
          <w:bCs/>
        </w:rPr>
        <w:t xml:space="preserve"> (HE)</w:t>
      </w:r>
    </w:p>
    <w:p w14:paraId="23DF8D37" w14:textId="77777777" w:rsidR="00E509BD" w:rsidRPr="00D2148C" w:rsidRDefault="00E509BD" w:rsidP="003F2D1F">
      <w:pPr>
        <w:jc w:val="both"/>
        <w:rPr>
          <w:b/>
          <w:bCs/>
        </w:rPr>
      </w:pPr>
    </w:p>
    <w:p w14:paraId="3C527AE3" w14:textId="09AC9E54" w:rsidR="00A74FA7" w:rsidRPr="00A74FA7" w:rsidRDefault="00E509BD" w:rsidP="003F2D1F">
      <w:pPr>
        <w:pStyle w:val="Odstavekseznama"/>
        <w:numPr>
          <w:ilvl w:val="0"/>
          <w:numId w:val="8"/>
        </w:numPr>
        <w:jc w:val="both"/>
        <w:rPr>
          <w:rFonts w:eastAsia="Times New Roman"/>
          <w:bCs/>
        </w:rPr>
      </w:pPr>
      <w:r>
        <w:rPr>
          <w:bCs/>
        </w:rPr>
        <w:t>N</w:t>
      </w:r>
      <w:r w:rsidR="00A74FA7" w:rsidRPr="00A74FA7">
        <w:rPr>
          <w:bCs/>
        </w:rPr>
        <w:t xml:space="preserve">ove </w:t>
      </w:r>
      <w:r>
        <w:rPr>
          <w:bCs/>
        </w:rPr>
        <w:t>hidroelektrarne s</w:t>
      </w:r>
      <w:r w:rsidR="00A74FA7" w:rsidRPr="00A74FA7">
        <w:rPr>
          <w:bCs/>
        </w:rPr>
        <w:t xml:space="preserve">o </w:t>
      </w:r>
      <w:r w:rsidR="00A74FA7" w:rsidRPr="00AB6D3C">
        <w:rPr>
          <w:b/>
        </w:rPr>
        <w:t xml:space="preserve">ključne iz vidika zagotavljanja zanesljivosti oskrbe z </w:t>
      </w:r>
      <w:r>
        <w:rPr>
          <w:b/>
        </w:rPr>
        <w:t>električno energijo</w:t>
      </w:r>
      <w:r w:rsidR="00622A6D">
        <w:rPr>
          <w:b/>
        </w:rPr>
        <w:t xml:space="preserve"> – dod</w:t>
      </w:r>
      <w:r>
        <w:rPr>
          <w:b/>
        </w:rPr>
        <w:t xml:space="preserve">atno </w:t>
      </w:r>
      <w:r w:rsidR="00622A6D">
        <w:rPr>
          <w:b/>
        </w:rPr>
        <w:t>500 GWh/140 MW do leta 2040</w:t>
      </w:r>
      <w:r>
        <w:rPr>
          <w:b/>
        </w:rPr>
        <w:t>.</w:t>
      </w:r>
    </w:p>
    <w:p w14:paraId="2EC58969" w14:textId="0E14A881" w:rsidR="000175AF" w:rsidRPr="00D2148C" w:rsidRDefault="00E509BD" w:rsidP="003F2D1F">
      <w:pPr>
        <w:pStyle w:val="Odstavekseznama"/>
        <w:numPr>
          <w:ilvl w:val="0"/>
          <w:numId w:val="2"/>
        </w:numPr>
        <w:ind w:left="360"/>
        <w:jc w:val="both"/>
        <w:rPr>
          <w:rFonts w:eastAsia="Times New Roman"/>
          <w:bCs/>
        </w:rPr>
      </w:pPr>
      <w:r>
        <w:rPr>
          <w:bCs/>
        </w:rPr>
        <w:t>V</w:t>
      </w:r>
      <w:r w:rsidR="000175AF">
        <w:rPr>
          <w:bCs/>
        </w:rPr>
        <w:t xml:space="preserve"> okviru DU-JE</w:t>
      </w:r>
      <w:r w:rsidR="000175AF" w:rsidRPr="001B3F31">
        <w:rPr>
          <w:bCs/>
        </w:rPr>
        <w:t xml:space="preserve"> izdelan tudi dodatni </w:t>
      </w:r>
      <w:proofErr w:type="spellStart"/>
      <w:r w:rsidR="000175AF" w:rsidRPr="001B3F31">
        <w:rPr>
          <w:bCs/>
        </w:rPr>
        <w:t>podscenarij</w:t>
      </w:r>
      <w:proofErr w:type="spellEnd"/>
      <w:r w:rsidR="000175AF" w:rsidRPr="001B3F31">
        <w:rPr>
          <w:bCs/>
        </w:rPr>
        <w:t xml:space="preserve"> </w:t>
      </w:r>
      <w:r w:rsidR="000175AF" w:rsidRPr="001B3F31">
        <w:rPr>
          <w:b/>
        </w:rPr>
        <w:t xml:space="preserve">brez izgradnje novih velikih </w:t>
      </w:r>
      <w:r>
        <w:rPr>
          <w:b/>
        </w:rPr>
        <w:t>hidroelektrarn</w:t>
      </w:r>
      <w:r w:rsidR="00622A6D">
        <w:rPr>
          <w:b/>
        </w:rPr>
        <w:t xml:space="preserve">, </w:t>
      </w:r>
      <w:r w:rsidR="00622A6D" w:rsidRPr="00AB6D3C">
        <w:rPr>
          <w:bCs/>
        </w:rPr>
        <w:t>kjer se</w:t>
      </w:r>
      <w:r w:rsidR="00622A6D">
        <w:rPr>
          <w:bCs/>
        </w:rPr>
        <w:t>:</w:t>
      </w:r>
    </w:p>
    <w:p w14:paraId="0D690648" w14:textId="30D4354A" w:rsidR="00746AD3" w:rsidRPr="00A74FA7" w:rsidRDefault="00746AD3" w:rsidP="003F2D1F">
      <w:pPr>
        <w:pStyle w:val="Odstavekseznama"/>
        <w:numPr>
          <w:ilvl w:val="0"/>
          <w:numId w:val="7"/>
        </w:numPr>
        <w:jc w:val="both"/>
        <w:rPr>
          <w:rFonts w:eastAsia="Times New Roman"/>
          <w:bCs/>
        </w:rPr>
      </w:pPr>
      <w:r w:rsidRPr="00A74FA7">
        <w:rPr>
          <w:bCs/>
        </w:rPr>
        <w:t xml:space="preserve">proizvodnja HE </w:t>
      </w:r>
      <w:r w:rsidR="00622A6D">
        <w:rPr>
          <w:bCs/>
        </w:rPr>
        <w:t xml:space="preserve">nižja </w:t>
      </w:r>
      <w:r w:rsidRPr="00A74FA7">
        <w:rPr>
          <w:bCs/>
        </w:rPr>
        <w:t>za 500</w:t>
      </w:r>
      <w:r w:rsidR="00622A6D">
        <w:rPr>
          <w:bCs/>
        </w:rPr>
        <w:t> </w:t>
      </w:r>
      <w:r w:rsidRPr="00A74FA7">
        <w:rPr>
          <w:bCs/>
        </w:rPr>
        <w:t>GWh/leto (</w:t>
      </w:r>
      <w:r w:rsidRPr="001B3F31">
        <w:t>~0,</w:t>
      </w:r>
      <w:r>
        <w:t>9 </w:t>
      </w:r>
      <w:r w:rsidRPr="001B3F31">
        <w:t>odstotne točke cilja OVE</w:t>
      </w:r>
      <w:r w:rsidRPr="001A5821">
        <w:t>)</w:t>
      </w:r>
      <w:r>
        <w:t xml:space="preserve">, primanjkljaj pa pokrijejo plinske </w:t>
      </w:r>
      <w:r w:rsidR="00E509BD">
        <w:t>termoelektrarne</w:t>
      </w:r>
      <w:r>
        <w:t xml:space="preserve"> in uvoz električne energije</w:t>
      </w:r>
      <w:r w:rsidR="005B2ED1">
        <w:t xml:space="preserve">, </w:t>
      </w:r>
      <w:r w:rsidR="005B2ED1" w:rsidRPr="005B2ED1">
        <w:t>posledično povečanje emisij TGP za več kot 95 </w:t>
      </w:r>
      <w:proofErr w:type="spellStart"/>
      <w:r w:rsidR="005B2ED1" w:rsidRPr="005B2ED1">
        <w:t>kt</w:t>
      </w:r>
      <w:proofErr w:type="spellEnd"/>
      <w:r w:rsidR="005B2ED1" w:rsidRPr="005B2ED1">
        <w:t> CO</w:t>
      </w:r>
      <w:r w:rsidR="005B2ED1" w:rsidRPr="00AB6D3C">
        <w:rPr>
          <w:vertAlign w:val="subscript"/>
        </w:rPr>
        <w:t>2</w:t>
      </w:r>
      <w:r w:rsidR="00622A6D" w:rsidRPr="00AB6D3C">
        <w:t>/leto</w:t>
      </w:r>
      <w:r w:rsidR="00622A6D">
        <w:t>,</w:t>
      </w:r>
    </w:p>
    <w:p w14:paraId="485FE50F" w14:textId="3176B7D4" w:rsidR="005B2ED1" w:rsidRPr="00622A6D" w:rsidRDefault="00622A6D">
      <w:pPr>
        <w:pStyle w:val="Odstavekseznama"/>
        <w:numPr>
          <w:ilvl w:val="0"/>
          <w:numId w:val="7"/>
        </w:numPr>
        <w:jc w:val="both"/>
        <w:rPr>
          <w:rFonts w:eastAsia="Times New Roman"/>
        </w:rPr>
      </w:pPr>
      <w:r w:rsidRPr="00622A6D">
        <w:rPr>
          <w:rFonts w:eastAsia="Times New Roman"/>
        </w:rPr>
        <w:t xml:space="preserve">ni </w:t>
      </w:r>
      <w:r w:rsidR="005B2ED1" w:rsidRPr="00622A6D">
        <w:rPr>
          <w:rFonts w:eastAsia="Times New Roman"/>
        </w:rPr>
        <w:t>možna izgradnja dodatne ČHE - kapaciteta 180 MW, 2,6 GWh kapaciteta hranjenja</w:t>
      </w:r>
      <w:r w:rsidRPr="00622A6D">
        <w:rPr>
          <w:rFonts w:eastAsia="Times New Roman"/>
        </w:rPr>
        <w:t xml:space="preserve">, </w:t>
      </w:r>
      <w:r>
        <w:rPr>
          <w:rFonts w:eastAsia="Times New Roman"/>
          <w:bCs/>
        </w:rPr>
        <w:t xml:space="preserve">kar </w:t>
      </w:r>
      <w:r w:rsidR="005B2ED1" w:rsidRPr="00622A6D">
        <w:rPr>
          <w:rFonts w:eastAsia="Times New Roman"/>
        </w:rPr>
        <w:t xml:space="preserve">znižuje </w:t>
      </w:r>
      <w:r>
        <w:rPr>
          <w:rFonts w:eastAsia="Times New Roman"/>
          <w:bCs/>
        </w:rPr>
        <w:t xml:space="preserve">učinkovito integracijo </w:t>
      </w:r>
      <w:r w:rsidR="005B2ED1" w:rsidRPr="00622A6D">
        <w:rPr>
          <w:rFonts w:eastAsia="Times New Roman"/>
        </w:rPr>
        <w:t xml:space="preserve">dodatnih SE (~1 GW) </w:t>
      </w:r>
      <w:r>
        <w:rPr>
          <w:rFonts w:eastAsia="Times New Roman"/>
          <w:bCs/>
        </w:rPr>
        <w:t xml:space="preserve">- </w:t>
      </w:r>
      <w:r w:rsidR="005B2ED1" w:rsidRPr="00622A6D">
        <w:rPr>
          <w:rFonts w:eastAsia="Times New Roman"/>
        </w:rPr>
        <w:t xml:space="preserve">oz. </w:t>
      </w:r>
      <w:r>
        <w:rPr>
          <w:rFonts w:eastAsia="Times New Roman"/>
          <w:bCs/>
        </w:rPr>
        <w:t>dražjo izgradnjo baterijskih hranilnikov</w:t>
      </w:r>
      <w:r w:rsidR="008B0741">
        <w:rPr>
          <w:rFonts w:eastAsia="Times New Roman"/>
        </w:rPr>
        <w:t>.</w:t>
      </w:r>
    </w:p>
    <w:p w14:paraId="52B0C680" w14:textId="77777777" w:rsidR="000175AF" w:rsidRDefault="000175AF" w:rsidP="003F2D1F">
      <w:pPr>
        <w:pStyle w:val="Odstavekseznama"/>
        <w:jc w:val="both"/>
      </w:pPr>
    </w:p>
    <w:p w14:paraId="2CFD588A" w14:textId="5D016DDE" w:rsidR="00175AD7" w:rsidRDefault="00E509BD" w:rsidP="003F2D1F">
      <w:pPr>
        <w:pStyle w:val="Odstavekseznama"/>
        <w:ind w:left="0"/>
        <w:jc w:val="both"/>
        <w:rPr>
          <w:b/>
          <w:bCs/>
        </w:rPr>
      </w:pPr>
      <w:r>
        <w:rPr>
          <w:b/>
          <w:bCs/>
        </w:rPr>
        <w:t>P</w:t>
      </w:r>
      <w:r w:rsidRPr="00956145">
        <w:rPr>
          <w:b/>
          <w:bCs/>
        </w:rPr>
        <w:t xml:space="preserve">rimerjava scenarijev </w:t>
      </w:r>
      <w:r>
        <w:rPr>
          <w:b/>
          <w:bCs/>
        </w:rPr>
        <w:t>DU</w:t>
      </w:r>
      <w:r w:rsidRPr="00956145">
        <w:rPr>
          <w:b/>
          <w:bCs/>
        </w:rPr>
        <w:t>-</w:t>
      </w:r>
      <w:r>
        <w:rPr>
          <w:b/>
          <w:bCs/>
        </w:rPr>
        <w:t>JE</w:t>
      </w:r>
      <w:r w:rsidRPr="00956145">
        <w:rPr>
          <w:b/>
          <w:bCs/>
        </w:rPr>
        <w:t xml:space="preserve"> in </w:t>
      </w:r>
      <w:r>
        <w:rPr>
          <w:b/>
          <w:bCs/>
        </w:rPr>
        <w:t>DU</w:t>
      </w:r>
      <w:r w:rsidRPr="00956145">
        <w:rPr>
          <w:b/>
          <w:bCs/>
        </w:rPr>
        <w:t>-</w:t>
      </w:r>
      <w:r>
        <w:rPr>
          <w:b/>
          <w:bCs/>
        </w:rPr>
        <w:t>OVE</w:t>
      </w:r>
    </w:p>
    <w:p w14:paraId="3A81815C" w14:textId="77777777" w:rsidR="00E509BD" w:rsidRPr="00956145" w:rsidRDefault="00E509BD" w:rsidP="003F2D1F">
      <w:pPr>
        <w:pStyle w:val="Odstavekseznama"/>
        <w:ind w:left="0"/>
        <w:jc w:val="both"/>
        <w:rPr>
          <w:b/>
          <w:bCs/>
        </w:rPr>
      </w:pPr>
    </w:p>
    <w:p w14:paraId="0A7735D7" w14:textId="0C5DA29C" w:rsidR="00175AD7" w:rsidRPr="00175AD7" w:rsidRDefault="00175AD7" w:rsidP="003F2D1F">
      <w:pPr>
        <w:pStyle w:val="Odstavekseznama"/>
        <w:numPr>
          <w:ilvl w:val="0"/>
          <w:numId w:val="2"/>
        </w:numPr>
        <w:ind w:left="284" w:hanging="284"/>
        <w:jc w:val="both"/>
        <w:rPr>
          <w:rFonts w:eastAsia="Times New Roman"/>
          <w:bCs/>
        </w:rPr>
      </w:pPr>
      <w:r>
        <w:t>Do l</w:t>
      </w:r>
      <w:r w:rsidR="00E509BD">
        <w:t>eta</w:t>
      </w:r>
      <w:r w:rsidR="003F2D1F">
        <w:t xml:space="preserve"> </w:t>
      </w:r>
      <w:r>
        <w:t>2030: med njima ni razlik – enako dosegata cilje in imata pozitivne makroekonomske učinke glede na scenarij</w:t>
      </w:r>
      <w:r w:rsidR="00E509BD">
        <w:t xml:space="preserve"> z obstoječimi ukrepi.</w:t>
      </w:r>
    </w:p>
    <w:p w14:paraId="63732860" w14:textId="6F4074D1" w:rsidR="00175AD7" w:rsidRPr="00175AD7" w:rsidRDefault="00175AD7" w:rsidP="003F2D1F">
      <w:pPr>
        <w:pStyle w:val="Odstavekseznama"/>
        <w:numPr>
          <w:ilvl w:val="0"/>
          <w:numId w:val="2"/>
        </w:numPr>
        <w:ind w:left="284" w:hanging="284"/>
        <w:jc w:val="both"/>
        <w:rPr>
          <w:rFonts w:eastAsia="Times New Roman"/>
          <w:bCs/>
        </w:rPr>
      </w:pPr>
      <w:r>
        <w:t>Do l</w:t>
      </w:r>
      <w:r w:rsidR="00E509BD">
        <w:t>eta</w:t>
      </w:r>
      <w:r>
        <w:t xml:space="preserve"> 2040 ni razlike med scenarijema glede končne rabe energije, le pri oskrbi z </w:t>
      </w:r>
      <w:r w:rsidR="00E509BD">
        <w:t>električno energijo</w:t>
      </w:r>
      <w:r>
        <w:t>:</w:t>
      </w:r>
    </w:p>
    <w:p w14:paraId="5DFBA672" w14:textId="5B27A7C2" w:rsidR="00175AD7" w:rsidRPr="00175AD7" w:rsidRDefault="00175AD7" w:rsidP="003F2D1F">
      <w:pPr>
        <w:pStyle w:val="Odstavekseznama"/>
        <w:numPr>
          <w:ilvl w:val="0"/>
          <w:numId w:val="9"/>
        </w:numPr>
        <w:jc w:val="both"/>
        <w:rPr>
          <w:rFonts w:cs="Tahoma"/>
        </w:rPr>
      </w:pPr>
      <w:r w:rsidRPr="00175AD7">
        <w:rPr>
          <w:rFonts w:cs="Tahoma"/>
          <w:b/>
          <w:bCs/>
        </w:rPr>
        <w:t>DU-JE</w:t>
      </w:r>
      <w:r w:rsidR="00E509BD">
        <w:rPr>
          <w:rFonts w:cs="Tahoma"/>
        </w:rPr>
        <w:t xml:space="preserve"> </w:t>
      </w:r>
      <w:r w:rsidRPr="00175AD7">
        <w:rPr>
          <w:rFonts w:cs="Tahoma"/>
        </w:rPr>
        <w:t>dosega višjo pokritost rabe električne energije s proizvodnjo v Sloveniji z izgradnjo jedrske elektrarne ter posledično nekoliko boljši kazalec zanesljivosti oskrbe (LOLE), nekoliko nižji delež OVE, razlike v emisijah in makroekonomskih učinkih pa so minimalne</w:t>
      </w:r>
      <w:r w:rsidR="00E509BD">
        <w:rPr>
          <w:rFonts w:cs="Tahoma"/>
        </w:rPr>
        <w:t>.</w:t>
      </w:r>
    </w:p>
    <w:p w14:paraId="5063651A" w14:textId="4881A148" w:rsidR="00175AD7" w:rsidRDefault="00175AD7" w:rsidP="003F2D1F">
      <w:pPr>
        <w:pStyle w:val="Odstavekseznama"/>
        <w:numPr>
          <w:ilvl w:val="0"/>
          <w:numId w:val="9"/>
        </w:numPr>
        <w:jc w:val="both"/>
        <w:rPr>
          <w:rFonts w:cs="Tahoma"/>
        </w:rPr>
      </w:pPr>
      <w:r w:rsidRPr="00175AD7">
        <w:rPr>
          <w:rFonts w:cs="Tahoma"/>
          <w:b/>
        </w:rPr>
        <w:t>DU-</w:t>
      </w:r>
      <w:r w:rsidRPr="00175AD7">
        <w:rPr>
          <w:rFonts w:cs="Tahoma"/>
          <w:b/>
          <w:bCs/>
        </w:rPr>
        <w:t>OVE</w:t>
      </w:r>
      <w:r w:rsidR="00E509BD">
        <w:rPr>
          <w:rFonts w:cs="Tahoma"/>
        </w:rPr>
        <w:t xml:space="preserve"> </w:t>
      </w:r>
      <w:r w:rsidRPr="00175AD7">
        <w:rPr>
          <w:rFonts w:cs="Tahoma"/>
        </w:rPr>
        <w:t>zaradi manjše proizvodnje električne energije v Sloveniji je pokritost rabe el</w:t>
      </w:r>
      <w:r w:rsidR="00E509BD">
        <w:rPr>
          <w:rFonts w:cs="Tahoma"/>
        </w:rPr>
        <w:t xml:space="preserve">ektrične </w:t>
      </w:r>
      <w:r w:rsidRPr="00175AD7">
        <w:rPr>
          <w:rFonts w:cs="Tahoma"/>
        </w:rPr>
        <w:t>energije nižja, v zimskem času zahteva več uvoza električne energije, posledično pa dosega slabši kazalec zanesljivosti oskrbe (LOLE), ki pa še ustreza kriterijem strateške zanesljivosti</w:t>
      </w:r>
      <w:r w:rsidR="00E509BD">
        <w:rPr>
          <w:rFonts w:cs="Tahoma"/>
        </w:rPr>
        <w:t>.</w:t>
      </w:r>
    </w:p>
    <w:p w14:paraId="12A200F9" w14:textId="77777777" w:rsidR="00C06579" w:rsidRDefault="00C06579" w:rsidP="003F2D1F">
      <w:pPr>
        <w:jc w:val="both"/>
        <w:rPr>
          <w:lang w:eastAsia="sl-SI"/>
          <w14:ligatures w14:val="none"/>
        </w:rPr>
      </w:pPr>
    </w:p>
    <w:p w14:paraId="7AF70D77" w14:textId="06E1B9D2" w:rsidR="00175AD7" w:rsidRDefault="00E509BD" w:rsidP="003F2D1F">
      <w:pPr>
        <w:jc w:val="both"/>
        <w:rPr>
          <w:b/>
          <w:bCs/>
          <w:lang w:eastAsia="sl-SI"/>
          <w14:ligatures w14:val="none"/>
        </w:rPr>
      </w:pPr>
      <w:r>
        <w:rPr>
          <w:b/>
          <w:bCs/>
          <w:lang w:eastAsia="sl-SI"/>
          <w14:ligatures w14:val="none"/>
        </w:rPr>
        <w:t>Promet</w:t>
      </w:r>
    </w:p>
    <w:p w14:paraId="1B6CFC21" w14:textId="77777777" w:rsidR="00E509BD" w:rsidRPr="00956145" w:rsidRDefault="00E509BD" w:rsidP="003F2D1F">
      <w:pPr>
        <w:jc w:val="both"/>
        <w:rPr>
          <w:b/>
          <w:bCs/>
          <w:lang w:eastAsia="sl-SI"/>
          <w14:ligatures w14:val="none"/>
        </w:rPr>
      </w:pPr>
    </w:p>
    <w:p w14:paraId="58D38897" w14:textId="08146E07" w:rsidR="00E949C5" w:rsidRDefault="00E509BD" w:rsidP="00E949C5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P</w:t>
      </w:r>
      <w:r w:rsidR="00E949C5">
        <w:rPr>
          <w:rFonts w:cstheme="minorHAnsi"/>
        </w:rPr>
        <w:t xml:space="preserve">redstavlja velik izziv glede zmanjšanja emisij TGP: </w:t>
      </w:r>
      <w:r w:rsidR="00956145" w:rsidRPr="00E949C5">
        <w:rPr>
          <w:rFonts w:cstheme="minorHAnsi"/>
        </w:rPr>
        <w:t>prispeva največ emisij in je največji porabnik energije</w:t>
      </w:r>
      <w:r>
        <w:rPr>
          <w:rFonts w:cstheme="minorHAnsi"/>
        </w:rPr>
        <w:t>;</w:t>
      </w:r>
    </w:p>
    <w:p w14:paraId="1D187176" w14:textId="11CB484D" w:rsidR="00505BA0" w:rsidRDefault="00E509BD" w:rsidP="00E949C5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S</w:t>
      </w:r>
      <w:r w:rsidR="00956145" w:rsidRPr="00E949C5">
        <w:rPr>
          <w:rFonts w:cstheme="minorHAnsi"/>
        </w:rPr>
        <w:t xml:space="preserve">ektorski cilj na področju emisij v prometu </w:t>
      </w:r>
      <w:r>
        <w:rPr>
          <w:rFonts w:cstheme="minorHAnsi"/>
        </w:rPr>
        <w:t xml:space="preserve">minus </w:t>
      </w:r>
      <w:r w:rsidR="00956145" w:rsidRPr="00E949C5">
        <w:rPr>
          <w:rFonts w:cstheme="minorHAnsi"/>
        </w:rPr>
        <w:t>1</w:t>
      </w:r>
      <w:r>
        <w:rPr>
          <w:rFonts w:cstheme="minorHAnsi"/>
        </w:rPr>
        <w:t xml:space="preserve"> odstotek </w:t>
      </w:r>
      <w:r w:rsidR="00505BA0">
        <w:rPr>
          <w:rFonts w:cstheme="minorHAnsi"/>
        </w:rPr>
        <w:t>do leta 2030</w:t>
      </w:r>
      <w:r>
        <w:rPr>
          <w:rFonts w:cstheme="minorHAnsi"/>
        </w:rPr>
        <w:t>;</w:t>
      </w:r>
    </w:p>
    <w:p w14:paraId="551348C7" w14:textId="11FE51EB" w:rsidR="00505BA0" w:rsidRDefault="00E509BD" w:rsidP="00E949C5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V</w:t>
      </w:r>
      <w:r w:rsidR="00505BA0">
        <w:rPr>
          <w:rFonts w:cstheme="minorHAnsi"/>
        </w:rPr>
        <w:t xml:space="preserve">saj 26 </w:t>
      </w:r>
      <w:r>
        <w:rPr>
          <w:rFonts w:cstheme="minorHAnsi"/>
        </w:rPr>
        <w:t xml:space="preserve">odstotni </w:t>
      </w:r>
      <w:r w:rsidR="00505BA0">
        <w:rPr>
          <w:rFonts w:cstheme="minorHAnsi"/>
        </w:rPr>
        <w:t>delež OVE v prometu</w:t>
      </w:r>
      <w:r>
        <w:rPr>
          <w:rFonts w:cstheme="minorHAnsi"/>
        </w:rPr>
        <w:t>;</w:t>
      </w:r>
    </w:p>
    <w:p w14:paraId="37FC0017" w14:textId="0B41B069" w:rsidR="00505BA0" w:rsidRDefault="00E509BD" w:rsidP="00E949C5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V</w:t>
      </w:r>
      <w:r w:rsidR="00956145" w:rsidRPr="00E949C5">
        <w:rPr>
          <w:rFonts w:cstheme="minorHAnsi"/>
        </w:rPr>
        <w:t xml:space="preserve"> prvi fazi bo potrebno pozornost nameniti železniškemu prometu in ukrepom trajnostne mobilnosti za razbremenitev gostega prometa in zmanjšanje </w:t>
      </w:r>
      <w:proofErr w:type="spellStart"/>
      <w:r w:rsidR="00956145" w:rsidRPr="00E949C5">
        <w:rPr>
          <w:rFonts w:cstheme="minorHAnsi"/>
        </w:rPr>
        <w:t>ogl</w:t>
      </w:r>
      <w:r w:rsidR="00D0220F" w:rsidRPr="00E949C5">
        <w:rPr>
          <w:rFonts w:cstheme="minorHAnsi"/>
        </w:rPr>
        <w:t>j</w:t>
      </w:r>
      <w:r w:rsidR="00956145" w:rsidRPr="00E949C5">
        <w:rPr>
          <w:rFonts w:cstheme="minorHAnsi"/>
        </w:rPr>
        <w:t>ičnega</w:t>
      </w:r>
      <w:proofErr w:type="spellEnd"/>
      <w:r w:rsidR="00956145" w:rsidRPr="00E949C5">
        <w:rPr>
          <w:rFonts w:cstheme="minorHAnsi"/>
        </w:rPr>
        <w:t xml:space="preserve"> odtisa</w:t>
      </w:r>
      <w:r>
        <w:rPr>
          <w:rFonts w:cstheme="minorHAnsi"/>
        </w:rPr>
        <w:t>;</w:t>
      </w:r>
    </w:p>
    <w:p w14:paraId="3561BB9D" w14:textId="52F4A2BE" w:rsidR="00D0220F" w:rsidRPr="00E949C5" w:rsidRDefault="00E509BD" w:rsidP="00AB6D3C">
      <w:pPr>
        <w:pStyle w:val="Odstavekseznama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V</w:t>
      </w:r>
      <w:r w:rsidR="00D0220F" w:rsidRPr="00E949C5">
        <w:rPr>
          <w:rFonts w:cstheme="minorHAnsi"/>
        </w:rPr>
        <w:t>ečja prometna infrastruktura do 2030 ne bo mogla biti zgrajena, zato bo promet ključen sektor tudi v obdobju 2030-2040</w:t>
      </w:r>
      <w:r w:rsidR="005F1A41" w:rsidRPr="00E949C5">
        <w:rPr>
          <w:rFonts w:cstheme="minorHAnsi"/>
        </w:rPr>
        <w:t>, pri čemer je treba danes ustrezno prostorsko načrtovati, da bo izvedba uspešna</w:t>
      </w:r>
      <w:r w:rsidR="00157192" w:rsidRPr="00E949C5">
        <w:rPr>
          <w:rFonts w:cstheme="minorHAnsi"/>
        </w:rPr>
        <w:t>.</w:t>
      </w:r>
    </w:p>
    <w:p w14:paraId="6DD6D88B" w14:textId="77777777" w:rsidR="00D6443E" w:rsidRPr="00F12E0F" w:rsidRDefault="00D6443E" w:rsidP="00AB6D3C">
      <w:pPr>
        <w:pStyle w:val="Odstavekseznama"/>
        <w:ind w:left="360"/>
        <w:jc w:val="both"/>
        <w:rPr>
          <w:rFonts w:cstheme="minorHAnsi"/>
        </w:rPr>
      </w:pPr>
    </w:p>
    <w:sectPr w:rsidR="00D6443E" w:rsidRPr="00F12E0F" w:rsidSect="00AB6D3C">
      <w:footerReference w:type="default" r:id="rId10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7F76" w14:textId="77777777" w:rsidR="00F727C4" w:rsidRDefault="00F727C4" w:rsidP="00CF27C3">
      <w:r>
        <w:separator/>
      </w:r>
    </w:p>
  </w:endnote>
  <w:endnote w:type="continuationSeparator" w:id="0">
    <w:p w14:paraId="4753C9D9" w14:textId="77777777" w:rsidR="00F727C4" w:rsidRDefault="00F727C4" w:rsidP="00CF27C3">
      <w:r>
        <w:continuationSeparator/>
      </w:r>
    </w:p>
  </w:endnote>
  <w:endnote w:type="continuationNotice" w:id="1">
    <w:p w14:paraId="5D163212" w14:textId="77777777" w:rsidR="00281AF8" w:rsidRDefault="00281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364931"/>
      <w:docPartObj>
        <w:docPartGallery w:val="Page Numbers (Bottom of Page)"/>
        <w:docPartUnique/>
      </w:docPartObj>
    </w:sdtPr>
    <w:sdtEndPr/>
    <w:sdtContent>
      <w:p w14:paraId="69045634" w14:textId="52F27066" w:rsidR="00505BA0" w:rsidRDefault="00505BA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79CAB" w14:textId="77777777" w:rsidR="00CF27C3" w:rsidRDefault="00CF27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DAC1" w14:textId="77777777" w:rsidR="00F727C4" w:rsidRDefault="00F727C4" w:rsidP="00CF27C3">
      <w:r>
        <w:separator/>
      </w:r>
    </w:p>
  </w:footnote>
  <w:footnote w:type="continuationSeparator" w:id="0">
    <w:p w14:paraId="23DB3E6C" w14:textId="77777777" w:rsidR="00F727C4" w:rsidRDefault="00F727C4" w:rsidP="00CF27C3">
      <w:r>
        <w:continuationSeparator/>
      </w:r>
    </w:p>
  </w:footnote>
  <w:footnote w:type="continuationNotice" w:id="1">
    <w:p w14:paraId="7056DA18" w14:textId="77777777" w:rsidR="00281AF8" w:rsidRDefault="00281A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876"/>
    <w:multiLevelType w:val="hybridMultilevel"/>
    <w:tmpl w:val="3AFC674A"/>
    <w:lvl w:ilvl="0" w:tplc="458C76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B3AFE"/>
    <w:multiLevelType w:val="hybridMultilevel"/>
    <w:tmpl w:val="A9687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22DF"/>
    <w:multiLevelType w:val="hybridMultilevel"/>
    <w:tmpl w:val="B8BCB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70EE"/>
    <w:multiLevelType w:val="hybridMultilevel"/>
    <w:tmpl w:val="D1CE45FA"/>
    <w:lvl w:ilvl="0" w:tplc="9FE80038">
      <w:numFmt w:val="bullet"/>
      <w:lvlText w:val="-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439D5"/>
    <w:multiLevelType w:val="hybridMultilevel"/>
    <w:tmpl w:val="1A9A10A4"/>
    <w:lvl w:ilvl="0" w:tplc="458C76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13A0E"/>
    <w:multiLevelType w:val="hybridMultilevel"/>
    <w:tmpl w:val="D1A2D02A"/>
    <w:lvl w:ilvl="0" w:tplc="2A7EA5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765CF"/>
    <w:multiLevelType w:val="hybridMultilevel"/>
    <w:tmpl w:val="1C4C01E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FE26BD"/>
    <w:multiLevelType w:val="hybridMultilevel"/>
    <w:tmpl w:val="9166A40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E4569"/>
    <w:multiLevelType w:val="hybridMultilevel"/>
    <w:tmpl w:val="7E54CE76"/>
    <w:lvl w:ilvl="0" w:tplc="458C76A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458C76A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CE71A65"/>
    <w:multiLevelType w:val="hybridMultilevel"/>
    <w:tmpl w:val="6CF4307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B697B"/>
    <w:multiLevelType w:val="hybridMultilevel"/>
    <w:tmpl w:val="546888B4"/>
    <w:lvl w:ilvl="0" w:tplc="46826C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B08B2"/>
    <w:multiLevelType w:val="hybridMultilevel"/>
    <w:tmpl w:val="AF2E1EF4"/>
    <w:lvl w:ilvl="0" w:tplc="2A7EA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7333">
    <w:abstractNumId w:val="10"/>
  </w:num>
  <w:num w:numId="2" w16cid:durableId="109592108">
    <w:abstractNumId w:val="8"/>
  </w:num>
  <w:num w:numId="3" w16cid:durableId="996155618">
    <w:abstractNumId w:val="11"/>
  </w:num>
  <w:num w:numId="4" w16cid:durableId="1049770700">
    <w:abstractNumId w:val="5"/>
  </w:num>
  <w:num w:numId="5" w16cid:durableId="429160558">
    <w:abstractNumId w:val="1"/>
  </w:num>
  <w:num w:numId="6" w16cid:durableId="244459799">
    <w:abstractNumId w:val="3"/>
  </w:num>
  <w:num w:numId="7" w16cid:durableId="636103596">
    <w:abstractNumId w:val="7"/>
  </w:num>
  <w:num w:numId="8" w16cid:durableId="858662384">
    <w:abstractNumId w:val="0"/>
  </w:num>
  <w:num w:numId="9" w16cid:durableId="262954924">
    <w:abstractNumId w:val="9"/>
  </w:num>
  <w:num w:numId="10" w16cid:durableId="1484197791">
    <w:abstractNumId w:val="6"/>
  </w:num>
  <w:num w:numId="11" w16cid:durableId="1676688951">
    <w:abstractNumId w:val="4"/>
  </w:num>
  <w:num w:numId="12" w16cid:durableId="131144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3E"/>
    <w:rsid w:val="000175AF"/>
    <w:rsid w:val="00025177"/>
    <w:rsid w:val="0007087A"/>
    <w:rsid w:val="000C4D71"/>
    <w:rsid w:val="000E0668"/>
    <w:rsid w:val="00133BB6"/>
    <w:rsid w:val="001554B9"/>
    <w:rsid w:val="00157192"/>
    <w:rsid w:val="00175AD7"/>
    <w:rsid w:val="001772BA"/>
    <w:rsid w:val="00180B3C"/>
    <w:rsid w:val="00195422"/>
    <w:rsid w:val="001966B1"/>
    <w:rsid w:val="00234559"/>
    <w:rsid w:val="00234D70"/>
    <w:rsid w:val="00257041"/>
    <w:rsid w:val="00266638"/>
    <w:rsid w:val="00281AF8"/>
    <w:rsid w:val="002A3346"/>
    <w:rsid w:val="003138EB"/>
    <w:rsid w:val="00322450"/>
    <w:rsid w:val="003642CE"/>
    <w:rsid w:val="003A785C"/>
    <w:rsid w:val="003E36A0"/>
    <w:rsid w:val="003F2D1F"/>
    <w:rsid w:val="003F7B09"/>
    <w:rsid w:val="00441286"/>
    <w:rsid w:val="0046150C"/>
    <w:rsid w:val="004B2CA8"/>
    <w:rsid w:val="004C6E0B"/>
    <w:rsid w:val="004F34A8"/>
    <w:rsid w:val="00505BA0"/>
    <w:rsid w:val="00547C76"/>
    <w:rsid w:val="00552154"/>
    <w:rsid w:val="005765BE"/>
    <w:rsid w:val="005B2ED1"/>
    <w:rsid w:val="005F1A41"/>
    <w:rsid w:val="0060666A"/>
    <w:rsid w:val="00622A6D"/>
    <w:rsid w:val="00625704"/>
    <w:rsid w:val="0069001A"/>
    <w:rsid w:val="006A70A8"/>
    <w:rsid w:val="006E54ED"/>
    <w:rsid w:val="006E641B"/>
    <w:rsid w:val="00746AD3"/>
    <w:rsid w:val="00770CDE"/>
    <w:rsid w:val="00772FA9"/>
    <w:rsid w:val="00795851"/>
    <w:rsid w:val="007E30F1"/>
    <w:rsid w:val="007E5B1C"/>
    <w:rsid w:val="008113B5"/>
    <w:rsid w:val="00812EE9"/>
    <w:rsid w:val="008614E9"/>
    <w:rsid w:val="00876CE8"/>
    <w:rsid w:val="008A0D82"/>
    <w:rsid w:val="008B0741"/>
    <w:rsid w:val="008D1D1C"/>
    <w:rsid w:val="008D72F6"/>
    <w:rsid w:val="0095467D"/>
    <w:rsid w:val="00956145"/>
    <w:rsid w:val="0098011D"/>
    <w:rsid w:val="0099479E"/>
    <w:rsid w:val="009A2AE2"/>
    <w:rsid w:val="009B3ABD"/>
    <w:rsid w:val="00A651D1"/>
    <w:rsid w:val="00A74FA7"/>
    <w:rsid w:val="00A876E9"/>
    <w:rsid w:val="00AB6D3C"/>
    <w:rsid w:val="00B0310A"/>
    <w:rsid w:val="00B128E1"/>
    <w:rsid w:val="00B16467"/>
    <w:rsid w:val="00B20176"/>
    <w:rsid w:val="00B43809"/>
    <w:rsid w:val="00B44257"/>
    <w:rsid w:val="00B75423"/>
    <w:rsid w:val="00B818FB"/>
    <w:rsid w:val="00BD41CE"/>
    <w:rsid w:val="00BF66D7"/>
    <w:rsid w:val="00C06579"/>
    <w:rsid w:val="00C4558A"/>
    <w:rsid w:val="00CD059B"/>
    <w:rsid w:val="00CD6214"/>
    <w:rsid w:val="00CE34A3"/>
    <w:rsid w:val="00CF27C3"/>
    <w:rsid w:val="00D0220F"/>
    <w:rsid w:val="00D2148C"/>
    <w:rsid w:val="00D26470"/>
    <w:rsid w:val="00D515F3"/>
    <w:rsid w:val="00D6443E"/>
    <w:rsid w:val="00D7579F"/>
    <w:rsid w:val="00D8330C"/>
    <w:rsid w:val="00D87355"/>
    <w:rsid w:val="00DC579D"/>
    <w:rsid w:val="00DE0C21"/>
    <w:rsid w:val="00E46232"/>
    <w:rsid w:val="00E509BD"/>
    <w:rsid w:val="00E5196F"/>
    <w:rsid w:val="00E87322"/>
    <w:rsid w:val="00E949C5"/>
    <w:rsid w:val="00EA12A3"/>
    <w:rsid w:val="00EA5EC0"/>
    <w:rsid w:val="00EB0B25"/>
    <w:rsid w:val="00ED383A"/>
    <w:rsid w:val="00ED6914"/>
    <w:rsid w:val="00F0226A"/>
    <w:rsid w:val="00F12E0F"/>
    <w:rsid w:val="00F2760F"/>
    <w:rsid w:val="00F355C8"/>
    <w:rsid w:val="00F40C56"/>
    <w:rsid w:val="00F563D4"/>
    <w:rsid w:val="00F727C4"/>
    <w:rsid w:val="00F75925"/>
    <w:rsid w:val="00FA761D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4585C"/>
  <w15:chartTrackingRefBased/>
  <w15:docId w15:val="{644F6862-5E09-475D-A992-72FB41C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43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Odstavec1,List Paragraph1,List Paragraph (numbered (a)),WB Para,Akapit z listą BS,Foot note,Bullet Points,Liste Paragraf,Table of contents numbered,lp1,List 100s,Bullets,References,123 List Paragraph,Celula,Normal 2,List_Paragraph,List1"/>
    <w:basedOn w:val="Navaden"/>
    <w:link w:val="OdstavekseznamaZnak"/>
    <w:uiPriority w:val="34"/>
    <w:qFormat/>
    <w:rsid w:val="00D6443E"/>
    <w:pPr>
      <w:ind w:left="720"/>
      <w:contextualSpacing/>
    </w:pPr>
    <w:rPr>
      <w:lang w:eastAsia="sl-SI"/>
      <w14:ligatures w14:val="none"/>
    </w:rPr>
  </w:style>
  <w:style w:type="character" w:customStyle="1" w:styleId="OdstavekseznamaZnak">
    <w:name w:val="Odstavek seznama Znak"/>
    <w:aliases w:val="Odstavec1 Znak,List Paragraph1 Znak,List Paragraph (numbered (a)) Znak,WB Para Znak,Akapit z listą BS Znak,Foot note Znak,Bullet Points Znak,Liste Paragraf Znak,Table of contents numbered Znak,lp1 Znak,List 100s Znak,Bullets Znak"/>
    <w:basedOn w:val="Privzetapisavaodstavka"/>
    <w:link w:val="Odstavekseznama"/>
    <w:uiPriority w:val="34"/>
    <w:qFormat/>
    <w:locked/>
    <w:rsid w:val="00D6443E"/>
    <w:rPr>
      <w:rFonts w:ascii="Calibri" w:hAnsi="Calibri" w:cs="Calibri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3A785C"/>
    <w:pPr>
      <w:spacing w:after="0" w:line="240" w:lineRule="auto"/>
    </w:pPr>
    <w:rPr>
      <w:rFonts w:ascii="Calibri" w:hAnsi="Calibri" w:cs="Calibri"/>
      <w:kern w:val="0"/>
    </w:rPr>
  </w:style>
  <w:style w:type="character" w:styleId="Pripombasklic">
    <w:name w:val="annotation reference"/>
    <w:basedOn w:val="Privzetapisavaodstavka"/>
    <w:uiPriority w:val="99"/>
    <w:semiHidden/>
    <w:unhideWhenUsed/>
    <w:rsid w:val="003A78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A785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A785C"/>
    <w:rPr>
      <w:rFonts w:ascii="Calibri" w:hAnsi="Calibri" w:cs="Calibri"/>
      <w:kern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78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785C"/>
    <w:rPr>
      <w:rFonts w:ascii="Calibri" w:hAnsi="Calibri" w:cs="Calibri"/>
      <w:b/>
      <w:bCs/>
      <w:kern w:val="0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CF27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7C3"/>
    <w:rPr>
      <w:rFonts w:ascii="Calibri" w:hAnsi="Calibri" w:cs="Calibri"/>
      <w:kern w:val="0"/>
    </w:rPr>
  </w:style>
  <w:style w:type="paragraph" w:styleId="Noga">
    <w:name w:val="footer"/>
    <w:basedOn w:val="Navaden"/>
    <w:link w:val="NogaZnak"/>
    <w:uiPriority w:val="99"/>
    <w:unhideWhenUsed/>
    <w:rsid w:val="00CF27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7C3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432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78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C4F92F5AA1249A3CD5DED85F72ECD" ma:contentTypeVersion="4" ma:contentTypeDescription="Create a new document." ma:contentTypeScope="" ma:versionID="a911a2447b6e290cb37a01a1b862e54f">
  <xsd:schema xmlns:xsd="http://www.w3.org/2001/XMLSchema" xmlns:xs="http://www.w3.org/2001/XMLSchema" xmlns:p="http://schemas.microsoft.com/office/2006/metadata/properties" xmlns:ns2="63b82932-9ec3-42c3-852f-139ed7ad206c" targetNamespace="http://schemas.microsoft.com/office/2006/metadata/properties" ma:root="true" ma:fieldsID="e4896e6a6d954afdbe79e2363ddc1321" ns2:_="">
    <xsd:import namespace="63b82932-9ec3-42c3-852f-139ed7ad2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2932-9ec3-42c3-852f-139ed7ad2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F8E82-FBD3-46E5-A940-6070CDCB0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2C09E-E684-4104-962D-ACD28E357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2932-9ec3-42c3-852f-139ed7ad2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F60D2-1A36-49AD-A5BB-5CCAA53F43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6719</Characters>
  <Application>Microsoft Office Word</Application>
  <DocSecurity>4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Bijedić</dc:creator>
  <cp:keywords/>
  <dc:description/>
  <cp:lastModifiedBy>Tjaša Baraga Naraločnik</cp:lastModifiedBy>
  <cp:revision>2</cp:revision>
  <cp:lastPrinted>2024-08-27T12:04:00Z</cp:lastPrinted>
  <dcterms:created xsi:type="dcterms:W3CDTF">2024-12-24T09:59:00Z</dcterms:created>
  <dcterms:modified xsi:type="dcterms:W3CDTF">2024-12-24T09:59:00Z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8aff0f83828cafe8f2b25edb57e79080432dea4a5fc56ba13c2ab000d67148e8</vt:lpwstr>
  </property>
  <property fmtid="{D5CDD505-2E9C-101B-9397-08002B2CF9AE}" pid="3" name="ContentTypeId">
    <vt:lpwstr>0x010100F27C4F92F5AA1249A3CD5DED85F72ECD</vt:lpwstr>
  </property>
</Properties>
</file>