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4795" w14:textId="5FCDF14E" w:rsidR="000A6F5E" w:rsidRPr="000A6F5E" w:rsidRDefault="000A6F5E" w:rsidP="000A6F5E">
      <w:pPr>
        <w:tabs>
          <w:tab w:val="left" w:pos="1701"/>
        </w:tabs>
        <w:rPr>
          <w:szCs w:val="20"/>
          <w:lang w:eastAsia="sl-SI"/>
        </w:rPr>
      </w:pPr>
      <w:r w:rsidRPr="000A6F5E">
        <w:rPr>
          <w:noProof/>
          <w:szCs w:val="20"/>
          <w:lang w:eastAsia="sl-SI"/>
        </w:rPr>
        <mc:AlternateContent>
          <mc:Choice Requires="wps">
            <w:drawing>
              <wp:anchor distT="360045" distB="540385" distL="0" distR="0" simplePos="0" relativeHeight="251659264" behindDoc="0" locked="0" layoutInCell="1" allowOverlap="0" wp14:anchorId="6021EF52" wp14:editId="10E70B3D">
                <wp:simplePos x="0" y="0"/>
                <wp:positionH relativeFrom="margin">
                  <wp:align>left</wp:align>
                </wp:positionH>
                <wp:positionV relativeFrom="page">
                  <wp:posOffset>1621155</wp:posOffset>
                </wp:positionV>
                <wp:extent cx="2520315" cy="45085"/>
                <wp:effectExtent l="0" t="0" r="13335" b="12065"/>
                <wp:wrapTopAndBottom/>
                <wp:docPr id="4"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A3B78" w14:textId="77777777" w:rsidR="000A6F5E" w:rsidRDefault="000A6F5E" w:rsidP="000A6F5E"/>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1EF52" id="_x0000_t202" coordsize="21600,21600" o:spt="202" path="m,l,21600r21600,l21600,xe">
                <v:stroke joinstyle="miter"/>
                <v:path gradientshapeok="t" o:connecttype="rect"/>
              </v:shapetype>
              <v:shape id="Text Box 3" o:spid="_x0000_s1026" type="#_x0000_t202" alt="Prostor za vnos naslovnika&#10;" style="position:absolute;margin-left:0;margin-top:127.65pt;width:198.45pt;height:3.55pt;z-index:251659264;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" o:allowoverlap="f" filled="f" stroked="f">
                <v:textbox inset="0,0,0,0">
                  <w:txbxContent>
                    <w:p w14:paraId="3C8A3B78" w14:textId="77777777" w:rsidR="000A6F5E" w:rsidRDefault="000A6F5E" w:rsidP="000A6F5E"/>
                  </w:txbxContent>
                </v:textbox>
                <w10:wrap type="topAndBottom" anchorx="margin" anchory="page"/>
              </v:shape>
            </w:pict>
          </mc:Fallback>
        </mc:AlternateContent>
      </w:r>
      <w:r w:rsidRPr="000A6F5E">
        <w:rPr>
          <w:szCs w:val="20"/>
          <w:lang w:eastAsia="sl-SI"/>
        </w:rPr>
        <w:t xml:space="preserve">Številka: </w:t>
      </w:r>
      <w:r w:rsidRPr="000A6F5E">
        <w:rPr>
          <w:szCs w:val="20"/>
          <w:lang w:eastAsia="sl-SI"/>
        </w:rPr>
        <w:tab/>
        <w:t>35409-</w:t>
      </w:r>
      <w:r w:rsidR="00567EAA">
        <w:rPr>
          <w:szCs w:val="20"/>
          <w:lang w:eastAsia="sl-SI"/>
        </w:rPr>
        <w:t>108</w:t>
      </w:r>
      <w:r w:rsidRPr="000A6F5E">
        <w:rPr>
          <w:szCs w:val="20"/>
          <w:lang w:eastAsia="sl-SI"/>
        </w:rPr>
        <w:t>/202</w:t>
      </w:r>
      <w:r w:rsidR="00567EAA">
        <w:rPr>
          <w:szCs w:val="20"/>
          <w:lang w:eastAsia="sl-SI"/>
        </w:rPr>
        <w:t>4</w:t>
      </w:r>
      <w:r w:rsidRPr="000A6F5E">
        <w:rPr>
          <w:szCs w:val="20"/>
          <w:lang w:eastAsia="sl-SI"/>
        </w:rPr>
        <w:t>-25</w:t>
      </w:r>
      <w:r w:rsidR="00567EAA">
        <w:rPr>
          <w:szCs w:val="20"/>
          <w:lang w:eastAsia="sl-SI"/>
        </w:rPr>
        <w:t>7</w:t>
      </w:r>
      <w:r w:rsidRPr="000A6F5E">
        <w:rPr>
          <w:szCs w:val="20"/>
          <w:lang w:eastAsia="sl-SI"/>
        </w:rPr>
        <w:t>0-</w:t>
      </w:r>
      <w:r w:rsidR="00595854">
        <w:rPr>
          <w:szCs w:val="20"/>
          <w:lang w:eastAsia="sl-SI"/>
        </w:rPr>
        <w:t>9</w:t>
      </w:r>
    </w:p>
    <w:p w14:paraId="247EE291" w14:textId="64107A9B" w:rsidR="000A6F5E" w:rsidRPr="000A6F5E" w:rsidRDefault="000A6F5E" w:rsidP="000A6F5E">
      <w:pPr>
        <w:tabs>
          <w:tab w:val="left" w:pos="1701"/>
        </w:tabs>
        <w:rPr>
          <w:szCs w:val="20"/>
          <w:lang w:eastAsia="sl-SI"/>
        </w:rPr>
      </w:pPr>
      <w:r w:rsidRPr="000A6F5E">
        <w:rPr>
          <w:szCs w:val="20"/>
          <w:lang w:eastAsia="sl-SI"/>
        </w:rPr>
        <w:t xml:space="preserve">Datum: </w:t>
      </w:r>
      <w:r w:rsidRPr="000A6F5E">
        <w:rPr>
          <w:szCs w:val="20"/>
          <w:lang w:eastAsia="sl-SI"/>
        </w:rPr>
        <w:tab/>
      </w:r>
      <w:r w:rsidR="00FC0F72">
        <w:rPr>
          <w:szCs w:val="20"/>
          <w:lang w:eastAsia="sl-SI"/>
        </w:rPr>
        <w:t>2</w:t>
      </w:r>
      <w:r w:rsidR="00E210F8">
        <w:rPr>
          <w:szCs w:val="20"/>
          <w:lang w:eastAsia="sl-SI"/>
        </w:rPr>
        <w:t>3</w:t>
      </w:r>
      <w:r w:rsidRPr="000A6F5E">
        <w:rPr>
          <w:szCs w:val="20"/>
          <w:lang w:eastAsia="sl-SI"/>
        </w:rPr>
        <w:t xml:space="preserve">. </w:t>
      </w:r>
      <w:r w:rsidR="00567EAA">
        <w:rPr>
          <w:szCs w:val="20"/>
          <w:lang w:eastAsia="sl-SI"/>
        </w:rPr>
        <w:t>9</w:t>
      </w:r>
      <w:r w:rsidRPr="000A6F5E">
        <w:rPr>
          <w:szCs w:val="20"/>
          <w:lang w:eastAsia="sl-SI"/>
        </w:rPr>
        <w:t>. 202</w:t>
      </w:r>
      <w:r w:rsidR="00567EAA">
        <w:rPr>
          <w:szCs w:val="20"/>
          <w:lang w:eastAsia="sl-SI"/>
        </w:rPr>
        <w:t>4</w:t>
      </w:r>
      <w:r w:rsidRPr="000A6F5E">
        <w:rPr>
          <w:szCs w:val="20"/>
          <w:lang w:eastAsia="sl-SI"/>
        </w:rPr>
        <w:t xml:space="preserve"> </w:t>
      </w:r>
    </w:p>
    <w:p w14:paraId="32C69A6F" w14:textId="77777777" w:rsidR="000A6F5E" w:rsidRPr="000A6F5E" w:rsidRDefault="000A6F5E" w:rsidP="000A6F5E"/>
    <w:p w14:paraId="1F4DCDD7" w14:textId="28C7EF9B" w:rsidR="000A6F5E" w:rsidRPr="007E3C39" w:rsidRDefault="000A6F5E" w:rsidP="000A6F5E">
      <w:pPr>
        <w:jc w:val="both"/>
        <w:rPr>
          <w:bCs/>
        </w:rPr>
      </w:pPr>
      <w:r w:rsidRPr="000A6F5E">
        <w:rPr>
          <w:bCs/>
        </w:rPr>
        <w:t xml:space="preserve">Ministrstvo za </w:t>
      </w:r>
      <w:r w:rsidR="00512167">
        <w:rPr>
          <w:bCs/>
        </w:rPr>
        <w:t>okolje, podnebje in energijo</w:t>
      </w:r>
      <w:r w:rsidRPr="000A6F5E">
        <w:rPr>
          <w:bCs/>
        </w:rPr>
        <w:t xml:space="preserve"> izdaja na podlagi 77. člena Zakona o varstvu okolja (</w:t>
      </w:r>
      <w:r w:rsidR="00567EAA" w:rsidRPr="00567EAA">
        <w:rPr>
          <w:color w:val="000000" w:themeColor="text1"/>
        </w:rPr>
        <w:t xml:space="preserve">Uradni list RS, št. </w:t>
      </w:r>
      <w:hyperlink r:id="rId10" w:tgtFrame="_blank" w:tooltip="Zakon o varstvu okolja (ZVO-2)" w:history="1">
        <w:r w:rsidR="00567EAA" w:rsidRPr="00B544E0">
          <w:rPr>
            <w:color w:val="000000" w:themeColor="text1"/>
            <w:lang w:val="it-IT"/>
          </w:rPr>
          <w:t>44/22</w:t>
        </w:r>
      </w:hyperlink>
      <w:r w:rsidR="00567EAA" w:rsidRPr="00B544E0">
        <w:rPr>
          <w:color w:val="000000" w:themeColor="text1"/>
          <w:lang w:val="it-IT"/>
        </w:rPr>
        <w:t xml:space="preserve">, </w:t>
      </w:r>
      <w:hyperlink r:id="rId11" w:tgtFrame="_blank" w:tooltip="Zakon o spremembah in dopolnitvah Zakona o državni upravi (ZDU-1O)" w:history="1">
        <w:r w:rsidR="00567EAA" w:rsidRPr="00B544E0">
          <w:rPr>
            <w:color w:val="000000" w:themeColor="text1"/>
            <w:lang w:val="it-IT"/>
          </w:rPr>
          <w:t>18/23</w:t>
        </w:r>
      </w:hyperlink>
      <w:r w:rsidR="00567EAA" w:rsidRPr="00B544E0">
        <w:rPr>
          <w:color w:val="000000" w:themeColor="text1"/>
          <w:lang w:val="it-IT"/>
        </w:rPr>
        <w:t xml:space="preserve"> – ZDU-1O, </w:t>
      </w:r>
      <w:hyperlink r:id="rId12" w:tgtFrame="_blank" w:tooltip="Zakon o uvajanju naprav za proizvodnjo električne energije iz obnovljivih virov energije (ZUNPEOVE)" w:history="1">
        <w:r w:rsidR="00567EAA" w:rsidRPr="00B544E0">
          <w:rPr>
            <w:color w:val="000000" w:themeColor="text1"/>
            <w:lang w:val="it-IT"/>
          </w:rPr>
          <w:t>78/23</w:t>
        </w:r>
      </w:hyperlink>
      <w:r w:rsidR="00567EAA" w:rsidRPr="00B544E0">
        <w:rPr>
          <w:color w:val="000000" w:themeColor="text1"/>
          <w:lang w:val="it-IT"/>
        </w:rPr>
        <w:t xml:space="preserve"> – ZUNPEOVE in </w:t>
      </w:r>
      <w:hyperlink r:id="rId13" w:tgtFrame="_blank" w:tooltip="Zakon o spremembah in dopolnitvah Zakona o varstvu okolja (ZVO-2A)" w:history="1">
        <w:r w:rsidR="00567EAA" w:rsidRPr="00B544E0">
          <w:rPr>
            <w:color w:val="000000" w:themeColor="text1"/>
            <w:lang w:val="it-IT"/>
          </w:rPr>
          <w:t>23/24</w:t>
        </w:r>
      </w:hyperlink>
      <w:r w:rsidRPr="00567EAA">
        <w:rPr>
          <w:color w:val="000000" w:themeColor="text1"/>
        </w:rPr>
        <w:t>)</w:t>
      </w:r>
      <w:r w:rsidR="0058745C">
        <w:rPr>
          <w:color w:val="000000" w:themeColor="text1"/>
        </w:rPr>
        <w:t xml:space="preserve"> in</w:t>
      </w:r>
      <w:r w:rsidRPr="000A6F5E">
        <w:rPr>
          <w:bCs/>
        </w:rPr>
        <w:t xml:space="preserve"> 1</w:t>
      </w:r>
      <w:r w:rsidR="00A65A42">
        <w:rPr>
          <w:bCs/>
        </w:rPr>
        <w:t>10</w:t>
      </w:r>
      <w:r w:rsidRPr="000A6F5E">
        <w:rPr>
          <w:bCs/>
        </w:rPr>
        <w:t>. člen</w:t>
      </w:r>
      <w:r w:rsidR="0058745C">
        <w:rPr>
          <w:bCs/>
        </w:rPr>
        <w:t>a</w:t>
      </w:r>
      <w:r w:rsidRPr="000A6F5E">
        <w:rPr>
          <w:bCs/>
        </w:rPr>
        <w:t xml:space="preserve"> Zakona o urejanju </w:t>
      </w:r>
      <w:r w:rsidRPr="00B544E0">
        <w:rPr>
          <w:bCs/>
          <w:color w:val="000000" w:themeColor="text1"/>
        </w:rPr>
        <w:t>prostora (</w:t>
      </w:r>
      <w:r w:rsidR="00B544E0" w:rsidRPr="00B544E0">
        <w:rPr>
          <w:bCs/>
          <w:color w:val="000000" w:themeColor="text1"/>
          <w:lang w:val="it-IT"/>
        </w:rPr>
        <w:t xml:space="preserve">Uradni list RS, št. </w:t>
      </w:r>
      <w:hyperlink r:id="rId14" w:tgtFrame="_blank" w:tooltip="Zakon o urejanju prostora (ZUreP-2)" w:history="1">
        <w:r w:rsidR="00B544E0" w:rsidRPr="00B544E0">
          <w:rPr>
            <w:bCs/>
            <w:color w:val="000000" w:themeColor="text1"/>
          </w:rPr>
          <w:t>61/17</w:t>
        </w:r>
      </w:hyperlink>
      <w:r w:rsidR="00B544E0" w:rsidRPr="00B544E0">
        <w:rPr>
          <w:bCs/>
          <w:color w:val="000000" w:themeColor="text1"/>
        </w:rPr>
        <w:t xml:space="preserve">, </w:t>
      </w:r>
      <w:hyperlink r:id="rId15" w:tgtFrame="_blank" w:tooltip="Zakon o urejanju prostora (ZUreP-3)" w:history="1">
        <w:r w:rsidR="00B544E0" w:rsidRPr="00B544E0">
          <w:rPr>
            <w:bCs/>
            <w:color w:val="000000" w:themeColor="text1"/>
          </w:rPr>
          <w:t>199/21</w:t>
        </w:r>
      </w:hyperlink>
      <w:r w:rsidR="00B544E0" w:rsidRPr="00B544E0">
        <w:rPr>
          <w:bCs/>
          <w:color w:val="000000" w:themeColor="text1"/>
        </w:rPr>
        <w:t xml:space="preserve"> – ZUreP-3 in </w:t>
      </w:r>
      <w:hyperlink r:id="rId16" w:tgtFrame="_blank" w:tooltip="Odločba o ugotovitvi, da je bil 58. člen Zakona o urejanju prostora v neskladju z Ustavo" w:history="1">
        <w:r w:rsidR="00B544E0" w:rsidRPr="00B544E0">
          <w:rPr>
            <w:bCs/>
            <w:color w:val="000000" w:themeColor="text1"/>
          </w:rPr>
          <w:t>20/22</w:t>
        </w:r>
      </w:hyperlink>
      <w:r w:rsidR="00B544E0" w:rsidRPr="00B544E0">
        <w:rPr>
          <w:bCs/>
          <w:color w:val="000000" w:themeColor="text1"/>
        </w:rPr>
        <w:t xml:space="preserve"> – odl. US</w:t>
      </w:r>
      <w:r w:rsidRPr="00B544E0">
        <w:rPr>
          <w:bCs/>
          <w:color w:val="000000" w:themeColor="text1"/>
        </w:rPr>
        <w:t>)</w:t>
      </w:r>
      <w:r w:rsidRPr="000A6F5E">
        <w:rPr>
          <w:bCs/>
        </w:rPr>
        <w:t xml:space="preserve">, v upravni zadevi določitve planov, za katere je treba izvesti postopek celovite presoje njihovih vplivov na okolje, za </w:t>
      </w:r>
      <w:r w:rsidR="00C70008">
        <w:rPr>
          <w:bCs/>
        </w:rPr>
        <w:t>spremembe in dopolnitve Občinskega prostorskega načrta Občine Cerklje na Gorenjskem št. 18</w:t>
      </w:r>
      <w:r w:rsidRPr="000A6F5E">
        <w:rPr>
          <w:szCs w:val="20"/>
        </w:rPr>
        <w:t>,</w:t>
      </w:r>
      <w:r w:rsidRPr="000A6F5E">
        <w:rPr>
          <w:bCs/>
        </w:rPr>
        <w:t xml:space="preserve"> pripravljavcu plana </w:t>
      </w:r>
      <w:r w:rsidR="007E3C39">
        <w:rPr>
          <w:bCs/>
        </w:rPr>
        <w:t xml:space="preserve">Občini </w:t>
      </w:r>
      <w:r w:rsidR="00C70008">
        <w:rPr>
          <w:bCs/>
        </w:rPr>
        <w:t>Cerklje na Gorenjskem, Trg Davorina Jenka 13, 4207 Cerklje</w:t>
      </w:r>
      <w:r w:rsidR="000D57DD">
        <w:rPr>
          <w:bCs/>
        </w:rPr>
        <w:t xml:space="preserve"> na Gorenjskem</w:t>
      </w:r>
      <w:r w:rsidRPr="000A6F5E">
        <w:rPr>
          <w:bCs/>
          <w:szCs w:val="20"/>
        </w:rPr>
        <w:t xml:space="preserve">, </w:t>
      </w:r>
      <w:r w:rsidRPr="000A6F5E">
        <w:rPr>
          <w:bCs/>
        </w:rPr>
        <w:t>naslednjo</w:t>
      </w:r>
    </w:p>
    <w:p w14:paraId="06DE6D94" w14:textId="77777777" w:rsidR="000A6F5E" w:rsidRPr="000A6F5E" w:rsidRDefault="000A6F5E" w:rsidP="000A6F5E">
      <w:pPr>
        <w:keepNext/>
        <w:spacing w:before="240" w:after="60"/>
        <w:jc w:val="center"/>
        <w:outlineLvl w:val="0"/>
        <w:rPr>
          <w:bCs/>
          <w:spacing w:val="30"/>
          <w:kern w:val="32"/>
          <w:sz w:val="22"/>
          <w:szCs w:val="22"/>
          <w:lang w:eastAsia="sl-SI"/>
        </w:rPr>
      </w:pPr>
      <w:r w:rsidRPr="000A6F5E">
        <w:rPr>
          <w:bCs/>
          <w:spacing w:val="30"/>
          <w:kern w:val="32"/>
          <w:sz w:val="22"/>
          <w:szCs w:val="22"/>
          <w:lang w:eastAsia="sl-SI"/>
        </w:rPr>
        <w:t>ODLOČBO</w:t>
      </w:r>
    </w:p>
    <w:p w14:paraId="1E1E6A49" w14:textId="77777777" w:rsidR="000A6F5E" w:rsidRPr="0067088F" w:rsidRDefault="000A6F5E" w:rsidP="000A6F5E">
      <w:pPr>
        <w:jc w:val="both"/>
      </w:pPr>
    </w:p>
    <w:p w14:paraId="0FE029BF" w14:textId="20B2039A" w:rsidR="000A6F5E" w:rsidRPr="0067088F" w:rsidRDefault="000A6F5E" w:rsidP="000A6F5E">
      <w:pPr>
        <w:numPr>
          <w:ilvl w:val="0"/>
          <w:numId w:val="6"/>
        </w:numPr>
        <w:spacing w:line="260" w:lineRule="exact"/>
        <w:jc w:val="both"/>
      </w:pPr>
      <w:r w:rsidRPr="0067088F">
        <w:t xml:space="preserve">V postopku priprave </w:t>
      </w:r>
      <w:r w:rsidR="002A5D6D" w:rsidRPr="0067088F">
        <w:t xml:space="preserve">sprememb in dopolnitev </w:t>
      </w:r>
      <w:r w:rsidRPr="0067088F">
        <w:t>O</w:t>
      </w:r>
      <w:r w:rsidRPr="0067088F">
        <w:rPr>
          <w:bCs/>
        </w:rPr>
        <w:t xml:space="preserve">bčinskega prostorskega načrta </w:t>
      </w:r>
      <w:r w:rsidR="00521CE1" w:rsidRPr="0067088F">
        <w:rPr>
          <w:bCs/>
        </w:rPr>
        <w:t xml:space="preserve">občine </w:t>
      </w:r>
      <w:r w:rsidR="002A5D6D" w:rsidRPr="0067088F">
        <w:rPr>
          <w:bCs/>
        </w:rPr>
        <w:t>Cerklje na Gorenjskem št. 18</w:t>
      </w:r>
      <w:r w:rsidR="007972FE" w:rsidRPr="0067088F">
        <w:rPr>
          <w:bCs/>
        </w:rPr>
        <w:t>,</w:t>
      </w:r>
      <w:r w:rsidRPr="0067088F">
        <w:rPr>
          <w:bCs/>
        </w:rPr>
        <w:t xml:space="preserve"> </w:t>
      </w:r>
      <w:r w:rsidR="007133D5">
        <w:rPr>
          <w:bCs/>
        </w:rPr>
        <w:t>ni</w:t>
      </w:r>
      <w:r w:rsidRPr="0067088F">
        <w:t xml:space="preserve"> </w:t>
      </w:r>
      <w:r w:rsidRPr="0067088F">
        <w:rPr>
          <w:bCs/>
        </w:rPr>
        <w:t>treba izvesti</w:t>
      </w:r>
      <w:r w:rsidRPr="0067088F">
        <w:t xml:space="preserve"> celovit</w:t>
      </w:r>
      <w:r w:rsidR="007133D5">
        <w:t>e</w:t>
      </w:r>
      <w:r w:rsidRPr="0067088F">
        <w:t xml:space="preserve"> presoj</w:t>
      </w:r>
      <w:r w:rsidR="007133D5">
        <w:t>e</w:t>
      </w:r>
      <w:r w:rsidRPr="0067088F">
        <w:t xml:space="preserve"> vplivov na okolje. </w:t>
      </w:r>
    </w:p>
    <w:p w14:paraId="25AE32D8" w14:textId="30142288" w:rsidR="000A6F5E" w:rsidRPr="000A6F5E" w:rsidRDefault="000A6F5E" w:rsidP="000A6F5E">
      <w:pPr>
        <w:numPr>
          <w:ilvl w:val="0"/>
          <w:numId w:val="6"/>
        </w:numPr>
        <w:spacing w:line="260" w:lineRule="exact"/>
        <w:jc w:val="both"/>
      </w:pPr>
      <w:r w:rsidRPr="0067088F">
        <w:t xml:space="preserve">V postopku priprave </w:t>
      </w:r>
      <w:r w:rsidR="002A5D6D" w:rsidRPr="0067088F">
        <w:t xml:space="preserve">sprememb in dopolnitev </w:t>
      </w:r>
      <w:r w:rsidRPr="0067088F">
        <w:t>O</w:t>
      </w:r>
      <w:r w:rsidRPr="0067088F">
        <w:rPr>
          <w:bCs/>
        </w:rPr>
        <w:t xml:space="preserve">bčinskega prostorskega načrta </w:t>
      </w:r>
      <w:r w:rsidR="008D34FC" w:rsidRPr="0067088F">
        <w:rPr>
          <w:bCs/>
        </w:rPr>
        <w:t xml:space="preserve">občine </w:t>
      </w:r>
      <w:r w:rsidR="002A5D6D" w:rsidRPr="0067088F">
        <w:rPr>
          <w:bCs/>
        </w:rPr>
        <w:t xml:space="preserve">Cerklje na Gorenjskem št. </w:t>
      </w:r>
      <w:r w:rsidR="002A5D6D">
        <w:rPr>
          <w:bCs/>
        </w:rPr>
        <w:t>18</w:t>
      </w:r>
      <w:r w:rsidR="007972FE">
        <w:rPr>
          <w:bCs/>
        </w:rPr>
        <w:t>,</w:t>
      </w:r>
      <w:r w:rsidRPr="000A6F5E">
        <w:rPr>
          <w:bCs/>
        </w:rPr>
        <w:t xml:space="preserve"> </w:t>
      </w:r>
      <w:r w:rsidR="002A5D6D">
        <w:rPr>
          <w:bCs/>
        </w:rPr>
        <w:t>ni</w:t>
      </w:r>
      <w:r w:rsidRPr="000A6F5E">
        <w:rPr>
          <w:bCs/>
        </w:rPr>
        <w:t xml:space="preserve"> treba </w:t>
      </w:r>
      <w:r w:rsidRPr="000A6F5E">
        <w:t>izvesti presoj</w:t>
      </w:r>
      <w:r w:rsidR="00E955AF">
        <w:t>e</w:t>
      </w:r>
      <w:r w:rsidRPr="000A6F5E">
        <w:t xml:space="preserve"> sprejemljivosti vplivov izvedbe plana v naravo na varovana območja.</w:t>
      </w:r>
    </w:p>
    <w:p w14:paraId="2D51DBB8" w14:textId="6C4BEA1F" w:rsidR="000A6F5E" w:rsidRPr="007E3C39" w:rsidRDefault="000A6F5E" w:rsidP="000A6F5E">
      <w:pPr>
        <w:numPr>
          <w:ilvl w:val="0"/>
          <w:numId w:val="6"/>
        </w:numPr>
        <w:spacing w:line="260" w:lineRule="exact"/>
        <w:jc w:val="both"/>
      </w:pPr>
      <w:r w:rsidRPr="000A6F5E">
        <w:t>V tem postopku ni bilo stroškov.</w:t>
      </w:r>
    </w:p>
    <w:p w14:paraId="3866FD55" w14:textId="77777777" w:rsidR="000A6F5E" w:rsidRPr="000A6F5E" w:rsidRDefault="000A6F5E" w:rsidP="000A6F5E">
      <w:pPr>
        <w:keepNext/>
        <w:spacing w:before="240" w:after="60"/>
        <w:jc w:val="center"/>
        <w:outlineLvl w:val="0"/>
        <w:rPr>
          <w:bCs/>
          <w:spacing w:val="30"/>
          <w:kern w:val="32"/>
          <w:sz w:val="22"/>
          <w:szCs w:val="22"/>
          <w:lang w:eastAsia="sl-SI"/>
        </w:rPr>
      </w:pPr>
      <w:r w:rsidRPr="000A6F5E">
        <w:rPr>
          <w:bCs/>
          <w:spacing w:val="30"/>
          <w:kern w:val="32"/>
          <w:sz w:val="22"/>
          <w:szCs w:val="22"/>
          <w:lang w:eastAsia="sl-SI"/>
        </w:rPr>
        <w:t>Obrazložitev</w:t>
      </w:r>
    </w:p>
    <w:p w14:paraId="62117766" w14:textId="77777777" w:rsidR="000A6F5E" w:rsidRPr="000A6F5E" w:rsidRDefault="000A6F5E" w:rsidP="000A6F5E">
      <w:pPr>
        <w:jc w:val="both"/>
      </w:pPr>
    </w:p>
    <w:p w14:paraId="531E75DF" w14:textId="108AC469" w:rsidR="000A6F5E" w:rsidRPr="000A6F5E" w:rsidRDefault="00E955AF" w:rsidP="000A6F5E">
      <w:pPr>
        <w:jc w:val="both"/>
      </w:pPr>
      <w:r w:rsidRPr="00E955AF">
        <w:rPr>
          <w:color w:val="000000" w:themeColor="text1"/>
        </w:rPr>
        <w:t>Pooblaščenec Urbi d. o.</w:t>
      </w:r>
      <w:r>
        <w:rPr>
          <w:color w:val="000000" w:themeColor="text1"/>
        </w:rPr>
        <w:t xml:space="preserve"> o., Oblikovanje prostora, Trnovski pristan 2, 1000 Ljubljana, ki zastopa pripravljavca plana</w:t>
      </w:r>
      <w:r w:rsidR="000A6F5E" w:rsidRPr="00E955AF">
        <w:rPr>
          <w:color w:val="000000" w:themeColor="text1"/>
        </w:rPr>
        <w:t xml:space="preserve"> </w:t>
      </w:r>
      <w:r w:rsidR="00737A35" w:rsidRPr="00E955AF">
        <w:rPr>
          <w:color w:val="000000" w:themeColor="text1"/>
        </w:rPr>
        <w:t>Občin</w:t>
      </w:r>
      <w:r>
        <w:rPr>
          <w:color w:val="000000" w:themeColor="text1"/>
        </w:rPr>
        <w:t>o</w:t>
      </w:r>
      <w:r w:rsidR="00737A35" w:rsidRPr="00E955AF">
        <w:rPr>
          <w:color w:val="000000" w:themeColor="text1"/>
        </w:rPr>
        <w:t xml:space="preserve"> </w:t>
      </w:r>
      <w:r>
        <w:rPr>
          <w:color w:val="000000" w:themeColor="text1"/>
        </w:rPr>
        <w:t>Cerklje na Gorenjskem</w:t>
      </w:r>
      <w:r w:rsidR="000A6F5E" w:rsidRPr="00E955AF">
        <w:rPr>
          <w:bCs/>
          <w:color w:val="000000" w:themeColor="text1"/>
          <w:szCs w:val="20"/>
        </w:rPr>
        <w:t>, je na</w:t>
      </w:r>
      <w:r>
        <w:rPr>
          <w:bCs/>
          <w:color w:val="000000" w:themeColor="text1"/>
          <w:szCs w:val="20"/>
        </w:rPr>
        <w:t xml:space="preserve"> </w:t>
      </w:r>
      <w:r w:rsidR="009F57C4" w:rsidRPr="00E955AF">
        <w:rPr>
          <w:color w:val="000000" w:themeColor="text1"/>
        </w:rPr>
        <w:t>Ministrstvo za okolje, podnebje in energijo</w:t>
      </w:r>
      <w:r>
        <w:rPr>
          <w:color w:val="000000" w:themeColor="text1"/>
        </w:rPr>
        <w:t xml:space="preserve"> (</w:t>
      </w:r>
      <w:r w:rsidR="009F57C4" w:rsidRPr="00E955AF">
        <w:rPr>
          <w:color w:val="000000" w:themeColor="text1"/>
        </w:rPr>
        <w:t>v nadaljevanju ministrstvo</w:t>
      </w:r>
      <w:r w:rsidR="000A6F5E" w:rsidRPr="00E955AF">
        <w:rPr>
          <w:color w:val="000000" w:themeColor="text1"/>
        </w:rPr>
        <w:t>)</w:t>
      </w:r>
      <w:r w:rsidR="005A5E2B" w:rsidRPr="00E955AF">
        <w:rPr>
          <w:color w:val="000000" w:themeColor="text1"/>
        </w:rPr>
        <w:t xml:space="preserve"> </w:t>
      </w:r>
      <w:r w:rsidR="000A6F5E" w:rsidRPr="00E955AF">
        <w:rPr>
          <w:color w:val="000000" w:themeColor="text1"/>
        </w:rPr>
        <w:t xml:space="preserve">podal vlogo, št. </w:t>
      </w:r>
      <w:r>
        <w:rPr>
          <w:color w:val="000000" w:themeColor="text1"/>
        </w:rPr>
        <w:t>24-160-2189</w:t>
      </w:r>
      <w:r w:rsidR="000A6F5E" w:rsidRPr="00E955AF">
        <w:rPr>
          <w:color w:val="000000" w:themeColor="text1"/>
          <w:szCs w:val="22"/>
        </w:rPr>
        <w:t xml:space="preserve">, </w:t>
      </w:r>
      <w:r w:rsidR="000A6F5E" w:rsidRPr="00E955AF">
        <w:rPr>
          <w:color w:val="000000" w:themeColor="text1"/>
          <w:szCs w:val="22"/>
          <w:lang w:eastAsia="sl-SI"/>
        </w:rPr>
        <w:t xml:space="preserve">z dne </w:t>
      </w:r>
      <w:r>
        <w:rPr>
          <w:color w:val="000000" w:themeColor="text1"/>
          <w:szCs w:val="22"/>
          <w:lang w:eastAsia="sl-SI"/>
        </w:rPr>
        <w:t>4</w:t>
      </w:r>
      <w:r w:rsidR="000A6F5E" w:rsidRPr="00E955AF">
        <w:rPr>
          <w:color w:val="000000" w:themeColor="text1"/>
          <w:szCs w:val="22"/>
          <w:lang w:eastAsia="sl-SI"/>
        </w:rPr>
        <w:t xml:space="preserve">. </w:t>
      </w:r>
      <w:r>
        <w:rPr>
          <w:color w:val="000000" w:themeColor="text1"/>
          <w:szCs w:val="22"/>
          <w:lang w:eastAsia="sl-SI"/>
        </w:rPr>
        <w:t>6</w:t>
      </w:r>
      <w:r w:rsidR="000A6F5E" w:rsidRPr="00E955AF">
        <w:rPr>
          <w:color w:val="000000" w:themeColor="text1"/>
          <w:szCs w:val="22"/>
          <w:lang w:eastAsia="sl-SI"/>
        </w:rPr>
        <w:t>. 202</w:t>
      </w:r>
      <w:r>
        <w:rPr>
          <w:color w:val="000000" w:themeColor="text1"/>
          <w:szCs w:val="22"/>
          <w:lang w:eastAsia="sl-SI"/>
        </w:rPr>
        <w:t>4</w:t>
      </w:r>
      <w:r w:rsidR="000A6F5E" w:rsidRPr="00E955AF">
        <w:rPr>
          <w:color w:val="000000" w:themeColor="text1"/>
          <w:szCs w:val="22"/>
          <w:lang w:eastAsia="sl-SI"/>
        </w:rPr>
        <w:t xml:space="preserve">, </w:t>
      </w:r>
      <w:r w:rsidR="000A6F5E" w:rsidRPr="00E955AF">
        <w:rPr>
          <w:color w:val="000000" w:themeColor="text1"/>
          <w:szCs w:val="22"/>
        </w:rPr>
        <w:t xml:space="preserve">za izdajo </w:t>
      </w:r>
      <w:r w:rsidR="005A5E2B" w:rsidRPr="00E955AF">
        <w:rPr>
          <w:color w:val="000000" w:themeColor="text1"/>
          <w:szCs w:val="22"/>
        </w:rPr>
        <w:t>odločbe</w:t>
      </w:r>
      <w:r w:rsidR="000A6F5E" w:rsidRPr="00E955AF">
        <w:rPr>
          <w:color w:val="000000" w:themeColor="text1"/>
          <w:szCs w:val="22"/>
        </w:rPr>
        <w:t xml:space="preserve"> o obveznosti izvedbe celovite presoje vplivov na okolje za </w:t>
      </w:r>
      <w:r>
        <w:rPr>
          <w:color w:val="000000" w:themeColor="text1"/>
          <w:szCs w:val="22"/>
        </w:rPr>
        <w:t xml:space="preserve">spremembe in dopolnitve </w:t>
      </w:r>
      <w:r w:rsidR="000A6F5E" w:rsidRPr="00E955AF">
        <w:rPr>
          <w:bCs/>
          <w:color w:val="000000" w:themeColor="text1"/>
        </w:rPr>
        <w:t>Občinsk</w:t>
      </w:r>
      <w:r>
        <w:rPr>
          <w:bCs/>
          <w:color w:val="000000" w:themeColor="text1"/>
        </w:rPr>
        <w:t>ega</w:t>
      </w:r>
      <w:r w:rsidR="000A6F5E" w:rsidRPr="00E955AF">
        <w:rPr>
          <w:bCs/>
          <w:color w:val="000000" w:themeColor="text1"/>
        </w:rPr>
        <w:t xml:space="preserve"> prostorsk</w:t>
      </w:r>
      <w:r>
        <w:rPr>
          <w:bCs/>
          <w:color w:val="000000" w:themeColor="text1"/>
        </w:rPr>
        <w:t>ega</w:t>
      </w:r>
      <w:r w:rsidR="000A6F5E" w:rsidRPr="00E955AF">
        <w:rPr>
          <w:bCs/>
          <w:color w:val="000000" w:themeColor="text1"/>
        </w:rPr>
        <w:t xml:space="preserve"> </w:t>
      </w:r>
      <w:r w:rsidR="000A6F5E" w:rsidRPr="000A6F5E">
        <w:rPr>
          <w:bCs/>
        </w:rPr>
        <w:t>načrt</w:t>
      </w:r>
      <w:r>
        <w:rPr>
          <w:bCs/>
        </w:rPr>
        <w:t>a</w:t>
      </w:r>
      <w:r w:rsidR="000A6F5E" w:rsidRPr="000A6F5E">
        <w:rPr>
          <w:bCs/>
        </w:rPr>
        <w:t xml:space="preserve"> </w:t>
      </w:r>
      <w:r>
        <w:rPr>
          <w:bCs/>
        </w:rPr>
        <w:t>O</w:t>
      </w:r>
      <w:r w:rsidR="005C1CD4">
        <w:rPr>
          <w:bCs/>
        </w:rPr>
        <w:t xml:space="preserve">bčine </w:t>
      </w:r>
      <w:r>
        <w:rPr>
          <w:bCs/>
        </w:rPr>
        <w:t>Cerklje na Gorenjskem št. 18</w:t>
      </w:r>
      <w:r w:rsidR="005C1CD4">
        <w:rPr>
          <w:bCs/>
        </w:rPr>
        <w:t xml:space="preserve"> </w:t>
      </w:r>
      <w:r w:rsidR="000A6F5E" w:rsidRPr="000A6F5E">
        <w:t xml:space="preserve">(v nadaljnjem besedilu </w:t>
      </w:r>
      <w:r>
        <w:t>SD OPN št. 18 Cerklje na Gorenjskem</w:t>
      </w:r>
      <w:r w:rsidR="000A6F5E" w:rsidRPr="000A6F5E">
        <w:t xml:space="preserve">). </w:t>
      </w:r>
    </w:p>
    <w:p w14:paraId="529CC27A" w14:textId="77777777" w:rsidR="000A6F5E" w:rsidRPr="000A6F5E" w:rsidRDefault="000A6F5E" w:rsidP="000A6F5E">
      <w:pPr>
        <w:jc w:val="both"/>
        <w:rPr>
          <w:highlight w:val="yellow"/>
        </w:rPr>
      </w:pPr>
    </w:p>
    <w:p w14:paraId="62DDB3AF" w14:textId="4900074F" w:rsidR="000A6F5E" w:rsidRPr="000A6F5E" w:rsidRDefault="00E955AF" w:rsidP="000A6F5E">
      <w:pPr>
        <w:jc w:val="both"/>
        <w:rPr>
          <w:szCs w:val="22"/>
        </w:rPr>
      </w:pPr>
      <w:r>
        <w:rPr>
          <w:szCs w:val="22"/>
        </w:rPr>
        <w:t>Vlogi je bilo priloženo in tekom postopka pridobljeno</w:t>
      </w:r>
      <w:r w:rsidR="000A6F5E" w:rsidRPr="000A6F5E">
        <w:rPr>
          <w:szCs w:val="22"/>
        </w:rPr>
        <w:t xml:space="preserve"> naslednje gradivo:</w:t>
      </w:r>
    </w:p>
    <w:p w14:paraId="2DAA2EB8" w14:textId="4727FFA1" w:rsidR="00EF7777" w:rsidRDefault="000A6F5E" w:rsidP="00204AB4">
      <w:pPr>
        <w:jc w:val="both"/>
        <w:rPr>
          <w:szCs w:val="22"/>
        </w:rPr>
      </w:pPr>
      <w:r w:rsidRPr="000A6F5E">
        <w:rPr>
          <w:szCs w:val="22"/>
        </w:rPr>
        <w:t xml:space="preserve">- </w:t>
      </w:r>
      <w:r w:rsidR="00EF7777">
        <w:rPr>
          <w:szCs w:val="22"/>
        </w:rPr>
        <w:tab/>
      </w:r>
      <w:r w:rsidR="001E4310">
        <w:rPr>
          <w:szCs w:val="22"/>
        </w:rPr>
        <w:t>Vloga</w:t>
      </w:r>
      <w:r w:rsidR="00EF7777">
        <w:rPr>
          <w:szCs w:val="22"/>
        </w:rPr>
        <w:t xml:space="preserve"> pooblaščenca Urbi d. o. o.</w:t>
      </w:r>
      <w:r w:rsidR="001E4310">
        <w:rPr>
          <w:szCs w:val="22"/>
        </w:rPr>
        <w:t xml:space="preserve"> št.</w:t>
      </w:r>
      <w:r w:rsidR="00EF7777">
        <w:rPr>
          <w:szCs w:val="22"/>
        </w:rPr>
        <w:t xml:space="preserve"> 24-160-2189, 4. 6. 2024,</w:t>
      </w:r>
    </w:p>
    <w:p w14:paraId="34B2C051" w14:textId="33471290" w:rsidR="00336EF9" w:rsidRDefault="00EF7777" w:rsidP="00204AB4">
      <w:pPr>
        <w:jc w:val="both"/>
        <w:rPr>
          <w:szCs w:val="22"/>
        </w:rPr>
      </w:pPr>
      <w:r>
        <w:rPr>
          <w:szCs w:val="22"/>
        </w:rPr>
        <w:t>-</w:t>
      </w:r>
      <w:r w:rsidR="00E955AF">
        <w:rPr>
          <w:szCs w:val="22"/>
        </w:rPr>
        <w:t xml:space="preserve"> </w:t>
      </w:r>
      <w:r>
        <w:rPr>
          <w:szCs w:val="22"/>
        </w:rPr>
        <w:tab/>
        <w:t>Pooblastilo Občine Cerklje na Gorenjskem št. 032-02/2022-12, 2. 3. 2022,</w:t>
      </w:r>
    </w:p>
    <w:p w14:paraId="3BF7223A" w14:textId="414EC311" w:rsidR="00EF7777" w:rsidRDefault="00EF7777" w:rsidP="00EF7777">
      <w:pPr>
        <w:ind w:left="720" w:hanging="720"/>
        <w:jc w:val="both"/>
        <w:rPr>
          <w:szCs w:val="22"/>
        </w:rPr>
      </w:pPr>
      <w:r>
        <w:rPr>
          <w:szCs w:val="22"/>
        </w:rPr>
        <w:t xml:space="preserve">- </w:t>
      </w:r>
      <w:r>
        <w:rPr>
          <w:szCs w:val="22"/>
        </w:rPr>
        <w:tab/>
        <w:t>Sklep o začetku priprave SD OPN št.18 Cerklje na Gorenjskem št. 350-09/2021-7, 27. 12.  2021,</w:t>
      </w:r>
    </w:p>
    <w:p w14:paraId="32FA3FAF" w14:textId="33F8DEB7" w:rsidR="00EF7777" w:rsidRPr="00AF00EA" w:rsidRDefault="00EF7777" w:rsidP="00EF7777">
      <w:pPr>
        <w:ind w:left="720" w:hanging="720"/>
        <w:jc w:val="both"/>
        <w:rPr>
          <w:color w:val="000000" w:themeColor="text1"/>
          <w:szCs w:val="22"/>
        </w:rPr>
      </w:pPr>
      <w:r>
        <w:rPr>
          <w:szCs w:val="22"/>
        </w:rPr>
        <w:t xml:space="preserve">- </w:t>
      </w:r>
      <w:r>
        <w:rPr>
          <w:szCs w:val="22"/>
        </w:rPr>
        <w:tab/>
        <w:t>Izhodišča za pripravo SD OPN št. 18 Cerklje na Gorenjskem št. URBI-2189, Urbi d. o. o., december 2021,</w:t>
      </w:r>
    </w:p>
    <w:p w14:paraId="1DFDC7E3" w14:textId="31DB4532" w:rsidR="00EF7777" w:rsidRDefault="00EF7777" w:rsidP="00EF7777">
      <w:pPr>
        <w:ind w:left="720" w:hanging="720"/>
        <w:jc w:val="both"/>
        <w:rPr>
          <w:color w:val="000000" w:themeColor="text1"/>
          <w:szCs w:val="22"/>
        </w:rPr>
      </w:pPr>
      <w:r w:rsidRPr="00AF00EA">
        <w:rPr>
          <w:color w:val="000000" w:themeColor="text1"/>
          <w:szCs w:val="22"/>
        </w:rPr>
        <w:t xml:space="preserve">- </w:t>
      </w:r>
      <w:r w:rsidRPr="00AF00EA">
        <w:rPr>
          <w:color w:val="000000" w:themeColor="text1"/>
          <w:szCs w:val="22"/>
        </w:rPr>
        <w:tab/>
        <w:t xml:space="preserve">Gradivo dostopno na spletni povezavi: </w:t>
      </w:r>
      <w:hyperlink r:id="rId17" w:history="1">
        <w:r w:rsidRPr="00AF00EA">
          <w:rPr>
            <w:rStyle w:val="Hiperpovezava"/>
            <w:color w:val="000000" w:themeColor="text1"/>
            <w:szCs w:val="22"/>
          </w:rPr>
          <w:t>https://dokumenti-pis.mop.gov.si/interno/obcinski_akti/0_sklep/cerklje_na_gorenjskem/SD_O</w:t>
        </w:r>
        <w:r w:rsidRPr="00AF00EA">
          <w:rPr>
            <w:rStyle w:val="Hiperpovezava"/>
            <w:color w:val="000000" w:themeColor="text1"/>
            <w:szCs w:val="22"/>
          </w:rPr>
          <w:t>P</w:t>
        </w:r>
        <w:r w:rsidRPr="00AF00EA">
          <w:rPr>
            <w:rStyle w:val="Hiperpovezava"/>
            <w:color w:val="000000" w:themeColor="text1"/>
            <w:szCs w:val="22"/>
          </w:rPr>
          <w:t>N18/</w:t>
        </w:r>
      </w:hyperlink>
      <w:r w:rsidRPr="00AF00EA">
        <w:rPr>
          <w:color w:val="000000" w:themeColor="text1"/>
          <w:szCs w:val="22"/>
        </w:rPr>
        <w:t xml:space="preserve"> </w:t>
      </w:r>
    </w:p>
    <w:p w14:paraId="016FB66D" w14:textId="20BB5125" w:rsidR="00AF00EA" w:rsidRDefault="00AF00EA" w:rsidP="00EF7777">
      <w:pPr>
        <w:ind w:left="720" w:hanging="720"/>
        <w:jc w:val="both"/>
        <w:rPr>
          <w:color w:val="000000" w:themeColor="text1"/>
          <w:szCs w:val="22"/>
        </w:rPr>
      </w:pPr>
      <w:r>
        <w:rPr>
          <w:color w:val="000000" w:themeColor="text1"/>
          <w:szCs w:val="22"/>
        </w:rPr>
        <w:t>-</w:t>
      </w:r>
      <w:r>
        <w:rPr>
          <w:color w:val="000000" w:themeColor="text1"/>
          <w:szCs w:val="22"/>
        </w:rPr>
        <w:tab/>
        <w:t>Mnenje Ministrstva za kmetijstvo, gozdarstvo in prehrano št. 3502-32/2022/3, 22. 3. 2022,</w:t>
      </w:r>
    </w:p>
    <w:p w14:paraId="1551231D" w14:textId="4ACCCB7D" w:rsidR="00AF00EA" w:rsidRDefault="00AF00EA" w:rsidP="00EF7777">
      <w:pPr>
        <w:ind w:left="720" w:hanging="720"/>
        <w:jc w:val="both"/>
        <w:rPr>
          <w:color w:val="000000" w:themeColor="text1"/>
          <w:szCs w:val="22"/>
        </w:rPr>
      </w:pPr>
      <w:r>
        <w:rPr>
          <w:color w:val="000000" w:themeColor="text1"/>
          <w:szCs w:val="22"/>
        </w:rPr>
        <w:t xml:space="preserve">- </w:t>
      </w:r>
      <w:r>
        <w:rPr>
          <w:color w:val="000000" w:themeColor="text1"/>
          <w:szCs w:val="22"/>
        </w:rPr>
        <w:tab/>
        <w:t>Konkretne smernice Zavoda za gozdove Slovenije št. 350-3/2022-1, 30. 3. 2022,</w:t>
      </w:r>
    </w:p>
    <w:p w14:paraId="70C4A827" w14:textId="4269D969" w:rsidR="00AF00EA" w:rsidRDefault="00AF00EA" w:rsidP="00EF7777">
      <w:pPr>
        <w:ind w:left="720" w:hanging="720"/>
        <w:jc w:val="both"/>
        <w:rPr>
          <w:color w:val="000000" w:themeColor="text1"/>
          <w:szCs w:val="22"/>
        </w:rPr>
      </w:pPr>
      <w:r>
        <w:rPr>
          <w:color w:val="000000" w:themeColor="text1"/>
          <w:szCs w:val="22"/>
        </w:rPr>
        <w:t xml:space="preserve">- </w:t>
      </w:r>
      <w:r>
        <w:rPr>
          <w:color w:val="000000" w:themeColor="text1"/>
          <w:szCs w:val="22"/>
        </w:rPr>
        <w:tab/>
        <w:t>Mnenje Zavoda za ribištvo Slovenije št. 4201-22/2020-6, 31. 3. 2022,</w:t>
      </w:r>
    </w:p>
    <w:p w14:paraId="6564A74F" w14:textId="1B50FE02" w:rsidR="00AF00EA" w:rsidRDefault="00AF00EA" w:rsidP="00EF7777">
      <w:pPr>
        <w:ind w:left="720" w:hanging="720"/>
        <w:jc w:val="both"/>
        <w:rPr>
          <w:color w:val="000000" w:themeColor="text1"/>
          <w:szCs w:val="22"/>
        </w:rPr>
      </w:pPr>
      <w:r>
        <w:rPr>
          <w:color w:val="000000" w:themeColor="text1"/>
          <w:szCs w:val="22"/>
        </w:rPr>
        <w:t xml:space="preserve">- </w:t>
      </w:r>
      <w:r>
        <w:rPr>
          <w:color w:val="000000" w:themeColor="text1"/>
          <w:szCs w:val="22"/>
        </w:rPr>
        <w:tab/>
        <w:t>Konkretne smernice Direkcije RS za vode št. 35011-14/2022-2, 12. 10. 2022,</w:t>
      </w:r>
    </w:p>
    <w:p w14:paraId="212C908E" w14:textId="634C5EB5" w:rsidR="00AF00EA" w:rsidRDefault="00AF00EA" w:rsidP="00EF7777">
      <w:pPr>
        <w:ind w:left="720" w:hanging="720"/>
        <w:jc w:val="both"/>
        <w:rPr>
          <w:color w:val="000000" w:themeColor="text1"/>
          <w:szCs w:val="22"/>
        </w:rPr>
      </w:pPr>
      <w:r>
        <w:rPr>
          <w:color w:val="000000" w:themeColor="text1"/>
          <w:szCs w:val="22"/>
        </w:rPr>
        <w:t xml:space="preserve">- </w:t>
      </w:r>
      <w:r>
        <w:rPr>
          <w:color w:val="000000" w:themeColor="text1"/>
          <w:szCs w:val="22"/>
        </w:rPr>
        <w:tab/>
      </w:r>
      <w:r w:rsidR="00A303B2">
        <w:rPr>
          <w:color w:val="000000" w:themeColor="text1"/>
          <w:szCs w:val="22"/>
        </w:rPr>
        <w:t>I</w:t>
      </w:r>
      <w:r>
        <w:rPr>
          <w:color w:val="000000" w:themeColor="text1"/>
          <w:szCs w:val="22"/>
        </w:rPr>
        <w:t>zhodišča za pripravo SD OPN št. 18 Cerklje na Gorenjskem Zavoda RS za varstvo narave št. 3563-0019/2022-2, 1. 4. 2022,</w:t>
      </w:r>
    </w:p>
    <w:p w14:paraId="671F60A8" w14:textId="51C34978" w:rsidR="00A303B2" w:rsidRDefault="00A303B2" w:rsidP="00EF7777">
      <w:pPr>
        <w:ind w:left="720" w:hanging="720"/>
        <w:jc w:val="both"/>
        <w:rPr>
          <w:color w:val="000000" w:themeColor="text1"/>
          <w:szCs w:val="22"/>
        </w:rPr>
      </w:pPr>
      <w:r>
        <w:rPr>
          <w:color w:val="000000" w:themeColor="text1"/>
          <w:szCs w:val="22"/>
        </w:rPr>
        <w:t xml:space="preserve">- </w:t>
      </w:r>
      <w:r>
        <w:rPr>
          <w:color w:val="000000" w:themeColor="text1"/>
          <w:szCs w:val="22"/>
        </w:rPr>
        <w:tab/>
        <w:t>Mnenje Ministrstva za kulturo št. 3501-21/2022-3340-6, 4. 4. 2022,</w:t>
      </w:r>
    </w:p>
    <w:p w14:paraId="5EF46853" w14:textId="318ADB1E" w:rsidR="00A303B2" w:rsidRDefault="00A303B2" w:rsidP="00EF7777">
      <w:pPr>
        <w:ind w:left="720" w:hanging="720"/>
        <w:jc w:val="both"/>
        <w:rPr>
          <w:color w:val="000000" w:themeColor="text1"/>
          <w:szCs w:val="22"/>
        </w:rPr>
      </w:pPr>
      <w:r>
        <w:rPr>
          <w:color w:val="000000" w:themeColor="text1"/>
          <w:szCs w:val="22"/>
        </w:rPr>
        <w:lastRenderedPageBreak/>
        <w:t xml:space="preserve">- </w:t>
      </w:r>
      <w:r>
        <w:rPr>
          <w:color w:val="000000" w:themeColor="text1"/>
          <w:szCs w:val="22"/>
        </w:rPr>
        <w:tab/>
        <w:t>Dopolnitev konkretnih smernic Ministrstvo za kulturo št. 3501-21/2022-3340-15, 29. 12. 2023,</w:t>
      </w:r>
    </w:p>
    <w:p w14:paraId="4E8F2802" w14:textId="109C7FE0" w:rsidR="00A303B2" w:rsidRDefault="00A303B2" w:rsidP="00EF7777">
      <w:pPr>
        <w:ind w:left="720" w:hanging="720"/>
        <w:jc w:val="both"/>
        <w:rPr>
          <w:color w:val="000000" w:themeColor="text1"/>
          <w:szCs w:val="22"/>
        </w:rPr>
      </w:pPr>
      <w:r>
        <w:rPr>
          <w:color w:val="000000" w:themeColor="text1"/>
          <w:szCs w:val="22"/>
        </w:rPr>
        <w:t xml:space="preserve">- </w:t>
      </w:r>
      <w:r>
        <w:rPr>
          <w:color w:val="000000" w:themeColor="text1"/>
          <w:szCs w:val="22"/>
        </w:rPr>
        <w:tab/>
        <w:t>Mnenje Ministrstva za zdravje št. 354-51/2022-4, 4. 4. 2022 in mnenje Nacionalnega laboratorija za zdravje, okolje in hrano št. 2940-09/1849-22/NP-3628274, 1. 4. 2022,</w:t>
      </w:r>
    </w:p>
    <w:p w14:paraId="2E7D6A74" w14:textId="679796AD" w:rsidR="00A303B2" w:rsidRDefault="00A303B2" w:rsidP="00EF7777">
      <w:pPr>
        <w:ind w:left="720" w:hanging="720"/>
        <w:jc w:val="both"/>
        <w:rPr>
          <w:color w:val="000000" w:themeColor="text1"/>
          <w:szCs w:val="22"/>
        </w:rPr>
      </w:pPr>
      <w:r>
        <w:rPr>
          <w:color w:val="000000" w:themeColor="text1"/>
          <w:szCs w:val="22"/>
        </w:rPr>
        <w:t xml:space="preserve">- </w:t>
      </w:r>
      <w:r>
        <w:rPr>
          <w:color w:val="000000" w:themeColor="text1"/>
          <w:szCs w:val="22"/>
        </w:rPr>
        <w:tab/>
        <w:t>Mnenje Zavoda za gozdove Slovenije št. 350-3/2022-2, 17. 6. 2024,</w:t>
      </w:r>
    </w:p>
    <w:p w14:paraId="65AE4B3A" w14:textId="5726DEDF" w:rsidR="00A303B2" w:rsidRDefault="00DD5BF1" w:rsidP="00EF7777">
      <w:pPr>
        <w:ind w:left="720" w:hanging="720"/>
        <w:jc w:val="both"/>
        <w:rPr>
          <w:color w:val="000000" w:themeColor="text1"/>
          <w:szCs w:val="22"/>
        </w:rPr>
      </w:pPr>
      <w:r>
        <w:rPr>
          <w:color w:val="000000" w:themeColor="text1"/>
          <w:szCs w:val="22"/>
        </w:rPr>
        <w:t xml:space="preserve">- </w:t>
      </w:r>
      <w:r>
        <w:rPr>
          <w:color w:val="000000" w:themeColor="text1"/>
          <w:szCs w:val="22"/>
        </w:rPr>
        <w:tab/>
        <w:t>Poročilo o erozijski ogroženosti in plazovitosti območja št. 33-1/2024, GEOMET d. o. o., Goručanova ulica 10, 3000 Celje, februar 2024,</w:t>
      </w:r>
    </w:p>
    <w:p w14:paraId="1E13759D" w14:textId="65EF1CF3" w:rsidR="00DD5BF1" w:rsidRDefault="00DD5BF1" w:rsidP="00EF7777">
      <w:pPr>
        <w:ind w:left="720" w:hanging="720"/>
        <w:jc w:val="both"/>
        <w:rPr>
          <w:color w:val="000000" w:themeColor="text1"/>
          <w:szCs w:val="22"/>
        </w:rPr>
      </w:pPr>
      <w:r>
        <w:rPr>
          <w:color w:val="000000" w:themeColor="text1"/>
          <w:szCs w:val="22"/>
        </w:rPr>
        <w:t xml:space="preserve">- </w:t>
      </w:r>
      <w:r>
        <w:rPr>
          <w:color w:val="000000" w:themeColor="text1"/>
          <w:szCs w:val="22"/>
        </w:rPr>
        <w:tab/>
        <w:t>Izjasnitev</w:t>
      </w:r>
      <w:r w:rsidR="001E0F2A">
        <w:rPr>
          <w:color w:val="000000" w:themeColor="text1"/>
          <w:szCs w:val="22"/>
        </w:rPr>
        <w:t xml:space="preserve"> – Vloga za izdajo odločbe št. 24-204-2189, Urbi d. o. o., 11. 9. 2024.</w:t>
      </w:r>
      <w:r>
        <w:rPr>
          <w:color w:val="000000" w:themeColor="text1"/>
          <w:szCs w:val="22"/>
        </w:rPr>
        <w:t xml:space="preserve"> </w:t>
      </w:r>
    </w:p>
    <w:p w14:paraId="0830171E" w14:textId="77777777" w:rsidR="00AF00EA" w:rsidRPr="00AF00EA" w:rsidRDefault="00AF00EA" w:rsidP="00EF7777">
      <w:pPr>
        <w:ind w:left="720" w:hanging="720"/>
        <w:jc w:val="both"/>
        <w:rPr>
          <w:color w:val="000000" w:themeColor="text1"/>
          <w:szCs w:val="22"/>
        </w:rPr>
      </w:pPr>
    </w:p>
    <w:p w14:paraId="4CFA1AC6" w14:textId="69D7E1BA" w:rsidR="000A6F5E" w:rsidRPr="000A6F5E" w:rsidRDefault="000A6F5E" w:rsidP="000A6F5E">
      <w:pPr>
        <w:jc w:val="both"/>
        <w:rPr>
          <w:szCs w:val="22"/>
        </w:rPr>
      </w:pPr>
      <w:r w:rsidRPr="00CA34CD">
        <w:rPr>
          <w:szCs w:val="22"/>
        </w:rPr>
        <w:t>Po 77. členu Zakona o varstvu okolja (v nadaljevanju ZVO-2) je treba v postopku priprave plana, programa, načrta ali drugega splošnega akta (v nadaljnjem besedilu: plan), katerega izvedba lahko pomembno vpliva na okolje, izvesti celovito presojo vplivov na okolje, s katero se ugotovijo in ocenijo vplivi na okolje in vključenost zahtev varstva okolja, ohranjanja narave</w:t>
      </w:r>
      <w:r w:rsidR="00155643">
        <w:rPr>
          <w:szCs w:val="22"/>
        </w:rPr>
        <w:t>,</w:t>
      </w:r>
      <w:r w:rsidRPr="00CA34CD">
        <w:rPr>
          <w:szCs w:val="22"/>
        </w:rPr>
        <w:t xml:space="preserve"> varstva človekovega zdravja in kulturne dediščine v plan ter pridobiti potrdilo ministrstva o sprejemljivosti njegove izvedbe na okolje. ZVO-2 v drugem odstavku 77. člena določa, da se za plan izvede celovita presoja vplivov na okolje, če se s planom določa ali načrtuje poseg v okolje, za katerega je treba izvesti presojo vplivov na okolje skladno z določbami 89. člena ZVO-2, ali če je zanj zahtevana presoja sprejemljivosti po predpisih o ohranjanju narave. Na podlagi tretjega odstavka 77. člena ZVO-2 se celovita presoja vplivov na okolje izvede tudi za plan</w:t>
      </w:r>
      <w:r w:rsidRPr="000A6F5E">
        <w:rPr>
          <w:szCs w:val="22"/>
        </w:rPr>
        <w:t>, če ministrstvo oceni, da bi lahko njegova izvedba pomembneje vplivala na okolje.</w:t>
      </w:r>
      <w:r w:rsidR="009F65EB">
        <w:rPr>
          <w:szCs w:val="22"/>
        </w:rPr>
        <w:t xml:space="preserve"> </w:t>
      </w:r>
    </w:p>
    <w:p w14:paraId="31E201E3" w14:textId="77777777" w:rsidR="000A6F5E" w:rsidRPr="000A6F5E" w:rsidRDefault="000A6F5E" w:rsidP="000A6F5E">
      <w:pPr>
        <w:jc w:val="both"/>
        <w:rPr>
          <w:szCs w:val="22"/>
        </w:rPr>
      </w:pPr>
    </w:p>
    <w:p w14:paraId="466F20C7" w14:textId="2B201589" w:rsidR="000A6F5E" w:rsidRPr="000A6F5E" w:rsidRDefault="000A6F5E" w:rsidP="000A6F5E">
      <w:pPr>
        <w:jc w:val="both"/>
        <w:rPr>
          <w:szCs w:val="22"/>
        </w:rPr>
      </w:pPr>
      <w:r w:rsidRPr="000A6F5E">
        <w:rPr>
          <w:szCs w:val="22"/>
        </w:rPr>
        <w:t>Po 1</w:t>
      </w:r>
      <w:r w:rsidR="00B97468">
        <w:rPr>
          <w:szCs w:val="22"/>
        </w:rPr>
        <w:t>10</w:t>
      </w:r>
      <w:r w:rsidRPr="000A6F5E">
        <w:rPr>
          <w:szCs w:val="22"/>
        </w:rPr>
        <w:t>. členu Zakona o urejanju prostora (v nadaljnjem besedilu ZUreP-</w:t>
      </w:r>
      <w:r w:rsidR="00B97468">
        <w:rPr>
          <w:szCs w:val="22"/>
        </w:rPr>
        <w:t>2</w:t>
      </w:r>
      <w:r w:rsidRPr="000A6F5E">
        <w:rPr>
          <w:szCs w:val="22"/>
        </w:rPr>
        <w:t>),</w:t>
      </w:r>
      <w:r w:rsidR="00B97468">
        <w:rPr>
          <w:szCs w:val="22"/>
        </w:rPr>
        <w:t xml:space="preserve"> ministrstvo, pristojno za okolje, na podlagi mnenj državnih nosilcev urejanja prostora v 21 dneh odloči, ali je za OPN ali njegovo spremembo treba izvesti celovito presojo vplivov na okolje. </w:t>
      </w:r>
    </w:p>
    <w:p w14:paraId="30495ECA" w14:textId="77777777" w:rsidR="000A6F5E" w:rsidRPr="000A6F5E" w:rsidRDefault="000A6F5E" w:rsidP="000A6F5E">
      <w:pPr>
        <w:jc w:val="both"/>
        <w:rPr>
          <w:szCs w:val="22"/>
        </w:rPr>
      </w:pPr>
    </w:p>
    <w:p w14:paraId="09C645D3" w14:textId="77777777" w:rsidR="000A6F5E" w:rsidRDefault="000A6F5E" w:rsidP="000A6F5E">
      <w:pPr>
        <w:jc w:val="both"/>
      </w:pPr>
      <w:r w:rsidRPr="000A6F5E">
        <w:rPr>
          <w:szCs w:val="22"/>
        </w:rPr>
        <w:t>Po določilu četrtega odstavka 89. člena ZVO-2 Vlada RS predpiše vrste posegov, za katere je treba izvesti presojo vplivov na okolje, na podlagi njihovih značilnosti, lokacije in možnih vplivov na okolje. Obveznost te presoje se ugotavlja po Uredbi o posegih v okolje, za katere je treba izvesti presojo vplivov na okolje (Uradni list RS, št. 51/14, 57/15, 26/17, 105/20 in 44/22; v nadaljnjem besedilu: Uredba o PVO).</w:t>
      </w:r>
      <w:r w:rsidRPr="000A6F5E">
        <w:t xml:space="preserve"> </w:t>
      </w:r>
    </w:p>
    <w:p w14:paraId="33EAB00B" w14:textId="77777777" w:rsidR="009B5014" w:rsidRDefault="009B5014" w:rsidP="000A6F5E">
      <w:pPr>
        <w:jc w:val="both"/>
      </w:pPr>
    </w:p>
    <w:p w14:paraId="6EC127ED" w14:textId="7922BDAE" w:rsidR="009B5014" w:rsidRPr="00073DFA" w:rsidRDefault="009B5014" w:rsidP="000A6F5E">
      <w:pPr>
        <w:jc w:val="both"/>
      </w:pPr>
      <w:r>
        <w:t xml:space="preserve">Ministrstvo, pristojno za okolje, mora v skladu s predpisi, ki urejajo postopek celovite presoje vplivov na okolje, za vsak plan oceniti ali je verjetno, da bo plan pomembneje vplival na okolje, pri čemer mora upoštevati značilnost vplivov in območij, ki bodo verjetno prizadeta, ter pomen in ranljivost območij. Glede na določila Uredbe o merilih za ocenjevanje verjetnosti pomembnejših vplivov izvedbe plana, programa, načrta ali drugega splošnega akta in njegovih sprememb na okolje v postopku celovite presoje vplivov na okolje </w:t>
      </w:r>
      <w:r w:rsidRPr="009B5014">
        <w:t xml:space="preserve">(Uradni list RS, št. </w:t>
      </w:r>
      <w:r w:rsidRPr="009B5014">
        <w:rPr>
          <w:lang w:val="it-IT"/>
        </w:rPr>
        <w:t xml:space="preserve">Uradni list RS, št. </w:t>
      </w:r>
      <w:hyperlink r:id="rId18" w:tgtFrame="_blank" w:tooltip="Uredba o merilih za ocenjevanje verjetnosti pomembnejših vplivov izvedbe plana, programa, načrta ali drugega splošnega akta in njegovih sprememb na okolje v postopku celovite presoje vplivov na okolje" w:history="1">
        <w:r w:rsidRPr="00073DFA">
          <w:t>9/09</w:t>
        </w:r>
      </w:hyperlink>
      <w:r w:rsidRPr="00073DFA">
        <w:t xml:space="preserve"> in </w:t>
      </w:r>
      <w:hyperlink r:id="rId19" w:tgtFrame="_blank" w:tooltip="Zakon o varstvu okolja (ZVO-2)" w:history="1">
        <w:r w:rsidRPr="00073DFA">
          <w:t>44/22</w:t>
        </w:r>
      </w:hyperlink>
      <w:r w:rsidRPr="00073DFA">
        <w:t xml:space="preserve"> – ZVO-2</w:t>
      </w:r>
      <w:r w:rsidRPr="00073DFA">
        <w:t xml:space="preserve">) mora ministrstvo v postopku ocenjevanja verjetnosti pomembnejših vplivov planov na </w:t>
      </w:r>
      <w:r w:rsidR="00073DFA" w:rsidRPr="00073DFA">
        <w:t>okolje</w:t>
      </w:r>
      <w:r w:rsidRPr="00073DFA">
        <w:t xml:space="preserve"> </w:t>
      </w:r>
      <w:r w:rsidR="00073DFA">
        <w:t xml:space="preserve">od ministrstev in organizacij iz predpisov, ki urejajo postopek celovite presoje vplivov na okolje, pridobiti mnenje o verjetnosti pomembnejših vplivov planov na okolje z vidika njihove pristojnosti. </w:t>
      </w:r>
    </w:p>
    <w:p w14:paraId="16716C59" w14:textId="77777777" w:rsidR="000A6F5E" w:rsidRPr="000A6F5E" w:rsidRDefault="000A6F5E" w:rsidP="000A6F5E">
      <w:pPr>
        <w:jc w:val="both"/>
      </w:pPr>
    </w:p>
    <w:p w14:paraId="417E9F56" w14:textId="209A3D22" w:rsidR="000A6F5E" w:rsidRPr="00626357" w:rsidRDefault="000A6F5E" w:rsidP="000A6F5E">
      <w:pPr>
        <w:jc w:val="both"/>
      </w:pPr>
      <w:r w:rsidRPr="000A6F5E">
        <w:t>Ministrstvo je gradivo preučilo in ugotovilo, da</w:t>
      </w:r>
      <w:r w:rsidR="00073DFA">
        <w:t xml:space="preserve"> občina s SD OPN št. 18 Cerklje na Gorenjskem predlaga spremembe na treh lokacijah za namen vzpostavitve površin za turizem z namensko rabo BT (širitev Hotela Krvavec, postavitev glampinga ter prestavitev obstoječe brunarice). Predvidena sprememba namenske rabe kmetijskih zemljišč je 8082 m</w:t>
      </w:r>
      <w:r w:rsidR="00073DFA">
        <w:rPr>
          <w:vertAlign w:val="superscript"/>
        </w:rPr>
        <w:t>2</w:t>
      </w:r>
      <w:r w:rsidR="00073DFA">
        <w:t xml:space="preserve">. </w:t>
      </w:r>
      <w:r w:rsidR="00DE24D6">
        <w:t>Območje sprememb se nahaja</w:t>
      </w:r>
      <w:r w:rsidR="00110726">
        <w:t xml:space="preserve"> </w:t>
      </w:r>
      <w:r w:rsidR="00DE24D6">
        <w:t xml:space="preserve"> na območju zelo majhne, majhne in srednje verjetnosti pojavljanja zemeljskih plazov.  Območje SD OPN št. 18 Cerklje na Gorenjskem meji na posebno varstveno območje Natura 2000, daljinski vpliv plana sega na omenjeno varovano območje. Območje plana se deloma nahaja na naravovarstevno pomembnem območju Kamniško – Savinjske Alpe (ekološko pomembno območje). </w:t>
      </w:r>
      <w:r w:rsidR="007C0E5D">
        <w:t xml:space="preserve">Ena od pobud (pobuda št. 1) se nahaja na območju registriranega arheološkega najdišča EŠD 28590. Del obravnavanega območja se nahaja v območju gozdnih zemljišč, del pa </w:t>
      </w:r>
      <w:r w:rsidR="00B97A85">
        <w:t xml:space="preserve">je </w:t>
      </w:r>
      <w:r w:rsidR="007C0E5D">
        <w:t xml:space="preserve">ekološko in funkcionalno povezan s sosednjim gozdom. Predmetni gozd, gozdni robovi in posamezna drevesa in pašniki tvorijo značilno krajino visokogorske pašne planine. Predmetni gozd je razglašen za gozd s posebnim pomenom. </w:t>
      </w:r>
      <w:r w:rsidR="00626357">
        <w:t>Približno 8724 m</w:t>
      </w:r>
      <w:r w:rsidR="00626357">
        <w:rPr>
          <w:vertAlign w:val="superscript"/>
        </w:rPr>
        <w:t>2</w:t>
      </w:r>
      <w:r w:rsidR="00626357">
        <w:t xml:space="preserve"> gozdnih </w:t>
      </w:r>
      <w:r w:rsidR="00626357">
        <w:lastRenderedPageBreak/>
        <w:t>površin (G) se namerava z obravnavanim planom spremeniti v območje za turizem (BT). Plan obsega zemljišča parcelnih št. 133/29, 133/30, 133/31, 133/28, 133/58, 133/68, 133/35, 133/39, 133/41, 133/27, 133/23, 134/1</w:t>
      </w:r>
      <w:r w:rsidR="00B97A85">
        <w:t xml:space="preserve"> vse k. o. Kokra. V predloženi dokumentaciji se pojavljajo tudi parcelne št. 133/61, 99/4, 99/5 vse k. o. Kokra in 1037/6 k. o. Šenturška Gora. </w:t>
      </w:r>
    </w:p>
    <w:p w14:paraId="31B37C30" w14:textId="77777777" w:rsidR="000A6F5E" w:rsidRPr="000A6F5E" w:rsidRDefault="000A6F5E" w:rsidP="000A6F5E">
      <w:pPr>
        <w:jc w:val="both"/>
      </w:pPr>
    </w:p>
    <w:p w14:paraId="4DAFFE06" w14:textId="77777777" w:rsidR="000A6F5E" w:rsidRPr="000A6F5E" w:rsidRDefault="000A6F5E" w:rsidP="000A6F5E">
      <w:pPr>
        <w:jc w:val="both"/>
      </w:pPr>
      <w:r w:rsidRPr="000A6F5E">
        <w:t>Na podlagi 101. člena Zakona o ohranjanju narave (Uradni list RS, št. 96/04-ZON-UPB2, 61/06- ZDru-1, 8/10 ZSKZ-B, 46/14, 21/18-ZNOrg, 31/18, 82/20 in 3/22-ZDeb; v nadaljevanju ZON) se celovita presoja vplivov na okolje izvede za plane, ki bi lahko pomembno vplivali na zavarovano območje, posebno varstveno območje ali potencialno posebno ohranitveno območje sami po sebi ali v povezavi z drugimi plani.</w:t>
      </w:r>
    </w:p>
    <w:p w14:paraId="73B11C0B" w14:textId="77777777" w:rsidR="000A6F5E" w:rsidRPr="000A6F5E" w:rsidRDefault="000A6F5E" w:rsidP="000A6F5E">
      <w:pPr>
        <w:jc w:val="both"/>
      </w:pPr>
    </w:p>
    <w:p w14:paraId="6E87C5CD" w14:textId="12484BB8" w:rsidR="00455BEE" w:rsidRDefault="00B97A85" w:rsidP="000A6F5E">
      <w:pPr>
        <w:jc w:val="both"/>
      </w:pPr>
      <w:r>
        <w:t>Pooblaščenec p</w:t>
      </w:r>
      <w:r w:rsidR="000A6F5E" w:rsidRPr="000A6F5E">
        <w:t>ripravljav</w:t>
      </w:r>
      <w:r>
        <w:t>ca</w:t>
      </w:r>
      <w:r w:rsidR="000A6F5E" w:rsidRPr="000A6F5E">
        <w:t xml:space="preserve"> plana je v postopku predložil mnenje Zavoda RS za varstvo narave (v nadaljnjem besedilu ZRSVN), </w:t>
      </w:r>
      <w:r w:rsidR="000A6F5E" w:rsidRPr="000A6F5E">
        <w:rPr>
          <w:szCs w:val="22"/>
        </w:rPr>
        <w:t xml:space="preserve">št. </w:t>
      </w:r>
      <w:r w:rsidR="00243E79">
        <w:rPr>
          <w:szCs w:val="22"/>
        </w:rPr>
        <w:t>3563-</w:t>
      </w:r>
      <w:r>
        <w:rPr>
          <w:szCs w:val="22"/>
        </w:rPr>
        <w:t>0019</w:t>
      </w:r>
      <w:r w:rsidR="00243E79">
        <w:rPr>
          <w:szCs w:val="22"/>
        </w:rPr>
        <w:t>/202</w:t>
      </w:r>
      <w:r>
        <w:rPr>
          <w:szCs w:val="22"/>
        </w:rPr>
        <w:t>2</w:t>
      </w:r>
      <w:r w:rsidR="00243E79">
        <w:rPr>
          <w:szCs w:val="22"/>
        </w:rPr>
        <w:t>-</w:t>
      </w:r>
      <w:r>
        <w:rPr>
          <w:szCs w:val="22"/>
        </w:rPr>
        <w:t>2</w:t>
      </w:r>
      <w:r w:rsidR="000A6F5E" w:rsidRPr="000A6F5E">
        <w:rPr>
          <w:szCs w:val="22"/>
        </w:rPr>
        <w:t xml:space="preserve">, z dne </w:t>
      </w:r>
      <w:r>
        <w:rPr>
          <w:szCs w:val="22"/>
        </w:rPr>
        <w:t>1</w:t>
      </w:r>
      <w:r w:rsidR="000A6F5E" w:rsidRPr="000A6F5E">
        <w:rPr>
          <w:szCs w:val="22"/>
        </w:rPr>
        <w:t xml:space="preserve">. </w:t>
      </w:r>
      <w:r>
        <w:rPr>
          <w:szCs w:val="22"/>
        </w:rPr>
        <w:t>4</w:t>
      </w:r>
      <w:r w:rsidR="000A6F5E" w:rsidRPr="000A6F5E">
        <w:rPr>
          <w:szCs w:val="22"/>
        </w:rPr>
        <w:t>. 2022</w:t>
      </w:r>
      <w:r w:rsidR="000A6F5E" w:rsidRPr="000A6F5E">
        <w:t>, v katerem je navedeno,</w:t>
      </w:r>
      <w:r w:rsidR="00B97468">
        <w:t xml:space="preserve"> da </w:t>
      </w:r>
      <w:r>
        <w:t xml:space="preserve">ocenjujejo, da OPN Občine Cerklje na Gorenjskem 18 spremembe in dopolnitve, ne bo pomembno vplival na varovana območja, zato menijo, da presoje sprejemljivosti vplivov izvedbe plana v naravo na varovana območja ni treba izvesti. </w:t>
      </w:r>
      <w:r w:rsidR="00387289">
        <w:t xml:space="preserve">Ocenjujejo tudi, da plan verjetno ne bo pomembno vplival na biotsko raznovrstnost in menijo, da ni treba izvesti celovite presoje vplivov na okolje. </w:t>
      </w:r>
    </w:p>
    <w:p w14:paraId="5DC62A1D" w14:textId="164A7E91" w:rsidR="00455BEE" w:rsidRDefault="00455BEE" w:rsidP="000A6F5E">
      <w:pPr>
        <w:jc w:val="both"/>
      </w:pPr>
    </w:p>
    <w:p w14:paraId="42E646F5" w14:textId="60D06925" w:rsidR="00455BEE" w:rsidRDefault="00455BEE" w:rsidP="000A6F5E">
      <w:pPr>
        <w:jc w:val="both"/>
      </w:pPr>
      <w:r>
        <w:t>Iz mnenja Ministrstva za kmetijstvo, gozdarstvo in prehrano št. 3502-</w:t>
      </w:r>
      <w:r w:rsidR="00387289">
        <w:t>3</w:t>
      </w:r>
      <w:r>
        <w:t>2/2022/</w:t>
      </w:r>
      <w:r w:rsidR="00387289">
        <w:t>3</w:t>
      </w:r>
      <w:r>
        <w:t xml:space="preserve"> z dne </w:t>
      </w:r>
      <w:r w:rsidR="00387289">
        <w:t>22</w:t>
      </w:r>
      <w:r>
        <w:t xml:space="preserve">. </w:t>
      </w:r>
      <w:r w:rsidR="00387289">
        <w:t>3</w:t>
      </w:r>
      <w:r>
        <w:t>. 2022 izhaja</w:t>
      </w:r>
      <w:r w:rsidR="00387289">
        <w:t xml:space="preserve">, da za SD OPN 18 Občine Cerklje na Gorenjskem z vidika varstva kmetijskih zemljišč, ni treba delati celovite presoje vplivov na okolje. V mnenju še dodajajo, da bodo vplive plana na kmetijska zemljišča presojali v postopku priprave SD OPN 18. </w:t>
      </w:r>
    </w:p>
    <w:p w14:paraId="67BFCF50" w14:textId="448126F9" w:rsidR="00455BEE" w:rsidRDefault="00455BEE" w:rsidP="000A6F5E">
      <w:pPr>
        <w:jc w:val="both"/>
      </w:pPr>
    </w:p>
    <w:p w14:paraId="29C1026A" w14:textId="270E8FCA" w:rsidR="00455BEE" w:rsidRDefault="00455BEE" w:rsidP="000A6F5E">
      <w:pPr>
        <w:jc w:val="both"/>
      </w:pPr>
      <w:r>
        <w:t>Iz mnenja Ministrstva za zdravje št. 35</w:t>
      </w:r>
      <w:r w:rsidR="00852728">
        <w:t>4</w:t>
      </w:r>
      <w:r>
        <w:t>-</w:t>
      </w:r>
      <w:r w:rsidR="00852728">
        <w:t>5</w:t>
      </w:r>
      <w:r>
        <w:t>1/2022-</w:t>
      </w:r>
      <w:r w:rsidR="00852728">
        <w:t>4</w:t>
      </w:r>
      <w:r>
        <w:t xml:space="preserve"> z dne </w:t>
      </w:r>
      <w:r w:rsidR="002D2274">
        <w:t>4</w:t>
      </w:r>
      <w:r>
        <w:t xml:space="preserve">. </w:t>
      </w:r>
      <w:r w:rsidR="002D2274">
        <w:t>4</w:t>
      </w:r>
      <w:r>
        <w:t>. 2022 izhaja, da soglašajo z mnenjem Nacionalnega</w:t>
      </w:r>
      <w:r w:rsidR="002D2274">
        <w:t xml:space="preserve"> laboratorija za zdravje, okolje in hrano št. 2940-09/1849-22/NP-3628274 z dne 1. 4. 2022. </w:t>
      </w:r>
      <w:r w:rsidR="009F1725">
        <w:t xml:space="preserve">V tem mnenju NLZOH navaja, da s stališča njihove pristojnosti varovanja zdravja ljudi pred vplivi iz okolja, ni treba izvesti celovite presoje vplivov na okolje. </w:t>
      </w:r>
      <w:r>
        <w:t xml:space="preserve"> </w:t>
      </w:r>
    </w:p>
    <w:p w14:paraId="421644FB" w14:textId="6B611B6F" w:rsidR="00455BEE" w:rsidRDefault="00455BEE" w:rsidP="000A6F5E">
      <w:pPr>
        <w:jc w:val="both"/>
      </w:pPr>
    </w:p>
    <w:p w14:paraId="753681B7" w14:textId="2505323F" w:rsidR="00051AE4" w:rsidRDefault="00455BEE" w:rsidP="000A6F5E">
      <w:pPr>
        <w:jc w:val="both"/>
        <w:rPr>
          <w:color w:val="000000" w:themeColor="text1"/>
        </w:rPr>
      </w:pPr>
      <w:r w:rsidRPr="007C4819">
        <w:rPr>
          <w:color w:val="000000" w:themeColor="text1"/>
        </w:rPr>
        <w:t xml:space="preserve">Iz </w:t>
      </w:r>
      <w:r w:rsidR="00051AE4">
        <w:rPr>
          <w:color w:val="000000" w:themeColor="text1"/>
        </w:rPr>
        <w:t>d</w:t>
      </w:r>
      <w:r w:rsidR="007C4819">
        <w:rPr>
          <w:color w:val="000000" w:themeColor="text1"/>
        </w:rPr>
        <w:t>opolnitev smernic</w:t>
      </w:r>
      <w:r w:rsidRPr="007C4819">
        <w:rPr>
          <w:color w:val="000000" w:themeColor="text1"/>
        </w:rPr>
        <w:t xml:space="preserve"> Ministrstva za kulturo št. 3501-</w:t>
      </w:r>
      <w:r w:rsidR="007C4819">
        <w:rPr>
          <w:color w:val="000000" w:themeColor="text1"/>
        </w:rPr>
        <w:t>21</w:t>
      </w:r>
      <w:r w:rsidRPr="007C4819">
        <w:rPr>
          <w:color w:val="000000" w:themeColor="text1"/>
        </w:rPr>
        <w:t>/2022-3340-</w:t>
      </w:r>
      <w:r w:rsidR="007C4819">
        <w:rPr>
          <w:color w:val="000000" w:themeColor="text1"/>
        </w:rPr>
        <w:t>15</w:t>
      </w:r>
      <w:r w:rsidRPr="007C4819">
        <w:rPr>
          <w:color w:val="000000" w:themeColor="text1"/>
        </w:rPr>
        <w:t xml:space="preserve"> z dne </w:t>
      </w:r>
      <w:r w:rsidR="007C4819">
        <w:rPr>
          <w:color w:val="000000" w:themeColor="text1"/>
        </w:rPr>
        <w:t>29</w:t>
      </w:r>
      <w:r w:rsidRPr="007C4819">
        <w:rPr>
          <w:color w:val="000000" w:themeColor="text1"/>
        </w:rPr>
        <w:t>. 1</w:t>
      </w:r>
      <w:r w:rsidR="007C4819">
        <w:rPr>
          <w:color w:val="000000" w:themeColor="text1"/>
        </w:rPr>
        <w:t>2</w:t>
      </w:r>
      <w:r w:rsidRPr="007C4819">
        <w:rPr>
          <w:color w:val="000000" w:themeColor="text1"/>
        </w:rPr>
        <w:t>. 202</w:t>
      </w:r>
      <w:r w:rsidR="007C4819">
        <w:rPr>
          <w:color w:val="000000" w:themeColor="text1"/>
        </w:rPr>
        <w:t>3</w:t>
      </w:r>
      <w:r w:rsidRPr="007C4819">
        <w:rPr>
          <w:color w:val="000000" w:themeColor="text1"/>
        </w:rPr>
        <w:t xml:space="preserve"> izhaja, da </w:t>
      </w:r>
      <w:r w:rsidR="003E57D9">
        <w:rPr>
          <w:color w:val="000000" w:themeColor="text1"/>
        </w:rPr>
        <w:t xml:space="preserve">so bile na območju pobude št. 1 izvedene predhodne arheološke raziskave in da glede na rezultate raziskav MK daje novo mnenje glede verjetnosti pomembnejših vplivov plana na registrirano kulturno dediščino, da ni verjetnosti pomembnejšega vpliva. </w:t>
      </w:r>
    </w:p>
    <w:p w14:paraId="7CD55118" w14:textId="77777777" w:rsidR="00051AE4" w:rsidRDefault="00051AE4" w:rsidP="000A6F5E">
      <w:pPr>
        <w:jc w:val="both"/>
        <w:rPr>
          <w:color w:val="000000" w:themeColor="text1"/>
        </w:rPr>
      </w:pPr>
    </w:p>
    <w:p w14:paraId="076671C1" w14:textId="48BEAF74" w:rsidR="00455BEE" w:rsidRPr="007C4819" w:rsidRDefault="00051AE4" w:rsidP="000A6F5E">
      <w:pPr>
        <w:jc w:val="both"/>
        <w:rPr>
          <w:color w:val="000000" w:themeColor="text1"/>
        </w:rPr>
      </w:pPr>
      <w:r>
        <w:rPr>
          <w:color w:val="000000" w:themeColor="text1"/>
        </w:rPr>
        <w:t xml:space="preserve">Iz mnenja Zavoda za ribištvo Slovenije št. 4201-22/2020-6 z dne 31. 3. 2022 izhaja, da SD OPN 18 s stališča ZZRS ne bo imel pomembnejših vplivov na okolje. </w:t>
      </w:r>
    </w:p>
    <w:p w14:paraId="272F0D41" w14:textId="531C375A" w:rsidR="00A22CFA" w:rsidRDefault="00A22CFA" w:rsidP="000A6F5E">
      <w:pPr>
        <w:jc w:val="both"/>
      </w:pPr>
    </w:p>
    <w:p w14:paraId="7C844F22" w14:textId="05A066B9" w:rsidR="00A22CFA" w:rsidRDefault="00A22CFA" w:rsidP="000A6F5E">
      <w:pPr>
        <w:jc w:val="both"/>
      </w:pPr>
      <w:r>
        <w:t xml:space="preserve">Iz mnenja Zavoda za gozdove Slovenije št. </w:t>
      </w:r>
      <w:r w:rsidR="00051AE4">
        <w:t xml:space="preserve">350-3/2022-2 z dne 17. 6. 2024 izhaja, da je mogoče pričakovati, da vplivi poseganja v prostor in rabe na podlagi SD OPN št. 18 občine Cerklje na Gorenjskem, ob upoštevanju konkretnih smernic s področja gozdarstva in lovstva št. 350-3/2022-1 z datumom 30. 3. 2022, z vidikov varovanja ekoloških in socialnih funkcij gozdov (med njimi tudi funkcije varovanja nepremične kulturne dediščine v gozdnem prostoru), gozdnih prednostnih habitatnih tipov in drugih varovanih delov gozdnega prostora in vrst v njem, okolja in populacij divjadi in drugih prosto živečih divjih živali ter gozda kot temeljne prvine ohranjenega naravnega okolja, ekološke infrastrukture predmetne krajine in zdravega človekovega okolje, verjetno ne bodo imeli pomembnejših vplivov na okolje. </w:t>
      </w:r>
    </w:p>
    <w:p w14:paraId="4D5A6F3E" w14:textId="216A76D7" w:rsidR="00A22CFA" w:rsidRDefault="00A22CFA" w:rsidP="000A6F5E">
      <w:pPr>
        <w:jc w:val="both"/>
      </w:pPr>
    </w:p>
    <w:p w14:paraId="0C5DDD5E" w14:textId="7A16EEBF" w:rsidR="00A22CFA" w:rsidRPr="000A6F5E" w:rsidRDefault="00A22CFA" w:rsidP="000A6F5E">
      <w:pPr>
        <w:jc w:val="both"/>
      </w:pPr>
      <w:r>
        <w:t xml:space="preserve">Iz </w:t>
      </w:r>
      <w:r w:rsidR="00F12C47">
        <w:t>konkretnih smernic</w:t>
      </w:r>
      <w:r>
        <w:t xml:space="preserve"> Direkcije RS za vode št. 35011-</w:t>
      </w:r>
      <w:r w:rsidR="00F12C47">
        <w:t>14</w:t>
      </w:r>
      <w:r>
        <w:t>/2022-</w:t>
      </w:r>
      <w:r w:rsidR="00F12C47">
        <w:t>2</w:t>
      </w:r>
      <w:r>
        <w:t xml:space="preserve"> z dne </w:t>
      </w:r>
      <w:r w:rsidR="00F12C47">
        <w:t>12</w:t>
      </w:r>
      <w:r>
        <w:t xml:space="preserve">. </w:t>
      </w:r>
      <w:r w:rsidR="00F12C47">
        <w:t>10</w:t>
      </w:r>
      <w:r>
        <w:t>. 202</w:t>
      </w:r>
      <w:r w:rsidR="00F12C47">
        <w:t>2</w:t>
      </w:r>
      <w:r>
        <w:t xml:space="preserve"> izhaja, da </w:t>
      </w:r>
      <w:r w:rsidR="00F12C47">
        <w:t xml:space="preserve">bo izvedba plana SD OPN 18 verjetno pomembneje vplivala na okolje, razen v primeru, da bodo v nadaljnjih postopkih dosledno upoštevane ugotovitve podane v I. točki mnenja št. 35011-14/2022-2. </w:t>
      </w:r>
    </w:p>
    <w:p w14:paraId="18DC93A8" w14:textId="77777777" w:rsidR="000A6F5E" w:rsidRPr="000A6F5E" w:rsidRDefault="000A6F5E" w:rsidP="000A6F5E">
      <w:pPr>
        <w:jc w:val="both"/>
      </w:pPr>
    </w:p>
    <w:p w14:paraId="61195D62" w14:textId="7CF1FA52" w:rsidR="000A6F5E" w:rsidRPr="000A6F5E" w:rsidRDefault="000A6F5E" w:rsidP="000A6F5E">
      <w:pPr>
        <w:jc w:val="both"/>
      </w:pPr>
      <w:r w:rsidRPr="000A6F5E">
        <w:rPr>
          <w:szCs w:val="22"/>
        </w:rPr>
        <w:t xml:space="preserve">Ministrstvo je v postopku preučilo tudi obstoj drugih okoljskih razlogov za uvedbo celovite presoje vplivov na okolje po določilih tretjega odstavka 77. člena ZVO-2 in </w:t>
      </w:r>
      <w:r w:rsidRPr="000A6F5E">
        <w:t xml:space="preserve">skladno z 2. členom </w:t>
      </w:r>
      <w:r w:rsidRPr="000A6F5E">
        <w:rPr>
          <w:szCs w:val="22"/>
        </w:rPr>
        <w:t xml:space="preserve">Uredbe o merilih za ocenjevanje verjetnosti pomembnejših vplivov izvedbe plana, programa, načrta ali </w:t>
      </w:r>
      <w:r w:rsidRPr="000A6F5E">
        <w:rPr>
          <w:szCs w:val="22"/>
        </w:rPr>
        <w:lastRenderedPageBreak/>
        <w:t>drugega splošnega akta in njegovih sprememb na okolje v postopku celovite presoje vplivov na okolje (</w:t>
      </w:r>
      <w:r w:rsidRPr="000A6F5E">
        <w:t>Uradni list RS, št. 9/09 in 44/22 - ZVO-2; v nadaljnjem besedilu Uredba o merilih</w:t>
      </w:r>
      <w:r w:rsidRPr="000A6F5E">
        <w:rPr>
          <w:szCs w:val="22"/>
        </w:rPr>
        <w:t xml:space="preserve">). </w:t>
      </w:r>
    </w:p>
    <w:p w14:paraId="6A4A332F" w14:textId="77777777" w:rsidR="000A6F5E" w:rsidRPr="000A6F5E" w:rsidRDefault="000A6F5E" w:rsidP="000A6F5E">
      <w:pPr>
        <w:tabs>
          <w:tab w:val="left" w:pos="960"/>
        </w:tabs>
        <w:jc w:val="both"/>
        <w:rPr>
          <w:szCs w:val="22"/>
        </w:rPr>
      </w:pPr>
    </w:p>
    <w:p w14:paraId="3B9A94F9" w14:textId="77777777" w:rsidR="000A6F5E" w:rsidRPr="000A6F5E" w:rsidRDefault="000A6F5E" w:rsidP="000A6F5E">
      <w:pPr>
        <w:tabs>
          <w:tab w:val="left" w:pos="960"/>
        </w:tabs>
        <w:jc w:val="both"/>
        <w:rPr>
          <w:szCs w:val="22"/>
        </w:rPr>
      </w:pPr>
      <w:r w:rsidRPr="000A6F5E">
        <w:rPr>
          <w:szCs w:val="22"/>
        </w:rPr>
        <w:t xml:space="preserve">Ministrstvo je po pregledu gradiva in mnenj, na podlagi meril iz 2. člena Uredbe o merilih, ki se nanašajo na značilnosti plana, značilnosti vplivov ter </w:t>
      </w:r>
      <w:r w:rsidRPr="000A6F5E">
        <w:rPr>
          <w:rFonts w:cs="Arial"/>
        </w:rPr>
        <w:t>pomen in ranljivost območij, ki bodo verjetno prizadeta,</w:t>
      </w:r>
      <w:r w:rsidRPr="000A6F5E">
        <w:rPr>
          <w:szCs w:val="22"/>
        </w:rPr>
        <w:t xml:space="preserve"> ugotovilo, da:</w:t>
      </w:r>
    </w:p>
    <w:p w14:paraId="4E6C087D" w14:textId="77777777" w:rsidR="00F12C47" w:rsidRDefault="000A6F5E" w:rsidP="00F12C47">
      <w:pPr>
        <w:ind w:left="284" w:hanging="284"/>
        <w:jc w:val="both"/>
      </w:pPr>
      <w:r w:rsidRPr="000A6F5E">
        <w:t>-</w:t>
      </w:r>
      <w:r w:rsidRPr="000A6F5E">
        <w:tab/>
      </w:r>
      <w:r w:rsidR="00F12C47">
        <w:t>gre pri obravnavanem planu za plan, ki z drugimi plani, ob izvedbi, povzroča kumulativne vplive obremenitve okolja (ker je na lokaciji že vzpostavljen rekreacijsko turistični center), ob realizaciji se bo povečala že prisotna obremenitev okolja,</w:t>
      </w:r>
    </w:p>
    <w:p w14:paraId="353E9BFC" w14:textId="7EBB6844" w:rsidR="00F12C47" w:rsidRDefault="00F12C47" w:rsidP="00F12C47">
      <w:pPr>
        <w:ind w:left="284" w:hanging="284"/>
        <w:jc w:val="both"/>
      </w:pPr>
      <w:r>
        <w:t xml:space="preserve">- </w:t>
      </w:r>
      <w:r>
        <w:tab/>
        <w:t>realizacija plana bo spremenila kmetijsko zemljo v površine za druge namene (prvenstveno pozidavo)</w:t>
      </w:r>
      <w:r w:rsidR="00921F3F">
        <w:t>, kmetijska zemlja je naravna dobrina, ki je na območju plana redka dobrina,</w:t>
      </w:r>
    </w:p>
    <w:p w14:paraId="562A8ABD" w14:textId="684EB7B7" w:rsidR="00921F3F" w:rsidRDefault="00921F3F" w:rsidP="00F12C47">
      <w:pPr>
        <w:ind w:left="284" w:hanging="284"/>
        <w:jc w:val="both"/>
      </w:pPr>
      <w:r>
        <w:t xml:space="preserve">- </w:t>
      </w:r>
      <w:r>
        <w:tab/>
        <w:t>obravnavani plan ne spodbuja trajnostnega razvoja, saj gre za pozidavo do sedaj še nepozidane površine,</w:t>
      </w:r>
    </w:p>
    <w:p w14:paraId="3E2C5601" w14:textId="3CFB8C62" w:rsidR="00921F3F" w:rsidRDefault="00921F3F" w:rsidP="00F12C47">
      <w:pPr>
        <w:ind w:left="284" w:hanging="284"/>
        <w:jc w:val="both"/>
      </w:pPr>
      <w:r>
        <w:t xml:space="preserve">- </w:t>
      </w:r>
      <w:r>
        <w:tab/>
        <w:t>obravnavano območje se nahaja neposredno v bližini (</w:t>
      </w:r>
      <w:r w:rsidR="00616DAD">
        <w:t xml:space="preserve">območje </w:t>
      </w:r>
      <w:r>
        <w:t>meji na) zavarovana območja Natura 2000</w:t>
      </w:r>
      <w:r w:rsidR="002E6057">
        <w:t xml:space="preserve"> in EPO</w:t>
      </w:r>
      <w:r>
        <w:t>,</w:t>
      </w:r>
    </w:p>
    <w:p w14:paraId="3325650E" w14:textId="4EABFF1C" w:rsidR="00921F3F" w:rsidRDefault="00921F3F" w:rsidP="00F12C47">
      <w:pPr>
        <w:ind w:left="284" w:hanging="284"/>
        <w:jc w:val="both"/>
      </w:pPr>
      <w:r>
        <w:t xml:space="preserve">- </w:t>
      </w:r>
      <w:r>
        <w:tab/>
        <w:t>del obravnavanega območja je v gozdu,</w:t>
      </w:r>
    </w:p>
    <w:p w14:paraId="77F90768" w14:textId="40B4899E" w:rsidR="00921F3F" w:rsidRDefault="00921F3F" w:rsidP="00F12C47">
      <w:pPr>
        <w:ind w:left="284" w:hanging="284"/>
        <w:jc w:val="both"/>
      </w:pPr>
      <w:r>
        <w:t xml:space="preserve">- </w:t>
      </w:r>
      <w:r>
        <w:tab/>
        <w:t>območje, ki ga pokriva obravnavani plan je erozijsko in plazovno ogroženo,</w:t>
      </w:r>
    </w:p>
    <w:p w14:paraId="2D2AD7EC" w14:textId="5FAA39C5" w:rsidR="00921F3F" w:rsidRDefault="00921F3F" w:rsidP="00921F3F">
      <w:pPr>
        <w:ind w:left="284" w:hanging="284"/>
        <w:jc w:val="both"/>
      </w:pPr>
      <w:r>
        <w:t xml:space="preserve">- </w:t>
      </w:r>
      <w:r>
        <w:tab/>
        <w:t xml:space="preserve">celoten plan se nahaja na občutljivem gorskem območju. </w:t>
      </w:r>
    </w:p>
    <w:p w14:paraId="1727FF7C" w14:textId="77777777" w:rsidR="00921F3F" w:rsidRDefault="00921F3F" w:rsidP="00921F3F">
      <w:pPr>
        <w:ind w:left="284" w:hanging="284"/>
        <w:jc w:val="both"/>
      </w:pPr>
    </w:p>
    <w:p w14:paraId="0FBE15D9" w14:textId="446242CA" w:rsidR="002E6057" w:rsidRDefault="002E6057" w:rsidP="002E6057">
      <w:pPr>
        <w:jc w:val="both"/>
      </w:pPr>
      <w:r>
        <w:t xml:space="preserve">Ministrstvo je dne 11. 9. 2024 stranki poslalo dopis št. 35409-108/2024-2570-7 s katerim je stranko seznanilo z ugotovitvami, ki so navedene v prejšnjem odstavku in stranko seznanilo, da je plan tak, da bi njegova izvedba lahko pomembno vplivala na okolje. Ministrstvo je dalo stranki 21 dnevni rok, da se izjasni o ugotovitvah ministrstva, preden ministrstvo izda odločbo. </w:t>
      </w:r>
    </w:p>
    <w:p w14:paraId="57709173" w14:textId="77777777" w:rsidR="002E6057" w:rsidRDefault="002E6057" w:rsidP="002E6057">
      <w:pPr>
        <w:jc w:val="both"/>
      </w:pPr>
    </w:p>
    <w:p w14:paraId="613C8F6D" w14:textId="3E3C88C6" w:rsidR="002E6057" w:rsidRDefault="002E6057" w:rsidP="002E6057">
      <w:pPr>
        <w:jc w:val="both"/>
      </w:pPr>
      <w:r>
        <w:t>Stranka (njen pooblaščenec) je istega dne 11. 9. 2024, ko je prejela poziv na izjasnitev, poslala odgovor v dopisu št. 24-204-2189. V tem dopisu pooblaščenec stranke izraža skrb, da ministrstvo pri svojih ugotovitvah ni preučilo in upoštevalo vseh izdanih mnenj ter posredovane strokovne podlage (</w:t>
      </w:r>
      <w:r w:rsidR="00290F2E">
        <w:t xml:space="preserve">posredovana strokovna podlaga je Poročilo o erozijski ogroženosti in plazovitosti območja, Geomet, februar 2024, ki je navedena med prejeto dokumentacijo na str. 2 te odločbe – opomba ministrstva), saj da so ugotovitve ministrstva v nasprotju z mnenji in izdelano strokovno podlago. Ministrstvo na to trditev pooblaščenca odgovarja, da je skrbno preučilo vso dokumentacijo, vsa prejeta mnenja (kar se izkazuje tudi v navajanju vsebine iz mnenj v tej odločbi), vključno z omenjeno strokovno podlago, ter da je trditev pooblaščenca pavšalna in </w:t>
      </w:r>
      <w:r w:rsidR="0067088F">
        <w:t>nepravična</w:t>
      </w:r>
      <w:r w:rsidR="00290F2E">
        <w:t xml:space="preserve"> do dela ministrstva, ki je natančno, skrbno in strokovno. Glede trditve pooblaščenca, da so ugotovitve ministrstva v nasprotju z mnenji, ki so bila predložena v tem postopku, pa ministrstvo odgovarja, da to ne drži in da je ministrstvo izpeljalo ugotovitveni postopek in prišlo do zaključkov, ki so navedeni v nadaljevanju te odločitve.</w:t>
      </w:r>
    </w:p>
    <w:p w14:paraId="7148D1E0" w14:textId="77777777" w:rsidR="002B668E" w:rsidRDefault="002B668E" w:rsidP="002E6057">
      <w:pPr>
        <w:jc w:val="both"/>
      </w:pPr>
    </w:p>
    <w:p w14:paraId="066BF858" w14:textId="357269AB" w:rsidR="002B668E" w:rsidRDefault="002B668E" w:rsidP="002E6057">
      <w:pPr>
        <w:jc w:val="both"/>
      </w:pPr>
      <w:r>
        <w:t xml:space="preserve">Pooblaščenec v izjasnitvi, za področje kmetijstva, navaja, da je MKGP, Direktorat za kmetijstvo, v mnenju št. 3502-32/2022/3 z dne 22. 3. 2022, podalo mnenje, da z vidika kmetijskih zemljišč ni treba delati celovite presoje vplivov na okolje. Ministrstvo ob teh trditvah pooblaščenca ugotavlja, da je glede na veljavno zakonodajo (ZVO-2 in Uredbo o merilih za ocenjevanje verjetnosti pomembnejših vplivov izvedbe plana, programa, načrta ali drugega splošnega akta in njegovih sprememb na okolje v postopku celovite presoje vplivov na okolje), ministrstvo dolžno oceniti ali bo plan verjetno pomembneje vplival na okolje, pri čemer mora upoštevati značilnost vplivov in območij, ki bodo verjetno prizadeta ter pomen in ranljivost območij. Pri tem pa se ministrstvo posvetuje z ministrstvi in organizacijami, ki so zadolženi za posamezna področja okolja, in od njih pridobi mnenje o verjetnosti pomembnejših vplivov plana na okolje z vidika njihove pristojnosti. </w:t>
      </w:r>
      <w:r w:rsidR="006F4DFE">
        <w:t xml:space="preserve">Ministrstvo ugotavlja, da MKGP, za področje kmetijstva, v svojem mnenju ni podal mnenja ali bo izvedba plana pomembneje vplivala na okolje. </w:t>
      </w:r>
    </w:p>
    <w:p w14:paraId="4AB230F1" w14:textId="77777777" w:rsidR="00261E1E" w:rsidRDefault="00261E1E" w:rsidP="002E6057">
      <w:pPr>
        <w:jc w:val="both"/>
      </w:pPr>
    </w:p>
    <w:p w14:paraId="2F805C63" w14:textId="77777777" w:rsidR="009C3333" w:rsidRDefault="00261E1E" w:rsidP="002E6057">
      <w:pPr>
        <w:jc w:val="both"/>
      </w:pPr>
      <w:r>
        <w:t xml:space="preserve">Pooblaščenec v svojem dopisu z dne 11. 9. 2024 omenja mnenje ZRSVN št. 3563-0019/2022-2 z dne 1. 4. 2022 in poda razlago, da območje sprememb namenske rabe ne posega v nobeno naravno vrednoto. Ministrstvo ob navedbi pooblaščenca stranke ugotavlja, da obravnavani plan SD OPN št. 18 Občine Cerklje na Gorenjskem s svojim daljinskim vplivom (plan meji na območje </w:t>
      </w:r>
      <w:r>
        <w:lastRenderedPageBreak/>
        <w:t xml:space="preserve">Natura 2000) posega na območje SPA Grintovci. </w:t>
      </w:r>
      <w:r w:rsidR="00644443">
        <w:t xml:space="preserve">Kjer so prisotne kvalifikacijske vrste koconogega čuka, skovika, planinskega orla, ruševca, sokola selca, triprstega detla, črne žolne in belke. Pri strateški presoji vplivov na okolje se vedno upošteva daljinski vpliv plana na varovano območje in kvalifikacijske vrste, tovrstno prakso je potrdilo tudi upravno sodišče RS v svojih sodbah glede ptic in vetrnih elektrarn, kjer ptice niso gnezdile na območju polja vetrnih elektrarn, pa je sodišče prepoznalo vpliv plana na te kvalifikacijske vrste. Ministrstvo se do navedbe pooblaščenca, da območje sprememb namenske rabe ne posega v nobeno naravno vrednoto ne opredeljuje, ker naravnih vrednot ni omenjalo v svojem pozivu na izjasnitev in ni pomembno za to odločitev. </w:t>
      </w:r>
    </w:p>
    <w:p w14:paraId="412B1F10" w14:textId="77777777" w:rsidR="009C3333" w:rsidRDefault="009C3333" w:rsidP="002E6057">
      <w:pPr>
        <w:jc w:val="both"/>
      </w:pPr>
    </w:p>
    <w:p w14:paraId="4603A0B0" w14:textId="46C92646" w:rsidR="00261E1E" w:rsidRDefault="009C3333" w:rsidP="002E6057">
      <w:pPr>
        <w:jc w:val="both"/>
      </w:pPr>
      <w:r>
        <w:t>Pooblaščenec stranke v svojem dopisu izjasnitev z dne 11. 9. 2024 glede smernic Zavoda za gozdove Slovenije št. 350-3/2022-1 z dne 30. 3. 2022</w:t>
      </w:r>
      <w:r w:rsidR="00644443">
        <w:t xml:space="preserve"> </w:t>
      </w:r>
      <w:r>
        <w:t xml:space="preserve">navaja, da zavod ne nasprotuje načrtovanim spremembam namenske rabe in da v smernicah ne omenja gorskega občutljivega območja. Pooblaščenec še navaja, da območje sprememb namenske rabe ne posega v gozd s posebnim namenom (varovalni gozd). Ministrstvo ugotavlja, da plan SD OPN ŠT. 18 Cerklje na Gorenjskem vsebuje tudi gozd, ki je razglašen za gozd s posebnim namenom. Ministrstvo je iz uradnih evidenc Atlas okolja ugotovilo, da je ta gozd npr. (med drugim) na zemljiščih parc. št. 133/68, 133/35, 133/39, tako da trditve pooblaščenca, da ni gozda s posebnim pomenom, ne držijo. </w:t>
      </w:r>
    </w:p>
    <w:p w14:paraId="59E8892F" w14:textId="77777777" w:rsidR="009C3333" w:rsidRDefault="009C3333" w:rsidP="002E6057">
      <w:pPr>
        <w:jc w:val="both"/>
      </w:pPr>
    </w:p>
    <w:p w14:paraId="6258F7E6" w14:textId="5AA2A37C" w:rsidR="009C3333" w:rsidRDefault="009C3333" w:rsidP="002E6057">
      <w:pPr>
        <w:jc w:val="both"/>
      </w:pPr>
      <w:r>
        <w:t xml:space="preserve">Pooblaščenec je za področje voda, v svoji izjasnitvi z dne 11. 9. 2024, </w:t>
      </w:r>
      <w:r w:rsidR="00270481">
        <w:t xml:space="preserve">zapisal, da je Direkcija RS za vode v dokumentu št. 35011-14/2022-2 z dne 12. 10. 2022, podala mnenje, da obravnavan plan (18. spremembe in dopolnitve) ne bo vplival na okolje, če bodo upoštevane ugotovitve iz njihovega mnenja. Ministrstvo je podrobno preučilo ta dokument Direkcije RS za vode in lahko zaključi, da se strinja s stališčem DRSV, da bo plan pomembneje vplival na okolje, razen v primeru, da bodo v nadaljnjih postopkih </w:t>
      </w:r>
      <w:r w:rsidR="00116CDE">
        <w:t xml:space="preserve">(pri izvedbi plana) dosledno upoštevali ugotovitve podane v točki I. njihovega mnenja. </w:t>
      </w:r>
    </w:p>
    <w:p w14:paraId="5B2067D1" w14:textId="77777777" w:rsidR="00116CDE" w:rsidRDefault="00116CDE" w:rsidP="002E6057">
      <w:pPr>
        <w:jc w:val="both"/>
      </w:pPr>
    </w:p>
    <w:p w14:paraId="59F41BC3" w14:textId="3C7EE842" w:rsidR="00116CDE" w:rsidRDefault="00116CDE" w:rsidP="002E6057">
      <w:pPr>
        <w:jc w:val="both"/>
      </w:pPr>
      <w:r>
        <w:t>Pooblaščenec je za področje obremenitve okolj</w:t>
      </w:r>
      <w:r w:rsidR="0017401C">
        <w:t>a</w:t>
      </w:r>
      <w:r>
        <w:t xml:space="preserve"> v dokumentu z dne 11. 9. 2024 </w:t>
      </w:r>
      <w:r w:rsidR="0017401C">
        <w:t>navedel mnenje Ministrstva za zdravje in NLZOH, ministrstvo se do teh navedb ne opredeljuje, ker niso pomembne za to odločitev. Glede navedb pooblaščenca, da iz že izdelanega Okoljskega poročila za OPN Občine Cerklje na Gorenjskem izhaja, da z vidika razvoja turizma</w:t>
      </w:r>
      <w:r w:rsidR="00817D4E">
        <w:t xml:space="preserve"> v občini Krvavec predstavlja pomembno pridobitev za občino in da velja kot eno bolje urejenih in obiskanih smučišč, ministrstvo </w:t>
      </w:r>
      <w:r w:rsidR="000D54BD">
        <w:t>dodaja</w:t>
      </w:r>
      <w:r w:rsidR="00817D4E">
        <w:t xml:space="preserve">, da se s tem strinja. Za nadaljnje navedbe pooblaščenca, ko navaja vrednotene okoljske cilje in vplive izvedbe plana za področje turizma, pa ministrstvo ugotavlja, </w:t>
      </w:r>
      <w:r w:rsidR="000D54BD">
        <w:t xml:space="preserve">da </w:t>
      </w:r>
      <w:r w:rsidR="00817D4E">
        <w:t>se pooblaščenec sklicuje na okoljsko poročilo iz leta 2009 za osnovni prostorski načrt Občine Cerklje na Gorenjskem, ki ni upošteval in ovrednotil sprememb tega plana, ki obravnava 18</w:t>
      </w:r>
      <w:r w:rsidR="000D54BD">
        <w:t>-te spremembe in dopolnitve omenjenega plana. Omenjeno okoljsko poročilo je staro in ni relevantno za ta obravnavani plan SD OPN št. 18 Cerklje na Gorenjskem.</w:t>
      </w:r>
    </w:p>
    <w:p w14:paraId="22F8C8DB" w14:textId="77777777" w:rsidR="00F15E78" w:rsidRDefault="00F15E78" w:rsidP="002E6057">
      <w:pPr>
        <w:jc w:val="both"/>
      </w:pPr>
    </w:p>
    <w:p w14:paraId="6BC51634" w14:textId="77777777" w:rsidR="00F15E78" w:rsidRDefault="00F15E78" w:rsidP="002E6057">
      <w:pPr>
        <w:jc w:val="both"/>
      </w:pPr>
      <w:r>
        <w:t xml:space="preserve">Ministrstvo glede izjasnitve pooblaščenca stranke št. 24-204-2189 z dne 11. 9. 2024 ugotavlja, da pooblaščenec ni podal nobenih novih dejstev ali konkretnih argumentov, da celovita presoja vplivov na okolje za SD OPN št. 18 Cerklje na Gorenjskem ne bi bila potrebna, na nekatere ugotovitve ministrstva (na katere je ministrstvo opozorilo v dopisu 35409-108/2024-2570-7) pa pooblaščenec ni odgovoril. Ministrstvo jih navaja v nadaljevanju te odločbe. </w:t>
      </w:r>
    </w:p>
    <w:p w14:paraId="0F7D5DC0" w14:textId="77777777" w:rsidR="00F15E78" w:rsidRDefault="00F15E78" w:rsidP="002E6057">
      <w:pPr>
        <w:jc w:val="both"/>
      </w:pPr>
    </w:p>
    <w:p w14:paraId="1E01B838" w14:textId="2808C139" w:rsidR="00142729" w:rsidRDefault="00F15E78" w:rsidP="002E6057">
      <w:pPr>
        <w:jc w:val="both"/>
      </w:pPr>
      <w:r>
        <w:t xml:space="preserve">Celovita presoja vplivov na okolje se izvede za plane za katere ministrstvo oceni, da bi lahko njihova izvedba pomembneje vplivala na okolje. </w:t>
      </w:r>
      <w:r w:rsidR="00142729">
        <w:t>Ministrstvo tako oceno pripravi na podlagi Uredbe o merilih za ocenjevanje verjetnosti pomembnejših vplivov izvedbe plana, programa, načrta ali drugega splošnega akta in njegovih sprememb na okolje v postopku celovite presoje vplivov na okolje. Med pomembnejšimi merili so tudi pomembnost plana za vključevanje okoljskih vidikov zlasti zaradi spodbujanja trajnostnega razvoja, okoljski problemi, ki se nanašajo na plan, kumulativne značilnosti vplivov, pomen in ranljivost območja (posebne naravne značilnosti, intenzivna raba prostora, erozijska območja, vpliv na območja s priznanim varstvenim statusom). Na te vsebine pooblaščenec stranke ni posebej odgovoril v svoji izjasnitvi.</w:t>
      </w:r>
    </w:p>
    <w:p w14:paraId="02DF4C40" w14:textId="77777777" w:rsidR="00142729" w:rsidRDefault="00142729" w:rsidP="002E6057">
      <w:pPr>
        <w:jc w:val="both"/>
      </w:pPr>
    </w:p>
    <w:p w14:paraId="13166EF4" w14:textId="1F72210B" w:rsidR="00142729" w:rsidRDefault="00142729" w:rsidP="002E6057">
      <w:pPr>
        <w:jc w:val="both"/>
        <w:rPr>
          <w:color w:val="000000" w:themeColor="text1"/>
        </w:rPr>
      </w:pPr>
      <w:r w:rsidRPr="009F0C0F">
        <w:rPr>
          <w:color w:val="000000" w:themeColor="text1"/>
        </w:rPr>
        <w:t>Ministrstvo je ugotovilo, da je SD OPN št. 18 Cerklje na Gorenjskem</w:t>
      </w:r>
      <w:r w:rsidR="00831A0D" w:rsidRPr="009F0C0F">
        <w:rPr>
          <w:color w:val="000000" w:themeColor="text1"/>
        </w:rPr>
        <w:t xml:space="preserve"> območje, ki se nahaja na prostoru Kamniško – Savinjskih Alp. Območje je na mednarodni ravni obravnavano s priznanim statusom visokogorskega alpskega sveta, kjer velja Alpska konvencija, katere podpisnica je tudi Republika Slovenija. Dolžnost Republike Slovenije je, da v postopkih prostorskega načrtovanja sprejme vse ukrepe za ohranitev in izboljšanje naravnega in sonaravnega življenjskega okolja prostoživečih živalskih vrst in rastlinskih vrst ter drugih strukturnih prvin naravne in kulturne krajine. Za to območje velja, da se zasledujejo cilji ohranitev zemljišč, primernih za kmetijstvo, pašništvo in gozdarstvo, ukrepi za ohranjanje in razvoj kmetijstva in gozdarstva. Na teh območjih so tla prizadeta zaradi večje površinske erozije</w:t>
      </w:r>
      <w:r w:rsidR="009313BA" w:rsidRPr="009F0C0F">
        <w:rPr>
          <w:color w:val="000000" w:themeColor="text1"/>
        </w:rPr>
        <w:t xml:space="preserve"> in predstavljajo materialno dobrino, ki jo je potrebno ščititi. Gorske gozdove je potrebno ohraniti tam, kjer so. Tudi pri rabi za rekreacijo, je potrebno upoštevati potrebe gozdnih ekosistemov. Da bi se zaščitilo hribovsko kmetijstvo, je potrebno imeti na razpolago potrebne površine za kmetijsko rabo, že obstoječe površine pa je potrebno ščititi. Tudi pri razvoju turizma in prostočasnih dejavnostih je v alpskem prostoru potrebno upoštevati meje ekološke sprejemljivosti vsakega kraja in ga oceniti po njegovih sposobnostih. </w:t>
      </w:r>
    </w:p>
    <w:p w14:paraId="5C361701" w14:textId="77777777" w:rsidR="009F0C0F" w:rsidRDefault="009F0C0F" w:rsidP="002E6057">
      <w:pPr>
        <w:jc w:val="both"/>
        <w:rPr>
          <w:color w:val="000000" w:themeColor="text1"/>
        </w:rPr>
      </w:pPr>
    </w:p>
    <w:p w14:paraId="12F8CFBC" w14:textId="61AD5FAD" w:rsidR="000A6F5E" w:rsidRPr="004872FE" w:rsidRDefault="009F0C0F" w:rsidP="000A6F5E">
      <w:pPr>
        <w:jc w:val="both"/>
        <w:rPr>
          <w:color w:val="000000" w:themeColor="text1"/>
        </w:rPr>
      </w:pPr>
      <w:r>
        <w:rPr>
          <w:color w:val="000000" w:themeColor="text1"/>
        </w:rPr>
        <w:t>Ministrstvo je hkrati ugotovilo tudi, da gre pri obravnavanem planu SD OPN št. 18 Cerklje na Gorenjskem za širitev že obstoječih kapacitet na območju smučarsko rekreacijskega centra Krvavec. Glede na vsebino Protokola »Turizem« k Alpski konvenciji iz leta 1991, katere podpisnica je Republika Slovenija, je Slovenija zavezana k dajanju prednosti obnovi in uporabi obstoječih objektov ter posodabljanju in izboljševanju kakovosti obstoječih nastanitvenih zmogljivosti. Navedeni plan lahko prispeva k doseganju tega cilja, saj gre za prestavitev obstoječe brunarice iz območja, kjer je bila večkrat poplavljena in za širitev že obstoječega hotela, ne pa za novogradnjo.</w:t>
      </w:r>
      <w:r w:rsidR="000A6F5E" w:rsidRPr="009F0C0F">
        <w:rPr>
          <w:color w:val="FF0000"/>
          <w:szCs w:val="22"/>
        </w:rPr>
        <w:t xml:space="preserve"> </w:t>
      </w:r>
    </w:p>
    <w:p w14:paraId="4E0ED8A6" w14:textId="77777777" w:rsidR="000A6F5E" w:rsidRPr="009F0C0F" w:rsidRDefault="000A6F5E" w:rsidP="000A6F5E">
      <w:pPr>
        <w:jc w:val="both"/>
        <w:rPr>
          <w:bCs/>
          <w:color w:val="FF0000"/>
        </w:rPr>
      </w:pPr>
    </w:p>
    <w:p w14:paraId="2A9A3943" w14:textId="7B23B14F" w:rsidR="000A6F5E" w:rsidRPr="004872FE" w:rsidRDefault="000A6F5E" w:rsidP="000A6F5E">
      <w:pPr>
        <w:jc w:val="both"/>
        <w:rPr>
          <w:color w:val="000000" w:themeColor="text1"/>
          <w:szCs w:val="22"/>
        </w:rPr>
      </w:pPr>
      <w:r w:rsidRPr="004872FE">
        <w:rPr>
          <w:color w:val="000000" w:themeColor="text1"/>
        </w:rPr>
        <w:t>Na podlagi ugotovljenih dejstev in okoliščin v postopku je ministrstvo</w:t>
      </w:r>
      <w:r w:rsidR="004872FE" w:rsidRPr="004872FE">
        <w:rPr>
          <w:color w:val="000000" w:themeColor="text1"/>
        </w:rPr>
        <w:t>,</w:t>
      </w:r>
      <w:r w:rsidRPr="004872FE">
        <w:rPr>
          <w:color w:val="000000" w:themeColor="text1"/>
        </w:rPr>
        <w:t xml:space="preserve"> po določilih 77. člena ZVO-2 odločilo, da za </w:t>
      </w:r>
      <w:r w:rsidR="00766018" w:rsidRPr="004872FE">
        <w:rPr>
          <w:color w:val="000000" w:themeColor="text1"/>
        </w:rPr>
        <w:t>ta</w:t>
      </w:r>
      <w:r w:rsidRPr="004872FE">
        <w:rPr>
          <w:color w:val="000000" w:themeColor="text1"/>
        </w:rPr>
        <w:t xml:space="preserve"> prostorski načrt </w:t>
      </w:r>
      <w:r w:rsidR="004872FE" w:rsidRPr="004872FE">
        <w:rPr>
          <w:color w:val="000000" w:themeColor="text1"/>
        </w:rPr>
        <w:t xml:space="preserve">ni </w:t>
      </w:r>
      <w:r w:rsidRPr="004872FE">
        <w:rPr>
          <w:bCs/>
          <w:color w:val="000000" w:themeColor="text1"/>
        </w:rPr>
        <w:t>treba izvesti celovit</w:t>
      </w:r>
      <w:r w:rsidR="004872FE" w:rsidRPr="004872FE">
        <w:rPr>
          <w:bCs/>
          <w:color w:val="000000" w:themeColor="text1"/>
        </w:rPr>
        <w:t>e</w:t>
      </w:r>
      <w:r w:rsidRPr="004872FE">
        <w:rPr>
          <w:bCs/>
          <w:color w:val="000000" w:themeColor="text1"/>
        </w:rPr>
        <w:t xml:space="preserve"> presoj</w:t>
      </w:r>
      <w:r w:rsidR="004872FE" w:rsidRPr="004872FE">
        <w:rPr>
          <w:bCs/>
          <w:color w:val="000000" w:themeColor="text1"/>
        </w:rPr>
        <w:t>e</w:t>
      </w:r>
      <w:r w:rsidRPr="004872FE">
        <w:rPr>
          <w:bCs/>
          <w:color w:val="000000" w:themeColor="text1"/>
        </w:rPr>
        <w:t xml:space="preserve"> vplivov na okolje. </w:t>
      </w:r>
      <w:r w:rsidR="004872FE" w:rsidRPr="004872FE">
        <w:rPr>
          <w:bCs/>
          <w:color w:val="000000" w:themeColor="text1"/>
        </w:rPr>
        <w:t xml:space="preserve">Prav tako </w:t>
      </w:r>
      <w:r w:rsidR="00766018" w:rsidRPr="004872FE">
        <w:rPr>
          <w:color w:val="000000" w:themeColor="text1"/>
        </w:rPr>
        <w:t>ni</w:t>
      </w:r>
      <w:r w:rsidRPr="004872FE">
        <w:rPr>
          <w:color w:val="000000" w:themeColor="text1"/>
        </w:rPr>
        <w:t xml:space="preserve"> treba izvesti presoj</w:t>
      </w:r>
      <w:r w:rsidR="00766018" w:rsidRPr="004872FE">
        <w:rPr>
          <w:color w:val="000000" w:themeColor="text1"/>
        </w:rPr>
        <w:t>e</w:t>
      </w:r>
      <w:r w:rsidRPr="004872FE">
        <w:rPr>
          <w:color w:val="000000" w:themeColor="text1"/>
        </w:rPr>
        <w:t xml:space="preserve"> sprejemljivosti vplivov izvedbe plana na varovana območja narave</w:t>
      </w:r>
      <w:r w:rsidR="004872FE">
        <w:rPr>
          <w:color w:val="000000" w:themeColor="text1"/>
        </w:rPr>
        <w:t xml:space="preserve">. </w:t>
      </w:r>
    </w:p>
    <w:p w14:paraId="2EA7888A" w14:textId="77777777" w:rsidR="000A6F5E" w:rsidRPr="004872FE" w:rsidRDefault="000A6F5E" w:rsidP="000A6F5E">
      <w:pPr>
        <w:jc w:val="both"/>
        <w:rPr>
          <w:color w:val="000000" w:themeColor="text1"/>
          <w:szCs w:val="22"/>
        </w:rPr>
      </w:pPr>
    </w:p>
    <w:p w14:paraId="6C2DE195" w14:textId="77777777" w:rsidR="000A6F5E" w:rsidRPr="000A6F5E" w:rsidRDefault="000A6F5E" w:rsidP="000A6F5E">
      <w:pPr>
        <w:jc w:val="both"/>
      </w:pPr>
      <w:r w:rsidRPr="000A6F5E">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63086185" w14:textId="77777777" w:rsidR="000A6F5E" w:rsidRPr="000A6F5E" w:rsidRDefault="000A6F5E" w:rsidP="000A6F5E">
      <w:pPr>
        <w:jc w:val="both"/>
      </w:pPr>
    </w:p>
    <w:p w14:paraId="53920C46" w14:textId="357834F4" w:rsidR="000A6F5E" w:rsidRPr="000A6F5E" w:rsidRDefault="000A6F5E" w:rsidP="000A6F5E">
      <w:pPr>
        <w:jc w:val="both"/>
      </w:pPr>
      <w:r w:rsidRPr="000A6F5E">
        <w:t>Postopek vodil:</w:t>
      </w:r>
    </w:p>
    <w:p w14:paraId="24EDB4EB" w14:textId="77777777" w:rsidR="000A6F5E" w:rsidRPr="000A6F5E" w:rsidRDefault="000A6F5E" w:rsidP="000A6F5E">
      <w:pPr>
        <w:jc w:val="both"/>
      </w:pPr>
    </w:p>
    <w:p w14:paraId="4E426CE4" w14:textId="214D2784" w:rsidR="000A6F5E" w:rsidRPr="000A6F5E" w:rsidRDefault="00F14CD1" w:rsidP="000A6F5E">
      <w:pPr>
        <w:tabs>
          <w:tab w:val="center" w:pos="6237"/>
        </w:tabs>
        <w:jc w:val="both"/>
      </w:pPr>
      <w:r>
        <w:t xml:space="preserve"> </w:t>
      </w:r>
      <w:r w:rsidR="00140F47">
        <w:t>Jernej Per</w:t>
      </w:r>
      <w:r w:rsidR="000A6F5E" w:rsidRPr="000A6F5E">
        <w:tab/>
      </w:r>
      <w:r w:rsidR="002A5D6D">
        <w:t xml:space="preserve"> </w:t>
      </w:r>
      <w:r w:rsidR="000A6F5E" w:rsidRPr="000A6F5E">
        <w:t xml:space="preserve">mag. </w:t>
      </w:r>
      <w:r w:rsidR="00134DCD">
        <w:t>Tanja Bolte</w:t>
      </w:r>
      <w:r w:rsidR="000A6F5E" w:rsidRPr="000A6F5E">
        <w:t xml:space="preserve"> </w:t>
      </w:r>
    </w:p>
    <w:p w14:paraId="655858A4" w14:textId="6DF32BCC" w:rsidR="000A6F5E" w:rsidRPr="000A6F5E" w:rsidRDefault="00140F47" w:rsidP="000A6F5E">
      <w:pPr>
        <w:tabs>
          <w:tab w:val="center" w:pos="6237"/>
        </w:tabs>
        <w:jc w:val="both"/>
      </w:pPr>
      <w:r>
        <w:t>p</w:t>
      </w:r>
      <w:r w:rsidR="000A6F5E" w:rsidRPr="000A6F5E">
        <w:t>odsekretar</w:t>
      </w:r>
      <w:r w:rsidR="000A6F5E" w:rsidRPr="000A6F5E">
        <w:tab/>
      </w:r>
      <w:r w:rsidR="00134DCD">
        <w:t xml:space="preserve"> generaln</w:t>
      </w:r>
      <w:r w:rsidR="002A5D6D">
        <w:t>a</w:t>
      </w:r>
      <w:r w:rsidR="00134DCD">
        <w:t xml:space="preserve"> direktoric</w:t>
      </w:r>
      <w:r w:rsidR="002A5D6D">
        <w:t>a</w:t>
      </w:r>
      <w:r w:rsidR="00134DCD">
        <w:t xml:space="preserve"> Direktorata za okolje</w:t>
      </w:r>
    </w:p>
    <w:p w14:paraId="1B531D62" w14:textId="77777777" w:rsidR="000A6F5E" w:rsidRPr="000A6F5E" w:rsidRDefault="000A6F5E" w:rsidP="000A6F5E">
      <w:pPr>
        <w:tabs>
          <w:tab w:val="center" w:pos="6237"/>
        </w:tabs>
        <w:jc w:val="both"/>
      </w:pPr>
    </w:p>
    <w:p w14:paraId="5E9B095F" w14:textId="55A9448E" w:rsidR="000A6F5E" w:rsidRPr="000A6F5E" w:rsidRDefault="000A6F5E" w:rsidP="000A6F5E">
      <w:pPr>
        <w:jc w:val="both"/>
        <w:rPr>
          <w:b/>
        </w:rPr>
      </w:pPr>
      <w:r w:rsidRPr="000A6F5E">
        <w:t>Vročiti (elektronsko</w:t>
      </w:r>
      <w:r w:rsidR="002A5D6D">
        <w:t xml:space="preserve"> ZUP</w:t>
      </w:r>
      <w:r w:rsidRPr="000A6F5E">
        <w:t>):</w:t>
      </w:r>
    </w:p>
    <w:p w14:paraId="7CB88161" w14:textId="174E777C" w:rsidR="007A23E6" w:rsidRPr="002A5D6D" w:rsidRDefault="000A6F5E" w:rsidP="006612A3">
      <w:pPr>
        <w:spacing w:line="260" w:lineRule="exact"/>
        <w:rPr>
          <w:color w:val="000000" w:themeColor="text1"/>
        </w:rPr>
      </w:pPr>
      <w:r w:rsidRPr="002A5D6D">
        <w:rPr>
          <w:rFonts w:cs="Arial"/>
          <w:color w:val="000000" w:themeColor="text1"/>
          <w:szCs w:val="20"/>
        </w:rPr>
        <w:t>-</w:t>
      </w:r>
      <w:r w:rsidRPr="002A5D6D">
        <w:rPr>
          <w:color w:val="000000" w:themeColor="text1"/>
        </w:rPr>
        <w:t xml:space="preserve"> </w:t>
      </w:r>
      <w:r w:rsidR="006612A3" w:rsidRPr="002A5D6D">
        <w:rPr>
          <w:color w:val="000000" w:themeColor="text1"/>
        </w:rPr>
        <w:t xml:space="preserve">Občina </w:t>
      </w:r>
      <w:r w:rsidR="002A5D6D" w:rsidRPr="002A5D6D">
        <w:rPr>
          <w:color w:val="000000" w:themeColor="text1"/>
        </w:rPr>
        <w:t xml:space="preserve">Cerklje na Gorenjskem, Trg Davorina Jenka 13, 4207 Cerklje na Gorenjskem, </w:t>
      </w:r>
      <w:hyperlink r:id="rId20" w:history="1">
        <w:r w:rsidR="002A5D6D" w:rsidRPr="002A5D6D">
          <w:rPr>
            <w:rStyle w:val="Hiperpovezava"/>
            <w:color w:val="000000" w:themeColor="text1"/>
          </w:rPr>
          <w:t>obcinacerklje</w:t>
        </w:r>
        <w:r w:rsidR="002A5D6D" w:rsidRPr="002A5D6D">
          <w:rPr>
            <w:rStyle w:val="Hiperpovezava"/>
            <w:rFonts w:cs="Arial"/>
            <w:color w:val="000000" w:themeColor="text1"/>
          </w:rPr>
          <w:t>@</w:t>
        </w:r>
        <w:r w:rsidR="002A5D6D" w:rsidRPr="002A5D6D">
          <w:rPr>
            <w:rStyle w:val="Hiperpovezava"/>
            <w:color w:val="000000" w:themeColor="text1"/>
          </w:rPr>
          <w:t>siol.net</w:t>
        </w:r>
      </w:hyperlink>
      <w:r w:rsidR="002A5D6D" w:rsidRPr="002A5D6D">
        <w:rPr>
          <w:color w:val="000000" w:themeColor="text1"/>
        </w:rPr>
        <w:t xml:space="preserve"> </w:t>
      </w:r>
    </w:p>
    <w:p w14:paraId="7B80D3E8" w14:textId="3100CFB2" w:rsidR="002A5D6D" w:rsidRPr="002A5D6D" w:rsidRDefault="002A5D6D" w:rsidP="006612A3">
      <w:pPr>
        <w:spacing w:line="260" w:lineRule="exact"/>
        <w:rPr>
          <w:color w:val="000000" w:themeColor="text1"/>
        </w:rPr>
      </w:pPr>
      <w:r w:rsidRPr="002A5D6D">
        <w:rPr>
          <w:color w:val="000000" w:themeColor="text1"/>
        </w:rPr>
        <w:t xml:space="preserve">- URBI d. o. o., Oblikovanje prostora, Trnovski pristan 2, 1000 Ljubljana, </w:t>
      </w:r>
      <w:hyperlink r:id="rId21" w:history="1">
        <w:r w:rsidRPr="002A5D6D">
          <w:rPr>
            <w:rStyle w:val="Hiperpovezava"/>
            <w:color w:val="000000" w:themeColor="text1"/>
          </w:rPr>
          <w:t>info</w:t>
        </w:r>
        <w:r w:rsidRPr="002A5D6D">
          <w:rPr>
            <w:rStyle w:val="Hiperpovezava"/>
            <w:rFonts w:cs="Arial"/>
            <w:color w:val="000000" w:themeColor="text1"/>
          </w:rPr>
          <w:t>@</w:t>
        </w:r>
        <w:r w:rsidRPr="002A5D6D">
          <w:rPr>
            <w:rStyle w:val="Hiperpovezava"/>
            <w:color w:val="000000" w:themeColor="text1"/>
          </w:rPr>
          <w:t>urbi.si</w:t>
        </w:r>
      </w:hyperlink>
      <w:r w:rsidRPr="002A5D6D">
        <w:rPr>
          <w:color w:val="000000" w:themeColor="text1"/>
        </w:rPr>
        <w:t xml:space="preserve"> </w:t>
      </w:r>
    </w:p>
    <w:p w14:paraId="370F008C" w14:textId="342B17DC" w:rsidR="007A23E6" w:rsidRPr="007A23E6" w:rsidRDefault="007A23E6" w:rsidP="007A23E6">
      <w:pPr>
        <w:spacing w:line="260" w:lineRule="exact"/>
      </w:pPr>
    </w:p>
    <w:sectPr w:rsidR="007A23E6" w:rsidRPr="007A23E6" w:rsidSect="008F7564">
      <w:headerReference w:type="default"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E7C8" w14:textId="77777777" w:rsidR="004B607E" w:rsidRDefault="004B607E">
      <w:r>
        <w:separator/>
      </w:r>
    </w:p>
  </w:endnote>
  <w:endnote w:type="continuationSeparator" w:id="0">
    <w:p w14:paraId="5C2F44AD" w14:textId="77777777" w:rsidR="004B607E" w:rsidRDefault="004B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369738"/>
      <w:docPartObj>
        <w:docPartGallery w:val="Page Numbers (Bottom of Page)"/>
        <w:docPartUnique/>
      </w:docPartObj>
    </w:sdtPr>
    <w:sdtContent>
      <w:p w14:paraId="1E1C384E" w14:textId="26A40AC7" w:rsidR="00140F47" w:rsidRDefault="00140F47">
        <w:pPr>
          <w:pStyle w:val="Noga"/>
          <w:jc w:val="center"/>
        </w:pPr>
        <w:r>
          <w:fldChar w:fldCharType="begin"/>
        </w:r>
        <w:r>
          <w:instrText>PAGE   \* MERGEFORMAT</w:instrText>
        </w:r>
        <w:r>
          <w:fldChar w:fldCharType="separate"/>
        </w:r>
        <w:r>
          <w:t>2</w:t>
        </w:r>
        <w:r>
          <w:fldChar w:fldCharType="end"/>
        </w:r>
      </w:p>
    </w:sdtContent>
  </w:sdt>
  <w:p w14:paraId="3128642E" w14:textId="77777777" w:rsidR="006770B0" w:rsidRDefault="006770B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27893"/>
      <w:docPartObj>
        <w:docPartGallery w:val="Page Numbers (Bottom of Page)"/>
        <w:docPartUnique/>
      </w:docPartObj>
    </w:sdtPr>
    <w:sdtContent>
      <w:p w14:paraId="3CB70EBC" w14:textId="1FFC96B4" w:rsidR="000D3992" w:rsidRDefault="000D3992">
        <w:pPr>
          <w:pStyle w:val="Noga"/>
          <w:jc w:val="center"/>
        </w:pPr>
        <w:r>
          <w:fldChar w:fldCharType="begin"/>
        </w:r>
        <w:r>
          <w:instrText>PAGE   \* MERGEFORMAT</w:instrText>
        </w:r>
        <w:r>
          <w:fldChar w:fldCharType="separate"/>
        </w:r>
        <w:r>
          <w:t>2</w:t>
        </w:r>
        <w:r>
          <w:fldChar w:fldCharType="end"/>
        </w:r>
      </w:p>
    </w:sdtContent>
  </w:sdt>
  <w:p w14:paraId="27888DDD" w14:textId="77777777" w:rsidR="000D3992" w:rsidRDefault="000D39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866C" w14:textId="77777777" w:rsidR="004B607E" w:rsidRDefault="004B607E">
      <w:r>
        <w:separator/>
      </w:r>
    </w:p>
  </w:footnote>
  <w:footnote w:type="continuationSeparator" w:id="0">
    <w:p w14:paraId="77D44DEC" w14:textId="77777777" w:rsidR="004B607E" w:rsidRDefault="004B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8EF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164C"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495BC658" wp14:editId="60D50B8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00274F15" w14:textId="77777777" w:rsidR="009545A7" w:rsidRDefault="009545A7" w:rsidP="00CE5238">
    <w:pPr>
      <w:pStyle w:val="Glava"/>
      <w:tabs>
        <w:tab w:val="clear" w:pos="4320"/>
        <w:tab w:val="clear" w:pos="8640"/>
        <w:tab w:val="left" w:pos="5112"/>
      </w:tabs>
      <w:spacing w:before="120" w:line="240" w:lineRule="exact"/>
      <w:rPr>
        <w:rFonts w:cs="Arial"/>
        <w:sz w:val="16"/>
      </w:rPr>
    </w:pPr>
  </w:p>
  <w:p w14:paraId="7F119A90"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6163808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4146606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43EE4E4D"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341"/>
    <w:multiLevelType w:val="hybridMultilevel"/>
    <w:tmpl w:val="F28805BC"/>
    <w:lvl w:ilvl="0" w:tplc="979471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62A4D"/>
    <w:multiLevelType w:val="hybridMultilevel"/>
    <w:tmpl w:val="40625E26"/>
    <w:lvl w:ilvl="0" w:tplc="8E5872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DB515D"/>
    <w:multiLevelType w:val="hybridMultilevel"/>
    <w:tmpl w:val="D878F6D4"/>
    <w:lvl w:ilvl="0" w:tplc="979A76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start w:val="1"/>
      <w:numFmt w:val="lowerLetter"/>
      <w:lvlText w:val="%2."/>
      <w:lvlJc w:val="left"/>
      <w:pPr>
        <w:tabs>
          <w:tab w:val="num" w:pos="1506"/>
        </w:tabs>
        <w:ind w:left="1506" w:hanging="360"/>
      </w:pPr>
    </w:lvl>
    <w:lvl w:ilvl="2" w:tplc="0424001B">
      <w:start w:val="1"/>
      <w:numFmt w:val="lowerRoman"/>
      <w:lvlText w:val="%3."/>
      <w:lvlJc w:val="right"/>
      <w:pPr>
        <w:tabs>
          <w:tab w:val="num" w:pos="2226"/>
        </w:tabs>
        <w:ind w:left="2226" w:hanging="180"/>
      </w:pPr>
    </w:lvl>
    <w:lvl w:ilvl="3" w:tplc="0424000F">
      <w:start w:val="1"/>
      <w:numFmt w:val="decimal"/>
      <w:lvlText w:val="%4."/>
      <w:lvlJc w:val="left"/>
      <w:pPr>
        <w:tabs>
          <w:tab w:val="num" w:pos="2946"/>
        </w:tabs>
        <w:ind w:left="2946" w:hanging="360"/>
      </w:pPr>
    </w:lvl>
    <w:lvl w:ilvl="4" w:tplc="04240019">
      <w:start w:val="1"/>
      <w:numFmt w:val="lowerLetter"/>
      <w:lvlText w:val="%5."/>
      <w:lvlJc w:val="left"/>
      <w:pPr>
        <w:tabs>
          <w:tab w:val="num" w:pos="3666"/>
        </w:tabs>
        <w:ind w:left="3666" w:hanging="360"/>
      </w:pPr>
    </w:lvl>
    <w:lvl w:ilvl="5" w:tplc="0424001B">
      <w:start w:val="1"/>
      <w:numFmt w:val="lowerRoman"/>
      <w:lvlText w:val="%6."/>
      <w:lvlJc w:val="right"/>
      <w:pPr>
        <w:tabs>
          <w:tab w:val="num" w:pos="4386"/>
        </w:tabs>
        <w:ind w:left="4386" w:hanging="180"/>
      </w:pPr>
    </w:lvl>
    <w:lvl w:ilvl="6" w:tplc="0424000F">
      <w:start w:val="1"/>
      <w:numFmt w:val="decimal"/>
      <w:lvlText w:val="%7."/>
      <w:lvlJc w:val="left"/>
      <w:pPr>
        <w:tabs>
          <w:tab w:val="num" w:pos="5106"/>
        </w:tabs>
        <w:ind w:left="5106" w:hanging="360"/>
      </w:pPr>
    </w:lvl>
    <w:lvl w:ilvl="7" w:tplc="04240019">
      <w:start w:val="1"/>
      <w:numFmt w:val="lowerLetter"/>
      <w:lvlText w:val="%8."/>
      <w:lvlJc w:val="left"/>
      <w:pPr>
        <w:tabs>
          <w:tab w:val="num" w:pos="5826"/>
        </w:tabs>
        <w:ind w:left="5826" w:hanging="360"/>
      </w:pPr>
    </w:lvl>
    <w:lvl w:ilvl="8" w:tplc="0424001B">
      <w:start w:val="1"/>
      <w:numFmt w:val="lowerRoman"/>
      <w:lvlText w:val="%9."/>
      <w:lvlJc w:val="right"/>
      <w:pPr>
        <w:tabs>
          <w:tab w:val="num" w:pos="6546"/>
        </w:tabs>
        <w:ind w:left="6546" w:hanging="180"/>
      </w:pPr>
    </w:lvl>
  </w:abstractNum>
  <w:num w:numId="1" w16cid:durableId="547646161">
    <w:abstractNumId w:val="8"/>
  </w:num>
  <w:num w:numId="2" w16cid:durableId="1118329795">
    <w:abstractNumId w:val="6"/>
  </w:num>
  <w:num w:numId="3" w16cid:durableId="1541896788">
    <w:abstractNumId w:val="7"/>
  </w:num>
  <w:num w:numId="4" w16cid:durableId="1310670844">
    <w:abstractNumId w:val="3"/>
  </w:num>
  <w:num w:numId="5" w16cid:durableId="1468008631">
    <w:abstractNumId w:val="4"/>
  </w:num>
  <w:num w:numId="6" w16cid:durableId="1593318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859489">
    <w:abstractNumId w:val="5"/>
  </w:num>
  <w:num w:numId="8" w16cid:durableId="25258436">
    <w:abstractNumId w:val="0"/>
  </w:num>
  <w:num w:numId="9" w16cid:durableId="190075670">
    <w:abstractNumId w:val="1"/>
  </w:num>
  <w:num w:numId="10" w16cid:durableId="723722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5E"/>
    <w:rsid w:val="00017F4B"/>
    <w:rsid w:val="00023A88"/>
    <w:rsid w:val="000243A2"/>
    <w:rsid w:val="00035711"/>
    <w:rsid w:val="00051AE4"/>
    <w:rsid w:val="00073DFA"/>
    <w:rsid w:val="00085FE5"/>
    <w:rsid w:val="00096DA3"/>
    <w:rsid w:val="000A6F5E"/>
    <w:rsid w:val="000A7238"/>
    <w:rsid w:val="000B2E7E"/>
    <w:rsid w:val="000D3992"/>
    <w:rsid w:val="000D40FD"/>
    <w:rsid w:val="000D54BD"/>
    <w:rsid w:val="000D57DD"/>
    <w:rsid w:val="00110726"/>
    <w:rsid w:val="00116CDE"/>
    <w:rsid w:val="00134DCD"/>
    <w:rsid w:val="001357B2"/>
    <w:rsid w:val="00140F47"/>
    <w:rsid w:val="00142729"/>
    <w:rsid w:val="00155643"/>
    <w:rsid w:val="0017401C"/>
    <w:rsid w:val="0017478F"/>
    <w:rsid w:val="001761BF"/>
    <w:rsid w:val="001A1A26"/>
    <w:rsid w:val="001E0F2A"/>
    <w:rsid w:val="001E4310"/>
    <w:rsid w:val="001E4CB1"/>
    <w:rsid w:val="001F6E34"/>
    <w:rsid w:val="00202A77"/>
    <w:rsid w:val="00204AB4"/>
    <w:rsid w:val="00243E79"/>
    <w:rsid w:val="00261E1E"/>
    <w:rsid w:val="00270481"/>
    <w:rsid w:val="00271CE5"/>
    <w:rsid w:val="00282020"/>
    <w:rsid w:val="00290F2E"/>
    <w:rsid w:val="002A2B69"/>
    <w:rsid w:val="002A5D6D"/>
    <w:rsid w:val="002B1DC6"/>
    <w:rsid w:val="002B668E"/>
    <w:rsid w:val="002D2274"/>
    <w:rsid w:val="002E6057"/>
    <w:rsid w:val="002E7F51"/>
    <w:rsid w:val="00313B33"/>
    <w:rsid w:val="00336EF9"/>
    <w:rsid w:val="003636BF"/>
    <w:rsid w:val="00371442"/>
    <w:rsid w:val="003845B4"/>
    <w:rsid w:val="00387289"/>
    <w:rsid w:val="00387B1A"/>
    <w:rsid w:val="003B509F"/>
    <w:rsid w:val="003B5E9B"/>
    <w:rsid w:val="003C5EE5"/>
    <w:rsid w:val="003E1C74"/>
    <w:rsid w:val="003E57D9"/>
    <w:rsid w:val="00431110"/>
    <w:rsid w:val="004360CD"/>
    <w:rsid w:val="00445253"/>
    <w:rsid w:val="00455BEE"/>
    <w:rsid w:val="004657EE"/>
    <w:rsid w:val="004731C2"/>
    <w:rsid w:val="004872FE"/>
    <w:rsid w:val="004915D3"/>
    <w:rsid w:val="004B57AD"/>
    <w:rsid w:val="004B607E"/>
    <w:rsid w:val="004B7D49"/>
    <w:rsid w:val="004D0E28"/>
    <w:rsid w:val="004E142E"/>
    <w:rsid w:val="004E5DBB"/>
    <w:rsid w:val="004F230B"/>
    <w:rsid w:val="005026F5"/>
    <w:rsid w:val="005078D5"/>
    <w:rsid w:val="00512167"/>
    <w:rsid w:val="00521CE1"/>
    <w:rsid w:val="00521E66"/>
    <w:rsid w:val="00526246"/>
    <w:rsid w:val="0056333E"/>
    <w:rsid w:val="00564C5E"/>
    <w:rsid w:val="00567106"/>
    <w:rsid w:val="00567EAA"/>
    <w:rsid w:val="0058745C"/>
    <w:rsid w:val="00595854"/>
    <w:rsid w:val="005A5E2B"/>
    <w:rsid w:val="005B1072"/>
    <w:rsid w:val="005C1CD4"/>
    <w:rsid w:val="005E1D3C"/>
    <w:rsid w:val="00614B5A"/>
    <w:rsid w:val="00616DAD"/>
    <w:rsid w:val="0061772C"/>
    <w:rsid w:val="00625AE6"/>
    <w:rsid w:val="00626357"/>
    <w:rsid w:val="00632253"/>
    <w:rsid w:val="006336BF"/>
    <w:rsid w:val="00642714"/>
    <w:rsid w:val="00644443"/>
    <w:rsid w:val="006455CE"/>
    <w:rsid w:val="00655841"/>
    <w:rsid w:val="006612A3"/>
    <w:rsid w:val="0067088F"/>
    <w:rsid w:val="006770B0"/>
    <w:rsid w:val="006D6B90"/>
    <w:rsid w:val="006F4DFE"/>
    <w:rsid w:val="007133D5"/>
    <w:rsid w:val="0071470F"/>
    <w:rsid w:val="00733017"/>
    <w:rsid w:val="00737A35"/>
    <w:rsid w:val="00766018"/>
    <w:rsid w:val="00783310"/>
    <w:rsid w:val="00792537"/>
    <w:rsid w:val="007936CD"/>
    <w:rsid w:val="007972FE"/>
    <w:rsid w:val="007A23E6"/>
    <w:rsid w:val="007A2999"/>
    <w:rsid w:val="007A4A6D"/>
    <w:rsid w:val="007C0E5D"/>
    <w:rsid w:val="007C4819"/>
    <w:rsid w:val="007D1BCF"/>
    <w:rsid w:val="007D75CF"/>
    <w:rsid w:val="007E0440"/>
    <w:rsid w:val="007E3C39"/>
    <w:rsid w:val="007E6DC5"/>
    <w:rsid w:val="007F4352"/>
    <w:rsid w:val="00802BB5"/>
    <w:rsid w:val="00817D4E"/>
    <w:rsid w:val="00831A0D"/>
    <w:rsid w:val="00852728"/>
    <w:rsid w:val="00853762"/>
    <w:rsid w:val="0088043C"/>
    <w:rsid w:val="00883F37"/>
    <w:rsid w:val="00884889"/>
    <w:rsid w:val="00885911"/>
    <w:rsid w:val="008906C9"/>
    <w:rsid w:val="008C5738"/>
    <w:rsid w:val="008D04F0"/>
    <w:rsid w:val="008D34FC"/>
    <w:rsid w:val="008E169D"/>
    <w:rsid w:val="008E6D47"/>
    <w:rsid w:val="008F3500"/>
    <w:rsid w:val="008F7564"/>
    <w:rsid w:val="00921F3F"/>
    <w:rsid w:val="00924E3C"/>
    <w:rsid w:val="009313BA"/>
    <w:rsid w:val="009545A7"/>
    <w:rsid w:val="009612BB"/>
    <w:rsid w:val="009935BA"/>
    <w:rsid w:val="00997BA5"/>
    <w:rsid w:val="009B5014"/>
    <w:rsid w:val="009C3333"/>
    <w:rsid w:val="009C411B"/>
    <w:rsid w:val="009C740A"/>
    <w:rsid w:val="009F0C0F"/>
    <w:rsid w:val="009F1725"/>
    <w:rsid w:val="009F57C4"/>
    <w:rsid w:val="009F65EB"/>
    <w:rsid w:val="00A04CCF"/>
    <w:rsid w:val="00A06A00"/>
    <w:rsid w:val="00A125C5"/>
    <w:rsid w:val="00A22CFA"/>
    <w:rsid w:val="00A2451C"/>
    <w:rsid w:val="00A273D7"/>
    <w:rsid w:val="00A303B2"/>
    <w:rsid w:val="00A44C64"/>
    <w:rsid w:val="00A65A42"/>
    <w:rsid w:val="00A65EE7"/>
    <w:rsid w:val="00A70133"/>
    <w:rsid w:val="00A770A6"/>
    <w:rsid w:val="00A813B1"/>
    <w:rsid w:val="00A872B7"/>
    <w:rsid w:val="00A87C50"/>
    <w:rsid w:val="00AB02D6"/>
    <w:rsid w:val="00AB36C4"/>
    <w:rsid w:val="00AB6F5A"/>
    <w:rsid w:val="00AC32B2"/>
    <w:rsid w:val="00AE0416"/>
    <w:rsid w:val="00AF00EA"/>
    <w:rsid w:val="00B04D67"/>
    <w:rsid w:val="00B1443B"/>
    <w:rsid w:val="00B17141"/>
    <w:rsid w:val="00B20E88"/>
    <w:rsid w:val="00B31575"/>
    <w:rsid w:val="00B544E0"/>
    <w:rsid w:val="00B57B90"/>
    <w:rsid w:val="00B7732A"/>
    <w:rsid w:val="00B8547D"/>
    <w:rsid w:val="00B97468"/>
    <w:rsid w:val="00B97A85"/>
    <w:rsid w:val="00C17F09"/>
    <w:rsid w:val="00C250D5"/>
    <w:rsid w:val="00C33F11"/>
    <w:rsid w:val="00C35666"/>
    <w:rsid w:val="00C46D9B"/>
    <w:rsid w:val="00C70008"/>
    <w:rsid w:val="00C92898"/>
    <w:rsid w:val="00C96A71"/>
    <w:rsid w:val="00CA34CD"/>
    <w:rsid w:val="00CA4340"/>
    <w:rsid w:val="00CC62DF"/>
    <w:rsid w:val="00CE5238"/>
    <w:rsid w:val="00CE7514"/>
    <w:rsid w:val="00D05389"/>
    <w:rsid w:val="00D200A7"/>
    <w:rsid w:val="00D248DE"/>
    <w:rsid w:val="00D3203D"/>
    <w:rsid w:val="00D8542D"/>
    <w:rsid w:val="00DC5DEB"/>
    <w:rsid w:val="00DC6A71"/>
    <w:rsid w:val="00DD5BF1"/>
    <w:rsid w:val="00DD64B1"/>
    <w:rsid w:val="00DE24D6"/>
    <w:rsid w:val="00DE6547"/>
    <w:rsid w:val="00DF1FC1"/>
    <w:rsid w:val="00DF4DE2"/>
    <w:rsid w:val="00E0357D"/>
    <w:rsid w:val="00E210F8"/>
    <w:rsid w:val="00E955AF"/>
    <w:rsid w:val="00ED1C3E"/>
    <w:rsid w:val="00EE7C08"/>
    <w:rsid w:val="00EF7777"/>
    <w:rsid w:val="00F12C47"/>
    <w:rsid w:val="00F14CD1"/>
    <w:rsid w:val="00F15E78"/>
    <w:rsid w:val="00F240BB"/>
    <w:rsid w:val="00F27367"/>
    <w:rsid w:val="00F27EA1"/>
    <w:rsid w:val="00F57FED"/>
    <w:rsid w:val="00F60A2F"/>
    <w:rsid w:val="00F815CF"/>
    <w:rsid w:val="00F91AD2"/>
    <w:rsid w:val="00F95006"/>
    <w:rsid w:val="00FB4F34"/>
    <w:rsid w:val="00FC0F7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742202F"/>
  <w15:chartTrackingRefBased/>
  <w15:docId w15:val="{DE047EA6-75A7-4473-B6DB-2D531E8F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140F47"/>
    <w:rPr>
      <w:color w:val="605E5C"/>
      <w:shd w:val="clear" w:color="auto" w:fill="E1DFDD"/>
    </w:rPr>
  </w:style>
  <w:style w:type="character" w:customStyle="1" w:styleId="NogaZnak">
    <w:name w:val="Noga Znak"/>
    <w:basedOn w:val="Privzetapisavaodstavka"/>
    <w:link w:val="Noga"/>
    <w:uiPriority w:val="99"/>
    <w:rsid w:val="00140F47"/>
    <w:rPr>
      <w:rFonts w:ascii="Arial" w:hAnsi="Arial"/>
      <w:szCs w:val="24"/>
      <w:lang w:val="en-US" w:eastAsia="en-US"/>
    </w:rPr>
  </w:style>
  <w:style w:type="paragraph" w:styleId="Odstavekseznama">
    <w:name w:val="List Paragraph"/>
    <w:basedOn w:val="Navaden"/>
    <w:uiPriority w:val="34"/>
    <w:qFormat/>
    <w:rsid w:val="007A23E6"/>
    <w:pPr>
      <w:ind w:left="720"/>
      <w:contextualSpacing/>
    </w:pPr>
  </w:style>
  <w:style w:type="character" w:styleId="SledenaHiperpovezava">
    <w:name w:val="FollowedHyperlink"/>
    <w:basedOn w:val="Privzetapisavaodstavka"/>
    <w:rsid w:val="00EF77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68265">
      <w:bodyDiv w:val="1"/>
      <w:marLeft w:val="0"/>
      <w:marRight w:val="0"/>
      <w:marTop w:val="0"/>
      <w:marBottom w:val="0"/>
      <w:divBdr>
        <w:top w:val="none" w:sz="0" w:space="0" w:color="auto"/>
        <w:left w:val="none" w:sz="0" w:space="0" w:color="auto"/>
        <w:bottom w:val="none" w:sz="0" w:space="0" w:color="auto"/>
        <w:right w:val="none" w:sz="0" w:space="0" w:color="auto"/>
      </w:divBdr>
    </w:div>
    <w:div w:id="19833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24-01-0693" TargetMode="External"/><Relationship Id="rId18" Type="http://schemas.openxmlformats.org/officeDocument/2006/relationships/hyperlink" Target="https://www.uradni-list.si/glasilo-uradni-list-rs/vsebina/2009-01-024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fo@urbi.si" TargetMode="External"/><Relationship Id="rId7" Type="http://schemas.openxmlformats.org/officeDocument/2006/relationships/webSettings" Target="webSettings.xml"/><Relationship Id="rId12" Type="http://schemas.openxmlformats.org/officeDocument/2006/relationships/hyperlink" Target="https://www.uradni-list.si/glasilo-uradni-list-rs/vsebina/2023-01-2478" TargetMode="External"/><Relationship Id="rId17" Type="http://schemas.openxmlformats.org/officeDocument/2006/relationships/hyperlink" Target="https://dokumenti-pis.mop.gov.si/interno/obcinski_akti/0_sklep/cerklje_na_gorenjskem/SD_OPN18/"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radni-list.si/glasilo-uradni-list-rs/vsebina/2022-01-0380" TargetMode="External"/><Relationship Id="rId20" Type="http://schemas.openxmlformats.org/officeDocument/2006/relationships/hyperlink" Target="mailto:obcinacerklje@siol.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3-01-0348"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uradni-list.si/glasilo-uradni-list-rs/vsebina/2021-01-3971" TargetMode="External"/><Relationship Id="rId23" Type="http://schemas.openxmlformats.org/officeDocument/2006/relationships/footer" Target="footer1.xml"/><Relationship Id="rId10" Type="http://schemas.openxmlformats.org/officeDocument/2006/relationships/hyperlink" Target="https://www.uradni-list.si/glasilo-uradni-list-rs/vsebina/2022-01-0873" TargetMode="External"/><Relationship Id="rId19" Type="http://schemas.openxmlformats.org/officeDocument/2006/relationships/hyperlink" Target="https://www.uradni-list.si/glasilo-uradni-list-rs/vsebina/2022-01-087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17-01-2915"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MOPE_predloga.dotx</Template>
  <TotalTime>4</TotalTime>
  <Pages>6</Pages>
  <Words>3612</Words>
  <Characters>20595</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Jernej Per</cp:lastModifiedBy>
  <cp:revision>2</cp:revision>
  <cp:lastPrinted>2010-07-16T07:41:00Z</cp:lastPrinted>
  <dcterms:created xsi:type="dcterms:W3CDTF">2024-09-23T07:23:00Z</dcterms:created>
  <dcterms:modified xsi:type="dcterms:W3CDTF">2024-09-23T07:23:00Z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