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F7B8" w14:textId="19A6B8D6" w:rsidR="00141085" w:rsidRPr="00141085" w:rsidRDefault="00141085" w:rsidP="00141085">
      <w:pPr>
        <w:pStyle w:val="Navadensplet"/>
        <w:jc w:val="both"/>
        <w:rPr>
          <w:rStyle w:val="Krepko"/>
          <w:rFonts w:ascii="Republika" w:hAnsi="Republika"/>
          <w:sz w:val="32"/>
          <w:szCs w:val="32"/>
        </w:rPr>
      </w:pPr>
      <w:r w:rsidRPr="00141085">
        <w:rPr>
          <w:rStyle w:val="Krepko"/>
          <w:rFonts w:ascii="Republika" w:hAnsi="Republika"/>
          <w:sz w:val="32"/>
          <w:szCs w:val="32"/>
        </w:rPr>
        <w:t>Digitalizacija notarskih storitev</w:t>
      </w:r>
    </w:p>
    <w:p w14:paraId="0D7DDDA2" w14:textId="76229869" w:rsidR="00141085" w:rsidRPr="00141085" w:rsidRDefault="00141085" w:rsidP="00141085">
      <w:pPr>
        <w:pStyle w:val="Navadensplet"/>
        <w:jc w:val="both"/>
        <w:rPr>
          <w:rFonts w:ascii="Republika" w:hAnsi="Republika"/>
          <w:sz w:val="22"/>
          <w:szCs w:val="22"/>
        </w:rPr>
      </w:pPr>
      <w:r w:rsidRPr="00141085">
        <w:rPr>
          <w:rStyle w:val="Krepko"/>
          <w:rFonts w:ascii="Republika" w:hAnsi="Republika"/>
          <w:sz w:val="22"/>
          <w:szCs w:val="22"/>
        </w:rPr>
        <w:t xml:space="preserve">Sklad: </w:t>
      </w:r>
      <w:r w:rsidRPr="00141085">
        <w:rPr>
          <w:rFonts w:ascii="Republika" w:hAnsi="Republika"/>
          <w:sz w:val="22"/>
          <w:szCs w:val="22"/>
        </w:rPr>
        <w:t>ESRR</w:t>
      </w:r>
    </w:p>
    <w:p w14:paraId="30AC4713" w14:textId="77777777" w:rsidR="00141085" w:rsidRPr="00141085" w:rsidRDefault="00141085" w:rsidP="00141085">
      <w:pPr>
        <w:pStyle w:val="Navadensplet"/>
        <w:jc w:val="both"/>
        <w:rPr>
          <w:rFonts w:ascii="Republika" w:hAnsi="Republika"/>
          <w:sz w:val="22"/>
          <w:szCs w:val="22"/>
        </w:rPr>
      </w:pPr>
      <w:r w:rsidRPr="00141085">
        <w:rPr>
          <w:rStyle w:val="Krepko"/>
          <w:rFonts w:ascii="Republika" w:hAnsi="Republika"/>
          <w:sz w:val="22"/>
          <w:szCs w:val="22"/>
        </w:rPr>
        <w:t>Cilj politike:</w:t>
      </w:r>
      <w:r w:rsidRPr="00141085">
        <w:rPr>
          <w:rFonts w:ascii="Republika" w:hAnsi="Republika"/>
          <w:sz w:val="22"/>
          <w:szCs w:val="22"/>
        </w:rPr>
        <w:t xml:space="preserve"> CP1: Konkurenčnejša in pametnejša Evropa s spodbujanjem inovativne in pametne gospodarske preobrazbe ter regionalne povezljivosti na področju IKT</w:t>
      </w:r>
    </w:p>
    <w:p w14:paraId="5C2F78B8" w14:textId="77777777" w:rsidR="00141085" w:rsidRPr="00141085" w:rsidRDefault="00141085" w:rsidP="00141085">
      <w:pPr>
        <w:pStyle w:val="Navadensplet"/>
        <w:jc w:val="both"/>
        <w:rPr>
          <w:rFonts w:ascii="Republika" w:hAnsi="Republika"/>
          <w:sz w:val="22"/>
          <w:szCs w:val="22"/>
        </w:rPr>
      </w:pPr>
      <w:r w:rsidRPr="00141085">
        <w:rPr>
          <w:rStyle w:val="Krepko"/>
          <w:rFonts w:ascii="Republika" w:hAnsi="Republika"/>
          <w:sz w:val="22"/>
          <w:szCs w:val="22"/>
        </w:rPr>
        <w:t>Prednostna naloga:</w:t>
      </w:r>
      <w:r w:rsidRPr="00141085">
        <w:rPr>
          <w:rFonts w:ascii="Republika" w:hAnsi="Republika"/>
          <w:sz w:val="22"/>
          <w:szCs w:val="22"/>
        </w:rPr>
        <w:t xml:space="preserve"> PN1: Inovacijska družba znanja</w:t>
      </w:r>
    </w:p>
    <w:p w14:paraId="24371C5D" w14:textId="77777777" w:rsidR="00141085" w:rsidRPr="00141085" w:rsidRDefault="00141085" w:rsidP="00141085">
      <w:pPr>
        <w:pStyle w:val="Navadensplet"/>
        <w:jc w:val="both"/>
        <w:rPr>
          <w:rFonts w:ascii="Republika" w:hAnsi="Republika"/>
          <w:sz w:val="22"/>
          <w:szCs w:val="22"/>
        </w:rPr>
      </w:pPr>
      <w:r w:rsidRPr="00141085">
        <w:rPr>
          <w:rStyle w:val="Krepko"/>
          <w:rFonts w:ascii="Republika" w:hAnsi="Republika"/>
          <w:sz w:val="22"/>
          <w:szCs w:val="22"/>
        </w:rPr>
        <w:t>Specifični cilj:</w:t>
      </w:r>
      <w:r w:rsidRPr="00141085">
        <w:rPr>
          <w:rFonts w:ascii="Republika" w:hAnsi="Republika"/>
          <w:sz w:val="22"/>
          <w:szCs w:val="22"/>
        </w:rPr>
        <w:t xml:space="preserve"> RSO1.2: Izkoriščanje prednosti digitalizacije za državljane, podjetja, raziskovalne organizacije in javne organe</w:t>
      </w:r>
    </w:p>
    <w:p w14:paraId="7147D660" w14:textId="77777777" w:rsidR="00141085" w:rsidRPr="00141085" w:rsidRDefault="00141085" w:rsidP="00141085">
      <w:pPr>
        <w:pStyle w:val="Navadensplet"/>
        <w:jc w:val="both"/>
        <w:rPr>
          <w:rFonts w:ascii="Republika" w:hAnsi="Republika"/>
          <w:sz w:val="22"/>
          <w:szCs w:val="22"/>
        </w:rPr>
      </w:pPr>
      <w:r w:rsidRPr="00141085">
        <w:rPr>
          <w:rStyle w:val="Krepko"/>
          <w:rFonts w:ascii="Republika" w:hAnsi="Republika"/>
          <w:sz w:val="22"/>
          <w:szCs w:val="22"/>
        </w:rPr>
        <w:t>Predvideno trajanje projekta:</w:t>
      </w:r>
      <w:r w:rsidRPr="00141085">
        <w:rPr>
          <w:rFonts w:ascii="Republika" w:hAnsi="Republika"/>
          <w:sz w:val="22"/>
          <w:szCs w:val="22"/>
        </w:rPr>
        <w:t xml:space="preserve"> 1. 5. 2023 - 31. 12. 2026</w:t>
      </w:r>
    </w:p>
    <w:p w14:paraId="6BF822B9" w14:textId="77777777" w:rsidR="00141085" w:rsidRPr="00141085" w:rsidRDefault="00141085" w:rsidP="00141085">
      <w:pPr>
        <w:pStyle w:val="Navadensplet"/>
        <w:jc w:val="both"/>
        <w:rPr>
          <w:rFonts w:ascii="Republika" w:hAnsi="Republika"/>
          <w:sz w:val="22"/>
          <w:szCs w:val="22"/>
        </w:rPr>
      </w:pPr>
      <w:r w:rsidRPr="00141085">
        <w:rPr>
          <w:rStyle w:val="Krepko"/>
          <w:rFonts w:ascii="Republika" w:hAnsi="Republika"/>
          <w:sz w:val="22"/>
          <w:szCs w:val="22"/>
        </w:rPr>
        <w:t>Vrednost projekta:</w:t>
      </w:r>
      <w:r w:rsidRPr="00141085">
        <w:rPr>
          <w:rFonts w:ascii="Republika" w:hAnsi="Republika"/>
          <w:sz w:val="22"/>
          <w:szCs w:val="22"/>
        </w:rPr>
        <w:t xml:space="preserve"> 1.826.550,75 EUR (od tega podpora Evropske unije 1.055.371,89 EUR in nacionalni javni prispevek iz državnega proračuna 771.178,86 EUR)</w:t>
      </w:r>
    </w:p>
    <w:p w14:paraId="29590B2B" w14:textId="77777777" w:rsidR="00141085" w:rsidRPr="00141085" w:rsidRDefault="00141085" w:rsidP="00141085">
      <w:pPr>
        <w:pStyle w:val="Navadensplet"/>
        <w:jc w:val="both"/>
        <w:rPr>
          <w:rFonts w:ascii="Republika" w:hAnsi="Republika"/>
          <w:sz w:val="22"/>
          <w:szCs w:val="22"/>
        </w:rPr>
      </w:pPr>
      <w:r w:rsidRPr="00141085">
        <w:rPr>
          <w:rStyle w:val="Krepko"/>
          <w:rFonts w:ascii="Republika" w:hAnsi="Republika"/>
          <w:sz w:val="22"/>
          <w:szCs w:val="22"/>
        </w:rPr>
        <w:t xml:space="preserve">Opis upravičenca oz. uporabnika: </w:t>
      </w:r>
    </w:p>
    <w:p w14:paraId="580E431E" w14:textId="77777777" w:rsidR="00141085" w:rsidRPr="00141085" w:rsidRDefault="00141085" w:rsidP="00141085">
      <w:pPr>
        <w:pStyle w:val="Navadensplet"/>
        <w:jc w:val="both"/>
        <w:rPr>
          <w:rFonts w:ascii="Republika" w:hAnsi="Republika"/>
          <w:sz w:val="22"/>
          <w:szCs w:val="22"/>
        </w:rPr>
      </w:pPr>
      <w:r w:rsidRPr="00141085">
        <w:rPr>
          <w:rFonts w:ascii="Republika" w:hAnsi="Republika"/>
          <w:sz w:val="22"/>
          <w:szCs w:val="22"/>
        </w:rPr>
        <w:t>Naloge upravičenca na projektu opravlja Ministrstvo za pravosodje (Služba za koordinacijo in izvajanje projektov), vendar bo uporabnik rezultatov projekta Notarska zbornica Slovenije (NZS). NZS je leta 1995 ustanovljena poklicna organizacija notarjev, ki skrbi za njihov ugled, verodostojnost in razvoj notariata ter zastopa interese notarjev in njihovih pomočnikov. Opravlja tudi naloge, določene z zakonom. Notarji opravljajo pomembno funkcijo, saj predstavljajo nenadomestljivo vez med posameznikom in državo. V tem odnosu so nepristranski, saj je brezpogojno zaupanje uporabnikov njihovih storitev predpogoj zaščite njihovega premoženja.</w:t>
      </w:r>
    </w:p>
    <w:p w14:paraId="3631AF37" w14:textId="77777777" w:rsidR="00141085" w:rsidRPr="00141085" w:rsidRDefault="00141085" w:rsidP="00141085">
      <w:pPr>
        <w:pStyle w:val="Navadensplet"/>
        <w:jc w:val="both"/>
        <w:rPr>
          <w:rFonts w:ascii="Republika" w:hAnsi="Republika"/>
          <w:sz w:val="22"/>
          <w:szCs w:val="22"/>
        </w:rPr>
      </w:pPr>
      <w:r w:rsidRPr="00141085">
        <w:rPr>
          <w:rStyle w:val="Krepko"/>
          <w:rFonts w:ascii="Republika" w:hAnsi="Republika"/>
          <w:sz w:val="22"/>
          <w:szCs w:val="22"/>
        </w:rPr>
        <w:t>Opis projekta:</w:t>
      </w:r>
    </w:p>
    <w:p w14:paraId="2B1B983D" w14:textId="77777777" w:rsidR="00141085" w:rsidRPr="00141085" w:rsidRDefault="00141085" w:rsidP="00141085">
      <w:pPr>
        <w:pStyle w:val="Navadensplet"/>
        <w:jc w:val="both"/>
        <w:rPr>
          <w:rFonts w:ascii="Republika" w:hAnsi="Republika"/>
          <w:sz w:val="22"/>
          <w:szCs w:val="22"/>
        </w:rPr>
      </w:pPr>
      <w:r w:rsidRPr="00141085">
        <w:rPr>
          <w:rFonts w:ascii="Republika" w:hAnsi="Republika"/>
          <w:sz w:val="22"/>
          <w:szCs w:val="22"/>
        </w:rPr>
        <w:t>Evropska komisija kot eno od štirih najbolj pomembnih nalog, ki bi jih bilo potrebno realizirati do leta 2030, navaja digitalizacijo javnih storitev. Do tega leta bi morale biti vse ključne javne storitve na voljo preko spleta, 80 % državljanov pa bi moralo pri posluževanju teh storitev uporabiti elektronsko identifikacijo.</w:t>
      </w:r>
    </w:p>
    <w:p w14:paraId="5CAC2C08" w14:textId="77777777" w:rsidR="00141085" w:rsidRPr="00141085" w:rsidRDefault="00141085" w:rsidP="00141085">
      <w:pPr>
        <w:pStyle w:val="Navadensplet"/>
        <w:jc w:val="both"/>
        <w:rPr>
          <w:rFonts w:ascii="Republika" w:hAnsi="Republika"/>
          <w:sz w:val="22"/>
          <w:szCs w:val="22"/>
        </w:rPr>
      </w:pPr>
      <w:r w:rsidRPr="00141085">
        <w:rPr>
          <w:rFonts w:ascii="Republika" w:hAnsi="Republika"/>
          <w:sz w:val="22"/>
          <w:szCs w:val="22"/>
        </w:rPr>
        <w:t>Cilj projekta »Digitalizacija notarskih storitev« je zagotavljanje celovitega poslovanja notarjev v elektronski obliki z namenom izboljšanja sodelovanja z gospodarstvom in državljani. Tekom projekta bodo vzpostavljeni pogoji za dostop do notarja preko avdio-video konferenčne povezave, verifikacija strank, omogočeno bo sestavljanje notarskih listin na daljavo, prav tako bo digitaliziran arhiv. Digitalizacija notarskih storitev bo omogočila hiter dostop do celotnega arhivskega gradiva notarjev, zagotovila večjo učinkovitost in kakovost dela ter državljanom in pravnim subjektom omogočila koristi s skrajšanjem roka za dostop do notarskih listin in njihovo varno trajno hrambo.</w:t>
      </w:r>
    </w:p>
    <w:p w14:paraId="1E8434CE" w14:textId="123D2D0C" w:rsidR="00980F4D" w:rsidRPr="00141085" w:rsidRDefault="00141085" w:rsidP="00141085">
      <w:pPr>
        <w:pStyle w:val="Navadensplet"/>
        <w:jc w:val="both"/>
        <w:rPr>
          <w:rFonts w:ascii="Republika" w:hAnsi="Republika"/>
          <w:sz w:val="22"/>
          <w:szCs w:val="22"/>
        </w:rPr>
      </w:pPr>
      <w:r w:rsidRPr="00141085">
        <w:rPr>
          <w:rFonts w:ascii="Republika" w:hAnsi="Republika"/>
          <w:sz w:val="22"/>
          <w:szCs w:val="22"/>
        </w:rPr>
        <w:t>Cilj projekta bo dosežen z razvitim informacijskim sistemom, izvedenimi izobraževanji in usposabljanji notarjev za uporabo le-tega, zagotovljenim dostopom do oblačnih kapacitet in ustrezne strežniške infrastrukture ter licenčne programske in druge opreme, nakupom potrebne opreme in izvedenimi aktivnostmi informiranja in komuniciranja.</w:t>
      </w:r>
    </w:p>
    <w:sectPr w:rsidR="00980F4D" w:rsidRPr="0014108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F6B8" w14:textId="77777777" w:rsidR="00141085" w:rsidRDefault="00141085" w:rsidP="00141085">
      <w:pPr>
        <w:spacing w:after="0" w:line="240" w:lineRule="auto"/>
      </w:pPr>
      <w:r>
        <w:separator/>
      </w:r>
    </w:p>
  </w:endnote>
  <w:endnote w:type="continuationSeparator" w:id="0">
    <w:p w14:paraId="29697F9E" w14:textId="77777777" w:rsidR="00141085" w:rsidRDefault="00141085" w:rsidP="0014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epublika">
    <w:altName w:val="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B1BA" w14:textId="77777777" w:rsidR="00141085" w:rsidRDefault="00141085" w:rsidP="00141085">
      <w:pPr>
        <w:spacing w:after="0" w:line="240" w:lineRule="auto"/>
      </w:pPr>
      <w:r>
        <w:separator/>
      </w:r>
    </w:p>
  </w:footnote>
  <w:footnote w:type="continuationSeparator" w:id="0">
    <w:p w14:paraId="0D7D96BC" w14:textId="77777777" w:rsidR="00141085" w:rsidRDefault="00141085" w:rsidP="00141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4898" w14:textId="540605AE" w:rsidR="00141085" w:rsidRDefault="00141085">
    <w:pPr>
      <w:pStyle w:val="Glava"/>
    </w:pPr>
    <w:r>
      <w:rPr>
        <w:noProof/>
      </w:rPr>
      <w:drawing>
        <wp:anchor distT="0" distB="0" distL="114300" distR="114300" simplePos="0" relativeHeight="251661312" behindDoc="0" locked="0" layoutInCell="1" allowOverlap="1" wp14:anchorId="5C4A008B" wp14:editId="718C971B">
          <wp:simplePos x="0" y="0"/>
          <wp:positionH relativeFrom="column">
            <wp:posOffset>2701925</wp:posOffset>
          </wp:positionH>
          <wp:positionV relativeFrom="paragraph">
            <wp:posOffset>-16261</wp:posOffset>
          </wp:positionV>
          <wp:extent cx="1263650" cy="676910"/>
          <wp:effectExtent l="0" t="0" r="0" b="8890"/>
          <wp:wrapThrough wrapText="bothSides">
            <wp:wrapPolygon edited="0">
              <wp:start x="0" y="0"/>
              <wp:lineTo x="0" y="21276"/>
              <wp:lineTo x="21166" y="21276"/>
              <wp:lineTo x="21166" y="0"/>
              <wp:lineTo x="0" y="0"/>
            </wp:wrapPolygon>
          </wp:wrapThrough>
          <wp:docPr id="1103608416" name="Slika 110360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3650" cy="6769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24E1DCC" wp14:editId="22993B58">
          <wp:simplePos x="0" y="0"/>
          <wp:positionH relativeFrom="column">
            <wp:posOffset>4029821</wp:posOffset>
          </wp:positionH>
          <wp:positionV relativeFrom="paragraph">
            <wp:posOffset>42131</wp:posOffset>
          </wp:positionV>
          <wp:extent cx="2210435" cy="619125"/>
          <wp:effectExtent l="0" t="0" r="0" b="9525"/>
          <wp:wrapThrough wrapText="bothSides">
            <wp:wrapPolygon edited="0">
              <wp:start x="0" y="0"/>
              <wp:lineTo x="0" y="21268"/>
              <wp:lineTo x="21408" y="21268"/>
              <wp:lineTo x="21408" y="0"/>
              <wp:lineTo x="0" y="0"/>
            </wp:wrapPolygon>
          </wp:wrapThrough>
          <wp:docPr id="2016583424" name="Slika 201658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10435" cy="619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D33093A" wp14:editId="3A7A28DD">
          <wp:simplePos x="0" y="0"/>
          <wp:positionH relativeFrom="column">
            <wp:posOffset>-518160</wp:posOffset>
          </wp:positionH>
          <wp:positionV relativeFrom="paragraph">
            <wp:posOffset>89535</wp:posOffset>
          </wp:positionV>
          <wp:extent cx="2814320" cy="572770"/>
          <wp:effectExtent l="0" t="0" r="5080" b="0"/>
          <wp:wrapThrough wrapText="bothSides">
            <wp:wrapPolygon edited="0">
              <wp:start x="0" y="0"/>
              <wp:lineTo x="0" y="20834"/>
              <wp:lineTo x="21493" y="20834"/>
              <wp:lineTo x="21493" y="0"/>
              <wp:lineTo x="0" y="0"/>
            </wp:wrapPolygon>
          </wp:wrapThrough>
          <wp:docPr id="1118022910" name="Slika 111802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2814320" cy="5727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67"/>
    <w:rsid w:val="00141085"/>
    <w:rsid w:val="00980F4D"/>
    <w:rsid w:val="00E94E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809F"/>
  <w15:chartTrackingRefBased/>
  <w15:docId w15:val="{70A0F52E-3985-4DE2-816F-645E3CF5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41085"/>
    <w:pPr>
      <w:tabs>
        <w:tab w:val="center" w:pos="4536"/>
        <w:tab w:val="right" w:pos="9072"/>
      </w:tabs>
      <w:spacing w:after="0" w:line="240" w:lineRule="auto"/>
    </w:pPr>
  </w:style>
  <w:style w:type="character" w:customStyle="1" w:styleId="GlavaZnak">
    <w:name w:val="Glava Znak"/>
    <w:basedOn w:val="Privzetapisavaodstavka"/>
    <w:link w:val="Glava"/>
    <w:uiPriority w:val="99"/>
    <w:rsid w:val="00141085"/>
  </w:style>
  <w:style w:type="paragraph" w:styleId="Noga">
    <w:name w:val="footer"/>
    <w:basedOn w:val="Navaden"/>
    <w:link w:val="NogaZnak"/>
    <w:uiPriority w:val="99"/>
    <w:unhideWhenUsed/>
    <w:rsid w:val="00141085"/>
    <w:pPr>
      <w:tabs>
        <w:tab w:val="center" w:pos="4536"/>
        <w:tab w:val="right" w:pos="9072"/>
      </w:tabs>
      <w:spacing w:after="0" w:line="240" w:lineRule="auto"/>
    </w:pPr>
  </w:style>
  <w:style w:type="character" w:customStyle="1" w:styleId="NogaZnak">
    <w:name w:val="Noga Znak"/>
    <w:basedOn w:val="Privzetapisavaodstavka"/>
    <w:link w:val="Noga"/>
    <w:uiPriority w:val="99"/>
    <w:rsid w:val="00141085"/>
  </w:style>
  <w:style w:type="paragraph" w:styleId="Navadensplet">
    <w:name w:val="Normal (Web)"/>
    <w:basedOn w:val="Navaden"/>
    <w:uiPriority w:val="99"/>
    <w:unhideWhenUsed/>
    <w:rsid w:val="0014108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141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2240</Characters>
  <Application>Microsoft Office Word</Application>
  <DocSecurity>0</DocSecurity>
  <Lines>18</Lines>
  <Paragraphs>5</Paragraphs>
  <ScaleCrop>false</ScaleCrop>
  <Company>MJU</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Kovačič (MP)</dc:creator>
  <cp:keywords/>
  <dc:description/>
  <cp:lastModifiedBy>Helena Kovačič (MP)</cp:lastModifiedBy>
  <cp:revision>2</cp:revision>
  <dcterms:created xsi:type="dcterms:W3CDTF">2024-11-22T13:28:00Z</dcterms:created>
  <dcterms:modified xsi:type="dcterms:W3CDTF">2024-11-22T13:32:00Z</dcterms:modified>
</cp:coreProperties>
</file>