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4B" w:rsidRDefault="0026674B" w:rsidP="004C2773">
      <w:pPr>
        <w:pStyle w:val="Naslov2"/>
        <w:spacing w:before="0"/>
        <w:jc w:val="both"/>
        <w:rPr>
          <w:rFonts w:ascii="Arial Narrow" w:hAnsi="Arial Narrow"/>
          <w:b/>
          <w:szCs w:val="20"/>
          <w:u w:val="none"/>
          <w:lang w:val="sl-SI"/>
        </w:rPr>
      </w:pPr>
      <w:bookmarkStart w:id="0" w:name="_Nove_obveznosti_za"/>
      <w:bookmarkStart w:id="1" w:name="_GoBack"/>
      <w:bookmarkEnd w:id="0"/>
      <w:bookmarkEnd w:id="1"/>
    </w:p>
    <w:p w:rsidR="004C2773" w:rsidRPr="004C2773" w:rsidRDefault="004C2773" w:rsidP="004C2773">
      <w:pPr>
        <w:pStyle w:val="Naslov2"/>
        <w:spacing w:before="0"/>
        <w:jc w:val="both"/>
        <w:rPr>
          <w:rFonts w:ascii="Arial Narrow" w:hAnsi="Arial Narrow"/>
          <w:b/>
          <w:szCs w:val="20"/>
          <w:u w:val="none"/>
          <w:lang w:val="sl-SI"/>
        </w:rPr>
      </w:pPr>
      <w:r w:rsidRPr="004C2773">
        <w:rPr>
          <w:rFonts w:ascii="Arial Narrow" w:hAnsi="Arial Narrow"/>
          <w:b/>
          <w:szCs w:val="20"/>
          <w:u w:val="none"/>
          <w:lang w:val="sl-SI"/>
        </w:rPr>
        <w:t>Nove obveznosti za ponudnike, ki shranjujejo in dajejo dostop do vsebin, ki jih naložijo njihovi uporabniki (člen 13, zdaj 17)</w:t>
      </w:r>
    </w:p>
    <w:p w:rsidR="004C2773" w:rsidRPr="00010C90" w:rsidRDefault="004C2773" w:rsidP="004C2773">
      <w:pPr>
        <w:spacing w:line="240" w:lineRule="auto"/>
        <w:jc w:val="both"/>
        <w:rPr>
          <w:rFonts w:ascii="Arial Narrow" w:hAnsi="Arial Narrow"/>
          <w:sz w:val="22"/>
          <w:szCs w:val="20"/>
        </w:rPr>
      </w:pPr>
    </w:p>
    <w:p w:rsidR="0026674B" w:rsidRDefault="0026674B"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Člen 13 (zdaj 17) Predloga direktive predvideva nove obveznosti za ponudnike spletnih storitev, ki omogočajo deljenje in shranjevanje uporabniških vsebin (zlasti platforme za deljenje slik in videov, pa tudi platforme, ki ponujajo dostop do literature ali računalniških programov, kot sta npr. </w:t>
      </w:r>
      <w:proofErr w:type="spellStart"/>
      <w:r w:rsidRPr="00010C90">
        <w:rPr>
          <w:rFonts w:ascii="Arial Narrow" w:hAnsi="Arial Narrow"/>
          <w:sz w:val="22"/>
          <w:szCs w:val="20"/>
        </w:rPr>
        <w:t>SciHub</w:t>
      </w:r>
      <w:proofErr w:type="spellEnd"/>
      <w:r w:rsidRPr="00010C90">
        <w:rPr>
          <w:rFonts w:ascii="Arial Narrow" w:hAnsi="Arial Narrow"/>
          <w:sz w:val="22"/>
          <w:szCs w:val="20"/>
        </w:rPr>
        <w:t xml:space="preserve"> in </w:t>
      </w:r>
      <w:proofErr w:type="spellStart"/>
      <w:r w:rsidRPr="00010C90">
        <w:rPr>
          <w:rFonts w:ascii="Arial Narrow" w:hAnsi="Arial Narrow"/>
          <w:sz w:val="22"/>
          <w:szCs w:val="20"/>
        </w:rPr>
        <w:t>GitHub</w:t>
      </w:r>
      <w:proofErr w:type="spellEnd"/>
      <w:r w:rsidRPr="00010C90">
        <w:rPr>
          <w:rFonts w:ascii="Arial Narrow" w:hAnsi="Arial Narrow"/>
          <w:sz w:val="22"/>
          <w:szCs w:val="20"/>
        </w:rPr>
        <w:t>). Nove obveznosti spletnih platform so usmerjene zlasti v plačevanje licenčnin imetnikom pravic ali pa aktivno preprečevanje kršitve avtorskih pravic, kar je tehnično mogoče predvsem s filtriranjem vseh naloženih vsebin. Člen 13 (zdaj 17) prinaša mnoge pravne negotovosti, ki se jim bodo spletne platforme lahko izognile le s filtriranjem in blokiranjem vsebin, ki jih nalagajo uporabniki. S tem člen 13 (zdaj 17) nasprotuje že sprejeti EU zakonodaji in izpodbija doslej veljavno sodno prakso Sodišča EU, ki prepoveduje splošno filtriranje spletnih vsebin.</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Generalno filtriranje vsebin lahko krši svobodo govora, ki je ena izmed temeljnih človekovih pravic, in lahko uvaja privatno cenzuro nad uporabniškimi vsebinami. Tehnologije za prepoznavanje vsebin ne omogočajo primerne pravne presoje, ali gre v določenem primeru za zakonito uporabo avtorskega dela (npr. na podlagi zakonske izjeme) ali za kršitev pravic (praktični primer izpostavlja tudi </w:t>
      </w:r>
      <w:hyperlink r:id="rId7" w:history="1">
        <w:r w:rsidRPr="00010C90">
          <w:rPr>
            <w:rStyle w:val="Hiperpovezava"/>
            <w:rFonts w:ascii="Arial Narrow" w:hAnsi="Arial Narrow"/>
            <w:sz w:val="22"/>
            <w:szCs w:val="20"/>
          </w:rPr>
          <w:t>tukaj</w:t>
        </w:r>
      </w:hyperlink>
      <w:r w:rsidRPr="00010C90">
        <w:rPr>
          <w:rFonts w:ascii="Arial Narrow" w:hAnsi="Arial Narrow"/>
          <w:sz w:val="22"/>
          <w:szCs w:val="20"/>
        </w:rPr>
        <w:t>). Da bi se izognili morebitnim tožbenim zahtevkom, bodo ponudniki vsebin v dvomu vsebine raje preventivno odstranili, čeprav bi bila njihova uporaba morda zakonita.</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Člen 13 (zdaj 17) bi od spletnih platform zahteval plačilo nadomestila imetnikom pravic za vsebine, ki jih naložijo uporabniki, alternativno pa vzpostavitev tehnologije, ki bi finančno obremenila zlasti manjše ponudnike in s tem negativno vplivala na konkurenco na spletnem tržišču in na </w:t>
      </w:r>
      <w:proofErr w:type="spellStart"/>
      <w:r w:rsidRPr="00010C90">
        <w:rPr>
          <w:rFonts w:ascii="Arial Narrow" w:hAnsi="Arial Narrow"/>
          <w:sz w:val="22"/>
          <w:szCs w:val="20"/>
        </w:rPr>
        <w:t>diverziteto</w:t>
      </w:r>
      <w:proofErr w:type="spellEnd"/>
      <w:r w:rsidRPr="00010C90">
        <w:rPr>
          <w:rFonts w:ascii="Arial Narrow" w:hAnsi="Arial Narrow"/>
          <w:sz w:val="22"/>
          <w:szCs w:val="20"/>
        </w:rPr>
        <w:t xml:space="preserve"> vsebin, ki se objavljajo na spletu.</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Problematična je zlasti tudi redefinicija pojmov "priobčitev javnosti" in "dajanje na voljo javnosti", ki sta definirana v predhodni zakonodaji EU, konkretno v </w:t>
      </w:r>
      <w:proofErr w:type="spellStart"/>
      <w:r w:rsidRPr="00010C90">
        <w:rPr>
          <w:rFonts w:ascii="Arial Narrow" w:hAnsi="Arial Narrow"/>
          <w:sz w:val="22"/>
          <w:szCs w:val="20"/>
        </w:rPr>
        <w:t>InfoSoc</w:t>
      </w:r>
      <w:proofErr w:type="spellEnd"/>
      <w:r w:rsidRPr="00010C90">
        <w:rPr>
          <w:rFonts w:ascii="Arial Narrow" w:hAnsi="Arial Narrow"/>
          <w:sz w:val="22"/>
          <w:szCs w:val="20"/>
        </w:rPr>
        <w:t xml:space="preserve"> direktivi (Direktiva 2001/29/ES)</w:t>
      </w:r>
      <w:r w:rsidRPr="00010C90">
        <w:rPr>
          <w:rStyle w:val="Sprotnaopomba-sklic"/>
          <w:rFonts w:ascii="Arial Narrow" w:hAnsi="Arial Narrow"/>
          <w:sz w:val="22"/>
          <w:szCs w:val="20"/>
        </w:rPr>
        <w:footnoteReference w:id="1"/>
      </w:r>
      <w:r w:rsidRPr="00010C90">
        <w:rPr>
          <w:rFonts w:ascii="Arial Narrow" w:hAnsi="Arial Narrow"/>
          <w:sz w:val="22"/>
          <w:szCs w:val="20"/>
        </w:rPr>
        <w:t xml:space="preserve"> in uvedba režima, ki bi spreminjal že uveljavljene pravne institute (kot je npr. načelo "</w:t>
      </w:r>
      <w:proofErr w:type="spellStart"/>
      <w:r w:rsidRPr="00010C90">
        <w:rPr>
          <w:rFonts w:ascii="Arial Narrow" w:hAnsi="Arial Narrow"/>
          <w:sz w:val="22"/>
          <w:szCs w:val="20"/>
        </w:rPr>
        <w:t>safe</w:t>
      </w:r>
      <w:proofErr w:type="spellEnd"/>
      <w:r w:rsidRPr="00010C90">
        <w:rPr>
          <w:rFonts w:ascii="Arial Narrow" w:hAnsi="Arial Narrow"/>
          <w:sz w:val="22"/>
          <w:szCs w:val="20"/>
        </w:rPr>
        <w:t xml:space="preserve"> </w:t>
      </w:r>
      <w:proofErr w:type="spellStart"/>
      <w:r w:rsidRPr="00010C90">
        <w:rPr>
          <w:rFonts w:ascii="Arial Narrow" w:hAnsi="Arial Narrow"/>
          <w:sz w:val="22"/>
          <w:szCs w:val="20"/>
        </w:rPr>
        <w:t>harbour</w:t>
      </w:r>
      <w:proofErr w:type="spellEnd"/>
      <w:r w:rsidRPr="00010C90">
        <w:rPr>
          <w:rFonts w:ascii="Arial Narrow" w:hAnsi="Arial Narrow"/>
          <w:sz w:val="22"/>
          <w:szCs w:val="20"/>
        </w:rPr>
        <w:t>", ki je zagotovljeno z E-Commerce direktivo (Direktiva 2000/31/ES)</w:t>
      </w:r>
      <w:r w:rsidRPr="00010C90">
        <w:rPr>
          <w:rStyle w:val="Sprotnaopomba-sklic"/>
          <w:rFonts w:ascii="Arial Narrow" w:hAnsi="Arial Narrow"/>
          <w:sz w:val="22"/>
          <w:szCs w:val="20"/>
        </w:rPr>
        <w:footnoteReference w:id="2"/>
      </w:r>
      <w:r w:rsidRPr="00010C90">
        <w:rPr>
          <w:rFonts w:ascii="Arial Narrow" w:hAnsi="Arial Narrow"/>
          <w:sz w:val="22"/>
          <w:szCs w:val="20"/>
        </w:rPr>
        <w:t xml:space="preserve">. Ponudniki spletnih platform naj bodo za kršitve odgovorni v primeru, da so se teh kršitev zavedali, pa jih niso preprečili. To zavedanje naj bo posledica robustnega sistema opozoril (”notice </w:t>
      </w:r>
      <w:proofErr w:type="spellStart"/>
      <w:r w:rsidRPr="00010C90">
        <w:rPr>
          <w:rFonts w:ascii="Arial Narrow" w:hAnsi="Arial Narrow"/>
          <w:sz w:val="22"/>
          <w:szCs w:val="20"/>
        </w:rPr>
        <w:t>and</w:t>
      </w:r>
      <w:proofErr w:type="spellEnd"/>
      <w:r w:rsidRPr="00010C90">
        <w:rPr>
          <w:rFonts w:ascii="Arial Narrow" w:hAnsi="Arial Narrow"/>
          <w:sz w:val="22"/>
          <w:szCs w:val="20"/>
        </w:rPr>
        <w:t xml:space="preserve"> </w:t>
      </w:r>
      <w:proofErr w:type="spellStart"/>
      <w:r w:rsidRPr="00010C90">
        <w:rPr>
          <w:rFonts w:ascii="Arial Narrow" w:hAnsi="Arial Narrow"/>
          <w:sz w:val="22"/>
          <w:szCs w:val="20"/>
        </w:rPr>
        <w:t>takedown</w:t>
      </w:r>
      <w:proofErr w:type="spellEnd"/>
      <w:r w:rsidRPr="00010C90">
        <w:rPr>
          <w:rFonts w:ascii="Arial Narrow" w:hAnsi="Arial Narrow"/>
          <w:sz w:val="22"/>
          <w:szCs w:val="20"/>
        </w:rPr>
        <w:t>”).</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pStyle w:val="Odstavekseznama"/>
        <w:numPr>
          <w:ilvl w:val="0"/>
          <w:numId w:val="7"/>
        </w:numPr>
        <w:jc w:val="both"/>
        <w:rPr>
          <w:rFonts w:ascii="Arial Narrow" w:hAnsi="Arial Narrow"/>
          <w:sz w:val="22"/>
          <w:szCs w:val="20"/>
          <w:lang w:val="sl-SI"/>
        </w:rPr>
      </w:pPr>
      <w:r w:rsidRPr="00010C90">
        <w:rPr>
          <w:rFonts w:ascii="Arial Narrow" w:hAnsi="Arial Narrow"/>
          <w:sz w:val="22"/>
          <w:szCs w:val="20"/>
          <w:lang w:val="sl-SI"/>
        </w:rPr>
        <w:t>MIZŠ nasprotuje določbi člena 13 (zdaj 17) in zastopa stališče, da te določbe tudi ni mogoče prilagoditi na način, da bi dosegla zastavljeni cilj (krepitev pravic avtorjev na spletu), brez da bi nedopustno in neuravnoteženo posegla v temeljne pravice uporabnikov interneta.</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Z vidika svojega javnega poslanstva MIZŠ sicer podpira predlog Sveta EU, ki izključuje iz obsega člena 13 (zdaj 17) neprofitne izobraževalne in znanstvene </w:t>
      </w:r>
      <w:proofErr w:type="spellStart"/>
      <w:r w:rsidRPr="00010C90">
        <w:rPr>
          <w:rFonts w:ascii="Arial Narrow" w:hAnsi="Arial Narrow"/>
          <w:sz w:val="22"/>
          <w:szCs w:val="20"/>
        </w:rPr>
        <w:t>repozitorije</w:t>
      </w:r>
      <w:proofErr w:type="spellEnd"/>
      <w:r w:rsidRPr="00010C90">
        <w:rPr>
          <w:rFonts w:ascii="Arial Narrow" w:hAnsi="Arial Narrow"/>
          <w:sz w:val="22"/>
          <w:szCs w:val="20"/>
        </w:rPr>
        <w:t xml:space="preserve">, ki pomagajo uresničevati zaveze slovenskih institucij iz projektov Open Access in Open Science. MIZŠ se zavzema, da bi bila vsa dejavnost teh </w:t>
      </w:r>
      <w:proofErr w:type="spellStart"/>
      <w:r w:rsidRPr="00010C90">
        <w:rPr>
          <w:rFonts w:ascii="Arial Narrow" w:hAnsi="Arial Narrow"/>
          <w:sz w:val="22"/>
          <w:szCs w:val="20"/>
        </w:rPr>
        <w:t>repozitorijev</w:t>
      </w:r>
      <w:proofErr w:type="spellEnd"/>
      <w:r w:rsidRPr="00010C90">
        <w:rPr>
          <w:rFonts w:ascii="Arial Narrow" w:hAnsi="Arial Narrow"/>
          <w:sz w:val="22"/>
          <w:szCs w:val="20"/>
        </w:rPr>
        <w:t xml:space="preserve"> izvzeta, brez dodatnih pogojev po neprofitni naravi ali da morajo ti </w:t>
      </w:r>
      <w:proofErr w:type="spellStart"/>
      <w:r w:rsidRPr="00010C90">
        <w:rPr>
          <w:rFonts w:ascii="Arial Narrow" w:hAnsi="Arial Narrow"/>
          <w:sz w:val="22"/>
          <w:szCs w:val="20"/>
        </w:rPr>
        <w:t>repozitoriji</w:t>
      </w:r>
      <w:proofErr w:type="spellEnd"/>
      <w:r w:rsidRPr="00010C90">
        <w:rPr>
          <w:rFonts w:ascii="Arial Narrow" w:hAnsi="Arial Narrow"/>
          <w:sz w:val="22"/>
          <w:szCs w:val="20"/>
        </w:rPr>
        <w:t xml:space="preserve"> za objavo del pridobiti soglasje vseh imetnikov pravic. Ta zahteva bi finančno obremenila </w:t>
      </w:r>
      <w:proofErr w:type="spellStart"/>
      <w:r w:rsidRPr="00010C90">
        <w:rPr>
          <w:rFonts w:ascii="Arial Narrow" w:hAnsi="Arial Narrow"/>
          <w:sz w:val="22"/>
          <w:szCs w:val="20"/>
        </w:rPr>
        <w:t>repozitorije</w:t>
      </w:r>
      <w:proofErr w:type="spellEnd"/>
      <w:r w:rsidRPr="00010C90">
        <w:rPr>
          <w:rFonts w:ascii="Arial Narrow" w:hAnsi="Arial Narrow"/>
          <w:sz w:val="22"/>
          <w:szCs w:val="20"/>
        </w:rPr>
        <w:t xml:space="preserve"> in časovno </w:t>
      </w:r>
      <w:r w:rsidRPr="00010C90">
        <w:rPr>
          <w:rFonts w:ascii="Arial Narrow" w:hAnsi="Arial Narrow"/>
          <w:sz w:val="22"/>
          <w:szCs w:val="20"/>
        </w:rPr>
        <w:lastRenderedPageBreak/>
        <w:t xml:space="preserve">podaljšala obdobje, v katerem </w:t>
      </w:r>
      <w:proofErr w:type="spellStart"/>
      <w:r w:rsidRPr="00010C90">
        <w:rPr>
          <w:rFonts w:ascii="Arial Narrow" w:hAnsi="Arial Narrow"/>
          <w:sz w:val="22"/>
          <w:szCs w:val="20"/>
        </w:rPr>
        <w:t>repozitorij</w:t>
      </w:r>
      <w:proofErr w:type="spellEnd"/>
      <w:r w:rsidRPr="00010C90">
        <w:rPr>
          <w:rFonts w:ascii="Arial Narrow" w:hAnsi="Arial Narrow"/>
          <w:sz w:val="22"/>
          <w:szCs w:val="20"/>
        </w:rPr>
        <w:t xml:space="preserve"> zaradi pomanjkanja soglasja gradiva ne bi mogel objaviti. V nasprotju s tem bi </w:t>
      </w:r>
      <w:proofErr w:type="spellStart"/>
      <w:r w:rsidRPr="00010C90">
        <w:rPr>
          <w:rFonts w:ascii="Arial Narrow" w:hAnsi="Arial Narrow"/>
          <w:sz w:val="22"/>
          <w:szCs w:val="20"/>
        </w:rPr>
        <w:t>repozitoriji</w:t>
      </w:r>
      <w:proofErr w:type="spellEnd"/>
      <w:r w:rsidRPr="00010C90">
        <w:rPr>
          <w:rFonts w:ascii="Arial Narrow" w:hAnsi="Arial Narrow"/>
          <w:sz w:val="22"/>
          <w:szCs w:val="20"/>
        </w:rPr>
        <w:t xml:space="preserve"> iz držav, kjer veljajo doktrine </w:t>
      </w:r>
      <w:r w:rsidRPr="00010C90">
        <w:rPr>
          <w:rFonts w:ascii="Arial Narrow" w:hAnsi="Arial Narrow"/>
          <w:i/>
          <w:sz w:val="22"/>
          <w:szCs w:val="20"/>
        </w:rPr>
        <w:t xml:space="preserve">fair </w:t>
      </w:r>
      <w:proofErr w:type="spellStart"/>
      <w:r w:rsidRPr="00010C90">
        <w:rPr>
          <w:rFonts w:ascii="Arial Narrow" w:hAnsi="Arial Narrow"/>
          <w:i/>
          <w:sz w:val="22"/>
          <w:szCs w:val="20"/>
        </w:rPr>
        <w:t>use</w:t>
      </w:r>
      <w:proofErr w:type="spellEnd"/>
      <w:r w:rsidRPr="00010C90">
        <w:rPr>
          <w:rFonts w:ascii="Arial Narrow" w:hAnsi="Arial Narrow"/>
          <w:sz w:val="22"/>
          <w:szCs w:val="20"/>
        </w:rPr>
        <w:t xml:space="preserve"> ipd. lahko vsebine objavili hitro in brez omejitev, kar bi postavilo evropske </w:t>
      </w:r>
      <w:proofErr w:type="spellStart"/>
      <w:r w:rsidRPr="00010C90">
        <w:rPr>
          <w:rFonts w:ascii="Arial Narrow" w:hAnsi="Arial Narrow"/>
          <w:sz w:val="22"/>
          <w:szCs w:val="20"/>
        </w:rPr>
        <w:t>repozitorije</w:t>
      </w:r>
      <w:proofErr w:type="spellEnd"/>
      <w:r w:rsidRPr="00010C90">
        <w:rPr>
          <w:rFonts w:ascii="Arial Narrow" w:hAnsi="Arial Narrow"/>
          <w:sz w:val="22"/>
          <w:szCs w:val="20"/>
        </w:rPr>
        <w:t xml:space="preserve"> v konkurenčno šibkejšo pozicijo.</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Zoper člen 13 (zdaj 17) sicer že dlje časa potekajo javne iniciative: podrobnejšo argumentacijo lahko najdete </w:t>
      </w:r>
      <w:hyperlink r:id="rId8" w:history="1">
        <w:r w:rsidRPr="00010C90">
          <w:rPr>
            <w:rStyle w:val="Hiperpovezava"/>
            <w:rFonts w:ascii="Arial Narrow" w:hAnsi="Arial Narrow"/>
            <w:sz w:val="22"/>
            <w:szCs w:val="20"/>
          </w:rPr>
          <w:t>tukaj</w:t>
        </w:r>
      </w:hyperlink>
      <w:r w:rsidRPr="00010C90">
        <w:rPr>
          <w:rFonts w:ascii="Arial Narrow" w:hAnsi="Arial Narrow"/>
          <w:sz w:val="22"/>
          <w:szCs w:val="20"/>
        </w:rPr>
        <w:t xml:space="preserve"> in </w:t>
      </w:r>
      <w:hyperlink r:id="rId9" w:history="1">
        <w:r w:rsidRPr="00010C90">
          <w:rPr>
            <w:rStyle w:val="Hiperpovezava"/>
            <w:rFonts w:ascii="Arial Narrow" w:hAnsi="Arial Narrow"/>
            <w:sz w:val="22"/>
            <w:szCs w:val="20"/>
          </w:rPr>
          <w:t>tukaj</w:t>
        </w:r>
      </w:hyperlink>
      <w:r w:rsidRPr="00010C90">
        <w:rPr>
          <w:rFonts w:ascii="Arial Narrow" w:hAnsi="Arial Narrow"/>
          <w:sz w:val="22"/>
          <w:szCs w:val="20"/>
        </w:rPr>
        <w:t>.</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Peticijo zoper člen 13 (zdaj 17) je podpisalo tudi 145 organizacij na področju znanosti, gospodarstva, knjižnic, izobraževanja, idr. (seznam lahko najdete </w:t>
      </w:r>
      <w:hyperlink r:id="rId10" w:history="1">
        <w:r w:rsidRPr="00010C90">
          <w:rPr>
            <w:rStyle w:val="Hiperpovezava"/>
            <w:rFonts w:ascii="Arial Narrow" w:hAnsi="Arial Narrow"/>
            <w:sz w:val="22"/>
            <w:szCs w:val="20"/>
          </w:rPr>
          <w:t>tukaj</w:t>
        </w:r>
      </w:hyperlink>
      <w:r w:rsidRPr="00010C90">
        <w:rPr>
          <w:rFonts w:ascii="Arial Narrow" w:hAnsi="Arial Narrow"/>
          <w:sz w:val="22"/>
          <w:szCs w:val="20"/>
        </w:rPr>
        <w:t>).</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Na negativne posledice člena 13 (zdaj 17) je opozoril tudi Urad visokega komisarja Združenih narodov za človekove pravice, kar lahko podrobneje preberete </w:t>
      </w:r>
      <w:hyperlink r:id="rId11" w:history="1">
        <w:r w:rsidRPr="00010C90">
          <w:rPr>
            <w:rStyle w:val="Hiperpovezava"/>
            <w:rFonts w:ascii="Arial Narrow" w:hAnsi="Arial Narrow"/>
            <w:sz w:val="22"/>
            <w:szCs w:val="20"/>
          </w:rPr>
          <w:t>tukaj</w:t>
        </w:r>
      </w:hyperlink>
      <w:r w:rsidRPr="00010C90">
        <w:rPr>
          <w:rFonts w:ascii="Arial Narrow" w:hAnsi="Arial Narrow"/>
          <w:sz w:val="22"/>
          <w:szCs w:val="20"/>
        </w:rPr>
        <w:t>.</w:t>
      </w:r>
    </w:p>
    <w:p w:rsidR="004C2773" w:rsidRPr="00010C90" w:rsidRDefault="004C2773" w:rsidP="004C2773">
      <w:pPr>
        <w:spacing w:line="240" w:lineRule="auto"/>
        <w:jc w:val="both"/>
        <w:rPr>
          <w:rFonts w:ascii="Arial Narrow" w:hAnsi="Arial Narrow"/>
          <w:sz w:val="22"/>
          <w:szCs w:val="20"/>
        </w:rPr>
      </w:pPr>
    </w:p>
    <w:p w:rsidR="004C2773" w:rsidRPr="00010C90" w:rsidRDefault="004C2773" w:rsidP="004C2773">
      <w:pPr>
        <w:spacing w:line="240" w:lineRule="auto"/>
        <w:jc w:val="both"/>
        <w:rPr>
          <w:rFonts w:ascii="Arial Narrow" w:hAnsi="Arial Narrow"/>
          <w:sz w:val="22"/>
          <w:szCs w:val="20"/>
        </w:rPr>
      </w:pPr>
      <w:r w:rsidRPr="00010C90">
        <w:rPr>
          <w:rFonts w:ascii="Arial Narrow" w:hAnsi="Arial Narrow"/>
          <w:sz w:val="22"/>
          <w:szCs w:val="20"/>
        </w:rPr>
        <w:t xml:space="preserve">Nasprotovanje členu 13 (zdaj 17) narašča na vseh straneh, saj so zadnjim predlogom člena 13 (zdaj 17) v </w:t>
      </w:r>
      <w:proofErr w:type="spellStart"/>
      <w:r w:rsidRPr="00010C90">
        <w:rPr>
          <w:rFonts w:ascii="Arial Narrow" w:hAnsi="Arial Narrow"/>
          <w:sz w:val="22"/>
          <w:szCs w:val="20"/>
        </w:rPr>
        <w:t>trialogu</w:t>
      </w:r>
      <w:proofErr w:type="spellEnd"/>
      <w:r w:rsidRPr="00010C90">
        <w:rPr>
          <w:rFonts w:ascii="Arial Narrow" w:hAnsi="Arial Narrow"/>
          <w:sz w:val="22"/>
          <w:szCs w:val="20"/>
        </w:rPr>
        <w:t xml:space="preserve"> nasprotovala tudi združenja nekaterih imetnikov pravic (</w:t>
      </w:r>
      <w:hyperlink r:id="rId12" w:history="1">
        <w:r w:rsidRPr="00010C90">
          <w:rPr>
            <w:rStyle w:val="Hiperpovezava"/>
            <w:rFonts w:ascii="Arial Narrow" w:hAnsi="Arial Narrow"/>
            <w:sz w:val="22"/>
            <w:szCs w:val="20"/>
          </w:rPr>
          <w:t>npr. v avdio-vizualnem in športnem sektorju</w:t>
        </w:r>
      </w:hyperlink>
      <w:r w:rsidRPr="00010C90">
        <w:rPr>
          <w:rFonts w:ascii="Arial Narrow" w:hAnsi="Arial Narrow"/>
          <w:sz w:val="22"/>
          <w:szCs w:val="20"/>
        </w:rPr>
        <w:t xml:space="preserve">, </w:t>
      </w:r>
      <w:hyperlink r:id="rId13" w:history="1">
        <w:r w:rsidRPr="00010C90">
          <w:rPr>
            <w:rStyle w:val="Hiperpovezava"/>
            <w:rFonts w:ascii="Arial Narrow" w:hAnsi="Arial Narrow"/>
            <w:sz w:val="22"/>
            <w:szCs w:val="20"/>
          </w:rPr>
          <w:t>zabavni industriji</w:t>
        </w:r>
      </w:hyperlink>
      <w:r w:rsidRPr="00010C90">
        <w:rPr>
          <w:rFonts w:ascii="Arial Narrow" w:hAnsi="Arial Narrow"/>
          <w:sz w:val="22"/>
          <w:szCs w:val="20"/>
        </w:rPr>
        <w:t xml:space="preserve"> in </w:t>
      </w:r>
      <w:hyperlink r:id="rId14" w:history="1">
        <w:r w:rsidRPr="00010C90">
          <w:rPr>
            <w:rStyle w:val="Hiperpovezava"/>
            <w:rFonts w:ascii="Arial Narrow" w:hAnsi="Arial Narrow"/>
            <w:sz w:val="22"/>
            <w:szCs w:val="20"/>
          </w:rPr>
          <w:t>glasbeni industriji</w:t>
        </w:r>
      </w:hyperlink>
      <w:r w:rsidRPr="00010C90">
        <w:rPr>
          <w:rFonts w:ascii="Arial Narrow" w:hAnsi="Arial Narrow"/>
          <w:sz w:val="22"/>
          <w:szCs w:val="20"/>
        </w:rPr>
        <w:t>)</w:t>
      </w:r>
      <w:hyperlink r:id="rId15" w:history="1"/>
      <w:r w:rsidRPr="00010C90">
        <w:rPr>
          <w:rFonts w:ascii="Arial Narrow" w:hAnsi="Arial Narrow"/>
          <w:sz w:val="22"/>
          <w:szCs w:val="20"/>
        </w:rPr>
        <w:t xml:space="preserve">. </w:t>
      </w:r>
    </w:p>
    <w:p w:rsidR="004C2773" w:rsidRPr="00010C90" w:rsidRDefault="004C2773" w:rsidP="004C2773">
      <w:pPr>
        <w:spacing w:line="240" w:lineRule="auto"/>
        <w:jc w:val="both"/>
        <w:rPr>
          <w:rFonts w:ascii="Arial Narrow" w:hAnsi="Arial Narrow"/>
          <w:sz w:val="22"/>
          <w:szCs w:val="20"/>
        </w:rPr>
      </w:pPr>
    </w:p>
    <w:sectPr w:rsidR="004C2773" w:rsidRPr="00010C90" w:rsidSect="00783310">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A1" w:rsidRDefault="00056CA1">
      <w:r>
        <w:separator/>
      </w:r>
    </w:p>
  </w:endnote>
  <w:endnote w:type="continuationSeparator" w:id="0">
    <w:p w:rsidR="00056CA1" w:rsidRDefault="0005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A1" w:rsidRDefault="00056CA1">
      <w:r>
        <w:separator/>
      </w:r>
    </w:p>
  </w:footnote>
  <w:footnote w:type="continuationSeparator" w:id="0">
    <w:p w:rsidR="00056CA1" w:rsidRDefault="00056CA1">
      <w:r>
        <w:continuationSeparator/>
      </w:r>
    </w:p>
  </w:footnote>
  <w:footnote w:id="1">
    <w:p w:rsidR="004C2773" w:rsidRPr="007840BD" w:rsidRDefault="004C2773" w:rsidP="004C2773">
      <w:pPr>
        <w:jc w:val="both"/>
        <w:rPr>
          <w:rFonts w:ascii="Arial Narrow" w:hAnsi="Arial Narrow"/>
          <w:sz w:val="18"/>
          <w:szCs w:val="18"/>
        </w:rPr>
      </w:pPr>
      <w:r w:rsidRPr="00C41778">
        <w:rPr>
          <w:rStyle w:val="Sprotnaopomba-sklic"/>
        </w:rPr>
        <w:footnoteRef/>
      </w:r>
      <w:r w:rsidRPr="00C41778">
        <w:t xml:space="preserve"> </w:t>
      </w:r>
      <w:r w:rsidRPr="007840BD">
        <w:rPr>
          <w:rFonts w:ascii="Arial Narrow" w:hAnsi="Arial Narrow" w:cs="Lucida Grande"/>
          <w:bCs/>
          <w:sz w:val="18"/>
          <w:szCs w:val="18"/>
          <w:bdr w:val="none" w:sz="0" w:space="0" w:color="auto" w:frame="1"/>
        </w:rPr>
        <w:t>Direktiva 2001/29/ES Evropskega parlamenta in Sveta z dne 22. maja 2001 o usklajevanju določenih vidikov avtorske in sorodnih pravic v informacijski družbi</w:t>
      </w:r>
    </w:p>
  </w:footnote>
  <w:footnote w:id="2">
    <w:p w:rsidR="004C2773" w:rsidRPr="007840BD" w:rsidRDefault="004C2773" w:rsidP="004C2773">
      <w:pPr>
        <w:jc w:val="both"/>
        <w:rPr>
          <w:rFonts w:ascii="Arial Narrow" w:hAnsi="Arial Narrow" w:cs="Lucida Grande"/>
          <w:bCs/>
          <w:sz w:val="18"/>
          <w:szCs w:val="18"/>
          <w:bdr w:val="none" w:sz="0" w:space="0" w:color="auto" w:frame="1"/>
        </w:rPr>
      </w:pPr>
      <w:r w:rsidRPr="007840BD">
        <w:rPr>
          <w:rStyle w:val="Sprotnaopomba-sklic"/>
          <w:rFonts w:ascii="Arial Narrow" w:hAnsi="Arial Narrow"/>
          <w:sz w:val="18"/>
          <w:szCs w:val="18"/>
        </w:rPr>
        <w:footnoteRef/>
      </w:r>
      <w:r w:rsidRPr="007840BD">
        <w:rPr>
          <w:rFonts w:ascii="Arial Narrow" w:hAnsi="Arial Narrow"/>
          <w:sz w:val="18"/>
          <w:szCs w:val="18"/>
        </w:rPr>
        <w:t xml:space="preserve"> </w:t>
      </w:r>
      <w:r w:rsidRPr="007840BD">
        <w:rPr>
          <w:rFonts w:ascii="Arial Narrow" w:hAnsi="Arial Narrow" w:cs="Lucida Grande"/>
          <w:bCs/>
          <w:sz w:val="18"/>
          <w:szCs w:val="18"/>
          <w:bdr w:val="none" w:sz="0" w:space="0" w:color="auto" w:frame="1"/>
        </w:rPr>
        <w:t>Direktiva 2000/31/ES Evropskega parlamenta in Sveta z dne 8. junija 2000 o nekaterih pravnih vidikih storitev informacijske družbe, zlasti elektronskega poslovanja na notranjem trgu (Direktiva o elektronskem poslovanju)</w:t>
      </w:r>
    </w:p>
    <w:p w:rsidR="004C2773" w:rsidRPr="007840BD" w:rsidRDefault="004C2773" w:rsidP="004C2773">
      <w:pPr>
        <w:pStyle w:val="Sprotnaopomba-besedilo"/>
        <w:rPr>
          <w:rFonts w:ascii="Calibri" w:hAnsi="Calibri"/>
          <w:sz w:val="18"/>
          <w:szCs w:val="18"/>
        </w:rPr>
      </w:pPr>
      <w:r w:rsidRPr="007840BD" w:rsidDel="00C415B3">
        <w:rPr>
          <w:rFonts w:ascii="Calibri" w:hAnsi="Calibr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8F3500" w:rsidRDefault="004C2773"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3A1A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00717E"/>
    <w:multiLevelType w:val="hybridMultilevel"/>
    <w:tmpl w:val="8C54F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331790"/>
    <w:multiLevelType w:val="hybridMultilevel"/>
    <w:tmpl w:val="516AB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73"/>
    <w:rsid w:val="00023A88"/>
    <w:rsid w:val="00056CA1"/>
    <w:rsid w:val="00062F06"/>
    <w:rsid w:val="0008173B"/>
    <w:rsid w:val="000A7238"/>
    <w:rsid w:val="0011666A"/>
    <w:rsid w:val="001357B2"/>
    <w:rsid w:val="001772FC"/>
    <w:rsid w:val="001A7691"/>
    <w:rsid w:val="001F2D26"/>
    <w:rsid w:val="00202A77"/>
    <w:rsid w:val="0026674B"/>
    <w:rsid w:val="00271CE5"/>
    <w:rsid w:val="0028101B"/>
    <w:rsid w:val="00282020"/>
    <w:rsid w:val="003636BF"/>
    <w:rsid w:val="00373F7D"/>
    <w:rsid w:val="0037479F"/>
    <w:rsid w:val="003845B4"/>
    <w:rsid w:val="00387B1A"/>
    <w:rsid w:val="003E1C74"/>
    <w:rsid w:val="003E3CE7"/>
    <w:rsid w:val="00416F49"/>
    <w:rsid w:val="00436A4F"/>
    <w:rsid w:val="00463315"/>
    <w:rsid w:val="00491E9C"/>
    <w:rsid w:val="004C2773"/>
    <w:rsid w:val="0051651F"/>
    <w:rsid w:val="00526246"/>
    <w:rsid w:val="00567106"/>
    <w:rsid w:val="005C4E20"/>
    <w:rsid w:val="005D255D"/>
    <w:rsid w:val="005E1D3C"/>
    <w:rsid w:val="0062480D"/>
    <w:rsid w:val="00632253"/>
    <w:rsid w:val="00642714"/>
    <w:rsid w:val="006455CE"/>
    <w:rsid w:val="00691985"/>
    <w:rsid w:val="006D42D9"/>
    <w:rsid w:val="006D77B2"/>
    <w:rsid w:val="006F5F9C"/>
    <w:rsid w:val="00733017"/>
    <w:rsid w:val="00782844"/>
    <w:rsid w:val="00783310"/>
    <w:rsid w:val="007A4A6D"/>
    <w:rsid w:val="007D1BCF"/>
    <w:rsid w:val="007D75CF"/>
    <w:rsid w:val="007E6DC5"/>
    <w:rsid w:val="0088043C"/>
    <w:rsid w:val="00882840"/>
    <w:rsid w:val="008906C9"/>
    <w:rsid w:val="008B6BB1"/>
    <w:rsid w:val="008C5738"/>
    <w:rsid w:val="008D04F0"/>
    <w:rsid w:val="008D45D5"/>
    <w:rsid w:val="008F3500"/>
    <w:rsid w:val="00924E3C"/>
    <w:rsid w:val="00960248"/>
    <w:rsid w:val="009612BB"/>
    <w:rsid w:val="009A13F9"/>
    <w:rsid w:val="00A125C5"/>
    <w:rsid w:val="00A40CF9"/>
    <w:rsid w:val="00A5039D"/>
    <w:rsid w:val="00A6415D"/>
    <w:rsid w:val="00A65EE7"/>
    <w:rsid w:val="00A70133"/>
    <w:rsid w:val="00A85530"/>
    <w:rsid w:val="00AC354A"/>
    <w:rsid w:val="00AE76B9"/>
    <w:rsid w:val="00AF5020"/>
    <w:rsid w:val="00B0192F"/>
    <w:rsid w:val="00B10E0A"/>
    <w:rsid w:val="00B17141"/>
    <w:rsid w:val="00B31575"/>
    <w:rsid w:val="00B36462"/>
    <w:rsid w:val="00B8547D"/>
    <w:rsid w:val="00C250D5"/>
    <w:rsid w:val="00C329B1"/>
    <w:rsid w:val="00C765C3"/>
    <w:rsid w:val="00C92898"/>
    <w:rsid w:val="00CE7514"/>
    <w:rsid w:val="00D10141"/>
    <w:rsid w:val="00D248DE"/>
    <w:rsid w:val="00D56FF7"/>
    <w:rsid w:val="00D62EBB"/>
    <w:rsid w:val="00D65ACD"/>
    <w:rsid w:val="00D8542D"/>
    <w:rsid w:val="00D9242E"/>
    <w:rsid w:val="00DC6A71"/>
    <w:rsid w:val="00DD04FE"/>
    <w:rsid w:val="00DE5B46"/>
    <w:rsid w:val="00E0357D"/>
    <w:rsid w:val="00E24EC2"/>
    <w:rsid w:val="00E5468F"/>
    <w:rsid w:val="00E71FBA"/>
    <w:rsid w:val="00EB0910"/>
    <w:rsid w:val="00F11622"/>
    <w:rsid w:val="00F240BB"/>
    <w:rsid w:val="00F46724"/>
    <w:rsid w:val="00F52539"/>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26C82D26-9705-49C7-BD52-DDB5147E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2773"/>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4C2773"/>
    <w:pPr>
      <w:keepNext/>
      <w:keepLines/>
      <w:spacing w:before="40" w:line="240" w:lineRule="auto"/>
      <w:outlineLvl w:val="1"/>
    </w:pPr>
    <w:rPr>
      <w:rFonts w:ascii="Calibri" w:hAnsi="Calibri"/>
      <w:sz w:val="22"/>
      <w:szCs w:val="26"/>
      <w:u w:val="single"/>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4C2773"/>
    <w:rPr>
      <w:rFonts w:ascii="Calibri" w:hAnsi="Calibri"/>
      <w:sz w:val="22"/>
      <w:szCs w:val="26"/>
      <w:u w:val="single"/>
      <w:lang w:val="en-GB" w:eastAsia="en-GB"/>
    </w:rPr>
  </w:style>
  <w:style w:type="paragraph" w:styleId="Sprotnaopomba-besedilo">
    <w:name w:val="footnote text"/>
    <w:basedOn w:val="Navaden"/>
    <w:link w:val="Sprotnaopomba-besediloZnak"/>
    <w:uiPriority w:val="99"/>
    <w:unhideWhenUsed/>
    <w:rsid w:val="004C2773"/>
    <w:pPr>
      <w:spacing w:line="240" w:lineRule="auto"/>
    </w:pPr>
    <w:rPr>
      <w:sz w:val="24"/>
    </w:rPr>
  </w:style>
  <w:style w:type="character" w:customStyle="1" w:styleId="Sprotnaopomba-besediloZnak">
    <w:name w:val="Sprotna opomba - besedilo Znak"/>
    <w:basedOn w:val="Privzetapisavaodstavka"/>
    <w:link w:val="Sprotnaopomba-besedilo"/>
    <w:uiPriority w:val="99"/>
    <w:rsid w:val="004C2773"/>
    <w:rPr>
      <w:rFonts w:ascii="Arial" w:hAnsi="Arial"/>
      <w:sz w:val="24"/>
      <w:szCs w:val="24"/>
      <w:lang w:eastAsia="en-US"/>
    </w:rPr>
  </w:style>
  <w:style w:type="character" w:styleId="Sprotnaopomba-sklic">
    <w:name w:val="footnote reference"/>
    <w:uiPriority w:val="99"/>
    <w:unhideWhenUsed/>
    <w:rsid w:val="004C2773"/>
    <w:rPr>
      <w:vertAlign w:val="superscript"/>
    </w:rPr>
  </w:style>
  <w:style w:type="paragraph" w:styleId="Odstavekseznama">
    <w:name w:val="List Paragraph"/>
    <w:basedOn w:val="Navaden"/>
    <w:uiPriority w:val="34"/>
    <w:qFormat/>
    <w:rsid w:val="004C2773"/>
    <w:pPr>
      <w:spacing w:line="240" w:lineRule="auto"/>
      <w:ind w:left="720"/>
      <w:contextualSpacing/>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a-association.org/2018/06/16/experts-warn-dangers-article-13-upload-filters/" TargetMode="External"/><Relationship Id="rId13" Type="http://schemas.openxmlformats.org/officeDocument/2006/relationships/hyperlink" Target="http://www.spiegel.de/netzwelt/netzpolitik/upload-filter-selbst-bertelsmann-lehnt-die-urheberrechtsreform-jetzt-ab-a-1252080.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juliareda.eu/2018/08/censorship-machines-gonna-censor/" TargetMode="External"/><Relationship Id="rId12" Type="http://schemas.openxmlformats.org/officeDocument/2006/relationships/hyperlink" Target="https://juliareda.eu/wp-content/uploads/2018/12/Audiovisual-and-Sports-on-Value-Gap.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Documents/Issues/Opinion/Legislation/OL-OTH-41-2018.pdf" TargetMode="External"/><Relationship Id="rId5" Type="http://schemas.openxmlformats.org/officeDocument/2006/relationships/footnotes" Target="footnotes.xml"/><Relationship Id="rId15" Type="http://schemas.openxmlformats.org/officeDocument/2006/relationships/hyperlink" Target="https://www.musicbusinessworldwide.com/article-13-disaster-for-music-biz-joy-for-youtube-as-labels-call-for-eu-copyright-bill-to-be-cancelled/)" TargetMode="External"/><Relationship Id="rId23" Type="http://schemas.openxmlformats.org/officeDocument/2006/relationships/theme" Target="theme/theme1.xml"/><Relationship Id="rId10" Type="http://schemas.openxmlformats.org/officeDocument/2006/relationships/hyperlink" Target="https://copybuzz.com/wp-content/uploads/2018/04/Open_Letter_on_Copyright_Reform_27_April_COREPER_Meeting.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aveyourinternet.eu" TargetMode="External"/><Relationship Id="rId14" Type="http://schemas.openxmlformats.org/officeDocument/2006/relationships/hyperlink" Target="https://www.musicbusinessworldwide.com/article-13-disaster-for-music-biz-joy-for-youtube-as-labels-call-for-eu-copyright-bill-to-be-cancelle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Predloga_MIZŠ_SLO</Template>
  <TotalTime>0</TotalTime>
  <Pages>2</Pages>
  <Words>793</Words>
  <Characters>4523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Pucelj</dc:creator>
  <cp:keywords/>
  <cp:lastModifiedBy>Sebastijan Magdič</cp:lastModifiedBy>
  <cp:revision>2</cp:revision>
  <cp:lastPrinted>2010-07-05T10:38:00Z</cp:lastPrinted>
  <dcterms:created xsi:type="dcterms:W3CDTF">2020-03-12T11:19:00Z</dcterms:created>
  <dcterms:modified xsi:type="dcterms:W3CDTF">2020-03-12T11:19:00Z</dcterms:modified>
</cp:coreProperties>
</file>