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0805" w14:textId="77777777" w:rsidR="00F024AC" w:rsidRPr="00EF5E27" w:rsidRDefault="00F024AC" w:rsidP="005C4991">
      <w:pPr>
        <w:spacing w:before="120" w:line="240" w:lineRule="auto"/>
        <w:rPr>
          <w:rFonts w:asciiTheme="minorHAnsi" w:hAnsiTheme="minorHAnsi" w:cstheme="minorHAnsi"/>
          <w:sz w:val="22"/>
          <w:szCs w:val="22"/>
          <w:lang w:val="x-none"/>
        </w:rPr>
      </w:pPr>
    </w:p>
    <w:p w14:paraId="1BCE5D06" w14:textId="4B5D82E2" w:rsidR="003E242B" w:rsidRPr="00EF5E27" w:rsidRDefault="003E242B" w:rsidP="005C4991">
      <w:pPr>
        <w:spacing w:before="120" w:line="240" w:lineRule="auto"/>
        <w:rPr>
          <w:rFonts w:asciiTheme="minorHAnsi" w:hAnsiTheme="minorHAnsi" w:cstheme="minorHAnsi"/>
          <w:sz w:val="22"/>
          <w:szCs w:val="22"/>
        </w:rPr>
      </w:pPr>
      <w:r w:rsidRPr="00EF5E27">
        <w:rPr>
          <w:rFonts w:asciiTheme="minorHAnsi" w:hAnsiTheme="minorHAnsi" w:cstheme="minorHAnsi"/>
          <w:sz w:val="22"/>
          <w:szCs w:val="22"/>
        </w:rPr>
        <w:t xml:space="preserve">Ljubljana, </w:t>
      </w:r>
      <w:r w:rsidR="00671DA9" w:rsidRPr="00EF5E27">
        <w:rPr>
          <w:rFonts w:asciiTheme="minorHAnsi" w:hAnsiTheme="minorHAnsi" w:cstheme="minorHAnsi"/>
          <w:sz w:val="22"/>
          <w:szCs w:val="22"/>
        </w:rPr>
        <w:t>10. 9. 2024</w:t>
      </w:r>
    </w:p>
    <w:p w14:paraId="56D37370" w14:textId="2037BB6E" w:rsidR="003E242B" w:rsidRPr="00EF5E27" w:rsidRDefault="003E242B" w:rsidP="005C4991">
      <w:pPr>
        <w:spacing w:before="120" w:line="240" w:lineRule="auto"/>
        <w:jc w:val="center"/>
        <w:rPr>
          <w:rFonts w:asciiTheme="minorHAnsi" w:hAnsiTheme="minorHAnsi" w:cstheme="minorHAnsi"/>
          <w:sz w:val="22"/>
          <w:szCs w:val="22"/>
        </w:rPr>
      </w:pPr>
      <w:r w:rsidRPr="00EF5E27">
        <w:rPr>
          <w:rFonts w:asciiTheme="minorHAnsi" w:hAnsiTheme="minorHAnsi" w:cstheme="minorHAnsi"/>
          <w:sz w:val="22"/>
          <w:szCs w:val="22"/>
        </w:rPr>
        <w:t>POGLED NA IZOBRAŽEVANJE 202</w:t>
      </w:r>
      <w:r w:rsidR="00AA5796" w:rsidRPr="00EF5E27">
        <w:rPr>
          <w:rFonts w:asciiTheme="minorHAnsi" w:hAnsiTheme="minorHAnsi" w:cstheme="minorHAnsi"/>
          <w:sz w:val="22"/>
          <w:szCs w:val="22"/>
        </w:rPr>
        <w:t>4</w:t>
      </w:r>
    </w:p>
    <w:p w14:paraId="09007BBD" w14:textId="44CEDE50" w:rsidR="003E242B" w:rsidRPr="00EF5E27" w:rsidRDefault="000C048A" w:rsidP="005C4991">
      <w:pPr>
        <w:spacing w:before="120" w:line="240" w:lineRule="auto"/>
        <w:jc w:val="center"/>
        <w:rPr>
          <w:rFonts w:asciiTheme="minorHAnsi" w:hAnsiTheme="minorHAnsi" w:cstheme="minorHAnsi"/>
          <w:sz w:val="22"/>
          <w:szCs w:val="22"/>
        </w:rPr>
      </w:pPr>
      <w:r w:rsidRPr="00EF5E27">
        <w:rPr>
          <w:rFonts w:asciiTheme="minorHAnsi" w:hAnsiTheme="minorHAnsi" w:cstheme="minorHAnsi"/>
          <w:sz w:val="22"/>
          <w:szCs w:val="22"/>
        </w:rPr>
        <w:t>(</w:t>
      </w:r>
      <w:r w:rsidR="003E242B" w:rsidRPr="00EF5E27">
        <w:rPr>
          <w:rFonts w:asciiTheme="minorHAnsi" w:hAnsiTheme="minorHAnsi" w:cstheme="minorHAnsi"/>
          <w:sz w:val="22"/>
          <w:szCs w:val="22"/>
        </w:rPr>
        <w:t>EDUCATION AT A GLANCE</w:t>
      </w:r>
      <w:r w:rsidRPr="00EF5E27">
        <w:rPr>
          <w:rFonts w:asciiTheme="minorHAnsi" w:hAnsiTheme="minorHAnsi" w:cstheme="minorHAnsi"/>
          <w:sz w:val="22"/>
          <w:szCs w:val="22"/>
        </w:rPr>
        <w:t xml:space="preserve"> – EAG</w:t>
      </w:r>
      <w:r w:rsidR="003E242B" w:rsidRPr="00EF5E27">
        <w:rPr>
          <w:rFonts w:asciiTheme="minorHAnsi" w:hAnsiTheme="minorHAnsi" w:cstheme="minorHAnsi"/>
          <w:sz w:val="22"/>
          <w:szCs w:val="22"/>
        </w:rPr>
        <w:t xml:space="preserve"> 202</w:t>
      </w:r>
      <w:r w:rsidR="00AA5796" w:rsidRPr="00EF5E27">
        <w:rPr>
          <w:rFonts w:asciiTheme="minorHAnsi" w:hAnsiTheme="minorHAnsi" w:cstheme="minorHAnsi"/>
          <w:sz w:val="22"/>
          <w:szCs w:val="22"/>
        </w:rPr>
        <w:t>4)</w:t>
      </w:r>
    </w:p>
    <w:p w14:paraId="7297B249" w14:textId="78FBCFD2" w:rsidR="003E242B" w:rsidRPr="00EF5E27" w:rsidRDefault="00671DA9" w:rsidP="00671DA9">
      <w:pPr>
        <w:spacing w:before="120" w:line="240" w:lineRule="auto"/>
        <w:jc w:val="center"/>
        <w:rPr>
          <w:rFonts w:asciiTheme="minorHAnsi" w:hAnsiTheme="minorHAnsi" w:cstheme="minorHAnsi"/>
          <w:b/>
          <w:bCs/>
          <w:sz w:val="22"/>
          <w:szCs w:val="22"/>
        </w:rPr>
      </w:pPr>
      <w:r w:rsidRPr="00EF5E27">
        <w:rPr>
          <w:rFonts w:asciiTheme="minorHAnsi" w:hAnsiTheme="minorHAnsi" w:cstheme="minorHAnsi"/>
          <w:b/>
          <w:bCs/>
          <w:sz w:val="22"/>
          <w:szCs w:val="22"/>
        </w:rPr>
        <w:t xml:space="preserve">Objavljena je nova izdaja publikacije </w:t>
      </w:r>
      <w:proofErr w:type="spellStart"/>
      <w:r w:rsidRPr="00EF5E27">
        <w:rPr>
          <w:rFonts w:asciiTheme="minorHAnsi" w:hAnsiTheme="minorHAnsi" w:cstheme="minorHAnsi"/>
          <w:b/>
          <w:bCs/>
          <w:sz w:val="22"/>
          <w:szCs w:val="22"/>
        </w:rPr>
        <w:t>Education</w:t>
      </w:r>
      <w:proofErr w:type="spellEnd"/>
      <w:r w:rsidRPr="00EF5E27">
        <w:rPr>
          <w:rFonts w:asciiTheme="minorHAnsi" w:hAnsiTheme="minorHAnsi" w:cstheme="minorHAnsi"/>
          <w:b/>
          <w:bCs/>
          <w:sz w:val="22"/>
          <w:szCs w:val="22"/>
        </w:rPr>
        <w:t xml:space="preserve"> at a </w:t>
      </w:r>
      <w:proofErr w:type="spellStart"/>
      <w:r w:rsidRPr="00EF5E27">
        <w:rPr>
          <w:rFonts w:asciiTheme="minorHAnsi" w:hAnsiTheme="minorHAnsi" w:cstheme="minorHAnsi"/>
          <w:b/>
          <w:bCs/>
          <w:sz w:val="22"/>
          <w:szCs w:val="22"/>
        </w:rPr>
        <w:t>Glance</w:t>
      </w:r>
      <w:proofErr w:type="spellEnd"/>
      <w:r w:rsidRPr="00EF5E27">
        <w:rPr>
          <w:rFonts w:asciiTheme="minorHAnsi" w:hAnsiTheme="minorHAnsi" w:cstheme="minorHAnsi"/>
          <w:b/>
          <w:bCs/>
          <w:sz w:val="22"/>
          <w:szCs w:val="22"/>
        </w:rPr>
        <w:t xml:space="preserve"> 2024.</w:t>
      </w:r>
    </w:p>
    <w:p w14:paraId="02B23926" w14:textId="7232E12A" w:rsidR="00E10C74" w:rsidRPr="00EF5E27" w:rsidRDefault="00E10C74" w:rsidP="005C4991">
      <w:pPr>
        <w:spacing w:before="120" w:line="240" w:lineRule="auto"/>
        <w:jc w:val="both"/>
        <w:rPr>
          <w:rFonts w:asciiTheme="minorHAnsi" w:hAnsiTheme="minorHAnsi" w:cstheme="minorHAnsi"/>
          <w:sz w:val="22"/>
          <w:szCs w:val="22"/>
        </w:rPr>
      </w:pPr>
      <w:r w:rsidRPr="00EF5E27">
        <w:rPr>
          <w:rFonts w:asciiTheme="minorHAnsi" w:hAnsiTheme="minorHAnsi" w:cstheme="minorHAnsi"/>
          <w:sz w:val="22"/>
          <w:szCs w:val="22"/>
        </w:rPr>
        <w:t xml:space="preserve">Organizacija za ekonomsko sodelovanje in razvoj (OECD) na letni ravni objavlja </w:t>
      </w:r>
      <w:r w:rsidR="00D478DC" w:rsidRPr="00EF5E27">
        <w:rPr>
          <w:rFonts w:asciiTheme="minorHAnsi" w:hAnsiTheme="minorHAnsi" w:cstheme="minorHAnsi"/>
          <w:sz w:val="22"/>
          <w:szCs w:val="22"/>
        </w:rPr>
        <w:t xml:space="preserve">podatke o </w:t>
      </w:r>
      <w:r w:rsidRPr="00EF5E27">
        <w:rPr>
          <w:rFonts w:asciiTheme="minorHAnsi" w:hAnsiTheme="minorHAnsi" w:cstheme="minorHAnsi"/>
          <w:sz w:val="22"/>
          <w:szCs w:val="22"/>
        </w:rPr>
        <w:t xml:space="preserve">izobraževanju v državah članicah in partnerskih državah. Publikacija </w:t>
      </w:r>
      <w:proofErr w:type="spellStart"/>
      <w:r w:rsidR="007261D6" w:rsidRPr="00EF5E27">
        <w:rPr>
          <w:rFonts w:asciiTheme="minorHAnsi" w:hAnsiTheme="minorHAnsi" w:cstheme="minorHAnsi"/>
          <w:sz w:val="22"/>
          <w:szCs w:val="22"/>
        </w:rPr>
        <w:t>Education</w:t>
      </w:r>
      <w:proofErr w:type="spellEnd"/>
      <w:r w:rsidR="007261D6" w:rsidRPr="00EF5E27">
        <w:rPr>
          <w:rFonts w:asciiTheme="minorHAnsi" w:hAnsiTheme="minorHAnsi" w:cstheme="minorHAnsi"/>
          <w:sz w:val="22"/>
          <w:szCs w:val="22"/>
        </w:rPr>
        <w:t xml:space="preserve"> at a </w:t>
      </w:r>
      <w:proofErr w:type="spellStart"/>
      <w:r w:rsidR="007261D6" w:rsidRPr="00EF5E27">
        <w:rPr>
          <w:rFonts w:asciiTheme="minorHAnsi" w:hAnsiTheme="minorHAnsi" w:cstheme="minorHAnsi"/>
          <w:sz w:val="22"/>
          <w:szCs w:val="22"/>
        </w:rPr>
        <w:t>Glance</w:t>
      </w:r>
      <w:proofErr w:type="spellEnd"/>
      <w:r w:rsidR="007261D6" w:rsidRPr="00EF5E27">
        <w:rPr>
          <w:rFonts w:asciiTheme="minorHAnsi" w:hAnsiTheme="minorHAnsi" w:cstheme="minorHAnsi"/>
          <w:sz w:val="22"/>
          <w:szCs w:val="22"/>
        </w:rPr>
        <w:t xml:space="preserve"> -</w:t>
      </w:r>
      <w:r w:rsidR="007B4B53" w:rsidRPr="00EF5E27">
        <w:rPr>
          <w:rFonts w:asciiTheme="minorHAnsi" w:hAnsiTheme="minorHAnsi" w:cstheme="minorHAnsi"/>
          <w:sz w:val="22"/>
          <w:szCs w:val="22"/>
        </w:rPr>
        <w:t xml:space="preserve"> </w:t>
      </w:r>
      <w:r w:rsidR="008E2AC7" w:rsidRPr="00EF5E27">
        <w:rPr>
          <w:rFonts w:asciiTheme="minorHAnsi" w:hAnsiTheme="minorHAnsi" w:cstheme="minorHAnsi"/>
          <w:sz w:val="22"/>
          <w:szCs w:val="22"/>
        </w:rPr>
        <w:t xml:space="preserve">EAG </w:t>
      </w:r>
      <w:r w:rsidRPr="00EF5E27">
        <w:rPr>
          <w:rFonts w:asciiTheme="minorHAnsi" w:hAnsiTheme="minorHAnsi" w:cstheme="minorHAnsi"/>
          <w:sz w:val="22"/>
          <w:szCs w:val="22"/>
        </w:rPr>
        <w:t xml:space="preserve">je najobširnejši mednarodni zbornik izbranih primerljivih podatkov o stanju in učinkih izobraževanja. Ta publikacija preučuje kakovost učnih rezultatov, vzvode politik in </w:t>
      </w:r>
      <w:proofErr w:type="spellStart"/>
      <w:r w:rsidRPr="00EF5E27">
        <w:rPr>
          <w:rFonts w:asciiTheme="minorHAnsi" w:hAnsiTheme="minorHAnsi" w:cstheme="minorHAnsi"/>
          <w:sz w:val="22"/>
          <w:szCs w:val="22"/>
        </w:rPr>
        <w:t>kontekstualne</w:t>
      </w:r>
      <w:proofErr w:type="spellEnd"/>
      <w:r w:rsidRPr="00EF5E27">
        <w:rPr>
          <w:rFonts w:asciiTheme="minorHAnsi" w:hAnsiTheme="minorHAnsi" w:cstheme="minorHAnsi"/>
          <w:sz w:val="22"/>
          <w:szCs w:val="22"/>
        </w:rPr>
        <w:t xml:space="preserve"> dejavnike, ki oblikujejo te rezultate, ter širše zasebne in družbene donose, ki so posledica naložb v izobraževanje</w:t>
      </w:r>
      <w:r w:rsidR="00D50FDE" w:rsidRPr="00EF5E27">
        <w:rPr>
          <w:rFonts w:asciiTheme="minorHAnsi" w:hAnsiTheme="minorHAnsi" w:cstheme="minorHAnsi"/>
          <w:sz w:val="22"/>
          <w:szCs w:val="22"/>
        </w:rPr>
        <w:t>.</w:t>
      </w:r>
    </w:p>
    <w:p w14:paraId="553A29CB" w14:textId="77777777" w:rsidR="00D50FDE" w:rsidRPr="00EF5E27" w:rsidRDefault="00D50FDE" w:rsidP="005C4991">
      <w:pPr>
        <w:spacing w:before="120" w:line="240" w:lineRule="auto"/>
        <w:jc w:val="both"/>
        <w:rPr>
          <w:rFonts w:asciiTheme="minorHAnsi" w:hAnsiTheme="minorHAnsi" w:cstheme="minorHAnsi"/>
          <w:sz w:val="22"/>
          <w:szCs w:val="22"/>
        </w:rPr>
      </w:pPr>
    </w:p>
    <w:p w14:paraId="4517A952" w14:textId="739E6023" w:rsidR="003E242B" w:rsidRPr="00EF5E27" w:rsidRDefault="00E2796F" w:rsidP="005C4991">
      <w:pPr>
        <w:spacing w:before="120" w:after="120" w:line="240" w:lineRule="auto"/>
        <w:jc w:val="center"/>
        <w:rPr>
          <w:rFonts w:asciiTheme="minorHAnsi" w:hAnsiTheme="minorHAnsi" w:cstheme="minorHAnsi"/>
          <w:sz w:val="22"/>
          <w:szCs w:val="22"/>
        </w:rPr>
      </w:pPr>
      <w:r w:rsidRPr="00EF5E27">
        <w:rPr>
          <w:rFonts w:asciiTheme="minorHAnsi" w:hAnsiTheme="minorHAnsi" w:cstheme="minorHAnsi"/>
          <w:sz w:val="22"/>
          <w:szCs w:val="22"/>
        </w:rPr>
        <w:t>PRAVIČNOST V IZ</w:t>
      </w:r>
      <w:r w:rsidR="008E2AC7" w:rsidRPr="00EF5E27">
        <w:rPr>
          <w:rFonts w:asciiTheme="minorHAnsi" w:hAnsiTheme="minorHAnsi" w:cstheme="minorHAnsi"/>
          <w:sz w:val="22"/>
          <w:szCs w:val="22"/>
        </w:rPr>
        <w:t>O</w:t>
      </w:r>
      <w:r w:rsidRPr="00EF5E27">
        <w:rPr>
          <w:rFonts w:asciiTheme="minorHAnsi" w:hAnsiTheme="minorHAnsi" w:cstheme="minorHAnsi"/>
          <w:sz w:val="22"/>
          <w:szCs w:val="22"/>
        </w:rPr>
        <w:t>BRAŽEVANJU IN NA TRGU DELA</w:t>
      </w:r>
      <w:r w:rsidR="003E242B" w:rsidRPr="00EF5E27">
        <w:rPr>
          <w:rFonts w:asciiTheme="minorHAnsi" w:hAnsiTheme="minorHAnsi" w:cstheme="minorHAnsi"/>
          <w:sz w:val="22"/>
          <w:szCs w:val="22"/>
        </w:rPr>
        <w:t xml:space="preserve">– OSREDNJA TEMA EAG </w:t>
      </w:r>
      <w:r w:rsidRPr="00EF5E27">
        <w:rPr>
          <w:rFonts w:asciiTheme="minorHAnsi" w:hAnsiTheme="minorHAnsi" w:cstheme="minorHAnsi"/>
          <w:sz w:val="22"/>
          <w:szCs w:val="22"/>
        </w:rPr>
        <w:t>2024</w:t>
      </w:r>
    </w:p>
    <w:p w14:paraId="1B9D6143" w14:textId="38730887" w:rsidR="001110DF" w:rsidRPr="00EF5E27" w:rsidRDefault="001110DF" w:rsidP="0030107B">
      <w:pPr>
        <w:pStyle w:val="Odstavekseznama"/>
        <w:spacing w:before="120" w:line="240" w:lineRule="auto"/>
        <w:ind w:left="0"/>
        <w:jc w:val="both"/>
        <w:rPr>
          <w:rFonts w:cstheme="minorHAnsi"/>
        </w:rPr>
      </w:pPr>
      <w:r w:rsidRPr="00EF5E27">
        <w:rPr>
          <w:rFonts w:cstheme="minorHAnsi"/>
        </w:rPr>
        <w:t xml:space="preserve">Pravičnost je že več desetletij v središču pozornosti oblikovalcev politik še posebej na področju izobraževanja. Izobraževalni sistem ne more veljati za uspešnega, če vsem učencem ne ponuja enakih možnosti in je premalo vključujoč. </w:t>
      </w:r>
    </w:p>
    <w:p w14:paraId="16C6EEB9" w14:textId="77777777" w:rsidR="00671DA9" w:rsidRDefault="001110DF" w:rsidP="001110DF">
      <w:pPr>
        <w:pStyle w:val="Odstavekseznama"/>
        <w:spacing w:before="120" w:line="240" w:lineRule="auto"/>
        <w:ind w:left="0"/>
        <w:contextualSpacing w:val="0"/>
        <w:jc w:val="both"/>
        <w:rPr>
          <w:rFonts w:cstheme="minorHAnsi"/>
        </w:rPr>
      </w:pPr>
      <w:r w:rsidRPr="00EF5E27">
        <w:rPr>
          <w:rFonts w:cstheme="minorHAnsi"/>
        </w:rPr>
        <w:t xml:space="preserve">Pravičnost v izobraževanju pomeni, da so učna okolja oblikovana tako, da </w:t>
      </w:r>
      <w:r w:rsidR="00671DA9" w:rsidRPr="00EF5E27">
        <w:rPr>
          <w:rFonts w:cstheme="minorHAnsi"/>
        </w:rPr>
        <w:t>zmanjšujejo</w:t>
      </w:r>
      <w:r w:rsidRPr="00EF5E27">
        <w:rPr>
          <w:rFonts w:cstheme="minorHAnsi"/>
        </w:rPr>
        <w:t xml:space="preserve"> vpliv </w:t>
      </w:r>
      <w:r w:rsidR="00671DA9" w:rsidRPr="00EF5E27">
        <w:rPr>
          <w:rFonts w:cstheme="minorHAnsi"/>
        </w:rPr>
        <w:t>družbenih neenakosti</w:t>
      </w:r>
      <w:r w:rsidRPr="00EF5E27">
        <w:rPr>
          <w:rFonts w:cstheme="minorHAnsi"/>
        </w:rPr>
        <w:t xml:space="preserve"> in ustvarjajo pogoje, v katerih dosežki v izobraževanju prispevajo k </w:t>
      </w:r>
      <w:r w:rsidR="00671DA9" w:rsidRPr="00EF5E27">
        <w:rPr>
          <w:rFonts w:cstheme="minorHAnsi"/>
        </w:rPr>
        <w:t xml:space="preserve">bolj </w:t>
      </w:r>
      <w:r w:rsidRPr="00EF5E27">
        <w:rPr>
          <w:rFonts w:cstheme="minorHAnsi"/>
        </w:rPr>
        <w:t xml:space="preserve">pravičnim gospodarskim in družbenim </w:t>
      </w:r>
      <w:r w:rsidR="00671DA9" w:rsidRPr="00EF5E27">
        <w:rPr>
          <w:rFonts w:cstheme="minorHAnsi"/>
        </w:rPr>
        <w:t>izidom</w:t>
      </w:r>
      <w:r w:rsidRPr="00EF5E27">
        <w:rPr>
          <w:rFonts w:cstheme="minorHAnsi"/>
        </w:rPr>
        <w:t xml:space="preserve"> še dolgo po tem, ko učenci končajo šolanje. Kazalniki imajo ključno vlogo pri ocenjevanju napredka pri doseganju </w:t>
      </w:r>
      <w:r w:rsidR="00671DA9" w:rsidRPr="00EF5E27">
        <w:rPr>
          <w:rFonts w:cstheme="minorHAnsi"/>
        </w:rPr>
        <w:t>pravičnosti</w:t>
      </w:r>
      <w:r w:rsidRPr="00EF5E27">
        <w:rPr>
          <w:rFonts w:cstheme="minorHAnsi"/>
        </w:rPr>
        <w:t xml:space="preserve"> v izobraževanju, saj pomagajo ugotoviti, ali je </w:t>
      </w:r>
      <w:r w:rsidR="00671DA9" w:rsidRPr="00EF5E27">
        <w:rPr>
          <w:rFonts w:cstheme="minorHAnsi"/>
        </w:rPr>
        <w:t>pravičnost v izobraževanju</w:t>
      </w:r>
      <w:r w:rsidRPr="00EF5E27">
        <w:rPr>
          <w:rFonts w:cstheme="minorHAnsi"/>
        </w:rPr>
        <w:t xml:space="preserve"> realnost ali pa ostajajo pomembni izzivi, ki jih je potrebno naslavljati</w:t>
      </w:r>
      <w:r w:rsidR="00E93C03" w:rsidRPr="00EF5E27">
        <w:rPr>
          <w:rFonts w:cstheme="minorHAnsi"/>
        </w:rPr>
        <w:t xml:space="preserve"> (</w:t>
      </w:r>
      <w:proofErr w:type="spellStart"/>
      <w:r w:rsidR="00E93C03" w:rsidRPr="00EF5E27">
        <w:rPr>
          <w:rFonts w:cstheme="minorHAnsi"/>
        </w:rPr>
        <w:t>Spotlight</w:t>
      </w:r>
      <w:proofErr w:type="spellEnd"/>
      <w:r w:rsidR="00E93C03" w:rsidRPr="00EF5E27">
        <w:rPr>
          <w:rFonts w:cstheme="minorHAnsi"/>
        </w:rPr>
        <w:t xml:space="preserve"> EAG 2024).</w:t>
      </w:r>
    </w:p>
    <w:p w14:paraId="060ABEE0" w14:textId="15883E40" w:rsidR="00DC08EF" w:rsidRDefault="00DC08EF" w:rsidP="001110DF">
      <w:pPr>
        <w:pStyle w:val="Odstavekseznama"/>
        <w:spacing w:before="120" w:line="240" w:lineRule="auto"/>
        <w:ind w:left="0"/>
        <w:contextualSpacing w:val="0"/>
        <w:jc w:val="both"/>
      </w:pPr>
      <w:r>
        <w:rPr>
          <w:rFonts w:cstheme="minorHAnsi"/>
        </w:rPr>
        <w:t xml:space="preserve">Celotna publikacija je dostopna na povezavi </w:t>
      </w:r>
      <w:hyperlink r:id="rId11" w:history="1">
        <w:proofErr w:type="spellStart"/>
        <w:r>
          <w:rPr>
            <w:rStyle w:val="Hiperpovezava"/>
          </w:rPr>
          <w:t>Education</w:t>
        </w:r>
        <w:proofErr w:type="spellEnd"/>
        <w:r>
          <w:rPr>
            <w:rStyle w:val="Hiperpovezava"/>
          </w:rPr>
          <w:t xml:space="preserve"> at a </w:t>
        </w:r>
        <w:proofErr w:type="spellStart"/>
        <w:r>
          <w:rPr>
            <w:rStyle w:val="Hiperpovezava"/>
          </w:rPr>
          <w:t>Glance</w:t>
        </w:r>
        <w:proofErr w:type="spellEnd"/>
        <w:r>
          <w:rPr>
            <w:rStyle w:val="Hiperpovezava"/>
          </w:rPr>
          <w:t xml:space="preserve"> 2024 : OECD </w:t>
        </w:r>
        <w:proofErr w:type="spellStart"/>
        <w:r>
          <w:rPr>
            <w:rStyle w:val="Hiperpovezava"/>
          </w:rPr>
          <w:t>Indicators</w:t>
        </w:r>
        <w:proofErr w:type="spellEnd"/>
        <w:r>
          <w:rPr>
            <w:rStyle w:val="Hiperpovezava"/>
          </w:rPr>
          <w:t xml:space="preserve"> | </w:t>
        </w:r>
        <w:proofErr w:type="spellStart"/>
        <w:r>
          <w:rPr>
            <w:rStyle w:val="Hiperpovezava"/>
          </w:rPr>
          <w:t>Education</w:t>
        </w:r>
        <w:proofErr w:type="spellEnd"/>
        <w:r>
          <w:rPr>
            <w:rStyle w:val="Hiperpovezava"/>
          </w:rPr>
          <w:t xml:space="preserve"> at a </w:t>
        </w:r>
        <w:proofErr w:type="spellStart"/>
        <w:r>
          <w:rPr>
            <w:rStyle w:val="Hiperpovezava"/>
          </w:rPr>
          <w:t>Glance</w:t>
        </w:r>
        <w:proofErr w:type="spellEnd"/>
        <w:r>
          <w:rPr>
            <w:rStyle w:val="Hiperpovezava"/>
          </w:rPr>
          <w:t xml:space="preserve"> | OECD </w:t>
        </w:r>
        <w:proofErr w:type="spellStart"/>
        <w:r>
          <w:rPr>
            <w:rStyle w:val="Hiperpovezava"/>
          </w:rPr>
          <w:t>iLibrary</w:t>
        </w:r>
        <w:proofErr w:type="spellEnd"/>
        <w:r>
          <w:rPr>
            <w:rStyle w:val="Hiperpovezava"/>
          </w:rPr>
          <w:t xml:space="preserve"> (oecd-ilibrary.org)</w:t>
        </w:r>
      </w:hyperlink>
    </w:p>
    <w:p w14:paraId="2AD30827" w14:textId="77777777" w:rsidR="00DC08EF" w:rsidRPr="00EF5E27" w:rsidRDefault="00DC08EF" w:rsidP="001110DF">
      <w:pPr>
        <w:pStyle w:val="Odstavekseznama"/>
        <w:spacing w:before="120" w:line="240" w:lineRule="auto"/>
        <w:ind w:left="0"/>
        <w:contextualSpacing w:val="0"/>
        <w:jc w:val="both"/>
        <w:rPr>
          <w:rFonts w:cstheme="minorHAnsi"/>
        </w:rPr>
      </w:pPr>
    </w:p>
    <w:sdt>
      <w:sdtPr>
        <w:rPr>
          <w:rFonts w:ascii="Arial" w:eastAsia="Times New Roman" w:hAnsi="Arial"/>
          <w:sz w:val="20"/>
          <w:szCs w:val="24"/>
          <w:lang w:eastAsia="en-US"/>
        </w:rPr>
        <w:id w:val="1729720856"/>
        <w:docPartObj>
          <w:docPartGallery w:val="Table of Contents"/>
          <w:docPartUnique/>
        </w:docPartObj>
      </w:sdtPr>
      <w:sdtEndPr>
        <w:rPr>
          <w:b/>
          <w:bCs/>
        </w:rPr>
      </w:sdtEndPr>
      <w:sdtContent>
        <w:p w14:paraId="061CE6AB" w14:textId="2E4FC553" w:rsidR="00224665" w:rsidRDefault="00D93A0F">
          <w:pPr>
            <w:pStyle w:val="Kazalovsebine1"/>
            <w:tabs>
              <w:tab w:val="right" w:leader="dot" w:pos="8488"/>
            </w:tabs>
            <w:rPr>
              <w:rFonts w:cstheme="minorBidi"/>
              <w:noProof/>
              <w:kern w:val="2"/>
              <w14:ligatures w14:val="standardContextual"/>
            </w:rPr>
          </w:pPr>
          <w:r w:rsidRPr="00D93A0F">
            <w:fldChar w:fldCharType="begin"/>
          </w:r>
          <w:r w:rsidRPr="00D93A0F">
            <w:instrText xml:space="preserve"> TOC \o "1-3" \h \z \u </w:instrText>
          </w:r>
          <w:r w:rsidRPr="00D93A0F">
            <w:fldChar w:fldCharType="separate"/>
          </w:r>
          <w:hyperlink w:anchor="_Toc176856761" w:history="1">
            <w:r w:rsidR="00224665" w:rsidRPr="00C34BA6">
              <w:rPr>
                <w:rStyle w:val="Hiperpovezava"/>
                <w:noProof/>
              </w:rPr>
              <w:t>Poudarki ob objavi EAG 2024</w:t>
            </w:r>
            <w:r w:rsidR="00224665">
              <w:rPr>
                <w:noProof/>
                <w:webHidden/>
              </w:rPr>
              <w:tab/>
            </w:r>
            <w:r w:rsidR="00224665">
              <w:rPr>
                <w:noProof/>
                <w:webHidden/>
              </w:rPr>
              <w:fldChar w:fldCharType="begin"/>
            </w:r>
            <w:r w:rsidR="00224665">
              <w:rPr>
                <w:noProof/>
                <w:webHidden/>
              </w:rPr>
              <w:instrText xml:space="preserve"> PAGEREF _Toc176856761 \h </w:instrText>
            </w:r>
            <w:r w:rsidR="00224665">
              <w:rPr>
                <w:noProof/>
                <w:webHidden/>
              </w:rPr>
            </w:r>
            <w:r w:rsidR="00224665">
              <w:rPr>
                <w:noProof/>
                <w:webHidden/>
              </w:rPr>
              <w:fldChar w:fldCharType="separate"/>
            </w:r>
            <w:r w:rsidR="00224665">
              <w:rPr>
                <w:noProof/>
                <w:webHidden/>
              </w:rPr>
              <w:t>3</w:t>
            </w:r>
            <w:r w:rsidR="00224665">
              <w:rPr>
                <w:noProof/>
                <w:webHidden/>
              </w:rPr>
              <w:fldChar w:fldCharType="end"/>
            </w:r>
          </w:hyperlink>
        </w:p>
        <w:p w14:paraId="1DC9E62B" w14:textId="28C94A1E" w:rsidR="00224665" w:rsidRDefault="00F26756">
          <w:pPr>
            <w:pStyle w:val="Kazalovsebine2"/>
            <w:tabs>
              <w:tab w:val="right" w:leader="dot" w:pos="8488"/>
            </w:tabs>
            <w:rPr>
              <w:rFonts w:cstheme="minorBidi"/>
              <w:noProof/>
              <w:kern w:val="2"/>
              <w14:ligatures w14:val="standardContextual"/>
            </w:rPr>
          </w:pPr>
          <w:hyperlink w:anchor="_Toc176856762" w:history="1">
            <w:r w:rsidR="00224665" w:rsidRPr="00C34BA6">
              <w:rPr>
                <w:rStyle w:val="Hiperpovezava"/>
                <w:noProof/>
              </w:rPr>
              <w:t>Družbene neenakosti se  odrazijo v izobraževanju že v zgodnjem otroštvu.</w:t>
            </w:r>
            <w:r w:rsidR="00224665">
              <w:rPr>
                <w:noProof/>
                <w:webHidden/>
              </w:rPr>
              <w:tab/>
            </w:r>
            <w:r w:rsidR="00224665">
              <w:rPr>
                <w:noProof/>
                <w:webHidden/>
              </w:rPr>
              <w:fldChar w:fldCharType="begin"/>
            </w:r>
            <w:r w:rsidR="00224665">
              <w:rPr>
                <w:noProof/>
                <w:webHidden/>
              </w:rPr>
              <w:instrText xml:space="preserve"> PAGEREF _Toc176856762 \h </w:instrText>
            </w:r>
            <w:r w:rsidR="00224665">
              <w:rPr>
                <w:noProof/>
                <w:webHidden/>
              </w:rPr>
            </w:r>
            <w:r w:rsidR="00224665">
              <w:rPr>
                <w:noProof/>
                <w:webHidden/>
              </w:rPr>
              <w:fldChar w:fldCharType="separate"/>
            </w:r>
            <w:r w:rsidR="00224665">
              <w:rPr>
                <w:noProof/>
                <w:webHidden/>
              </w:rPr>
              <w:t>3</w:t>
            </w:r>
            <w:r w:rsidR="00224665">
              <w:rPr>
                <w:noProof/>
                <w:webHidden/>
              </w:rPr>
              <w:fldChar w:fldCharType="end"/>
            </w:r>
          </w:hyperlink>
        </w:p>
        <w:p w14:paraId="658FD45D" w14:textId="13DDDE2D" w:rsidR="00224665" w:rsidRDefault="00F26756">
          <w:pPr>
            <w:pStyle w:val="Kazalovsebine2"/>
            <w:tabs>
              <w:tab w:val="right" w:leader="dot" w:pos="8488"/>
            </w:tabs>
            <w:rPr>
              <w:rFonts w:cstheme="minorBidi"/>
              <w:noProof/>
              <w:kern w:val="2"/>
              <w14:ligatures w14:val="standardContextual"/>
            </w:rPr>
          </w:pPr>
          <w:hyperlink w:anchor="_Toc176856763" w:history="1">
            <w:r w:rsidR="00224665" w:rsidRPr="00C34BA6">
              <w:rPr>
                <w:rStyle w:val="Hiperpovezava"/>
                <w:noProof/>
              </w:rPr>
              <w:t>Največje neenakosti v izobraževanju so povezane s socialno-ekonomskim ozadjem družine iz katere izhajajo učenci.</w:t>
            </w:r>
            <w:r w:rsidR="00224665">
              <w:rPr>
                <w:noProof/>
                <w:webHidden/>
              </w:rPr>
              <w:tab/>
            </w:r>
            <w:r w:rsidR="00224665">
              <w:rPr>
                <w:noProof/>
                <w:webHidden/>
              </w:rPr>
              <w:fldChar w:fldCharType="begin"/>
            </w:r>
            <w:r w:rsidR="00224665">
              <w:rPr>
                <w:noProof/>
                <w:webHidden/>
              </w:rPr>
              <w:instrText xml:space="preserve"> PAGEREF _Toc176856763 \h </w:instrText>
            </w:r>
            <w:r w:rsidR="00224665">
              <w:rPr>
                <w:noProof/>
                <w:webHidden/>
              </w:rPr>
            </w:r>
            <w:r w:rsidR="00224665">
              <w:rPr>
                <w:noProof/>
                <w:webHidden/>
              </w:rPr>
              <w:fldChar w:fldCharType="separate"/>
            </w:r>
            <w:r w:rsidR="00224665">
              <w:rPr>
                <w:noProof/>
                <w:webHidden/>
              </w:rPr>
              <w:t>3</w:t>
            </w:r>
            <w:r w:rsidR="00224665">
              <w:rPr>
                <w:noProof/>
                <w:webHidden/>
              </w:rPr>
              <w:fldChar w:fldCharType="end"/>
            </w:r>
          </w:hyperlink>
        </w:p>
        <w:p w14:paraId="59D2DE55" w14:textId="2B420508" w:rsidR="00224665" w:rsidRDefault="00F26756">
          <w:pPr>
            <w:pStyle w:val="Kazalovsebine2"/>
            <w:tabs>
              <w:tab w:val="right" w:leader="dot" w:pos="8488"/>
            </w:tabs>
            <w:rPr>
              <w:rFonts w:cstheme="minorBidi"/>
              <w:noProof/>
              <w:kern w:val="2"/>
              <w14:ligatures w14:val="standardContextual"/>
            </w:rPr>
          </w:pPr>
          <w:hyperlink w:anchor="_Toc176856764" w:history="1">
            <w:r w:rsidR="00224665" w:rsidRPr="00C34BA6">
              <w:rPr>
                <w:rStyle w:val="Hiperpovezava"/>
                <w:noProof/>
              </w:rPr>
              <w:t>Dekleta in ženske so pri izobraževanju uspešnejše od fantov in moških, na  trgu dela je ravno obratno.</w:t>
            </w:r>
            <w:r w:rsidR="00224665">
              <w:rPr>
                <w:noProof/>
                <w:webHidden/>
              </w:rPr>
              <w:tab/>
            </w:r>
            <w:r w:rsidR="00224665">
              <w:rPr>
                <w:noProof/>
                <w:webHidden/>
              </w:rPr>
              <w:fldChar w:fldCharType="begin"/>
            </w:r>
            <w:r w:rsidR="00224665">
              <w:rPr>
                <w:noProof/>
                <w:webHidden/>
              </w:rPr>
              <w:instrText xml:space="preserve"> PAGEREF _Toc176856764 \h </w:instrText>
            </w:r>
            <w:r w:rsidR="00224665">
              <w:rPr>
                <w:noProof/>
                <w:webHidden/>
              </w:rPr>
            </w:r>
            <w:r w:rsidR="00224665">
              <w:rPr>
                <w:noProof/>
                <w:webHidden/>
              </w:rPr>
              <w:fldChar w:fldCharType="separate"/>
            </w:r>
            <w:r w:rsidR="00224665">
              <w:rPr>
                <w:noProof/>
                <w:webHidden/>
              </w:rPr>
              <w:t>4</w:t>
            </w:r>
            <w:r w:rsidR="00224665">
              <w:rPr>
                <w:noProof/>
                <w:webHidden/>
              </w:rPr>
              <w:fldChar w:fldCharType="end"/>
            </w:r>
          </w:hyperlink>
        </w:p>
        <w:p w14:paraId="09A847F6" w14:textId="4C28B434" w:rsidR="00224665" w:rsidRDefault="00F26756">
          <w:pPr>
            <w:pStyle w:val="Kazalovsebine2"/>
            <w:tabs>
              <w:tab w:val="right" w:leader="dot" w:pos="8488"/>
            </w:tabs>
            <w:rPr>
              <w:rFonts w:cstheme="minorBidi"/>
              <w:noProof/>
              <w:kern w:val="2"/>
              <w14:ligatures w14:val="standardContextual"/>
            </w:rPr>
          </w:pPr>
          <w:hyperlink w:anchor="_Toc176856765" w:history="1">
            <w:r w:rsidR="00224665" w:rsidRPr="00C34BA6">
              <w:rPr>
                <w:rStyle w:val="Hiperpovezava"/>
                <w:noProof/>
              </w:rPr>
              <w:t>Višja sekundarna (srednješolska) izobrazba ostaja ključna za izboljšanje položaja na trgu dela.</w:t>
            </w:r>
            <w:r w:rsidR="00224665">
              <w:rPr>
                <w:noProof/>
                <w:webHidden/>
              </w:rPr>
              <w:tab/>
            </w:r>
            <w:r w:rsidR="00224665">
              <w:rPr>
                <w:noProof/>
                <w:webHidden/>
              </w:rPr>
              <w:fldChar w:fldCharType="begin"/>
            </w:r>
            <w:r w:rsidR="00224665">
              <w:rPr>
                <w:noProof/>
                <w:webHidden/>
              </w:rPr>
              <w:instrText xml:space="preserve"> PAGEREF _Toc176856765 \h </w:instrText>
            </w:r>
            <w:r w:rsidR="00224665">
              <w:rPr>
                <w:noProof/>
                <w:webHidden/>
              </w:rPr>
            </w:r>
            <w:r w:rsidR="00224665">
              <w:rPr>
                <w:noProof/>
                <w:webHidden/>
              </w:rPr>
              <w:fldChar w:fldCharType="separate"/>
            </w:r>
            <w:r w:rsidR="00224665">
              <w:rPr>
                <w:noProof/>
                <w:webHidden/>
              </w:rPr>
              <w:t>4</w:t>
            </w:r>
            <w:r w:rsidR="00224665">
              <w:rPr>
                <w:noProof/>
                <w:webHidden/>
              </w:rPr>
              <w:fldChar w:fldCharType="end"/>
            </w:r>
          </w:hyperlink>
        </w:p>
        <w:p w14:paraId="17DD5D1F" w14:textId="2BA84A6D" w:rsidR="00224665" w:rsidRDefault="00F26756">
          <w:pPr>
            <w:pStyle w:val="Kazalovsebine2"/>
            <w:tabs>
              <w:tab w:val="right" w:leader="dot" w:pos="8488"/>
            </w:tabs>
            <w:rPr>
              <w:rFonts w:cstheme="minorBidi"/>
              <w:noProof/>
              <w:kern w:val="2"/>
              <w14:ligatures w14:val="standardContextual"/>
            </w:rPr>
          </w:pPr>
          <w:hyperlink w:anchor="_Toc176856766" w:history="1">
            <w:r w:rsidR="00224665" w:rsidRPr="00C34BA6">
              <w:rPr>
                <w:rStyle w:val="Hiperpovezava"/>
                <w:noProof/>
              </w:rPr>
              <w:t>Terciarna izobrazba je v vseh državah in vseh demografskih skupinah povezana z najboljšimi zaposlitvenimi možnostmi za mlade.</w:t>
            </w:r>
            <w:r w:rsidR="00224665">
              <w:rPr>
                <w:noProof/>
                <w:webHidden/>
              </w:rPr>
              <w:tab/>
            </w:r>
            <w:r w:rsidR="00224665">
              <w:rPr>
                <w:noProof/>
                <w:webHidden/>
              </w:rPr>
              <w:fldChar w:fldCharType="begin"/>
            </w:r>
            <w:r w:rsidR="00224665">
              <w:rPr>
                <w:noProof/>
                <w:webHidden/>
              </w:rPr>
              <w:instrText xml:space="preserve"> PAGEREF _Toc176856766 \h </w:instrText>
            </w:r>
            <w:r w:rsidR="00224665">
              <w:rPr>
                <w:noProof/>
                <w:webHidden/>
              </w:rPr>
            </w:r>
            <w:r w:rsidR="00224665">
              <w:rPr>
                <w:noProof/>
                <w:webHidden/>
              </w:rPr>
              <w:fldChar w:fldCharType="separate"/>
            </w:r>
            <w:r w:rsidR="00224665">
              <w:rPr>
                <w:noProof/>
                <w:webHidden/>
              </w:rPr>
              <w:t>4</w:t>
            </w:r>
            <w:r w:rsidR="00224665">
              <w:rPr>
                <w:noProof/>
                <w:webHidden/>
              </w:rPr>
              <w:fldChar w:fldCharType="end"/>
            </w:r>
          </w:hyperlink>
        </w:p>
        <w:p w14:paraId="224A1CF2" w14:textId="5973636E" w:rsidR="00224665" w:rsidRDefault="00F26756">
          <w:pPr>
            <w:pStyle w:val="Kazalovsebine2"/>
            <w:tabs>
              <w:tab w:val="right" w:leader="dot" w:pos="8488"/>
            </w:tabs>
            <w:rPr>
              <w:rFonts w:cstheme="minorBidi"/>
              <w:noProof/>
              <w:kern w:val="2"/>
              <w14:ligatures w14:val="standardContextual"/>
            </w:rPr>
          </w:pPr>
          <w:hyperlink w:anchor="_Toc176856767" w:history="1">
            <w:r w:rsidR="00224665" w:rsidRPr="00C34BA6">
              <w:rPr>
                <w:rStyle w:val="Hiperpovezava"/>
                <w:noProof/>
              </w:rPr>
              <w:t>Verjetnost zaposlitve se povečuje z doseženo izobrazbo, vendar so terciarno izobraženi odrasli, ki so se rodili v tujini zaposleni v manjšem deležu, kot rojeni v državi z isto stopnjo izobrazbe.</w:t>
            </w:r>
            <w:r w:rsidR="00224665">
              <w:rPr>
                <w:noProof/>
                <w:webHidden/>
              </w:rPr>
              <w:tab/>
            </w:r>
            <w:r w:rsidR="00224665">
              <w:rPr>
                <w:noProof/>
                <w:webHidden/>
              </w:rPr>
              <w:fldChar w:fldCharType="begin"/>
            </w:r>
            <w:r w:rsidR="00224665">
              <w:rPr>
                <w:noProof/>
                <w:webHidden/>
              </w:rPr>
              <w:instrText xml:space="preserve"> PAGEREF _Toc176856767 \h </w:instrText>
            </w:r>
            <w:r w:rsidR="00224665">
              <w:rPr>
                <w:noProof/>
                <w:webHidden/>
              </w:rPr>
            </w:r>
            <w:r w:rsidR="00224665">
              <w:rPr>
                <w:noProof/>
                <w:webHidden/>
              </w:rPr>
              <w:fldChar w:fldCharType="separate"/>
            </w:r>
            <w:r w:rsidR="00224665">
              <w:rPr>
                <w:noProof/>
                <w:webHidden/>
              </w:rPr>
              <w:t>5</w:t>
            </w:r>
            <w:r w:rsidR="00224665">
              <w:rPr>
                <w:noProof/>
                <w:webHidden/>
              </w:rPr>
              <w:fldChar w:fldCharType="end"/>
            </w:r>
          </w:hyperlink>
        </w:p>
        <w:p w14:paraId="1045299D" w14:textId="05A2A15B" w:rsidR="00224665" w:rsidRDefault="00F26756">
          <w:pPr>
            <w:pStyle w:val="Kazalovsebine1"/>
            <w:tabs>
              <w:tab w:val="right" w:leader="dot" w:pos="8488"/>
            </w:tabs>
            <w:rPr>
              <w:rFonts w:cstheme="minorBidi"/>
              <w:noProof/>
              <w:kern w:val="2"/>
              <w14:ligatures w14:val="standardContextual"/>
            </w:rPr>
          </w:pPr>
          <w:hyperlink w:anchor="_Toc176856768" w:history="1">
            <w:r w:rsidR="00224665" w:rsidRPr="00C34BA6">
              <w:rPr>
                <w:rStyle w:val="Hiperpovezava"/>
                <w:noProof/>
              </w:rPr>
              <w:t>Nekaj poudarkov za Slovenijo:</w:t>
            </w:r>
            <w:r w:rsidR="00224665">
              <w:rPr>
                <w:noProof/>
                <w:webHidden/>
              </w:rPr>
              <w:tab/>
            </w:r>
            <w:r w:rsidR="00224665">
              <w:rPr>
                <w:noProof/>
                <w:webHidden/>
              </w:rPr>
              <w:fldChar w:fldCharType="begin"/>
            </w:r>
            <w:r w:rsidR="00224665">
              <w:rPr>
                <w:noProof/>
                <w:webHidden/>
              </w:rPr>
              <w:instrText xml:space="preserve"> PAGEREF _Toc176856768 \h </w:instrText>
            </w:r>
            <w:r w:rsidR="00224665">
              <w:rPr>
                <w:noProof/>
                <w:webHidden/>
              </w:rPr>
            </w:r>
            <w:r w:rsidR="00224665">
              <w:rPr>
                <w:noProof/>
                <w:webHidden/>
              </w:rPr>
              <w:fldChar w:fldCharType="separate"/>
            </w:r>
            <w:r w:rsidR="00224665">
              <w:rPr>
                <w:noProof/>
                <w:webHidden/>
              </w:rPr>
              <w:t>5</w:t>
            </w:r>
            <w:r w:rsidR="00224665">
              <w:rPr>
                <w:noProof/>
                <w:webHidden/>
              </w:rPr>
              <w:fldChar w:fldCharType="end"/>
            </w:r>
          </w:hyperlink>
        </w:p>
        <w:p w14:paraId="485A1A44" w14:textId="7E830BF6" w:rsidR="00224665" w:rsidRDefault="00F26756">
          <w:pPr>
            <w:pStyle w:val="Kazalovsebine2"/>
            <w:tabs>
              <w:tab w:val="right" w:leader="dot" w:pos="8488"/>
            </w:tabs>
            <w:rPr>
              <w:rFonts w:cstheme="minorBidi"/>
              <w:noProof/>
              <w:kern w:val="2"/>
              <w14:ligatures w14:val="standardContextual"/>
            </w:rPr>
          </w:pPr>
          <w:hyperlink w:anchor="_Toc176856769" w:history="1">
            <w:r w:rsidR="00224665" w:rsidRPr="00C34BA6">
              <w:rPr>
                <w:rStyle w:val="Hiperpovezava"/>
                <w:noProof/>
              </w:rPr>
              <w:t>Slovenija je z deležem 4,6 % BDP za izobraževanje  pod povprečjem OECD.</w:t>
            </w:r>
            <w:r w:rsidR="00224665">
              <w:rPr>
                <w:noProof/>
                <w:webHidden/>
              </w:rPr>
              <w:tab/>
            </w:r>
            <w:r w:rsidR="00224665">
              <w:rPr>
                <w:noProof/>
                <w:webHidden/>
              </w:rPr>
              <w:fldChar w:fldCharType="begin"/>
            </w:r>
            <w:r w:rsidR="00224665">
              <w:rPr>
                <w:noProof/>
                <w:webHidden/>
              </w:rPr>
              <w:instrText xml:space="preserve"> PAGEREF _Toc176856769 \h </w:instrText>
            </w:r>
            <w:r w:rsidR="00224665">
              <w:rPr>
                <w:noProof/>
                <w:webHidden/>
              </w:rPr>
            </w:r>
            <w:r w:rsidR="00224665">
              <w:rPr>
                <w:noProof/>
                <w:webHidden/>
              </w:rPr>
              <w:fldChar w:fldCharType="separate"/>
            </w:r>
            <w:r w:rsidR="00224665">
              <w:rPr>
                <w:noProof/>
                <w:webHidden/>
              </w:rPr>
              <w:t>5</w:t>
            </w:r>
            <w:r w:rsidR="00224665">
              <w:rPr>
                <w:noProof/>
                <w:webHidden/>
              </w:rPr>
              <w:fldChar w:fldCharType="end"/>
            </w:r>
          </w:hyperlink>
        </w:p>
        <w:p w14:paraId="43AE7F51" w14:textId="00AA93E3" w:rsidR="00224665" w:rsidRDefault="00F26756">
          <w:pPr>
            <w:pStyle w:val="Kazalovsebine2"/>
            <w:tabs>
              <w:tab w:val="right" w:leader="dot" w:pos="8488"/>
            </w:tabs>
            <w:rPr>
              <w:rFonts w:cstheme="minorBidi"/>
              <w:noProof/>
              <w:kern w:val="2"/>
              <w14:ligatures w14:val="standardContextual"/>
            </w:rPr>
          </w:pPr>
          <w:hyperlink w:anchor="_Toc176856770" w:history="1">
            <w:r w:rsidR="00224665" w:rsidRPr="00C34BA6">
              <w:rPr>
                <w:rStyle w:val="Hiperpovezava"/>
                <w:noProof/>
              </w:rPr>
              <w:t>V letu 2021 so bili povprečni letni izdatki na učenca od primarnega do terciarnega izobraževanja v Sloveniji pod povprečjem OECD; v Sloveniji 13.205 USD, v OECD 14.179 USD.</w:t>
            </w:r>
            <w:r w:rsidR="00224665">
              <w:rPr>
                <w:noProof/>
                <w:webHidden/>
              </w:rPr>
              <w:tab/>
            </w:r>
            <w:r w:rsidR="00224665">
              <w:rPr>
                <w:noProof/>
                <w:webHidden/>
              </w:rPr>
              <w:fldChar w:fldCharType="begin"/>
            </w:r>
            <w:r w:rsidR="00224665">
              <w:rPr>
                <w:noProof/>
                <w:webHidden/>
              </w:rPr>
              <w:instrText xml:space="preserve"> PAGEREF _Toc176856770 \h </w:instrText>
            </w:r>
            <w:r w:rsidR="00224665">
              <w:rPr>
                <w:noProof/>
                <w:webHidden/>
              </w:rPr>
            </w:r>
            <w:r w:rsidR="00224665">
              <w:rPr>
                <w:noProof/>
                <w:webHidden/>
              </w:rPr>
              <w:fldChar w:fldCharType="separate"/>
            </w:r>
            <w:r w:rsidR="00224665">
              <w:rPr>
                <w:noProof/>
                <w:webHidden/>
              </w:rPr>
              <w:t>5</w:t>
            </w:r>
            <w:r w:rsidR="00224665">
              <w:rPr>
                <w:noProof/>
                <w:webHidden/>
              </w:rPr>
              <w:fldChar w:fldCharType="end"/>
            </w:r>
          </w:hyperlink>
        </w:p>
        <w:p w14:paraId="18570D63" w14:textId="25C01412" w:rsidR="00224665" w:rsidRDefault="00F26756">
          <w:pPr>
            <w:pStyle w:val="Kazalovsebine2"/>
            <w:tabs>
              <w:tab w:val="right" w:leader="dot" w:pos="8488"/>
            </w:tabs>
            <w:rPr>
              <w:rFonts w:cstheme="minorBidi"/>
              <w:noProof/>
              <w:kern w:val="2"/>
              <w14:ligatures w14:val="standardContextual"/>
            </w:rPr>
          </w:pPr>
          <w:hyperlink w:anchor="_Toc176856771" w:history="1">
            <w:r w:rsidR="00224665" w:rsidRPr="00C34BA6">
              <w:rPr>
                <w:rStyle w:val="Hiperpovezava"/>
                <w:noProof/>
              </w:rPr>
              <w:t>Število učencev na učitelja se razlikuje med ravnmi izobraževanja; v Sloveniji je pod povprečjem OECD na primarni in nižji sekundarni ravni (osnovna šola) in nad povprečjem na višji sekundarni ravni (srednja šola).</w:t>
            </w:r>
            <w:r w:rsidR="00224665">
              <w:rPr>
                <w:noProof/>
                <w:webHidden/>
              </w:rPr>
              <w:tab/>
            </w:r>
            <w:r w:rsidR="00224665">
              <w:rPr>
                <w:noProof/>
                <w:webHidden/>
              </w:rPr>
              <w:fldChar w:fldCharType="begin"/>
            </w:r>
            <w:r w:rsidR="00224665">
              <w:rPr>
                <w:noProof/>
                <w:webHidden/>
              </w:rPr>
              <w:instrText xml:space="preserve"> PAGEREF _Toc176856771 \h </w:instrText>
            </w:r>
            <w:r w:rsidR="00224665">
              <w:rPr>
                <w:noProof/>
                <w:webHidden/>
              </w:rPr>
            </w:r>
            <w:r w:rsidR="00224665">
              <w:rPr>
                <w:noProof/>
                <w:webHidden/>
              </w:rPr>
              <w:fldChar w:fldCharType="separate"/>
            </w:r>
            <w:r w:rsidR="00224665">
              <w:rPr>
                <w:noProof/>
                <w:webHidden/>
              </w:rPr>
              <w:t>6</w:t>
            </w:r>
            <w:r w:rsidR="00224665">
              <w:rPr>
                <w:noProof/>
                <w:webHidden/>
              </w:rPr>
              <w:fldChar w:fldCharType="end"/>
            </w:r>
          </w:hyperlink>
        </w:p>
        <w:p w14:paraId="5EA942F7" w14:textId="5E020FFB" w:rsidR="00224665" w:rsidRDefault="00F26756">
          <w:pPr>
            <w:pStyle w:val="Kazalovsebine2"/>
            <w:tabs>
              <w:tab w:val="right" w:leader="dot" w:pos="8488"/>
            </w:tabs>
            <w:rPr>
              <w:rFonts w:cstheme="minorBidi"/>
              <w:noProof/>
              <w:kern w:val="2"/>
              <w14:ligatures w14:val="standardContextual"/>
            </w:rPr>
          </w:pPr>
          <w:hyperlink w:anchor="_Toc176856772" w:history="1">
            <w:r w:rsidR="00224665" w:rsidRPr="00C34BA6">
              <w:rPr>
                <w:rStyle w:val="Hiperpovezava"/>
                <w:noProof/>
              </w:rPr>
              <w:t>Povprečne dejansko izplačane plače učiteljev so bile v Sloveniji pod povprečjem OECD.</w:t>
            </w:r>
            <w:r w:rsidR="00224665">
              <w:rPr>
                <w:noProof/>
                <w:webHidden/>
              </w:rPr>
              <w:tab/>
            </w:r>
            <w:r w:rsidR="00224665">
              <w:rPr>
                <w:noProof/>
                <w:webHidden/>
              </w:rPr>
              <w:fldChar w:fldCharType="begin"/>
            </w:r>
            <w:r w:rsidR="00224665">
              <w:rPr>
                <w:noProof/>
                <w:webHidden/>
              </w:rPr>
              <w:instrText xml:space="preserve"> PAGEREF _Toc176856772 \h </w:instrText>
            </w:r>
            <w:r w:rsidR="00224665">
              <w:rPr>
                <w:noProof/>
                <w:webHidden/>
              </w:rPr>
            </w:r>
            <w:r w:rsidR="00224665">
              <w:rPr>
                <w:noProof/>
                <w:webHidden/>
              </w:rPr>
              <w:fldChar w:fldCharType="separate"/>
            </w:r>
            <w:r w:rsidR="00224665">
              <w:rPr>
                <w:noProof/>
                <w:webHidden/>
              </w:rPr>
              <w:t>6</w:t>
            </w:r>
            <w:r w:rsidR="00224665">
              <w:rPr>
                <w:noProof/>
                <w:webHidden/>
              </w:rPr>
              <w:fldChar w:fldCharType="end"/>
            </w:r>
          </w:hyperlink>
        </w:p>
        <w:p w14:paraId="7CCC0F19" w14:textId="1E7AD9D2" w:rsidR="00D93A0F" w:rsidRDefault="00D93A0F">
          <w:r w:rsidRPr="00D93A0F">
            <w:rPr>
              <w:b/>
              <w:bCs/>
            </w:rPr>
            <w:fldChar w:fldCharType="end"/>
          </w:r>
        </w:p>
      </w:sdtContent>
    </w:sdt>
    <w:p w14:paraId="6C6677AE" w14:textId="37D089B1" w:rsidR="009B6997" w:rsidRPr="00EF5E27" w:rsidRDefault="009B6997">
      <w:pPr>
        <w:spacing w:after="160" w:line="259" w:lineRule="auto"/>
        <w:rPr>
          <w:rFonts w:cstheme="minorHAnsi"/>
        </w:rPr>
      </w:pPr>
      <w:r w:rsidRPr="00EF5E27">
        <w:rPr>
          <w:rFonts w:cstheme="minorHAnsi"/>
        </w:rPr>
        <w:br w:type="page"/>
      </w:r>
    </w:p>
    <w:p w14:paraId="563F2943" w14:textId="46993F6E" w:rsidR="00DC18C1" w:rsidRPr="00EF5E27" w:rsidRDefault="00EF5E27" w:rsidP="00D93A0F">
      <w:pPr>
        <w:pStyle w:val="Naslov1"/>
        <w:jc w:val="center"/>
      </w:pPr>
      <w:bookmarkStart w:id="0" w:name="_Toc176856761"/>
      <w:r w:rsidRPr="00EF5E27">
        <w:lastRenderedPageBreak/>
        <w:t>Poudarki ob objavi EAG 2024</w:t>
      </w:r>
      <w:bookmarkEnd w:id="0"/>
    </w:p>
    <w:p w14:paraId="38077E6F" w14:textId="77777777" w:rsidR="00D93A0F" w:rsidRDefault="00D93A0F" w:rsidP="00D93A0F">
      <w:pPr>
        <w:pStyle w:val="Naslov2"/>
      </w:pPr>
      <w:bookmarkStart w:id="1" w:name="_Hlk176855275"/>
    </w:p>
    <w:p w14:paraId="0413BEC9" w14:textId="322B0910" w:rsidR="0090016F" w:rsidRPr="00EF5E27" w:rsidRDefault="0090016F" w:rsidP="00D93A0F">
      <w:pPr>
        <w:pStyle w:val="Naslov2"/>
      </w:pPr>
      <w:bookmarkStart w:id="2" w:name="_Toc176856762"/>
      <w:r w:rsidRPr="00EF5E27">
        <w:t>Družbene neenakosti se  odrazijo v izobraževanju že v zgodnjem otroštvu.</w:t>
      </w:r>
      <w:bookmarkEnd w:id="2"/>
    </w:p>
    <w:p w14:paraId="48D372CE" w14:textId="2ECD348F" w:rsidR="006B710B" w:rsidRPr="00EF5E27" w:rsidRDefault="00BB5F5D" w:rsidP="006B710B">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Vključenost</w:t>
      </w:r>
      <w:r w:rsidR="006B710B" w:rsidRPr="00EF5E27">
        <w:rPr>
          <w:rFonts w:asciiTheme="minorHAnsi" w:eastAsiaTheme="minorHAnsi" w:hAnsiTheme="minorHAnsi" w:cstheme="minorHAnsi"/>
          <w:sz w:val="22"/>
          <w:szCs w:val="22"/>
        </w:rPr>
        <w:t xml:space="preserve"> v predšolsk</w:t>
      </w:r>
      <w:r w:rsidRPr="00EF5E27">
        <w:rPr>
          <w:rFonts w:asciiTheme="minorHAnsi" w:eastAsiaTheme="minorHAnsi" w:hAnsiTheme="minorHAnsi" w:cstheme="minorHAnsi"/>
          <w:sz w:val="22"/>
          <w:szCs w:val="22"/>
        </w:rPr>
        <w:t>o</w:t>
      </w:r>
      <w:r w:rsidR="006B710B" w:rsidRPr="00EF5E27">
        <w:rPr>
          <w:rFonts w:asciiTheme="minorHAnsi" w:eastAsiaTheme="minorHAnsi" w:hAnsiTheme="minorHAnsi" w:cstheme="minorHAnsi"/>
          <w:sz w:val="22"/>
          <w:szCs w:val="22"/>
        </w:rPr>
        <w:t xml:space="preserve"> vzgoj</w:t>
      </w:r>
      <w:r w:rsidRPr="00EF5E27">
        <w:rPr>
          <w:rFonts w:asciiTheme="minorHAnsi" w:eastAsiaTheme="minorHAnsi" w:hAnsiTheme="minorHAnsi" w:cstheme="minorHAnsi"/>
          <w:sz w:val="22"/>
          <w:szCs w:val="22"/>
        </w:rPr>
        <w:t>o</w:t>
      </w:r>
      <w:r w:rsidR="006B710B" w:rsidRPr="00EF5E27">
        <w:rPr>
          <w:rFonts w:asciiTheme="minorHAnsi" w:eastAsiaTheme="minorHAnsi" w:hAnsiTheme="minorHAnsi" w:cstheme="minorHAnsi"/>
          <w:sz w:val="22"/>
          <w:szCs w:val="22"/>
        </w:rPr>
        <w:t xml:space="preserve"> je še posebej pomembna za otroke iz</w:t>
      </w:r>
      <w:r w:rsidR="007F294D" w:rsidRPr="00EF5E27">
        <w:rPr>
          <w:rFonts w:asciiTheme="minorHAnsi" w:eastAsiaTheme="minorHAnsi" w:hAnsiTheme="minorHAnsi" w:cstheme="minorHAnsi"/>
          <w:sz w:val="22"/>
          <w:szCs w:val="22"/>
        </w:rPr>
        <w:t xml:space="preserve"> socialno</w:t>
      </w:r>
      <w:r w:rsidRPr="00EF5E27">
        <w:rPr>
          <w:rFonts w:asciiTheme="minorHAnsi" w:eastAsiaTheme="minorHAnsi" w:hAnsiTheme="minorHAnsi" w:cstheme="minorHAnsi"/>
          <w:sz w:val="22"/>
          <w:szCs w:val="22"/>
        </w:rPr>
        <w:t>-</w:t>
      </w:r>
      <w:r w:rsidR="007F294D" w:rsidRPr="00EF5E27">
        <w:rPr>
          <w:rFonts w:asciiTheme="minorHAnsi" w:eastAsiaTheme="minorHAnsi" w:hAnsiTheme="minorHAnsi" w:cstheme="minorHAnsi"/>
          <w:sz w:val="22"/>
          <w:szCs w:val="22"/>
        </w:rPr>
        <w:t xml:space="preserve">ekonomsko šibkejših </w:t>
      </w:r>
      <w:r w:rsidR="006B710B" w:rsidRPr="00EF5E27">
        <w:rPr>
          <w:rFonts w:asciiTheme="minorHAnsi" w:eastAsiaTheme="minorHAnsi" w:hAnsiTheme="minorHAnsi" w:cstheme="minorHAnsi"/>
          <w:sz w:val="22"/>
          <w:szCs w:val="22"/>
        </w:rPr>
        <w:t xml:space="preserve">družin. Vendar je v Sloveniji, tako kot v večini drugih držav OECD, manj verjetno, da bodo otroci, stari od 0 do 2 let, iz družin iz spodnjega dohodkovnega </w:t>
      </w:r>
      <w:proofErr w:type="spellStart"/>
      <w:r w:rsidR="006B710B" w:rsidRPr="00EF5E27">
        <w:rPr>
          <w:rFonts w:asciiTheme="minorHAnsi" w:eastAsiaTheme="minorHAnsi" w:hAnsiTheme="minorHAnsi" w:cstheme="minorHAnsi"/>
          <w:sz w:val="22"/>
          <w:szCs w:val="22"/>
        </w:rPr>
        <w:t>tercila</w:t>
      </w:r>
      <w:proofErr w:type="spellEnd"/>
      <w:r w:rsidR="006B710B" w:rsidRPr="00EF5E27">
        <w:rPr>
          <w:rFonts w:asciiTheme="minorHAnsi" w:eastAsiaTheme="minorHAnsi" w:hAnsiTheme="minorHAnsi" w:cstheme="minorHAnsi"/>
          <w:sz w:val="22"/>
          <w:szCs w:val="22"/>
        </w:rPr>
        <w:t xml:space="preserve"> vključeni v predšolsko v</w:t>
      </w:r>
      <w:r w:rsidRPr="00EF5E27">
        <w:rPr>
          <w:rFonts w:asciiTheme="minorHAnsi" w:eastAsiaTheme="minorHAnsi" w:hAnsiTheme="minorHAnsi" w:cstheme="minorHAnsi"/>
          <w:sz w:val="22"/>
          <w:szCs w:val="22"/>
        </w:rPr>
        <w:t>zgojo</w:t>
      </w:r>
      <w:r w:rsidR="006B710B" w:rsidRPr="00EF5E27">
        <w:rPr>
          <w:rFonts w:asciiTheme="minorHAnsi" w:eastAsiaTheme="minorHAnsi" w:hAnsiTheme="minorHAnsi" w:cstheme="minorHAnsi"/>
          <w:sz w:val="22"/>
          <w:szCs w:val="22"/>
        </w:rPr>
        <w:t xml:space="preserve">, kot otroci iz zgornjega dohodkovnega </w:t>
      </w:r>
      <w:proofErr w:type="spellStart"/>
      <w:r w:rsidR="006B710B" w:rsidRPr="00EF5E27">
        <w:rPr>
          <w:rFonts w:asciiTheme="minorHAnsi" w:eastAsiaTheme="minorHAnsi" w:hAnsiTheme="minorHAnsi" w:cstheme="minorHAnsi"/>
          <w:sz w:val="22"/>
          <w:szCs w:val="22"/>
        </w:rPr>
        <w:t>tercila</w:t>
      </w:r>
      <w:proofErr w:type="spellEnd"/>
      <w:r w:rsidR="006B710B" w:rsidRPr="00EF5E27">
        <w:rPr>
          <w:rFonts w:asciiTheme="minorHAnsi" w:eastAsiaTheme="minorHAnsi" w:hAnsiTheme="minorHAnsi" w:cstheme="minorHAnsi"/>
          <w:sz w:val="22"/>
          <w:szCs w:val="22"/>
        </w:rPr>
        <w:t xml:space="preserve"> (49 % v primerjavi z 52 %). Razlika 2 odstotni točki v vključenosti otrok iz družin iz zgornjega in spodnjega </w:t>
      </w:r>
      <w:proofErr w:type="spellStart"/>
      <w:r w:rsidR="006B710B" w:rsidRPr="00EF5E27">
        <w:rPr>
          <w:rFonts w:asciiTheme="minorHAnsi" w:eastAsiaTheme="minorHAnsi" w:hAnsiTheme="minorHAnsi" w:cstheme="minorHAnsi"/>
          <w:sz w:val="22"/>
          <w:szCs w:val="22"/>
        </w:rPr>
        <w:t>tercila</w:t>
      </w:r>
      <w:proofErr w:type="spellEnd"/>
      <w:r w:rsidR="006B710B" w:rsidRPr="00EF5E27">
        <w:rPr>
          <w:rFonts w:asciiTheme="minorHAnsi" w:eastAsiaTheme="minorHAnsi" w:hAnsiTheme="minorHAnsi" w:cstheme="minorHAnsi"/>
          <w:sz w:val="22"/>
          <w:szCs w:val="22"/>
        </w:rPr>
        <w:t xml:space="preserve"> je manjša od povprečja razlike OECD, ki znaša 19 odstotnih točk</w:t>
      </w:r>
      <w:r w:rsidR="0084652B" w:rsidRPr="00EF5E27">
        <w:rPr>
          <w:rFonts w:asciiTheme="minorHAnsi" w:eastAsiaTheme="minorHAnsi" w:hAnsiTheme="minorHAnsi" w:cstheme="minorHAnsi"/>
          <w:sz w:val="22"/>
          <w:szCs w:val="22"/>
        </w:rPr>
        <w:t xml:space="preserve"> (</w:t>
      </w:r>
      <w:proofErr w:type="spellStart"/>
      <w:r w:rsidR="0084652B" w:rsidRPr="00EF5E27">
        <w:rPr>
          <w:rFonts w:asciiTheme="minorHAnsi" w:eastAsiaTheme="minorHAnsi" w:hAnsiTheme="minorHAnsi" w:cstheme="minorHAnsi"/>
          <w:sz w:val="22"/>
          <w:szCs w:val="22"/>
        </w:rPr>
        <w:t>Country</w:t>
      </w:r>
      <w:proofErr w:type="spellEnd"/>
      <w:r w:rsidR="0084652B" w:rsidRPr="00EF5E27">
        <w:rPr>
          <w:rFonts w:asciiTheme="minorHAnsi" w:eastAsiaTheme="minorHAnsi" w:hAnsiTheme="minorHAnsi" w:cstheme="minorHAnsi"/>
          <w:sz w:val="22"/>
          <w:szCs w:val="22"/>
        </w:rPr>
        <w:t xml:space="preserve"> Note EAG 2024)</w:t>
      </w:r>
      <w:r w:rsidR="006B710B" w:rsidRPr="00EF5E27">
        <w:rPr>
          <w:rFonts w:asciiTheme="minorHAnsi" w:eastAsiaTheme="minorHAnsi" w:hAnsiTheme="minorHAnsi" w:cstheme="minorHAnsi"/>
          <w:sz w:val="22"/>
          <w:szCs w:val="22"/>
        </w:rPr>
        <w:t xml:space="preserve">. </w:t>
      </w:r>
    </w:p>
    <w:p w14:paraId="62756ED3" w14:textId="2CF4EE39" w:rsidR="006B710B" w:rsidRPr="00EF5E27" w:rsidRDefault="006B710B" w:rsidP="006B710B">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 xml:space="preserve">Predšolska vzgoja pomaga zmanjšati razvojne vrzeli, zaradi katerih so nekateri otroci ob začetku šolanja v slabšem položaju. Eno leto pred začetkom </w:t>
      </w:r>
      <w:r w:rsidR="001772B5" w:rsidRPr="00EF5E27">
        <w:rPr>
          <w:rFonts w:asciiTheme="minorHAnsi" w:eastAsiaTheme="minorHAnsi" w:hAnsiTheme="minorHAnsi" w:cstheme="minorHAnsi"/>
          <w:sz w:val="22"/>
          <w:szCs w:val="22"/>
        </w:rPr>
        <w:t>primarnega</w:t>
      </w:r>
      <w:r w:rsidRPr="00EF5E27">
        <w:rPr>
          <w:rFonts w:asciiTheme="minorHAnsi" w:eastAsiaTheme="minorHAnsi" w:hAnsiTheme="minorHAnsi" w:cstheme="minorHAnsi"/>
          <w:sz w:val="22"/>
          <w:szCs w:val="22"/>
        </w:rPr>
        <w:t xml:space="preserve"> izobraževanja je v večini držav OECD velika večina otrok vključena v predšolsko vzgojo. </w:t>
      </w:r>
      <w:r w:rsidR="007735A2" w:rsidRPr="00EF5E27">
        <w:rPr>
          <w:rFonts w:asciiTheme="minorHAnsi" w:eastAsiaTheme="minorHAnsi" w:hAnsiTheme="minorHAnsi" w:cstheme="minorHAnsi"/>
          <w:sz w:val="22"/>
          <w:szCs w:val="22"/>
        </w:rPr>
        <w:t>V</w:t>
      </w:r>
      <w:r w:rsidRPr="00EF5E27">
        <w:rPr>
          <w:rFonts w:asciiTheme="minorHAnsi" w:eastAsiaTheme="minorHAnsi" w:hAnsiTheme="minorHAnsi" w:cstheme="minorHAnsi"/>
          <w:sz w:val="22"/>
          <w:szCs w:val="22"/>
        </w:rPr>
        <w:t xml:space="preserve"> Sloveniji je 95 % otrok</w:t>
      </w:r>
      <w:r w:rsidR="00BB5F5D" w:rsidRPr="00EF5E27">
        <w:rPr>
          <w:rFonts w:asciiTheme="minorHAnsi" w:eastAsiaTheme="minorHAnsi" w:hAnsiTheme="minorHAnsi" w:cstheme="minorHAnsi"/>
          <w:sz w:val="22"/>
          <w:szCs w:val="22"/>
        </w:rPr>
        <w:t xml:space="preserve"> starih 5 let</w:t>
      </w:r>
      <w:r w:rsidRPr="00EF5E27">
        <w:rPr>
          <w:rFonts w:asciiTheme="minorHAnsi" w:eastAsiaTheme="minorHAnsi" w:hAnsiTheme="minorHAnsi" w:cstheme="minorHAnsi"/>
          <w:sz w:val="22"/>
          <w:szCs w:val="22"/>
        </w:rPr>
        <w:t xml:space="preserve"> vključenih v predšolsko vzgojo, medtem ko je povprečje OECD </w:t>
      </w:r>
      <w:r w:rsidR="00710D8D" w:rsidRPr="00EF5E27">
        <w:rPr>
          <w:rFonts w:asciiTheme="minorHAnsi" w:eastAsiaTheme="minorHAnsi" w:hAnsiTheme="minorHAnsi" w:cstheme="minorHAnsi"/>
          <w:sz w:val="22"/>
          <w:szCs w:val="22"/>
        </w:rPr>
        <w:t xml:space="preserve">85 </w:t>
      </w:r>
      <w:r w:rsidRPr="00EF5E27">
        <w:rPr>
          <w:rFonts w:asciiTheme="minorHAnsi" w:eastAsiaTheme="minorHAnsi" w:hAnsiTheme="minorHAnsi" w:cstheme="minorHAnsi"/>
          <w:sz w:val="22"/>
          <w:szCs w:val="22"/>
        </w:rPr>
        <w:t>%</w:t>
      </w:r>
      <w:r w:rsidR="00710D8D" w:rsidRPr="00EF5E27">
        <w:rPr>
          <w:rFonts w:asciiTheme="minorHAnsi" w:eastAsiaTheme="minorHAnsi" w:hAnsiTheme="minorHAnsi" w:cstheme="minorHAnsi"/>
          <w:sz w:val="22"/>
          <w:szCs w:val="22"/>
        </w:rPr>
        <w:t>, 11 % pa jih je pri tej starosti v OECD že v primarnem izobraževanju</w:t>
      </w:r>
      <w:r w:rsidR="00730470" w:rsidRPr="00EF5E27">
        <w:rPr>
          <w:rFonts w:asciiTheme="minorHAnsi" w:eastAsiaTheme="minorHAnsi" w:hAnsiTheme="minorHAnsi" w:cstheme="minorHAnsi"/>
          <w:sz w:val="22"/>
          <w:szCs w:val="22"/>
        </w:rPr>
        <w:t>.</w:t>
      </w:r>
      <w:r w:rsidR="0097547F" w:rsidRPr="00EF5E27">
        <w:rPr>
          <w:rFonts w:asciiTheme="minorHAnsi" w:eastAsiaTheme="minorHAnsi" w:hAnsiTheme="minorHAnsi" w:cstheme="minorHAnsi"/>
          <w:sz w:val="22"/>
          <w:szCs w:val="22"/>
        </w:rPr>
        <w:t xml:space="preserve"> </w:t>
      </w:r>
      <w:r w:rsidR="00730470" w:rsidRPr="00EF5E27">
        <w:rPr>
          <w:rFonts w:asciiTheme="minorHAnsi" w:eastAsiaTheme="minorHAnsi" w:hAnsiTheme="minorHAnsi" w:cstheme="minorHAnsi"/>
          <w:sz w:val="22"/>
          <w:szCs w:val="22"/>
        </w:rPr>
        <w:t>V</w:t>
      </w:r>
      <w:r w:rsidR="0097547F" w:rsidRPr="00EF5E27">
        <w:rPr>
          <w:rFonts w:asciiTheme="minorHAnsi" w:eastAsiaTheme="minorHAnsi" w:hAnsiTheme="minorHAnsi" w:cstheme="minorHAnsi"/>
          <w:sz w:val="22"/>
          <w:szCs w:val="22"/>
        </w:rPr>
        <w:t xml:space="preserve"> primerjavi s povprečjem OECD</w:t>
      </w:r>
      <w:r w:rsidR="00730470" w:rsidRPr="00EF5E27">
        <w:rPr>
          <w:rFonts w:asciiTheme="minorHAnsi" w:eastAsiaTheme="minorHAnsi" w:hAnsiTheme="minorHAnsi" w:cstheme="minorHAnsi"/>
          <w:sz w:val="22"/>
          <w:szCs w:val="22"/>
        </w:rPr>
        <w:t xml:space="preserve"> pa je</w:t>
      </w:r>
      <w:r w:rsidR="0097547F" w:rsidRPr="00EF5E27">
        <w:rPr>
          <w:rFonts w:asciiTheme="minorHAnsi" w:eastAsiaTheme="minorHAnsi" w:hAnsiTheme="minorHAnsi" w:cstheme="minorHAnsi"/>
          <w:sz w:val="22"/>
          <w:szCs w:val="22"/>
        </w:rPr>
        <w:t xml:space="preserve"> v Sloveniji večji delež otrok vključen v predšolsko vzgojo v mlajših letih in sicer: 28 % mlajših od 2 let (OECD 1</w:t>
      </w:r>
      <w:r w:rsidR="00710D8D" w:rsidRPr="00EF5E27">
        <w:rPr>
          <w:rFonts w:asciiTheme="minorHAnsi" w:eastAsiaTheme="minorHAnsi" w:hAnsiTheme="minorHAnsi" w:cstheme="minorHAnsi"/>
          <w:sz w:val="22"/>
          <w:szCs w:val="22"/>
        </w:rPr>
        <w:t xml:space="preserve">8 </w:t>
      </w:r>
      <w:r w:rsidR="0097547F" w:rsidRPr="00EF5E27">
        <w:rPr>
          <w:rFonts w:asciiTheme="minorHAnsi" w:eastAsiaTheme="minorHAnsi" w:hAnsiTheme="minorHAnsi" w:cstheme="minorHAnsi"/>
          <w:sz w:val="22"/>
          <w:szCs w:val="22"/>
        </w:rPr>
        <w:t xml:space="preserve">%), </w:t>
      </w:r>
      <w:r w:rsidR="00730470" w:rsidRPr="00EF5E27">
        <w:rPr>
          <w:rFonts w:asciiTheme="minorHAnsi" w:eastAsiaTheme="minorHAnsi" w:hAnsiTheme="minorHAnsi" w:cstheme="minorHAnsi"/>
          <w:sz w:val="22"/>
          <w:szCs w:val="22"/>
        </w:rPr>
        <w:t>82</w:t>
      </w:r>
      <w:r w:rsidR="00710D8D" w:rsidRPr="00EF5E27">
        <w:rPr>
          <w:rFonts w:asciiTheme="minorHAnsi" w:eastAsiaTheme="minorHAnsi" w:hAnsiTheme="minorHAnsi" w:cstheme="minorHAnsi"/>
          <w:sz w:val="22"/>
          <w:szCs w:val="22"/>
        </w:rPr>
        <w:t xml:space="preserve"> </w:t>
      </w:r>
      <w:r w:rsidR="00730470" w:rsidRPr="00EF5E27">
        <w:rPr>
          <w:rFonts w:asciiTheme="minorHAnsi" w:eastAsiaTheme="minorHAnsi" w:hAnsiTheme="minorHAnsi" w:cstheme="minorHAnsi"/>
          <w:sz w:val="22"/>
          <w:szCs w:val="22"/>
        </w:rPr>
        <w:t xml:space="preserve">% </w:t>
      </w:r>
      <w:r w:rsidR="0097547F" w:rsidRPr="00EF5E27">
        <w:rPr>
          <w:rFonts w:asciiTheme="minorHAnsi" w:eastAsiaTheme="minorHAnsi" w:hAnsiTheme="minorHAnsi" w:cstheme="minorHAnsi"/>
          <w:sz w:val="22"/>
          <w:szCs w:val="22"/>
        </w:rPr>
        <w:t xml:space="preserve">starih 2 leti (OECD 42%), </w:t>
      </w:r>
      <w:r w:rsidR="00730470" w:rsidRPr="00EF5E27">
        <w:rPr>
          <w:rFonts w:asciiTheme="minorHAnsi" w:eastAsiaTheme="minorHAnsi" w:hAnsiTheme="minorHAnsi" w:cstheme="minorHAnsi"/>
          <w:sz w:val="22"/>
          <w:szCs w:val="22"/>
        </w:rPr>
        <w:t xml:space="preserve">90 % </w:t>
      </w:r>
      <w:r w:rsidR="0097547F" w:rsidRPr="00EF5E27">
        <w:rPr>
          <w:rFonts w:asciiTheme="minorHAnsi" w:eastAsiaTheme="minorHAnsi" w:hAnsiTheme="minorHAnsi" w:cstheme="minorHAnsi"/>
          <w:sz w:val="22"/>
          <w:szCs w:val="22"/>
        </w:rPr>
        <w:t>starih 3 leta (OECD 75</w:t>
      </w:r>
      <w:r w:rsidR="00710D8D" w:rsidRPr="00EF5E27">
        <w:rPr>
          <w:rFonts w:asciiTheme="minorHAnsi" w:eastAsiaTheme="minorHAnsi" w:hAnsiTheme="minorHAnsi" w:cstheme="minorHAnsi"/>
          <w:sz w:val="22"/>
          <w:szCs w:val="22"/>
        </w:rPr>
        <w:t xml:space="preserve"> </w:t>
      </w:r>
      <w:r w:rsidR="0097547F" w:rsidRPr="00EF5E27">
        <w:rPr>
          <w:rFonts w:asciiTheme="minorHAnsi" w:eastAsiaTheme="minorHAnsi" w:hAnsiTheme="minorHAnsi" w:cstheme="minorHAnsi"/>
          <w:sz w:val="22"/>
          <w:szCs w:val="22"/>
        </w:rPr>
        <w:t>%) in</w:t>
      </w:r>
      <w:r w:rsidR="00730470" w:rsidRPr="00EF5E27">
        <w:rPr>
          <w:rFonts w:asciiTheme="minorHAnsi" w:eastAsiaTheme="minorHAnsi" w:hAnsiTheme="minorHAnsi" w:cstheme="minorHAnsi"/>
          <w:sz w:val="22"/>
          <w:szCs w:val="22"/>
        </w:rPr>
        <w:t xml:space="preserve"> 93</w:t>
      </w:r>
      <w:r w:rsidR="00710D8D" w:rsidRPr="00EF5E27">
        <w:rPr>
          <w:rFonts w:asciiTheme="minorHAnsi" w:eastAsiaTheme="minorHAnsi" w:hAnsiTheme="minorHAnsi" w:cstheme="minorHAnsi"/>
          <w:sz w:val="22"/>
          <w:szCs w:val="22"/>
        </w:rPr>
        <w:t xml:space="preserve"> </w:t>
      </w:r>
      <w:r w:rsidR="00730470" w:rsidRPr="00EF5E27">
        <w:rPr>
          <w:rFonts w:asciiTheme="minorHAnsi" w:eastAsiaTheme="minorHAnsi" w:hAnsiTheme="minorHAnsi" w:cstheme="minorHAnsi"/>
          <w:sz w:val="22"/>
          <w:szCs w:val="22"/>
        </w:rPr>
        <w:t xml:space="preserve">% </w:t>
      </w:r>
      <w:r w:rsidR="0097547F" w:rsidRPr="00EF5E27">
        <w:rPr>
          <w:rFonts w:asciiTheme="minorHAnsi" w:eastAsiaTheme="minorHAnsi" w:hAnsiTheme="minorHAnsi" w:cstheme="minorHAnsi"/>
          <w:sz w:val="22"/>
          <w:szCs w:val="22"/>
        </w:rPr>
        <w:t xml:space="preserve"> starih 4 leta (OECD 89</w:t>
      </w:r>
      <w:r w:rsidR="00710D8D" w:rsidRPr="00EF5E27">
        <w:rPr>
          <w:rFonts w:asciiTheme="minorHAnsi" w:eastAsiaTheme="minorHAnsi" w:hAnsiTheme="minorHAnsi" w:cstheme="minorHAnsi"/>
          <w:sz w:val="22"/>
          <w:szCs w:val="22"/>
        </w:rPr>
        <w:t xml:space="preserve"> </w:t>
      </w:r>
      <w:r w:rsidR="0097547F" w:rsidRPr="00EF5E27">
        <w:rPr>
          <w:rFonts w:asciiTheme="minorHAnsi" w:eastAsiaTheme="minorHAnsi" w:hAnsiTheme="minorHAnsi" w:cstheme="minorHAnsi"/>
          <w:sz w:val="22"/>
          <w:szCs w:val="22"/>
        </w:rPr>
        <w:t>%). (Tabela B1.1)</w:t>
      </w:r>
    </w:p>
    <w:p w14:paraId="4E298DA9" w14:textId="77777777" w:rsidR="006B710B" w:rsidRPr="00EF5E27" w:rsidRDefault="006B710B" w:rsidP="006B710B">
      <w:pPr>
        <w:widowControl w:val="0"/>
        <w:spacing w:before="120" w:line="240" w:lineRule="auto"/>
        <w:jc w:val="both"/>
        <w:rPr>
          <w:rFonts w:cstheme="minorHAnsi"/>
        </w:rPr>
      </w:pPr>
    </w:p>
    <w:p w14:paraId="59C0F3CE" w14:textId="7CD30D8B" w:rsidR="00E2796F" w:rsidRPr="00EF5E27" w:rsidRDefault="002F45C0" w:rsidP="00D93A0F">
      <w:pPr>
        <w:pStyle w:val="Naslov2"/>
      </w:pPr>
      <w:bookmarkStart w:id="3" w:name="_Toc176856763"/>
      <w:r w:rsidRPr="00EF5E27">
        <w:t xml:space="preserve">Največje neenakosti </w:t>
      </w:r>
      <w:r w:rsidR="004450E9" w:rsidRPr="00EF5E27">
        <w:t xml:space="preserve">v izobraževanju </w:t>
      </w:r>
      <w:r w:rsidRPr="00EF5E27">
        <w:t>so povezane s socialno-ekonomskim</w:t>
      </w:r>
      <w:r w:rsidR="00761AF4" w:rsidRPr="00EF5E27">
        <w:t xml:space="preserve"> </w:t>
      </w:r>
      <w:r w:rsidRPr="00EF5E27">
        <w:t xml:space="preserve">ozadjem </w:t>
      </w:r>
      <w:r w:rsidR="00671DA9" w:rsidRPr="00EF5E27">
        <w:t>družine iz katere izhajajo učenci</w:t>
      </w:r>
      <w:r w:rsidRPr="00EF5E27">
        <w:t>.</w:t>
      </w:r>
      <w:bookmarkEnd w:id="3"/>
    </w:p>
    <w:p w14:paraId="0B08A56E" w14:textId="381A2C2D" w:rsidR="00BA69A7" w:rsidRPr="00EF5E27" w:rsidRDefault="009E40D3" w:rsidP="009E40D3">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 xml:space="preserve">Izobraževalni rezultati se prenašajo med generacijami. </w:t>
      </w:r>
      <w:r w:rsidR="0011164D" w:rsidRPr="00EF5E27">
        <w:rPr>
          <w:rFonts w:asciiTheme="minorHAnsi" w:eastAsiaTheme="minorHAnsi" w:hAnsiTheme="minorHAnsi" w:cstheme="minorHAnsi"/>
          <w:sz w:val="22"/>
          <w:szCs w:val="22"/>
        </w:rPr>
        <w:t>Družbene n</w:t>
      </w:r>
      <w:r w:rsidRPr="00EF5E27">
        <w:rPr>
          <w:rFonts w:asciiTheme="minorHAnsi" w:eastAsiaTheme="minorHAnsi" w:hAnsiTheme="minorHAnsi" w:cstheme="minorHAnsi"/>
          <w:sz w:val="22"/>
          <w:szCs w:val="22"/>
        </w:rPr>
        <w:t>eenakosti se začnejo že zgodaj in se</w:t>
      </w:r>
      <w:r w:rsidR="0011164D" w:rsidRPr="00EF5E27">
        <w:rPr>
          <w:rFonts w:asciiTheme="minorHAnsi" w:eastAsiaTheme="minorHAnsi" w:hAnsiTheme="minorHAnsi" w:cstheme="minorHAnsi"/>
          <w:sz w:val="22"/>
          <w:szCs w:val="22"/>
        </w:rPr>
        <w:t xml:space="preserve"> v veliki meri</w:t>
      </w:r>
      <w:r w:rsidRPr="00EF5E27">
        <w:rPr>
          <w:rFonts w:asciiTheme="minorHAnsi" w:eastAsiaTheme="minorHAnsi" w:hAnsiTheme="minorHAnsi" w:cstheme="minorHAnsi"/>
          <w:sz w:val="22"/>
          <w:szCs w:val="22"/>
        </w:rPr>
        <w:t xml:space="preserve"> ohranjajo skozi vse </w:t>
      </w:r>
      <w:r w:rsidR="00730470" w:rsidRPr="00EF5E27">
        <w:rPr>
          <w:rFonts w:asciiTheme="minorHAnsi" w:eastAsiaTheme="minorHAnsi" w:hAnsiTheme="minorHAnsi" w:cstheme="minorHAnsi"/>
          <w:sz w:val="22"/>
          <w:szCs w:val="22"/>
        </w:rPr>
        <w:t xml:space="preserve">ravni </w:t>
      </w:r>
      <w:r w:rsidRPr="00EF5E27">
        <w:rPr>
          <w:rFonts w:asciiTheme="minorHAnsi" w:eastAsiaTheme="minorHAnsi" w:hAnsiTheme="minorHAnsi" w:cstheme="minorHAnsi"/>
          <w:sz w:val="22"/>
          <w:szCs w:val="22"/>
        </w:rPr>
        <w:t>izobraževalnega sistema. V državah</w:t>
      </w:r>
      <w:r w:rsidR="00730470" w:rsidRPr="00EF5E27">
        <w:rPr>
          <w:rFonts w:asciiTheme="minorHAnsi" w:eastAsiaTheme="minorHAnsi" w:hAnsiTheme="minorHAnsi" w:cstheme="minorHAnsi"/>
          <w:sz w:val="22"/>
          <w:szCs w:val="22"/>
        </w:rPr>
        <w:t xml:space="preserve"> OECD</w:t>
      </w:r>
      <w:r w:rsidRPr="00EF5E27">
        <w:rPr>
          <w:rFonts w:asciiTheme="minorHAnsi" w:eastAsiaTheme="minorHAnsi" w:hAnsiTheme="minorHAnsi" w:cstheme="minorHAnsi"/>
          <w:sz w:val="22"/>
          <w:szCs w:val="22"/>
        </w:rPr>
        <w:t xml:space="preserve"> z razpoložljivimi podatki </w:t>
      </w:r>
      <w:r w:rsidR="00730470" w:rsidRPr="00EF5E27">
        <w:rPr>
          <w:rFonts w:asciiTheme="minorHAnsi" w:eastAsiaTheme="minorHAnsi" w:hAnsiTheme="minorHAnsi" w:cstheme="minorHAnsi"/>
          <w:sz w:val="22"/>
          <w:szCs w:val="22"/>
        </w:rPr>
        <w:t xml:space="preserve">je za </w:t>
      </w:r>
      <w:r w:rsidRPr="00EF5E27">
        <w:rPr>
          <w:rFonts w:asciiTheme="minorHAnsi" w:eastAsiaTheme="minorHAnsi" w:hAnsiTheme="minorHAnsi" w:cstheme="minorHAnsi"/>
          <w:sz w:val="22"/>
          <w:szCs w:val="22"/>
        </w:rPr>
        <w:t>otro</w:t>
      </w:r>
      <w:r w:rsidR="00730470" w:rsidRPr="00EF5E27">
        <w:rPr>
          <w:rFonts w:asciiTheme="minorHAnsi" w:eastAsiaTheme="minorHAnsi" w:hAnsiTheme="minorHAnsi" w:cstheme="minorHAnsi"/>
          <w:sz w:val="22"/>
          <w:szCs w:val="22"/>
        </w:rPr>
        <w:t>ke</w:t>
      </w:r>
      <w:r w:rsidRPr="00EF5E27">
        <w:rPr>
          <w:rFonts w:asciiTheme="minorHAnsi" w:eastAsiaTheme="minorHAnsi" w:hAnsiTheme="minorHAnsi" w:cstheme="minorHAnsi"/>
          <w:sz w:val="22"/>
          <w:szCs w:val="22"/>
        </w:rPr>
        <w:t xml:space="preserve"> iz družin z nizkimi dohodki v povprečju za </w:t>
      </w:r>
      <w:r w:rsidR="00655349" w:rsidRPr="00EF5E27">
        <w:rPr>
          <w:rFonts w:asciiTheme="minorHAnsi" w:eastAsiaTheme="minorHAnsi" w:hAnsiTheme="minorHAnsi" w:cstheme="minorHAnsi"/>
          <w:sz w:val="22"/>
          <w:szCs w:val="22"/>
        </w:rPr>
        <w:t xml:space="preserve">18 </w:t>
      </w:r>
      <w:r w:rsidRPr="00EF5E27">
        <w:rPr>
          <w:rFonts w:asciiTheme="minorHAnsi" w:eastAsiaTheme="minorHAnsi" w:hAnsiTheme="minorHAnsi" w:cstheme="minorHAnsi"/>
          <w:sz w:val="22"/>
          <w:szCs w:val="22"/>
        </w:rPr>
        <w:t>odstotnih točk manj verjetno, da bodo</w:t>
      </w:r>
      <w:r w:rsidR="007D27C0" w:rsidRPr="00EF5E27">
        <w:rPr>
          <w:rFonts w:asciiTheme="minorHAnsi" w:eastAsiaTheme="minorHAnsi" w:hAnsiTheme="minorHAnsi" w:cstheme="minorHAnsi"/>
          <w:sz w:val="22"/>
          <w:szCs w:val="22"/>
        </w:rPr>
        <w:t xml:space="preserve"> otroci pred tretjim letom starosti</w:t>
      </w:r>
      <w:r w:rsidRPr="00EF5E27">
        <w:rPr>
          <w:rFonts w:asciiTheme="minorHAnsi" w:eastAsiaTheme="minorHAnsi" w:hAnsiTheme="minorHAnsi" w:cstheme="minorHAnsi"/>
          <w:sz w:val="22"/>
          <w:szCs w:val="22"/>
        </w:rPr>
        <w:t xml:space="preserve"> vključeni v predšolsko vzgojo in varstvo</w:t>
      </w:r>
      <w:r w:rsidR="00730470" w:rsidRPr="00EF5E27">
        <w:rPr>
          <w:rFonts w:asciiTheme="minorHAnsi" w:eastAsiaTheme="minorHAnsi" w:hAnsiTheme="minorHAnsi" w:cstheme="minorHAnsi"/>
          <w:sz w:val="22"/>
          <w:szCs w:val="22"/>
        </w:rPr>
        <w:t xml:space="preserve"> kot za otroke iz gmotno bolje stoječih družin</w:t>
      </w:r>
      <w:r w:rsidRPr="00EF5E27">
        <w:rPr>
          <w:rFonts w:asciiTheme="minorHAnsi" w:eastAsiaTheme="minorHAnsi" w:hAnsiTheme="minorHAnsi" w:cstheme="minorHAnsi"/>
          <w:sz w:val="22"/>
          <w:szCs w:val="22"/>
        </w:rPr>
        <w:t>.</w:t>
      </w:r>
      <w:r w:rsidR="007D27C0"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V osnovnošolskem in srednješolskem izobraževanju učenci iz socialno</w:t>
      </w:r>
      <w:r w:rsidR="00196493" w:rsidRPr="00EF5E27">
        <w:rPr>
          <w:rFonts w:asciiTheme="minorHAnsi" w:eastAsiaTheme="minorHAnsi" w:hAnsiTheme="minorHAnsi" w:cstheme="minorHAnsi"/>
          <w:sz w:val="22"/>
          <w:szCs w:val="22"/>
        </w:rPr>
        <w:t>-</w:t>
      </w:r>
      <w:r w:rsidRPr="00EF5E27">
        <w:rPr>
          <w:rFonts w:asciiTheme="minorHAnsi" w:eastAsiaTheme="minorHAnsi" w:hAnsiTheme="minorHAnsi" w:cstheme="minorHAnsi"/>
          <w:sz w:val="22"/>
          <w:szCs w:val="22"/>
        </w:rPr>
        <w:t xml:space="preserve"> ekonomsko šibkejših družin dosegajo slabše rezultate </w:t>
      </w:r>
      <w:r w:rsidR="00196493" w:rsidRPr="00EF5E27">
        <w:rPr>
          <w:rFonts w:asciiTheme="minorHAnsi" w:eastAsiaTheme="minorHAnsi" w:hAnsiTheme="minorHAnsi" w:cstheme="minorHAnsi"/>
          <w:sz w:val="22"/>
          <w:szCs w:val="22"/>
        </w:rPr>
        <w:t>na mednarodnih raziskavah</w:t>
      </w:r>
      <w:r w:rsidRPr="00EF5E27">
        <w:rPr>
          <w:rFonts w:asciiTheme="minorHAnsi" w:eastAsiaTheme="minorHAnsi" w:hAnsiTheme="minorHAnsi" w:cstheme="minorHAnsi"/>
          <w:sz w:val="22"/>
          <w:szCs w:val="22"/>
        </w:rPr>
        <w:t>, kot je na primer mednarodno preverjanje bralne pismenosti PIRLS</w:t>
      </w:r>
      <w:r w:rsidR="00196493" w:rsidRPr="00EF5E27">
        <w:rPr>
          <w:rFonts w:asciiTheme="minorHAnsi" w:eastAsiaTheme="minorHAnsi" w:hAnsiTheme="minorHAnsi" w:cstheme="minorHAnsi"/>
          <w:sz w:val="22"/>
          <w:szCs w:val="22"/>
        </w:rPr>
        <w:t xml:space="preserve"> (četrtošolci)</w:t>
      </w:r>
      <w:r w:rsidRPr="00EF5E27">
        <w:rPr>
          <w:rFonts w:asciiTheme="minorHAnsi" w:eastAsiaTheme="minorHAnsi" w:hAnsiTheme="minorHAnsi" w:cstheme="minorHAnsi"/>
          <w:sz w:val="22"/>
          <w:szCs w:val="22"/>
        </w:rPr>
        <w:t xml:space="preserve"> in PISA</w:t>
      </w:r>
      <w:r w:rsidR="00196493" w:rsidRPr="00EF5E27">
        <w:rPr>
          <w:rFonts w:asciiTheme="minorHAnsi" w:eastAsiaTheme="minorHAnsi" w:hAnsiTheme="minorHAnsi" w:cstheme="minorHAnsi"/>
          <w:sz w:val="22"/>
          <w:szCs w:val="22"/>
        </w:rPr>
        <w:t xml:space="preserve"> (15-letniki)</w:t>
      </w:r>
      <w:r w:rsidRPr="00EF5E27">
        <w:rPr>
          <w:rFonts w:asciiTheme="minorHAnsi" w:eastAsiaTheme="minorHAnsi" w:hAnsiTheme="minorHAnsi" w:cstheme="minorHAnsi"/>
          <w:sz w:val="22"/>
          <w:szCs w:val="22"/>
        </w:rPr>
        <w:t xml:space="preserve">. </w:t>
      </w:r>
      <w:r w:rsidR="00682A78">
        <w:rPr>
          <w:rFonts w:asciiTheme="minorHAnsi" w:eastAsiaTheme="minorHAnsi" w:hAnsiTheme="minorHAnsi" w:cstheme="minorHAnsi"/>
          <w:sz w:val="22"/>
          <w:szCs w:val="22"/>
        </w:rPr>
        <w:t>(EAG, str. 20)</w:t>
      </w:r>
    </w:p>
    <w:p w14:paraId="68C24232" w14:textId="3AA3C0DA" w:rsidR="00312290" w:rsidRPr="00EF5E27" w:rsidRDefault="00F9613C" w:rsidP="009E40D3">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 xml:space="preserve">Tudi v Sloveniji je uspešen zaključek </w:t>
      </w:r>
      <w:r w:rsidR="00305E1F" w:rsidRPr="00EF5E27">
        <w:rPr>
          <w:rFonts w:asciiTheme="minorHAnsi" w:eastAsiaTheme="minorHAnsi" w:hAnsiTheme="minorHAnsi" w:cstheme="minorHAnsi"/>
          <w:sz w:val="22"/>
          <w:szCs w:val="22"/>
        </w:rPr>
        <w:t xml:space="preserve">višjega sekundarnega izobraževanja (srednja </w:t>
      </w:r>
      <w:r w:rsidR="005D2CAC" w:rsidRPr="00EF5E27">
        <w:rPr>
          <w:rFonts w:asciiTheme="minorHAnsi" w:eastAsiaTheme="minorHAnsi" w:hAnsiTheme="minorHAnsi" w:cstheme="minorHAnsi"/>
          <w:sz w:val="22"/>
          <w:szCs w:val="22"/>
        </w:rPr>
        <w:t>š</w:t>
      </w:r>
      <w:r w:rsidR="00305E1F" w:rsidRPr="00EF5E27">
        <w:rPr>
          <w:rFonts w:asciiTheme="minorHAnsi" w:eastAsiaTheme="minorHAnsi" w:hAnsiTheme="minorHAnsi" w:cstheme="minorHAnsi"/>
          <w:sz w:val="22"/>
          <w:szCs w:val="22"/>
        </w:rPr>
        <w:t xml:space="preserve">ola) </w:t>
      </w:r>
      <w:r w:rsidRPr="00EF5E27">
        <w:rPr>
          <w:rFonts w:asciiTheme="minorHAnsi" w:eastAsiaTheme="minorHAnsi" w:hAnsiTheme="minorHAnsi" w:cstheme="minorHAnsi"/>
          <w:sz w:val="22"/>
          <w:szCs w:val="22"/>
        </w:rPr>
        <w:t xml:space="preserve">povezan z izobrazbo staršev. </w:t>
      </w:r>
      <w:r w:rsidR="002971AE" w:rsidRPr="00EF5E27">
        <w:rPr>
          <w:rFonts w:asciiTheme="minorHAnsi" w:eastAsiaTheme="minorHAnsi" w:hAnsiTheme="minorHAnsi" w:cstheme="minorHAnsi"/>
          <w:sz w:val="22"/>
          <w:szCs w:val="22"/>
        </w:rPr>
        <w:t xml:space="preserve">V Sloveniji </w:t>
      </w:r>
      <w:r w:rsidR="001F5CEB" w:rsidRPr="00EF5E27">
        <w:rPr>
          <w:rFonts w:asciiTheme="minorHAnsi" w:eastAsiaTheme="minorHAnsi" w:hAnsiTheme="minorHAnsi" w:cstheme="minorHAnsi"/>
          <w:sz w:val="22"/>
          <w:szCs w:val="22"/>
        </w:rPr>
        <w:t xml:space="preserve">v času predvidenem za zaključek programa </w:t>
      </w:r>
      <w:r w:rsidR="002971AE" w:rsidRPr="00EF5E27">
        <w:rPr>
          <w:rFonts w:asciiTheme="minorHAnsi" w:eastAsiaTheme="minorHAnsi" w:hAnsiTheme="minorHAnsi" w:cstheme="minorHAnsi"/>
          <w:sz w:val="22"/>
          <w:szCs w:val="22"/>
        </w:rPr>
        <w:t xml:space="preserve">uspešno zaključi </w:t>
      </w:r>
      <w:r w:rsidR="00305E1F" w:rsidRPr="00EF5E27">
        <w:rPr>
          <w:rFonts w:asciiTheme="minorHAnsi" w:eastAsiaTheme="minorHAnsi" w:hAnsiTheme="minorHAnsi" w:cstheme="minorHAnsi"/>
          <w:sz w:val="22"/>
          <w:szCs w:val="22"/>
        </w:rPr>
        <w:t>splošni program višjega sekundarnega izobraževanja (</w:t>
      </w:r>
      <w:r w:rsidR="002971AE" w:rsidRPr="00EF5E27">
        <w:rPr>
          <w:rFonts w:asciiTheme="minorHAnsi" w:eastAsiaTheme="minorHAnsi" w:hAnsiTheme="minorHAnsi" w:cstheme="minorHAnsi"/>
          <w:sz w:val="22"/>
          <w:szCs w:val="22"/>
        </w:rPr>
        <w:t>gimnazijo</w:t>
      </w:r>
      <w:r w:rsidR="00305E1F" w:rsidRPr="00EF5E27">
        <w:rPr>
          <w:rFonts w:asciiTheme="minorHAnsi" w:eastAsiaTheme="minorHAnsi" w:hAnsiTheme="minorHAnsi" w:cstheme="minorHAnsi"/>
          <w:sz w:val="22"/>
          <w:szCs w:val="22"/>
        </w:rPr>
        <w:t>)</w:t>
      </w:r>
      <w:r w:rsidR="002971AE" w:rsidRPr="00EF5E27">
        <w:rPr>
          <w:rFonts w:asciiTheme="minorHAnsi" w:eastAsiaTheme="minorHAnsi" w:hAnsiTheme="minorHAnsi" w:cstheme="minorHAnsi"/>
          <w:sz w:val="22"/>
          <w:szCs w:val="22"/>
        </w:rPr>
        <w:t xml:space="preserve"> 71 % dijakov</w:t>
      </w:r>
      <w:r w:rsidR="00E37EAE" w:rsidRPr="00EF5E27">
        <w:rPr>
          <w:rFonts w:asciiTheme="minorHAnsi" w:eastAsiaTheme="minorHAnsi" w:hAnsiTheme="minorHAnsi" w:cstheme="minorHAnsi"/>
          <w:sz w:val="22"/>
          <w:szCs w:val="22"/>
        </w:rPr>
        <w:t>,</w:t>
      </w:r>
      <w:r w:rsidR="002971AE" w:rsidRPr="00EF5E27">
        <w:rPr>
          <w:rFonts w:asciiTheme="minorHAnsi" w:eastAsiaTheme="minorHAnsi" w:hAnsiTheme="minorHAnsi" w:cstheme="minorHAnsi"/>
          <w:sz w:val="22"/>
          <w:szCs w:val="22"/>
        </w:rPr>
        <w:t xml:space="preserve"> katerih starši niso pridobili </w:t>
      </w:r>
      <w:r w:rsidR="005D2CAC" w:rsidRPr="00EF5E27">
        <w:rPr>
          <w:rFonts w:asciiTheme="minorHAnsi" w:eastAsiaTheme="minorHAnsi" w:hAnsiTheme="minorHAnsi" w:cstheme="minorHAnsi"/>
          <w:sz w:val="22"/>
          <w:szCs w:val="22"/>
        </w:rPr>
        <w:t xml:space="preserve">višje sekundarne </w:t>
      </w:r>
      <w:r w:rsidR="002971AE" w:rsidRPr="00EF5E27">
        <w:rPr>
          <w:rFonts w:asciiTheme="minorHAnsi" w:eastAsiaTheme="minorHAnsi" w:hAnsiTheme="minorHAnsi" w:cstheme="minorHAnsi"/>
          <w:sz w:val="22"/>
          <w:szCs w:val="22"/>
        </w:rPr>
        <w:t>izobrazbe, 80</w:t>
      </w:r>
      <w:r w:rsidR="00196493" w:rsidRPr="00EF5E27">
        <w:rPr>
          <w:rFonts w:asciiTheme="minorHAnsi" w:eastAsiaTheme="minorHAnsi" w:hAnsiTheme="minorHAnsi" w:cstheme="minorHAnsi"/>
          <w:sz w:val="22"/>
          <w:szCs w:val="22"/>
        </w:rPr>
        <w:t xml:space="preserve"> </w:t>
      </w:r>
      <w:r w:rsidR="002971AE" w:rsidRPr="00EF5E27">
        <w:rPr>
          <w:rFonts w:asciiTheme="minorHAnsi" w:eastAsiaTheme="minorHAnsi" w:hAnsiTheme="minorHAnsi" w:cstheme="minorHAnsi"/>
          <w:sz w:val="22"/>
          <w:szCs w:val="22"/>
        </w:rPr>
        <w:t>% dijakov</w:t>
      </w:r>
      <w:r w:rsidR="00E37EAE" w:rsidRPr="00EF5E27">
        <w:rPr>
          <w:rFonts w:asciiTheme="minorHAnsi" w:eastAsiaTheme="minorHAnsi" w:hAnsiTheme="minorHAnsi" w:cstheme="minorHAnsi"/>
          <w:sz w:val="22"/>
          <w:szCs w:val="22"/>
        </w:rPr>
        <w:t>,</w:t>
      </w:r>
      <w:r w:rsidR="002971AE" w:rsidRPr="00EF5E27">
        <w:rPr>
          <w:rFonts w:asciiTheme="minorHAnsi" w:eastAsiaTheme="minorHAnsi" w:hAnsiTheme="minorHAnsi" w:cstheme="minorHAnsi"/>
          <w:sz w:val="22"/>
          <w:szCs w:val="22"/>
        </w:rPr>
        <w:t xml:space="preserve"> katerih starši imajo </w:t>
      </w:r>
      <w:r w:rsidR="005D2CAC" w:rsidRPr="00EF5E27">
        <w:rPr>
          <w:rFonts w:asciiTheme="minorHAnsi" w:eastAsiaTheme="minorHAnsi" w:hAnsiTheme="minorHAnsi" w:cstheme="minorHAnsi"/>
          <w:sz w:val="22"/>
          <w:szCs w:val="22"/>
        </w:rPr>
        <w:t>višjo sekundarno  izobrazbo</w:t>
      </w:r>
      <w:r w:rsidR="00E37EAE" w:rsidRPr="00EF5E27">
        <w:rPr>
          <w:rFonts w:asciiTheme="minorHAnsi" w:eastAsiaTheme="minorHAnsi" w:hAnsiTheme="minorHAnsi" w:cstheme="minorHAnsi"/>
          <w:sz w:val="22"/>
          <w:szCs w:val="22"/>
        </w:rPr>
        <w:t>,</w:t>
      </w:r>
      <w:r w:rsidR="002971AE" w:rsidRPr="00EF5E27">
        <w:rPr>
          <w:rFonts w:asciiTheme="minorHAnsi" w:eastAsiaTheme="minorHAnsi" w:hAnsiTheme="minorHAnsi" w:cstheme="minorHAnsi"/>
          <w:sz w:val="22"/>
          <w:szCs w:val="22"/>
        </w:rPr>
        <w:t xml:space="preserve"> in </w:t>
      </w:r>
      <w:r w:rsidRPr="00EF5E27">
        <w:rPr>
          <w:rFonts w:asciiTheme="minorHAnsi" w:eastAsiaTheme="minorHAnsi" w:hAnsiTheme="minorHAnsi" w:cstheme="minorHAnsi"/>
          <w:sz w:val="22"/>
          <w:szCs w:val="22"/>
        </w:rPr>
        <w:t>88</w:t>
      </w:r>
      <w:r w:rsidR="00196493"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 dijakov</w:t>
      </w:r>
      <w:r w:rsidR="00E37EAE" w:rsidRPr="00EF5E27">
        <w:rPr>
          <w:rFonts w:asciiTheme="minorHAnsi" w:eastAsiaTheme="minorHAnsi" w:hAnsiTheme="minorHAnsi" w:cstheme="minorHAnsi"/>
          <w:sz w:val="22"/>
          <w:szCs w:val="22"/>
        </w:rPr>
        <w:t>,</w:t>
      </w:r>
      <w:r w:rsidRPr="00EF5E27">
        <w:rPr>
          <w:rFonts w:asciiTheme="minorHAnsi" w:eastAsiaTheme="minorHAnsi" w:hAnsiTheme="minorHAnsi" w:cstheme="minorHAnsi"/>
          <w:sz w:val="22"/>
          <w:szCs w:val="22"/>
        </w:rPr>
        <w:t xml:space="preserve"> katerih starši so zaključili terciarno izobraževanje. Podobno je pri poklicnem in tehniškem izobraževanju, ki ga uspešno zaključi: 69</w:t>
      </w:r>
      <w:r w:rsidR="00196493"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 dijakov</w:t>
      </w:r>
      <w:r w:rsidR="00E37EAE" w:rsidRPr="00EF5E27">
        <w:rPr>
          <w:rFonts w:asciiTheme="minorHAnsi" w:eastAsiaTheme="minorHAnsi" w:hAnsiTheme="minorHAnsi" w:cstheme="minorHAnsi"/>
          <w:sz w:val="22"/>
          <w:szCs w:val="22"/>
        </w:rPr>
        <w:t>,</w:t>
      </w:r>
      <w:r w:rsidRPr="00EF5E27">
        <w:rPr>
          <w:rFonts w:asciiTheme="minorHAnsi" w:eastAsiaTheme="minorHAnsi" w:hAnsiTheme="minorHAnsi" w:cstheme="minorHAnsi"/>
          <w:sz w:val="22"/>
          <w:szCs w:val="22"/>
        </w:rPr>
        <w:t xml:space="preserve"> katerih starši niso zaključili </w:t>
      </w:r>
      <w:r w:rsidR="005D2CAC" w:rsidRPr="00EF5E27">
        <w:rPr>
          <w:rFonts w:asciiTheme="minorHAnsi" w:eastAsiaTheme="minorHAnsi" w:hAnsiTheme="minorHAnsi" w:cstheme="minorHAnsi"/>
          <w:sz w:val="22"/>
          <w:szCs w:val="22"/>
        </w:rPr>
        <w:t>višjega sekundarnega izobraževanja</w:t>
      </w:r>
      <w:r w:rsidRPr="00EF5E27">
        <w:rPr>
          <w:rFonts w:asciiTheme="minorHAnsi" w:eastAsiaTheme="minorHAnsi" w:hAnsiTheme="minorHAnsi" w:cstheme="minorHAnsi"/>
          <w:sz w:val="22"/>
          <w:szCs w:val="22"/>
        </w:rPr>
        <w:t>, 77</w:t>
      </w:r>
      <w:r w:rsidR="00196493"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 dijakov</w:t>
      </w:r>
      <w:r w:rsidR="00E37EAE" w:rsidRPr="00EF5E27">
        <w:rPr>
          <w:rFonts w:asciiTheme="minorHAnsi" w:eastAsiaTheme="minorHAnsi" w:hAnsiTheme="minorHAnsi" w:cstheme="minorHAnsi"/>
          <w:sz w:val="22"/>
          <w:szCs w:val="22"/>
        </w:rPr>
        <w:t>,</w:t>
      </w:r>
      <w:r w:rsidRPr="00EF5E27">
        <w:rPr>
          <w:rFonts w:asciiTheme="minorHAnsi" w:eastAsiaTheme="minorHAnsi" w:hAnsiTheme="minorHAnsi" w:cstheme="minorHAnsi"/>
          <w:sz w:val="22"/>
          <w:szCs w:val="22"/>
        </w:rPr>
        <w:t xml:space="preserve"> katerih starši so zaključili </w:t>
      </w:r>
      <w:r w:rsidR="005D2CAC" w:rsidRPr="00EF5E27">
        <w:rPr>
          <w:rFonts w:asciiTheme="minorHAnsi" w:eastAsiaTheme="minorHAnsi" w:hAnsiTheme="minorHAnsi" w:cstheme="minorHAnsi"/>
          <w:sz w:val="22"/>
          <w:szCs w:val="22"/>
        </w:rPr>
        <w:t xml:space="preserve">višje sekundarno </w:t>
      </w:r>
      <w:r w:rsidRPr="00EF5E27">
        <w:rPr>
          <w:rFonts w:asciiTheme="minorHAnsi" w:eastAsiaTheme="minorHAnsi" w:hAnsiTheme="minorHAnsi" w:cstheme="minorHAnsi"/>
          <w:sz w:val="22"/>
          <w:szCs w:val="22"/>
        </w:rPr>
        <w:t>izobraževanje in 83</w:t>
      </w:r>
      <w:r w:rsidR="00196493"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 dijakov</w:t>
      </w:r>
      <w:r w:rsidR="00E37EAE" w:rsidRPr="00EF5E27">
        <w:rPr>
          <w:rFonts w:asciiTheme="minorHAnsi" w:eastAsiaTheme="minorHAnsi" w:hAnsiTheme="minorHAnsi" w:cstheme="minorHAnsi"/>
          <w:sz w:val="22"/>
          <w:szCs w:val="22"/>
        </w:rPr>
        <w:t>,</w:t>
      </w:r>
      <w:r w:rsidRPr="00EF5E27">
        <w:rPr>
          <w:rFonts w:asciiTheme="minorHAnsi" w:eastAsiaTheme="minorHAnsi" w:hAnsiTheme="minorHAnsi" w:cstheme="minorHAnsi"/>
          <w:sz w:val="22"/>
          <w:szCs w:val="22"/>
        </w:rPr>
        <w:t xml:space="preserve"> katerih starši so zaključili terciarno izobraževanje. (Tabela</w:t>
      </w:r>
      <w:r w:rsidR="00E37EAE"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B3.4., 2019)</w:t>
      </w:r>
    </w:p>
    <w:p w14:paraId="1142BC60" w14:textId="7E3CAC86" w:rsidR="00163EEA" w:rsidRDefault="00163EEA" w:rsidP="009E40D3">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 xml:space="preserve">V Sloveniji dve leti po predvidenem času za zaključek programa uspešno zaključi splošni program višjega sekundarnega izobraževanja (gimnazijo) </w:t>
      </w:r>
      <w:r w:rsidR="00A54D9B" w:rsidRPr="00EF5E27">
        <w:rPr>
          <w:rFonts w:asciiTheme="minorHAnsi" w:eastAsiaTheme="minorHAnsi" w:hAnsiTheme="minorHAnsi" w:cstheme="minorHAnsi"/>
          <w:sz w:val="22"/>
          <w:szCs w:val="22"/>
        </w:rPr>
        <w:t>86</w:t>
      </w:r>
      <w:r w:rsidRPr="00EF5E27">
        <w:rPr>
          <w:rFonts w:asciiTheme="minorHAnsi" w:eastAsiaTheme="minorHAnsi" w:hAnsiTheme="minorHAnsi" w:cstheme="minorHAnsi"/>
          <w:sz w:val="22"/>
          <w:szCs w:val="22"/>
        </w:rPr>
        <w:t xml:space="preserve"> % dijakov, katerih starši niso pridobili višje sekundarne izobrazbe, </w:t>
      </w:r>
      <w:r w:rsidR="00A54D9B" w:rsidRPr="00EF5E27">
        <w:rPr>
          <w:rFonts w:asciiTheme="minorHAnsi" w:eastAsiaTheme="minorHAnsi" w:hAnsiTheme="minorHAnsi" w:cstheme="minorHAnsi"/>
          <w:sz w:val="22"/>
          <w:szCs w:val="22"/>
        </w:rPr>
        <w:t>93</w:t>
      </w:r>
      <w:r w:rsidRPr="00EF5E27">
        <w:rPr>
          <w:rFonts w:asciiTheme="minorHAnsi" w:eastAsiaTheme="minorHAnsi" w:hAnsiTheme="minorHAnsi" w:cstheme="minorHAnsi"/>
          <w:sz w:val="22"/>
          <w:szCs w:val="22"/>
        </w:rPr>
        <w:t xml:space="preserve"> % dijakov, katerih starši imajo višjo sekundarno  izobrazbo, in </w:t>
      </w:r>
      <w:r w:rsidR="00A54D9B" w:rsidRPr="00EF5E27">
        <w:rPr>
          <w:rFonts w:asciiTheme="minorHAnsi" w:eastAsiaTheme="minorHAnsi" w:hAnsiTheme="minorHAnsi" w:cstheme="minorHAnsi"/>
          <w:sz w:val="22"/>
          <w:szCs w:val="22"/>
        </w:rPr>
        <w:t>97</w:t>
      </w:r>
      <w:r w:rsidRPr="00EF5E27">
        <w:rPr>
          <w:rFonts w:asciiTheme="minorHAnsi" w:eastAsiaTheme="minorHAnsi" w:hAnsiTheme="minorHAnsi" w:cstheme="minorHAnsi"/>
          <w:sz w:val="22"/>
          <w:szCs w:val="22"/>
        </w:rPr>
        <w:t xml:space="preserve"> % dijakov, katerih starši so zaključili terciarno izobraževanje. Podobno je pri poklicnem in tehniškem izobraževanju, ki ga uspešno zaključi: </w:t>
      </w:r>
      <w:r w:rsidR="00A54D9B" w:rsidRPr="00EF5E27">
        <w:rPr>
          <w:rFonts w:asciiTheme="minorHAnsi" w:eastAsiaTheme="minorHAnsi" w:hAnsiTheme="minorHAnsi" w:cstheme="minorHAnsi"/>
          <w:sz w:val="22"/>
          <w:szCs w:val="22"/>
        </w:rPr>
        <w:t>78</w:t>
      </w:r>
      <w:r w:rsidRPr="00EF5E27">
        <w:rPr>
          <w:rFonts w:asciiTheme="minorHAnsi" w:eastAsiaTheme="minorHAnsi" w:hAnsiTheme="minorHAnsi" w:cstheme="minorHAnsi"/>
          <w:sz w:val="22"/>
          <w:szCs w:val="22"/>
        </w:rPr>
        <w:t xml:space="preserve"> % dijakov, katerih starši niso zaključili višjega sekundarnega izobraževanja, </w:t>
      </w:r>
      <w:r w:rsidR="00A54D9B" w:rsidRPr="00EF5E27">
        <w:rPr>
          <w:rFonts w:asciiTheme="minorHAnsi" w:eastAsiaTheme="minorHAnsi" w:hAnsiTheme="minorHAnsi" w:cstheme="minorHAnsi"/>
          <w:sz w:val="22"/>
          <w:szCs w:val="22"/>
        </w:rPr>
        <w:t>8</w:t>
      </w:r>
      <w:r w:rsidRPr="00EF5E27">
        <w:rPr>
          <w:rFonts w:asciiTheme="minorHAnsi" w:eastAsiaTheme="minorHAnsi" w:hAnsiTheme="minorHAnsi" w:cstheme="minorHAnsi"/>
          <w:sz w:val="22"/>
          <w:szCs w:val="22"/>
        </w:rPr>
        <w:t xml:space="preserve">7 % dijakov, katerih starši so zaključili višje sekundarno izobraževanje in </w:t>
      </w:r>
      <w:r w:rsidR="00A54D9B" w:rsidRPr="00EF5E27">
        <w:rPr>
          <w:rFonts w:asciiTheme="minorHAnsi" w:eastAsiaTheme="minorHAnsi" w:hAnsiTheme="minorHAnsi" w:cstheme="minorHAnsi"/>
          <w:sz w:val="22"/>
          <w:szCs w:val="22"/>
        </w:rPr>
        <w:t>92</w:t>
      </w:r>
      <w:r w:rsidRPr="00EF5E27">
        <w:rPr>
          <w:rFonts w:asciiTheme="minorHAnsi" w:eastAsiaTheme="minorHAnsi" w:hAnsiTheme="minorHAnsi" w:cstheme="minorHAnsi"/>
          <w:sz w:val="22"/>
          <w:szCs w:val="22"/>
        </w:rPr>
        <w:t xml:space="preserve"> % dijakov, katerih starši so zaključili terciarno izobraževanje. (Tabela B3.4., 2019)</w:t>
      </w:r>
    </w:p>
    <w:p w14:paraId="3D02DED3" w14:textId="77777777" w:rsidR="00D93A0F" w:rsidRPr="00EF5E27" w:rsidRDefault="00D93A0F" w:rsidP="009E40D3">
      <w:pPr>
        <w:widowControl w:val="0"/>
        <w:spacing w:before="120" w:line="240" w:lineRule="auto"/>
        <w:jc w:val="both"/>
        <w:rPr>
          <w:rFonts w:asciiTheme="minorHAnsi" w:eastAsiaTheme="minorHAnsi" w:hAnsiTheme="minorHAnsi" w:cstheme="minorHAnsi"/>
          <w:sz w:val="22"/>
          <w:szCs w:val="22"/>
        </w:rPr>
      </w:pPr>
    </w:p>
    <w:p w14:paraId="3D0567A8" w14:textId="40687D92" w:rsidR="00F14997" w:rsidRPr="00EF5E27" w:rsidRDefault="002F45C0" w:rsidP="00D93A0F">
      <w:pPr>
        <w:pStyle w:val="Naslov2"/>
      </w:pPr>
      <w:bookmarkStart w:id="4" w:name="_Toc176856764"/>
      <w:r w:rsidRPr="00EF5E27">
        <w:lastRenderedPageBreak/>
        <w:t>Dekleta in ženske so pri izobraževanju uspešnejše od fantov in moških, na  trgu dela je ravno obratno.</w:t>
      </w:r>
      <w:bookmarkEnd w:id="4"/>
    </w:p>
    <w:p w14:paraId="4B0E9B73" w14:textId="03A93044" w:rsidR="00C4613F" w:rsidRPr="00EF5E27" w:rsidRDefault="00F14997" w:rsidP="00D93A0F">
      <w:pPr>
        <w:keepNext/>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Deklice in ženske so po večini razpoložljivih meritev v izobraževanju uspešnejše od fantov in moških. Na višji sekundarni in terciarni ravni imajo večjo verjetnost, da bodo uspešno zaključile izobraževanje v vseh državah, za katere so na voljo podatki, pri čemer razlike med spoloma pogosto presegajo 10 odstotnih točk.</w:t>
      </w:r>
      <w:r w:rsidR="00196493" w:rsidRPr="00EF5E27">
        <w:rPr>
          <w:rFonts w:asciiTheme="minorHAnsi" w:eastAsiaTheme="minorHAnsi" w:hAnsiTheme="minorHAnsi" w:cstheme="minorHAnsi"/>
          <w:sz w:val="22"/>
          <w:szCs w:val="22"/>
        </w:rPr>
        <w:t xml:space="preserve"> </w:t>
      </w:r>
      <w:r w:rsidR="00AF0EEC" w:rsidRPr="00EF5E27">
        <w:rPr>
          <w:rFonts w:asciiTheme="minorHAnsi" w:eastAsiaTheme="minorHAnsi" w:hAnsiTheme="minorHAnsi" w:cstheme="minorHAnsi"/>
          <w:sz w:val="22"/>
          <w:szCs w:val="22"/>
        </w:rPr>
        <w:t xml:space="preserve">(EAG, str. </w:t>
      </w:r>
      <w:r w:rsidR="00397882" w:rsidRPr="00EF5E27">
        <w:rPr>
          <w:rFonts w:asciiTheme="minorHAnsi" w:eastAsiaTheme="minorHAnsi" w:hAnsiTheme="minorHAnsi" w:cstheme="minorHAnsi"/>
          <w:sz w:val="22"/>
          <w:szCs w:val="22"/>
        </w:rPr>
        <w:t>19</w:t>
      </w:r>
      <w:r w:rsidR="00AF0EEC" w:rsidRPr="00EF5E27">
        <w:rPr>
          <w:rFonts w:asciiTheme="minorHAnsi" w:eastAsiaTheme="minorHAnsi" w:hAnsiTheme="minorHAnsi" w:cstheme="minorHAnsi"/>
          <w:sz w:val="22"/>
          <w:szCs w:val="22"/>
        </w:rPr>
        <w:t>)</w:t>
      </w:r>
    </w:p>
    <w:p w14:paraId="6B0F83E1" w14:textId="31D33A14" w:rsidR="00F14997" w:rsidRPr="00EF5E27" w:rsidRDefault="00F14997" w:rsidP="00F14997">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Ženske se tudi pogosteje kot moški vpišejo v terciarno izobraževanje</w:t>
      </w:r>
      <w:r w:rsidR="008868D1" w:rsidRPr="00EF5E27">
        <w:rPr>
          <w:rFonts w:asciiTheme="minorHAnsi" w:eastAsiaTheme="minorHAnsi" w:hAnsiTheme="minorHAnsi" w:cstheme="minorHAnsi"/>
          <w:sz w:val="22"/>
          <w:szCs w:val="22"/>
        </w:rPr>
        <w:t xml:space="preserve"> in ga tudi v večjem deležu uspešno zaključijo</w:t>
      </w:r>
      <w:r w:rsidR="00D314F4" w:rsidRPr="00EF5E27">
        <w:rPr>
          <w:rFonts w:asciiTheme="minorHAnsi" w:eastAsiaTheme="minorHAnsi" w:hAnsiTheme="minorHAnsi" w:cstheme="minorHAnsi"/>
          <w:sz w:val="22"/>
          <w:szCs w:val="22"/>
        </w:rPr>
        <w:t>. D</w:t>
      </w:r>
      <w:r w:rsidRPr="00EF5E27">
        <w:rPr>
          <w:rFonts w:asciiTheme="minorHAnsi" w:eastAsiaTheme="minorHAnsi" w:hAnsiTheme="minorHAnsi" w:cstheme="minorHAnsi"/>
          <w:sz w:val="22"/>
          <w:szCs w:val="22"/>
        </w:rPr>
        <w:t>elež</w:t>
      </w:r>
      <w:r w:rsidR="00BF77FD" w:rsidRPr="00EF5E27">
        <w:rPr>
          <w:rFonts w:asciiTheme="minorHAnsi" w:eastAsiaTheme="minorHAnsi" w:hAnsiTheme="minorHAnsi" w:cstheme="minorHAnsi"/>
          <w:sz w:val="22"/>
          <w:szCs w:val="22"/>
        </w:rPr>
        <w:t xml:space="preserve"> mladih</w:t>
      </w:r>
      <w:r w:rsidRPr="00EF5E27">
        <w:rPr>
          <w:rFonts w:asciiTheme="minorHAnsi" w:eastAsiaTheme="minorHAnsi" w:hAnsiTheme="minorHAnsi" w:cstheme="minorHAnsi"/>
          <w:sz w:val="22"/>
          <w:szCs w:val="22"/>
        </w:rPr>
        <w:t xml:space="preserve"> žensk, starih od 25 do 34 let, s terciarno izobrazbo je bistveno višji</w:t>
      </w:r>
      <w:r w:rsidR="009D4E40" w:rsidRPr="00EF5E27">
        <w:rPr>
          <w:rFonts w:asciiTheme="minorHAnsi" w:eastAsiaTheme="minorHAnsi" w:hAnsiTheme="minorHAnsi" w:cstheme="minorHAnsi"/>
          <w:sz w:val="22"/>
          <w:szCs w:val="22"/>
        </w:rPr>
        <w:t>;</w:t>
      </w:r>
      <w:r w:rsidR="00D314F4" w:rsidRPr="00EF5E27">
        <w:rPr>
          <w:rFonts w:asciiTheme="minorHAnsi" w:eastAsiaTheme="minorHAnsi" w:hAnsiTheme="minorHAnsi" w:cstheme="minorHAnsi"/>
          <w:sz w:val="22"/>
          <w:szCs w:val="22"/>
        </w:rPr>
        <w:t xml:space="preserve"> v Sloveniji ima  v tej starostni skupini terciarno izobrazbo 53 % žensk in 30</w:t>
      </w:r>
      <w:r w:rsidR="00196493" w:rsidRPr="00EF5E27">
        <w:rPr>
          <w:rFonts w:asciiTheme="minorHAnsi" w:eastAsiaTheme="minorHAnsi" w:hAnsiTheme="minorHAnsi" w:cstheme="minorHAnsi"/>
          <w:sz w:val="22"/>
          <w:szCs w:val="22"/>
        </w:rPr>
        <w:t xml:space="preserve"> </w:t>
      </w:r>
      <w:r w:rsidR="00D314F4" w:rsidRPr="00EF5E27">
        <w:rPr>
          <w:rFonts w:asciiTheme="minorHAnsi" w:eastAsiaTheme="minorHAnsi" w:hAnsiTheme="minorHAnsi" w:cstheme="minorHAnsi"/>
          <w:sz w:val="22"/>
          <w:szCs w:val="22"/>
        </w:rPr>
        <w:t>% moških</w:t>
      </w:r>
      <w:r w:rsidR="00C4613F"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 xml:space="preserve"> (</w:t>
      </w:r>
      <w:r w:rsidR="00F66D7B" w:rsidRPr="00EF5E27">
        <w:rPr>
          <w:rFonts w:asciiTheme="minorHAnsi" w:eastAsiaTheme="minorHAnsi" w:hAnsiTheme="minorHAnsi" w:cstheme="minorHAnsi"/>
          <w:sz w:val="22"/>
          <w:szCs w:val="22"/>
        </w:rPr>
        <w:t xml:space="preserve">OECD </w:t>
      </w:r>
      <w:r w:rsidRPr="00EF5E27">
        <w:rPr>
          <w:rFonts w:asciiTheme="minorHAnsi" w:eastAsiaTheme="minorHAnsi" w:hAnsiTheme="minorHAnsi" w:cstheme="minorHAnsi"/>
          <w:sz w:val="22"/>
          <w:szCs w:val="22"/>
        </w:rPr>
        <w:t xml:space="preserve">54 % mladih žensk </w:t>
      </w:r>
      <w:r w:rsidR="00196493" w:rsidRPr="00EF5E27">
        <w:rPr>
          <w:rFonts w:asciiTheme="minorHAnsi" w:eastAsiaTheme="minorHAnsi" w:hAnsiTheme="minorHAnsi" w:cstheme="minorHAnsi"/>
          <w:sz w:val="22"/>
          <w:szCs w:val="22"/>
        </w:rPr>
        <w:t>in</w:t>
      </w:r>
      <w:r w:rsidRPr="00EF5E27">
        <w:rPr>
          <w:rFonts w:asciiTheme="minorHAnsi" w:eastAsiaTheme="minorHAnsi" w:hAnsiTheme="minorHAnsi" w:cstheme="minorHAnsi"/>
          <w:sz w:val="22"/>
          <w:szCs w:val="22"/>
        </w:rPr>
        <w:t xml:space="preserve"> 41 % mladih moških</w:t>
      </w:r>
      <w:r w:rsidR="00F66D7B" w:rsidRPr="00EF5E27">
        <w:rPr>
          <w:rFonts w:asciiTheme="minorHAnsi" w:eastAsiaTheme="minorHAnsi" w:hAnsiTheme="minorHAnsi" w:cstheme="minorHAnsi"/>
          <w:sz w:val="22"/>
          <w:szCs w:val="22"/>
        </w:rPr>
        <w:t>).</w:t>
      </w:r>
      <w:r w:rsidR="00D314F4" w:rsidRPr="00EF5E27">
        <w:rPr>
          <w:rFonts w:asciiTheme="minorHAnsi" w:eastAsiaTheme="minorHAnsi" w:hAnsiTheme="minorHAnsi" w:cstheme="minorHAnsi"/>
          <w:sz w:val="22"/>
          <w:szCs w:val="22"/>
        </w:rPr>
        <w:t xml:space="preserve"> </w:t>
      </w:r>
      <w:r w:rsidR="00611F87" w:rsidRPr="00EF5E27">
        <w:rPr>
          <w:rFonts w:asciiTheme="minorHAnsi" w:eastAsiaTheme="minorHAnsi" w:hAnsiTheme="minorHAnsi" w:cstheme="minorHAnsi"/>
          <w:sz w:val="22"/>
          <w:szCs w:val="22"/>
        </w:rPr>
        <w:t>(Tabela A1.2., 2023)</w:t>
      </w:r>
      <w:r w:rsidR="008868D1" w:rsidRPr="00EF5E27">
        <w:rPr>
          <w:rFonts w:asciiTheme="minorHAnsi" w:eastAsiaTheme="minorHAnsi" w:hAnsiTheme="minorHAnsi" w:cstheme="minorHAnsi"/>
          <w:sz w:val="22"/>
          <w:szCs w:val="22"/>
        </w:rPr>
        <w:t xml:space="preserve"> </w:t>
      </w:r>
    </w:p>
    <w:p w14:paraId="39BF6248" w14:textId="0CC64F92" w:rsidR="00096602" w:rsidRPr="00EF5E27" w:rsidRDefault="00F14997" w:rsidP="00F14997">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 xml:space="preserve">Kljub visoki stopnji izobrazbe pa so ženske na trgu dela še vedno prikrajšane. Pri mladih ženskah je manj verjetno, da bodo zaposlene, razlika pa je še posebej velika pri tistih, ki niso končale višje sekundarne izobrazbe. Stopnja zaposlenosti </w:t>
      </w:r>
      <w:r w:rsidR="00AF0EEC" w:rsidRPr="00EF5E27">
        <w:rPr>
          <w:rFonts w:asciiTheme="minorHAnsi" w:eastAsiaTheme="minorHAnsi" w:hAnsiTheme="minorHAnsi" w:cstheme="minorHAnsi"/>
          <w:sz w:val="22"/>
          <w:szCs w:val="22"/>
        </w:rPr>
        <w:t xml:space="preserve">mladih </w:t>
      </w:r>
      <w:r w:rsidRPr="00EF5E27">
        <w:rPr>
          <w:rFonts w:asciiTheme="minorHAnsi" w:eastAsiaTheme="minorHAnsi" w:hAnsiTheme="minorHAnsi" w:cstheme="minorHAnsi"/>
          <w:sz w:val="22"/>
          <w:szCs w:val="22"/>
        </w:rPr>
        <w:t>žensk, ki nimajo dokončane višje sekundarne izobrazbe, je</w:t>
      </w:r>
      <w:r w:rsidR="000D7826" w:rsidRPr="00EF5E27">
        <w:rPr>
          <w:rFonts w:asciiTheme="minorHAnsi" w:eastAsiaTheme="minorHAnsi" w:hAnsiTheme="minorHAnsi" w:cstheme="minorHAnsi"/>
          <w:sz w:val="22"/>
          <w:szCs w:val="22"/>
        </w:rPr>
        <w:t xml:space="preserve"> v Sloveniji 43 % (OECD</w:t>
      </w:r>
      <w:r w:rsidRPr="00EF5E27">
        <w:rPr>
          <w:rFonts w:asciiTheme="minorHAnsi" w:eastAsiaTheme="minorHAnsi" w:hAnsiTheme="minorHAnsi" w:cstheme="minorHAnsi"/>
          <w:sz w:val="22"/>
          <w:szCs w:val="22"/>
        </w:rPr>
        <w:t xml:space="preserve"> 47 %</w:t>
      </w:r>
      <w:r w:rsidR="000D7826"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 xml:space="preserve">in </w:t>
      </w:r>
      <w:r w:rsidR="003006CF" w:rsidRPr="00EF5E27">
        <w:rPr>
          <w:rFonts w:asciiTheme="minorHAnsi" w:eastAsiaTheme="minorHAnsi" w:hAnsiTheme="minorHAnsi" w:cstheme="minorHAnsi"/>
          <w:sz w:val="22"/>
          <w:szCs w:val="22"/>
        </w:rPr>
        <w:t>moških 67 % (OECD 72 %)</w:t>
      </w:r>
      <w:r w:rsidRPr="00EF5E27">
        <w:rPr>
          <w:rFonts w:asciiTheme="minorHAnsi" w:eastAsiaTheme="minorHAnsi" w:hAnsiTheme="minorHAnsi" w:cstheme="minorHAnsi"/>
          <w:sz w:val="22"/>
          <w:szCs w:val="22"/>
        </w:rPr>
        <w:t>. Med mladimi ženskami s terciarno izobrazbo je</w:t>
      </w:r>
      <w:r w:rsidR="000D7826" w:rsidRPr="00EF5E27">
        <w:rPr>
          <w:rFonts w:asciiTheme="minorHAnsi" w:eastAsiaTheme="minorHAnsi" w:hAnsiTheme="minorHAnsi" w:cstheme="minorHAnsi"/>
          <w:sz w:val="22"/>
          <w:szCs w:val="22"/>
        </w:rPr>
        <w:t xml:space="preserve"> 85</w:t>
      </w:r>
      <w:r w:rsidR="00196493" w:rsidRPr="00EF5E27">
        <w:rPr>
          <w:rFonts w:asciiTheme="minorHAnsi" w:eastAsiaTheme="minorHAnsi" w:hAnsiTheme="minorHAnsi" w:cstheme="minorHAnsi"/>
          <w:sz w:val="22"/>
          <w:szCs w:val="22"/>
        </w:rPr>
        <w:t xml:space="preserve"> </w:t>
      </w:r>
      <w:r w:rsidR="000D7826"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 xml:space="preserve"> zaposlenih</w:t>
      </w:r>
      <w:r w:rsidR="000D7826" w:rsidRPr="00EF5E27">
        <w:rPr>
          <w:rFonts w:asciiTheme="minorHAnsi" w:eastAsiaTheme="minorHAnsi" w:hAnsiTheme="minorHAnsi" w:cstheme="minorHAnsi"/>
          <w:sz w:val="22"/>
          <w:szCs w:val="22"/>
        </w:rPr>
        <w:t xml:space="preserve"> (OECD 84</w:t>
      </w:r>
      <w:r w:rsidR="00196493" w:rsidRPr="00EF5E27">
        <w:rPr>
          <w:rFonts w:asciiTheme="minorHAnsi" w:eastAsiaTheme="minorHAnsi" w:hAnsiTheme="minorHAnsi" w:cstheme="minorHAnsi"/>
          <w:sz w:val="22"/>
          <w:szCs w:val="22"/>
        </w:rPr>
        <w:t xml:space="preserve"> </w:t>
      </w:r>
      <w:r w:rsidR="003006CF" w:rsidRPr="00EF5E27">
        <w:rPr>
          <w:rFonts w:asciiTheme="minorHAnsi" w:eastAsiaTheme="minorHAnsi" w:hAnsiTheme="minorHAnsi" w:cstheme="minorHAnsi"/>
          <w:sz w:val="22"/>
          <w:szCs w:val="22"/>
        </w:rPr>
        <w:t>%) moških pa 94 %  (OECD 90 %)</w:t>
      </w:r>
      <w:r w:rsidRPr="00EF5E27">
        <w:rPr>
          <w:rFonts w:asciiTheme="minorHAnsi" w:eastAsiaTheme="minorHAnsi" w:hAnsiTheme="minorHAnsi" w:cstheme="minorHAnsi"/>
          <w:sz w:val="22"/>
          <w:szCs w:val="22"/>
        </w:rPr>
        <w:t xml:space="preserve">. </w:t>
      </w:r>
      <w:r w:rsidR="00096602" w:rsidRPr="00EF5E27">
        <w:rPr>
          <w:rFonts w:asciiTheme="minorHAnsi" w:eastAsiaTheme="minorHAnsi" w:hAnsiTheme="minorHAnsi" w:cstheme="minorHAnsi"/>
          <w:sz w:val="22"/>
          <w:szCs w:val="22"/>
        </w:rPr>
        <w:t>(Tabela A.3.2., 2023)</w:t>
      </w:r>
    </w:p>
    <w:p w14:paraId="7F31EE79" w14:textId="5ADF9AEF" w:rsidR="00761AF4" w:rsidRPr="00EF5E27" w:rsidRDefault="00F14997" w:rsidP="00F14997">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Mlade ženske</w:t>
      </w:r>
      <w:r w:rsidR="00682A78">
        <w:rPr>
          <w:rFonts w:asciiTheme="minorHAnsi" w:eastAsiaTheme="minorHAnsi" w:hAnsiTheme="minorHAnsi" w:cstheme="minorHAnsi"/>
          <w:sz w:val="22"/>
          <w:szCs w:val="22"/>
        </w:rPr>
        <w:t xml:space="preserve"> (25 do 34 let)</w:t>
      </w:r>
      <w:r w:rsidR="00A33797"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tudi zaslužijo manj kot mladi moški, in sicer v povprečju</w:t>
      </w:r>
      <w:r w:rsidR="00277B73" w:rsidRPr="00EF5E27">
        <w:rPr>
          <w:rFonts w:asciiTheme="minorHAnsi" w:eastAsiaTheme="minorHAnsi" w:hAnsiTheme="minorHAnsi" w:cstheme="minorHAnsi"/>
          <w:sz w:val="22"/>
          <w:szCs w:val="22"/>
        </w:rPr>
        <w:t xml:space="preserve"> V Sloveniji</w:t>
      </w:r>
      <w:r w:rsidR="00BB0B3E" w:rsidRPr="00EF5E27">
        <w:rPr>
          <w:rFonts w:asciiTheme="minorHAnsi" w:eastAsiaTheme="minorHAnsi" w:hAnsiTheme="minorHAnsi" w:cstheme="minorHAnsi"/>
          <w:sz w:val="22"/>
          <w:szCs w:val="22"/>
        </w:rPr>
        <w:t xml:space="preserve"> </w:t>
      </w:r>
      <w:r w:rsidR="00277B73" w:rsidRPr="00EF5E27">
        <w:rPr>
          <w:rFonts w:asciiTheme="minorHAnsi" w:eastAsiaTheme="minorHAnsi" w:hAnsiTheme="minorHAnsi" w:cstheme="minorHAnsi"/>
          <w:sz w:val="22"/>
          <w:szCs w:val="22"/>
        </w:rPr>
        <w:t xml:space="preserve">tiste, ki nimajo višje sekundarne (srednješolske) izobrazbe, </w:t>
      </w:r>
      <w:r w:rsidR="00BB0B3E" w:rsidRPr="00EF5E27">
        <w:rPr>
          <w:rFonts w:asciiTheme="minorHAnsi" w:eastAsiaTheme="minorHAnsi" w:hAnsiTheme="minorHAnsi" w:cstheme="minorHAnsi"/>
          <w:sz w:val="22"/>
          <w:szCs w:val="22"/>
        </w:rPr>
        <w:t>12</w:t>
      </w:r>
      <w:r w:rsidR="00970B2B" w:rsidRPr="00EF5E27">
        <w:rPr>
          <w:rFonts w:asciiTheme="minorHAnsi" w:eastAsiaTheme="minorHAnsi" w:hAnsiTheme="minorHAnsi" w:cstheme="minorHAnsi"/>
          <w:sz w:val="22"/>
          <w:szCs w:val="22"/>
        </w:rPr>
        <w:t xml:space="preserve"> </w:t>
      </w:r>
      <w:r w:rsidR="00BB0B3E" w:rsidRPr="00EF5E27">
        <w:rPr>
          <w:rFonts w:asciiTheme="minorHAnsi" w:eastAsiaTheme="minorHAnsi" w:hAnsiTheme="minorHAnsi" w:cstheme="minorHAnsi"/>
          <w:sz w:val="22"/>
          <w:szCs w:val="22"/>
        </w:rPr>
        <w:t>% manj</w:t>
      </w:r>
      <w:r w:rsidR="00277B73" w:rsidRPr="00EF5E27">
        <w:rPr>
          <w:rFonts w:asciiTheme="minorHAnsi" w:eastAsiaTheme="minorHAnsi" w:hAnsiTheme="minorHAnsi" w:cstheme="minorHAnsi"/>
          <w:sz w:val="22"/>
          <w:szCs w:val="22"/>
        </w:rPr>
        <w:t xml:space="preserve"> (OECD 15 %), tiste, ki imajo višjo sekundarno izobrazbo 1</w:t>
      </w:r>
      <w:r w:rsidR="00843EE2" w:rsidRPr="00EF5E27">
        <w:rPr>
          <w:rFonts w:asciiTheme="minorHAnsi" w:eastAsiaTheme="minorHAnsi" w:hAnsiTheme="minorHAnsi" w:cstheme="minorHAnsi"/>
          <w:sz w:val="22"/>
          <w:szCs w:val="22"/>
        </w:rPr>
        <w:t>7</w:t>
      </w:r>
      <w:r w:rsidR="00277B73" w:rsidRPr="00EF5E27">
        <w:rPr>
          <w:rFonts w:asciiTheme="minorHAnsi" w:eastAsiaTheme="minorHAnsi" w:hAnsiTheme="minorHAnsi" w:cstheme="minorHAnsi"/>
          <w:sz w:val="22"/>
          <w:szCs w:val="22"/>
        </w:rPr>
        <w:t xml:space="preserve"> % manj (OECD 16 %)</w:t>
      </w:r>
      <w:r w:rsidRPr="00EF5E27">
        <w:rPr>
          <w:rFonts w:asciiTheme="minorHAnsi" w:eastAsiaTheme="minorHAnsi" w:hAnsiTheme="minorHAnsi" w:cstheme="minorHAnsi"/>
          <w:sz w:val="22"/>
          <w:szCs w:val="22"/>
        </w:rPr>
        <w:t xml:space="preserve"> , in</w:t>
      </w:r>
      <w:r w:rsidR="00BB0B3E"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tiste s terciarno izobrazbo</w:t>
      </w:r>
      <w:r w:rsidR="008229DE" w:rsidRPr="00EF5E27">
        <w:rPr>
          <w:rFonts w:asciiTheme="minorHAnsi" w:eastAsiaTheme="minorHAnsi" w:hAnsiTheme="minorHAnsi" w:cstheme="minorHAnsi"/>
          <w:sz w:val="22"/>
          <w:szCs w:val="22"/>
        </w:rPr>
        <w:t xml:space="preserve"> 20 % manj</w:t>
      </w:r>
      <w:r w:rsidR="00970B2B" w:rsidRPr="00EF5E27">
        <w:rPr>
          <w:rFonts w:asciiTheme="minorHAnsi" w:eastAsiaTheme="minorHAnsi" w:hAnsiTheme="minorHAnsi" w:cstheme="minorHAnsi"/>
          <w:sz w:val="22"/>
          <w:szCs w:val="22"/>
        </w:rPr>
        <w:t xml:space="preserve"> </w:t>
      </w:r>
      <w:r w:rsidR="00BB0B3E" w:rsidRPr="00EF5E27">
        <w:rPr>
          <w:rFonts w:asciiTheme="minorHAnsi" w:eastAsiaTheme="minorHAnsi" w:hAnsiTheme="minorHAnsi" w:cstheme="minorHAnsi"/>
          <w:sz w:val="22"/>
          <w:szCs w:val="22"/>
        </w:rPr>
        <w:t>(OECD 17 %)</w:t>
      </w:r>
      <w:r w:rsidRPr="00EF5E27">
        <w:rPr>
          <w:rFonts w:asciiTheme="minorHAnsi" w:eastAsiaTheme="minorHAnsi" w:hAnsiTheme="minorHAnsi" w:cstheme="minorHAnsi"/>
          <w:sz w:val="22"/>
          <w:szCs w:val="22"/>
        </w:rPr>
        <w:t>.</w:t>
      </w:r>
      <w:r w:rsidR="00761AF4" w:rsidRPr="00EF5E27">
        <w:rPr>
          <w:rFonts w:asciiTheme="minorHAnsi" w:eastAsiaTheme="minorHAnsi" w:hAnsiTheme="minorHAnsi" w:cstheme="minorHAnsi"/>
          <w:sz w:val="22"/>
          <w:szCs w:val="22"/>
        </w:rPr>
        <w:t xml:space="preserve"> </w:t>
      </w:r>
      <w:r w:rsidR="00BB0B3E" w:rsidRPr="00EF5E27">
        <w:rPr>
          <w:rFonts w:asciiTheme="minorHAnsi" w:eastAsiaTheme="minorHAnsi" w:hAnsiTheme="minorHAnsi" w:cstheme="minorHAnsi"/>
          <w:sz w:val="22"/>
          <w:szCs w:val="22"/>
        </w:rPr>
        <w:t>(Tabela A4.3</w:t>
      </w:r>
      <w:r w:rsidR="00DF5B10" w:rsidRPr="00EF5E27">
        <w:rPr>
          <w:rFonts w:asciiTheme="minorHAnsi" w:eastAsiaTheme="minorHAnsi" w:hAnsiTheme="minorHAnsi" w:cstheme="minorHAnsi"/>
          <w:sz w:val="22"/>
          <w:szCs w:val="22"/>
        </w:rPr>
        <w:t>.</w:t>
      </w:r>
      <w:r w:rsidR="00BB0B3E" w:rsidRPr="00EF5E27">
        <w:rPr>
          <w:rFonts w:asciiTheme="minorHAnsi" w:eastAsiaTheme="minorHAnsi" w:hAnsiTheme="minorHAnsi" w:cstheme="minorHAnsi"/>
          <w:sz w:val="22"/>
          <w:szCs w:val="22"/>
        </w:rPr>
        <w:t>, 2022)</w:t>
      </w:r>
    </w:p>
    <w:p w14:paraId="788778BB" w14:textId="77777777" w:rsidR="00F80AF7" w:rsidRPr="00EF5E27" w:rsidRDefault="00F80AF7" w:rsidP="00F14997">
      <w:pPr>
        <w:widowControl w:val="0"/>
        <w:spacing w:before="120" w:line="240" w:lineRule="auto"/>
        <w:jc w:val="both"/>
        <w:rPr>
          <w:rFonts w:asciiTheme="minorHAnsi" w:eastAsiaTheme="minorHAnsi" w:hAnsiTheme="minorHAnsi" w:cstheme="minorHAnsi"/>
          <w:sz w:val="22"/>
          <w:szCs w:val="22"/>
        </w:rPr>
      </w:pPr>
    </w:p>
    <w:p w14:paraId="66788C98" w14:textId="03C1AE06" w:rsidR="002F45C0" w:rsidRPr="00EF5E27" w:rsidRDefault="003C1994" w:rsidP="00D93A0F">
      <w:pPr>
        <w:pStyle w:val="Naslov2"/>
      </w:pPr>
      <w:bookmarkStart w:id="5" w:name="_Toc176856765"/>
      <w:r>
        <w:t>Višja sekundarna</w:t>
      </w:r>
      <w:r w:rsidR="002F45C0" w:rsidRPr="00EF5E27">
        <w:t xml:space="preserve"> </w:t>
      </w:r>
      <w:r>
        <w:t xml:space="preserve">(srednješolska) </w:t>
      </w:r>
      <w:r w:rsidR="002F45C0" w:rsidRPr="00EF5E27">
        <w:t>izobrazba ostaja ključna za izboljšanje položaja na trgu dela</w:t>
      </w:r>
      <w:r w:rsidR="009E2547" w:rsidRPr="00EF5E27">
        <w:t>.</w:t>
      </w:r>
      <w:bookmarkEnd w:id="5"/>
    </w:p>
    <w:p w14:paraId="0F6D7E0E" w14:textId="287BE395" w:rsidR="00A6466B" w:rsidRPr="00EF5E27" w:rsidRDefault="00D8075B" w:rsidP="00F80AF7">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V Sloveniji je delež odraslih (25 do 64 let) z doseženo manj kot višjo sekundarno izobrazbo (srednješolsko) 12 %</w:t>
      </w:r>
      <w:r w:rsidR="00A6466B" w:rsidRPr="00EF5E27">
        <w:rPr>
          <w:rFonts w:asciiTheme="minorHAnsi" w:eastAsiaTheme="minorHAnsi" w:hAnsiTheme="minorHAnsi" w:cstheme="minorHAnsi"/>
          <w:sz w:val="22"/>
          <w:szCs w:val="22"/>
        </w:rPr>
        <w:t xml:space="preserve"> in je</w:t>
      </w:r>
      <w:r w:rsidRPr="00EF5E27">
        <w:rPr>
          <w:rFonts w:asciiTheme="minorHAnsi" w:eastAsiaTheme="minorHAnsi" w:hAnsiTheme="minorHAnsi" w:cstheme="minorHAnsi"/>
          <w:sz w:val="22"/>
          <w:szCs w:val="22"/>
        </w:rPr>
        <w:t xml:space="preserve"> nižji kot v povprečju v državah OECD</w:t>
      </w:r>
      <w:r w:rsidR="000E6FE1" w:rsidRPr="00EF5E27">
        <w:rPr>
          <w:rFonts w:asciiTheme="minorHAnsi" w:eastAsiaTheme="minorHAnsi" w:hAnsiTheme="minorHAnsi" w:cstheme="minorHAnsi"/>
          <w:sz w:val="22"/>
          <w:szCs w:val="22"/>
        </w:rPr>
        <w:t>,</w:t>
      </w:r>
      <w:r w:rsidRPr="00EF5E27">
        <w:rPr>
          <w:rFonts w:asciiTheme="minorHAnsi" w:eastAsiaTheme="minorHAnsi" w:hAnsiTheme="minorHAnsi" w:cstheme="minorHAnsi"/>
          <w:sz w:val="22"/>
          <w:szCs w:val="22"/>
        </w:rPr>
        <w:t xml:space="preserve"> </w:t>
      </w:r>
      <w:r w:rsidR="00A6466B" w:rsidRPr="00EF5E27">
        <w:rPr>
          <w:rFonts w:asciiTheme="minorHAnsi" w:eastAsiaTheme="minorHAnsi" w:hAnsiTheme="minorHAnsi" w:cstheme="minorHAnsi"/>
          <w:sz w:val="22"/>
          <w:szCs w:val="22"/>
        </w:rPr>
        <w:t xml:space="preserve">kjer je </w:t>
      </w:r>
      <w:r w:rsidRPr="00EF5E27">
        <w:rPr>
          <w:rFonts w:asciiTheme="minorHAnsi" w:eastAsiaTheme="minorHAnsi" w:hAnsiTheme="minorHAnsi" w:cstheme="minorHAnsi"/>
          <w:sz w:val="22"/>
          <w:szCs w:val="22"/>
        </w:rPr>
        <w:t xml:space="preserve">19 % (Tabela A1.1 2023). </w:t>
      </w:r>
    </w:p>
    <w:p w14:paraId="17FAB385" w14:textId="1DA55FA9" w:rsidR="00D8075B" w:rsidRPr="00EF5E27" w:rsidRDefault="00E227E2" w:rsidP="00F80AF7">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V primerjavi med letoma 2016 in 2023 je</w:t>
      </w:r>
      <w:r w:rsidR="004C5721" w:rsidRPr="00EF5E27">
        <w:rPr>
          <w:rFonts w:asciiTheme="minorHAnsi" w:eastAsiaTheme="minorHAnsi" w:hAnsiTheme="minorHAnsi" w:cstheme="minorHAnsi"/>
          <w:sz w:val="22"/>
          <w:szCs w:val="22"/>
        </w:rPr>
        <w:t xml:space="preserve"> v Sloveniji</w:t>
      </w:r>
      <w:r w:rsidRPr="00EF5E27">
        <w:rPr>
          <w:rFonts w:asciiTheme="minorHAnsi" w:eastAsiaTheme="minorHAnsi" w:hAnsiTheme="minorHAnsi" w:cstheme="minorHAnsi"/>
          <w:sz w:val="22"/>
          <w:szCs w:val="22"/>
        </w:rPr>
        <w:t xml:space="preserve"> delež mladih, ki niso dosegli vsaj višje sekundarne izobrazbe med mladimi moškimi ostal nespremenjen </w:t>
      </w:r>
      <w:r w:rsidR="004C5721" w:rsidRPr="00EF5E27">
        <w:rPr>
          <w:rFonts w:asciiTheme="minorHAnsi" w:eastAsiaTheme="minorHAnsi" w:hAnsiTheme="minorHAnsi" w:cstheme="minorHAnsi"/>
          <w:sz w:val="22"/>
          <w:szCs w:val="22"/>
        </w:rPr>
        <w:t>pri</w:t>
      </w:r>
      <w:r w:rsidRPr="00EF5E27">
        <w:rPr>
          <w:rFonts w:asciiTheme="minorHAnsi" w:eastAsiaTheme="minorHAnsi" w:hAnsiTheme="minorHAnsi" w:cstheme="minorHAnsi"/>
          <w:sz w:val="22"/>
          <w:szCs w:val="22"/>
        </w:rPr>
        <w:t xml:space="preserve"> 8 %, delež mladih žensk brez dosežene višje sekundarne izobrazbe se je bistveno povečal </w:t>
      </w:r>
      <w:r w:rsidR="004C5721" w:rsidRPr="00EF5E27">
        <w:rPr>
          <w:rFonts w:asciiTheme="minorHAnsi" w:eastAsiaTheme="minorHAnsi" w:hAnsiTheme="minorHAnsi" w:cstheme="minorHAnsi"/>
          <w:sz w:val="22"/>
          <w:szCs w:val="22"/>
        </w:rPr>
        <w:t>s</w:t>
      </w:r>
      <w:r w:rsidRPr="00EF5E27">
        <w:rPr>
          <w:rFonts w:asciiTheme="minorHAnsi" w:eastAsiaTheme="minorHAnsi" w:hAnsiTheme="minorHAnsi" w:cstheme="minorHAnsi"/>
          <w:sz w:val="22"/>
          <w:szCs w:val="22"/>
        </w:rPr>
        <w:t xml:space="preserve"> 4 % (2016) na 7% (2023).</w:t>
      </w:r>
      <w:r w:rsidR="00C1331A" w:rsidRPr="00EF5E27">
        <w:rPr>
          <w:rFonts w:asciiTheme="minorHAnsi" w:eastAsiaTheme="minorHAnsi" w:hAnsiTheme="minorHAnsi" w:cstheme="minorHAnsi"/>
          <w:sz w:val="22"/>
          <w:szCs w:val="22"/>
        </w:rPr>
        <w:t xml:space="preserve"> </w:t>
      </w:r>
      <w:r w:rsidR="00D8075B" w:rsidRPr="00EF5E27">
        <w:rPr>
          <w:rFonts w:asciiTheme="minorHAnsi" w:eastAsiaTheme="minorHAnsi" w:hAnsiTheme="minorHAnsi" w:cstheme="minorHAnsi"/>
          <w:sz w:val="22"/>
          <w:szCs w:val="22"/>
        </w:rPr>
        <w:t>(Tabela A1.2.)</w:t>
      </w:r>
    </w:p>
    <w:p w14:paraId="4DEE1048" w14:textId="6C5391CF" w:rsidR="004E0C98" w:rsidRPr="00EF5E27" w:rsidRDefault="00F80AF7" w:rsidP="00F80AF7">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 xml:space="preserve">Izobrazba je najboljša zaščita v krizi. </w:t>
      </w:r>
      <w:r w:rsidR="00906F57" w:rsidRPr="00EF5E27">
        <w:rPr>
          <w:rFonts w:asciiTheme="minorHAnsi" w:eastAsiaTheme="minorHAnsi" w:hAnsiTheme="minorHAnsi" w:cstheme="minorHAnsi"/>
          <w:sz w:val="22"/>
          <w:szCs w:val="22"/>
        </w:rPr>
        <w:t>V Sloveniji je bilo leta 2023 med mladimi delovno aktivnih: z izobrazbo nižjo od višje sekundarne 67 % moških (OECD 72 %) in 43 % žensk (OECD 47 %), z višjo sekundarno izobrazbo 93 % moških (OECD 85 %) in 80 % žensk (OECD 70 %) in s terciarno 94 % moških (OECD 90 %) in 85 % žensk (OECD 84 %) .</w:t>
      </w:r>
      <w:r w:rsidRPr="00EF5E27">
        <w:rPr>
          <w:rFonts w:asciiTheme="minorHAnsi" w:eastAsiaTheme="minorHAnsi" w:hAnsiTheme="minorHAnsi" w:cstheme="minorHAnsi"/>
          <w:sz w:val="22"/>
          <w:szCs w:val="22"/>
        </w:rPr>
        <w:t xml:space="preserve"> </w:t>
      </w:r>
      <w:r w:rsidR="00E74436" w:rsidRPr="00EF5E27">
        <w:rPr>
          <w:rFonts w:asciiTheme="minorHAnsi" w:eastAsiaTheme="minorHAnsi" w:hAnsiTheme="minorHAnsi" w:cstheme="minorHAnsi"/>
          <w:sz w:val="22"/>
          <w:szCs w:val="22"/>
        </w:rPr>
        <w:t>(Tabela A3.2., 2023)</w:t>
      </w:r>
    </w:p>
    <w:p w14:paraId="20563167" w14:textId="62A1B54C" w:rsidR="00F80AF7" w:rsidRPr="00EF5E27" w:rsidRDefault="005E59DB" w:rsidP="00F80AF7">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D</w:t>
      </w:r>
      <w:r w:rsidR="00F80AF7" w:rsidRPr="00EF5E27">
        <w:rPr>
          <w:rFonts w:asciiTheme="minorHAnsi" w:eastAsiaTheme="minorHAnsi" w:hAnsiTheme="minorHAnsi" w:cstheme="minorHAnsi"/>
          <w:sz w:val="22"/>
          <w:szCs w:val="22"/>
        </w:rPr>
        <w:t>elavci</w:t>
      </w:r>
      <w:r w:rsidRPr="00EF5E27">
        <w:rPr>
          <w:rFonts w:asciiTheme="minorHAnsi" w:eastAsiaTheme="minorHAnsi" w:hAnsiTheme="minorHAnsi" w:cstheme="minorHAnsi"/>
          <w:sz w:val="22"/>
          <w:szCs w:val="22"/>
        </w:rPr>
        <w:t xml:space="preserve"> v starostni skupini od 25 do 64 let</w:t>
      </w:r>
      <w:r w:rsidR="00F80AF7" w:rsidRPr="00EF5E27">
        <w:rPr>
          <w:rFonts w:asciiTheme="minorHAnsi" w:eastAsiaTheme="minorHAnsi" w:hAnsiTheme="minorHAnsi" w:cstheme="minorHAnsi"/>
          <w:sz w:val="22"/>
          <w:szCs w:val="22"/>
        </w:rPr>
        <w:t>, ki nimajo višje sekundarne</w:t>
      </w:r>
      <w:r w:rsidR="004E0C98" w:rsidRPr="00EF5E27">
        <w:rPr>
          <w:rFonts w:asciiTheme="minorHAnsi" w:eastAsiaTheme="minorHAnsi" w:hAnsiTheme="minorHAnsi" w:cstheme="minorHAnsi"/>
          <w:sz w:val="22"/>
          <w:szCs w:val="22"/>
        </w:rPr>
        <w:t xml:space="preserve"> (srednješolske)</w:t>
      </w:r>
      <w:r w:rsidR="00F80AF7" w:rsidRPr="00EF5E27">
        <w:rPr>
          <w:rFonts w:asciiTheme="minorHAnsi" w:eastAsiaTheme="minorHAnsi" w:hAnsiTheme="minorHAnsi" w:cstheme="minorHAnsi"/>
          <w:sz w:val="22"/>
          <w:szCs w:val="22"/>
        </w:rPr>
        <w:t xml:space="preserve"> izobrazbe, v </w:t>
      </w:r>
      <w:r w:rsidR="00B36E62" w:rsidRPr="00EF5E27">
        <w:rPr>
          <w:rFonts w:asciiTheme="minorHAnsi" w:eastAsiaTheme="minorHAnsi" w:hAnsiTheme="minorHAnsi" w:cstheme="minorHAnsi"/>
          <w:sz w:val="22"/>
          <w:szCs w:val="22"/>
        </w:rPr>
        <w:t xml:space="preserve">Sloveniji v </w:t>
      </w:r>
      <w:r w:rsidR="00F80AF7" w:rsidRPr="00EF5E27">
        <w:rPr>
          <w:rFonts w:asciiTheme="minorHAnsi" w:eastAsiaTheme="minorHAnsi" w:hAnsiTheme="minorHAnsi" w:cstheme="minorHAnsi"/>
          <w:sz w:val="22"/>
          <w:szCs w:val="22"/>
        </w:rPr>
        <w:t xml:space="preserve">povprečju zaslužijo </w:t>
      </w:r>
      <w:r w:rsidR="001C4201" w:rsidRPr="00EF5E27">
        <w:rPr>
          <w:rFonts w:asciiTheme="minorHAnsi" w:eastAsiaTheme="minorHAnsi" w:hAnsiTheme="minorHAnsi" w:cstheme="minorHAnsi"/>
          <w:sz w:val="22"/>
          <w:szCs w:val="22"/>
        </w:rPr>
        <w:t xml:space="preserve">16 </w:t>
      </w:r>
      <w:r w:rsidR="00F80AF7" w:rsidRPr="00EF5E27">
        <w:rPr>
          <w:rFonts w:asciiTheme="minorHAnsi" w:eastAsiaTheme="minorHAnsi" w:hAnsiTheme="minorHAnsi" w:cstheme="minorHAnsi"/>
          <w:sz w:val="22"/>
          <w:szCs w:val="22"/>
        </w:rPr>
        <w:t>% manj kot tisti, ki jo imajo</w:t>
      </w:r>
      <w:r w:rsidR="001C4201" w:rsidRPr="00EF5E27">
        <w:rPr>
          <w:rFonts w:asciiTheme="minorHAnsi" w:eastAsiaTheme="minorHAnsi" w:hAnsiTheme="minorHAnsi" w:cstheme="minorHAnsi"/>
          <w:sz w:val="22"/>
          <w:szCs w:val="22"/>
        </w:rPr>
        <w:t xml:space="preserve"> (OECD 18</w:t>
      </w:r>
      <w:r w:rsidR="004F7FEB" w:rsidRPr="00EF5E27">
        <w:rPr>
          <w:rFonts w:asciiTheme="minorHAnsi" w:eastAsiaTheme="minorHAnsi" w:hAnsiTheme="minorHAnsi" w:cstheme="minorHAnsi"/>
          <w:sz w:val="22"/>
          <w:szCs w:val="22"/>
        </w:rPr>
        <w:t xml:space="preserve"> </w:t>
      </w:r>
      <w:r w:rsidR="001C4201" w:rsidRPr="00EF5E27">
        <w:rPr>
          <w:rFonts w:asciiTheme="minorHAnsi" w:eastAsiaTheme="minorHAnsi" w:hAnsiTheme="minorHAnsi" w:cstheme="minorHAnsi"/>
          <w:sz w:val="22"/>
          <w:szCs w:val="22"/>
        </w:rPr>
        <w:t>%)</w:t>
      </w:r>
      <w:r w:rsidR="00F80AF7" w:rsidRPr="00EF5E27">
        <w:rPr>
          <w:rFonts w:asciiTheme="minorHAnsi" w:eastAsiaTheme="minorHAnsi" w:hAnsiTheme="minorHAnsi" w:cstheme="minorHAnsi"/>
          <w:sz w:val="22"/>
          <w:szCs w:val="22"/>
        </w:rPr>
        <w:t>.</w:t>
      </w:r>
      <w:r w:rsidR="00637276" w:rsidRPr="00EF5E27">
        <w:rPr>
          <w:rFonts w:asciiTheme="minorHAnsi" w:eastAsiaTheme="minorHAnsi" w:hAnsiTheme="minorHAnsi" w:cstheme="minorHAnsi"/>
          <w:sz w:val="22"/>
          <w:szCs w:val="22"/>
        </w:rPr>
        <w:t xml:space="preserve"> (Tabela</w:t>
      </w:r>
      <w:r w:rsidR="004F7FEB" w:rsidRPr="00EF5E27">
        <w:rPr>
          <w:rFonts w:asciiTheme="minorHAnsi" w:eastAsiaTheme="minorHAnsi" w:hAnsiTheme="minorHAnsi" w:cstheme="minorHAnsi"/>
          <w:sz w:val="22"/>
          <w:szCs w:val="22"/>
        </w:rPr>
        <w:t xml:space="preserve"> </w:t>
      </w:r>
      <w:r w:rsidR="00637276" w:rsidRPr="00EF5E27">
        <w:rPr>
          <w:rFonts w:asciiTheme="minorHAnsi" w:eastAsiaTheme="minorHAnsi" w:hAnsiTheme="minorHAnsi" w:cstheme="minorHAnsi"/>
          <w:sz w:val="22"/>
          <w:szCs w:val="22"/>
        </w:rPr>
        <w:t>A4.1., 2022)</w:t>
      </w:r>
    </w:p>
    <w:p w14:paraId="4AA27909" w14:textId="77777777" w:rsidR="00761AF4" w:rsidRPr="00EF5E27" w:rsidRDefault="00761AF4" w:rsidP="00761AF4">
      <w:pPr>
        <w:widowControl w:val="0"/>
        <w:spacing w:before="120" w:line="240" w:lineRule="auto"/>
        <w:jc w:val="both"/>
        <w:rPr>
          <w:rFonts w:cstheme="minorHAnsi"/>
        </w:rPr>
      </w:pPr>
    </w:p>
    <w:p w14:paraId="5B15A1CC" w14:textId="4F47AA99" w:rsidR="002F45C0" w:rsidRPr="00EF5E27" w:rsidRDefault="002F45C0" w:rsidP="00D93A0F">
      <w:pPr>
        <w:pStyle w:val="Naslov2"/>
      </w:pPr>
      <w:bookmarkStart w:id="6" w:name="_Toc176856766"/>
      <w:r w:rsidRPr="00EF5E27">
        <w:t xml:space="preserve">Terciarna </w:t>
      </w:r>
      <w:r w:rsidR="00671DA9" w:rsidRPr="00EF5E27">
        <w:t>izobrazba</w:t>
      </w:r>
      <w:r w:rsidRPr="00EF5E27">
        <w:t xml:space="preserve"> je </w:t>
      </w:r>
      <w:r w:rsidR="00EF5E27" w:rsidRPr="00EF5E27">
        <w:t xml:space="preserve">v vseh državah in vseh demografskih skupinah </w:t>
      </w:r>
      <w:r w:rsidRPr="00EF5E27">
        <w:t>povezana z najboljšimi zaposlitvenimi možnostmi za mlade.</w:t>
      </w:r>
      <w:bookmarkEnd w:id="6"/>
    </w:p>
    <w:p w14:paraId="5E568A7D" w14:textId="1D422948" w:rsidR="00756C78" w:rsidRPr="00EF5E27" w:rsidRDefault="00A60BE6" w:rsidP="001110DF">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Zaposlitvene možnosti so odvisne od dosežene stopnje izobrazbe in spola. Leta 2023 je bilo med mladimi delovno aktivnih: 67 % moških (OECD 72 %) in 43 % žensk (47 %) z izobrazbo nižjo od sekundarne, 93 % moških (OECD 85 %) in  80 % žensk (OECD 70 %) z višjo sekundarno izobrazbo in 94% moških (OECD</w:t>
      </w:r>
      <w:r w:rsidR="00D63572" w:rsidRPr="00EF5E27">
        <w:rPr>
          <w:rFonts w:asciiTheme="minorHAnsi" w:eastAsiaTheme="minorHAnsi" w:hAnsiTheme="minorHAnsi" w:cstheme="minorHAnsi"/>
          <w:sz w:val="22"/>
          <w:szCs w:val="22"/>
        </w:rPr>
        <w:t xml:space="preserve"> 90%)</w:t>
      </w:r>
      <w:r w:rsidRPr="00EF5E27">
        <w:rPr>
          <w:rFonts w:asciiTheme="minorHAnsi" w:eastAsiaTheme="minorHAnsi" w:hAnsiTheme="minorHAnsi" w:cstheme="minorHAnsi"/>
          <w:sz w:val="22"/>
          <w:szCs w:val="22"/>
        </w:rPr>
        <w:t xml:space="preserve">  in  85 % žensk (OECD</w:t>
      </w:r>
      <w:r w:rsidR="00D63572" w:rsidRPr="00EF5E27">
        <w:rPr>
          <w:rFonts w:asciiTheme="minorHAnsi" w:eastAsiaTheme="minorHAnsi" w:hAnsiTheme="minorHAnsi" w:cstheme="minorHAnsi"/>
          <w:sz w:val="22"/>
          <w:szCs w:val="22"/>
        </w:rPr>
        <w:t xml:space="preserve"> 84%)</w:t>
      </w:r>
      <w:r w:rsidRPr="00EF5E27">
        <w:rPr>
          <w:rFonts w:asciiTheme="minorHAnsi" w:eastAsiaTheme="minorHAnsi" w:hAnsiTheme="minorHAnsi" w:cstheme="minorHAnsi"/>
          <w:sz w:val="22"/>
          <w:szCs w:val="22"/>
        </w:rPr>
        <w:t xml:space="preserve"> s terciarno izobrazbo.</w:t>
      </w:r>
      <w:r w:rsidR="00411EC5" w:rsidRPr="00EF5E27">
        <w:rPr>
          <w:rFonts w:asciiTheme="minorHAnsi" w:eastAsiaTheme="minorHAnsi" w:hAnsiTheme="minorHAnsi" w:cstheme="minorHAnsi"/>
          <w:sz w:val="22"/>
          <w:szCs w:val="22"/>
        </w:rPr>
        <w:t xml:space="preserve">  </w:t>
      </w:r>
      <w:r w:rsidR="00756C78" w:rsidRPr="00EF5E27">
        <w:rPr>
          <w:rFonts w:asciiTheme="minorHAnsi" w:eastAsiaTheme="minorHAnsi" w:hAnsiTheme="minorHAnsi" w:cstheme="minorHAnsi"/>
          <w:sz w:val="22"/>
          <w:szCs w:val="22"/>
        </w:rPr>
        <w:t>(Tabela A3.2., 2023)</w:t>
      </w:r>
    </w:p>
    <w:p w14:paraId="33C6231D" w14:textId="3F33E610" w:rsidR="004C5D8C" w:rsidRDefault="009F7FB8" w:rsidP="001110DF">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 xml:space="preserve"> Le</w:t>
      </w:r>
      <w:r w:rsidR="002B484B" w:rsidRPr="00EF5E27">
        <w:rPr>
          <w:rFonts w:asciiTheme="minorHAnsi" w:eastAsiaTheme="minorHAnsi" w:hAnsiTheme="minorHAnsi" w:cstheme="minorHAnsi"/>
          <w:sz w:val="22"/>
          <w:szCs w:val="22"/>
        </w:rPr>
        <w:t xml:space="preserve"> 36</w:t>
      </w:r>
      <w:r w:rsidR="0006053D"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w:t>
      </w:r>
      <w:r w:rsidR="00292E98"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delavcev z višjo sekundarno izobrazbo zasluži več od mediane</w:t>
      </w:r>
      <w:r w:rsidR="00940C88" w:rsidRPr="00EF5E27">
        <w:rPr>
          <w:rFonts w:asciiTheme="minorHAnsi" w:eastAsiaTheme="minorHAnsi" w:hAnsiTheme="minorHAnsi" w:cstheme="minorHAnsi"/>
          <w:sz w:val="22"/>
          <w:szCs w:val="22"/>
        </w:rPr>
        <w:t xml:space="preserve"> (vse</w:t>
      </w:r>
      <w:r w:rsidR="004C5721" w:rsidRPr="00EF5E27">
        <w:rPr>
          <w:rFonts w:asciiTheme="minorHAnsi" w:eastAsiaTheme="minorHAnsi" w:hAnsiTheme="minorHAnsi" w:cstheme="minorHAnsi"/>
          <w:sz w:val="22"/>
          <w:szCs w:val="22"/>
        </w:rPr>
        <w:t>h</w:t>
      </w:r>
      <w:r w:rsidR="00CA571D" w:rsidRPr="00EF5E27">
        <w:rPr>
          <w:rFonts w:asciiTheme="minorHAnsi" w:eastAsiaTheme="minorHAnsi" w:hAnsiTheme="minorHAnsi" w:cstheme="minorHAnsi"/>
          <w:sz w:val="22"/>
          <w:szCs w:val="22"/>
        </w:rPr>
        <w:t xml:space="preserve"> </w:t>
      </w:r>
      <w:r w:rsidR="00A32EB9" w:rsidRPr="00EF5E27">
        <w:rPr>
          <w:rFonts w:asciiTheme="minorHAnsi" w:eastAsiaTheme="minorHAnsi" w:hAnsiTheme="minorHAnsi" w:cstheme="minorHAnsi"/>
          <w:sz w:val="22"/>
          <w:szCs w:val="22"/>
        </w:rPr>
        <w:t>plač</w:t>
      </w:r>
      <w:r w:rsidR="00940C88" w:rsidRPr="00EF5E27">
        <w:rPr>
          <w:rFonts w:asciiTheme="minorHAnsi" w:eastAsiaTheme="minorHAnsi" w:hAnsiTheme="minorHAnsi" w:cstheme="minorHAnsi"/>
          <w:sz w:val="22"/>
          <w:szCs w:val="22"/>
        </w:rPr>
        <w:t xml:space="preserve"> </w:t>
      </w:r>
      <w:r w:rsidR="0006053D" w:rsidRPr="00EF5E27">
        <w:rPr>
          <w:rFonts w:asciiTheme="minorHAnsi" w:eastAsiaTheme="minorHAnsi" w:hAnsiTheme="minorHAnsi" w:cstheme="minorHAnsi"/>
          <w:sz w:val="22"/>
          <w:szCs w:val="22"/>
        </w:rPr>
        <w:t>delovno aktivnih</w:t>
      </w:r>
      <w:r w:rsidR="00940C88" w:rsidRPr="00EF5E27">
        <w:rPr>
          <w:rFonts w:asciiTheme="minorHAnsi" w:eastAsiaTheme="minorHAnsi" w:hAnsiTheme="minorHAnsi" w:cstheme="minorHAnsi"/>
          <w:sz w:val="22"/>
          <w:szCs w:val="22"/>
        </w:rPr>
        <w:t xml:space="preserve"> odraslih </w:t>
      </w:r>
      <w:r w:rsidR="002B6D16" w:rsidRPr="00EF5E27">
        <w:rPr>
          <w:rFonts w:asciiTheme="minorHAnsi" w:eastAsiaTheme="minorHAnsi" w:hAnsiTheme="minorHAnsi" w:cstheme="minorHAnsi"/>
          <w:sz w:val="22"/>
          <w:szCs w:val="22"/>
        </w:rPr>
        <w:t>(</w:t>
      </w:r>
      <w:r w:rsidR="00940C88" w:rsidRPr="00EF5E27">
        <w:rPr>
          <w:rFonts w:asciiTheme="minorHAnsi" w:eastAsiaTheme="minorHAnsi" w:hAnsiTheme="minorHAnsi" w:cstheme="minorHAnsi"/>
          <w:sz w:val="22"/>
          <w:szCs w:val="22"/>
        </w:rPr>
        <w:t>stari 25</w:t>
      </w:r>
      <w:r w:rsidR="008754EF">
        <w:rPr>
          <w:rFonts w:asciiTheme="minorHAnsi" w:eastAsiaTheme="minorHAnsi" w:hAnsiTheme="minorHAnsi" w:cstheme="minorHAnsi"/>
          <w:sz w:val="22"/>
          <w:szCs w:val="22"/>
        </w:rPr>
        <w:t xml:space="preserve"> do </w:t>
      </w:r>
      <w:r w:rsidR="00940C88" w:rsidRPr="00EF5E27">
        <w:rPr>
          <w:rFonts w:asciiTheme="minorHAnsi" w:eastAsiaTheme="minorHAnsi" w:hAnsiTheme="minorHAnsi" w:cstheme="minorHAnsi"/>
          <w:sz w:val="22"/>
          <w:szCs w:val="22"/>
        </w:rPr>
        <w:t>64 let</w:t>
      </w:r>
      <w:r w:rsidR="002B6D16" w:rsidRPr="00EF5E27">
        <w:rPr>
          <w:rFonts w:asciiTheme="minorHAnsi" w:eastAsiaTheme="minorHAnsi" w:hAnsiTheme="minorHAnsi" w:cstheme="minorHAnsi"/>
          <w:sz w:val="22"/>
          <w:szCs w:val="22"/>
        </w:rPr>
        <w:t>)</w:t>
      </w:r>
      <w:r w:rsidR="00E12CA0">
        <w:rPr>
          <w:rFonts w:asciiTheme="minorHAnsi" w:eastAsiaTheme="minorHAnsi" w:hAnsiTheme="minorHAnsi" w:cstheme="minorHAnsi"/>
          <w:sz w:val="22"/>
          <w:szCs w:val="22"/>
        </w:rPr>
        <w:t>)</w:t>
      </w:r>
      <w:r w:rsidR="002B6D16" w:rsidRPr="00EF5E27">
        <w:rPr>
          <w:rFonts w:asciiTheme="minorHAnsi" w:eastAsiaTheme="minorHAnsi" w:hAnsiTheme="minorHAnsi" w:cstheme="minorHAnsi"/>
          <w:sz w:val="22"/>
          <w:szCs w:val="22"/>
        </w:rPr>
        <w:t>,</w:t>
      </w:r>
      <w:r w:rsidR="00940C88" w:rsidRPr="00EF5E27">
        <w:rPr>
          <w:rFonts w:asciiTheme="minorHAnsi" w:eastAsiaTheme="minorHAnsi" w:hAnsiTheme="minorHAnsi" w:cstheme="minorHAnsi"/>
          <w:sz w:val="22"/>
          <w:szCs w:val="22"/>
        </w:rPr>
        <w:t xml:space="preserve"> </w:t>
      </w:r>
      <w:r w:rsidR="0006053D" w:rsidRPr="00EF5E27">
        <w:rPr>
          <w:rFonts w:asciiTheme="minorHAnsi" w:eastAsiaTheme="minorHAnsi" w:hAnsiTheme="minorHAnsi" w:cstheme="minorHAnsi"/>
          <w:sz w:val="22"/>
          <w:szCs w:val="22"/>
        </w:rPr>
        <w:t>na</w:t>
      </w:r>
      <w:r w:rsidR="00940C88" w:rsidRPr="00EF5E27">
        <w:rPr>
          <w:rFonts w:asciiTheme="minorHAnsi" w:eastAsiaTheme="minorHAnsi" w:hAnsiTheme="minorHAnsi" w:cstheme="minorHAnsi"/>
          <w:sz w:val="22"/>
          <w:szCs w:val="22"/>
        </w:rPr>
        <w:t xml:space="preserve"> vse</w:t>
      </w:r>
      <w:r w:rsidR="0006053D" w:rsidRPr="00EF5E27">
        <w:rPr>
          <w:rFonts w:asciiTheme="minorHAnsi" w:eastAsiaTheme="minorHAnsi" w:hAnsiTheme="minorHAnsi" w:cstheme="minorHAnsi"/>
          <w:sz w:val="22"/>
          <w:szCs w:val="22"/>
        </w:rPr>
        <w:t>h</w:t>
      </w:r>
      <w:r w:rsidR="00940C88" w:rsidRPr="00EF5E27">
        <w:rPr>
          <w:rFonts w:asciiTheme="minorHAnsi" w:eastAsiaTheme="minorHAnsi" w:hAnsiTheme="minorHAnsi" w:cstheme="minorHAnsi"/>
          <w:sz w:val="22"/>
          <w:szCs w:val="22"/>
        </w:rPr>
        <w:t xml:space="preserve"> ravn</w:t>
      </w:r>
      <w:r w:rsidR="0006053D" w:rsidRPr="00EF5E27">
        <w:rPr>
          <w:rFonts w:asciiTheme="minorHAnsi" w:eastAsiaTheme="minorHAnsi" w:hAnsiTheme="minorHAnsi" w:cstheme="minorHAnsi"/>
          <w:sz w:val="22"/>
          <w:szCs w:val="22"/>
        </w:rPr>
        <w:t>eh</w:t>
      </w:r>
      <w:r w:rsidR="00940C88" w:rsidRPr="00EF5E27">
        <w:rPr>
          <w:rFonts w:asciiTheme="minorHAnsi" w:eastAsiaTheme="minorHAnsi" w:hAnsiTheme="minorHAnsi" w:cstheme="minorHAnsi"/>
          <w:sz w:val="22"/>
          <w:szCs w:val="22"/>
        </w:rPr>
        <w:t xml:space="preserve"> izobraževanja</w:t>
      </w:r>
      <w:r w:rsidR="00A32EB9" w:rsidRPr="00EF5E27">
        <w:rPr>
          <w:rFonts w:asciiTheme="minorHAnsi" w:eastAsiaTheme="minorHAnsi" w:hAnsiTheme="minorHAnsi" w:cstheme="minorHAnsi"/>
          <w:sz w:val="22"/>
          <w:szCs w:val="22"/>
        </w:rPr>
        <w:t xml:space="preserve"> </w:t>
      </w:r>
      <w:r w:rsidR="00E37EAE" w:rsidRPr="00EF5E27">
        <w:rPr>
          <w:rFonts w:asciiTheme="minorHAnsi" w:eastAsiaTheme="minorHAnsi" w:hAnsiTheme="minorHAnsi" w:cstheme="minorHAnsi"/>
          <w:sz w:val="22"/>
          <w:szCs w:val="22"/>
        </w:rPr>
        <w:t>(OECD 4</w:t>
      </w:r>
      <w:r w:rsidR="00F919C8" w:rsidRPr="00EF5E27">
        <w:rPr>
          <w:rFonts w:asciiTheme="minorHAnsi" w:eastAsiaTheme="minorHAnsi" w:hAnsiTheme="minorHAnsi" w:cstheme="minorHAnsi"/>
          <w:sz w:val="22"/>
          <w:szCs w:val="22"/>
        </w:rPr>
        <w:t>2</w:t>
      </w:r>
      <w:r w:rsidR="0006053D" w:rsidRPr="00EF5E27">
        <w:rPr>
          <w:rFonts w:asciiTheme="minorHAnsi" w:eastAsiaTheme="minorHAnsi" w:hAnsiTheme="minorHAnsi" w:cstheme="minorHAnsi"/>
          <w:sz w:val="22"/>
          <w:szCs w:val="22"/>
        </w:rPr>
        <w:t xml:space="preserve"> </w:t>
      </w:r>
      <w:r w:rsidR="00E37EAE" w:rsidRPr="00EF5E27">
        <w:rPr>
          <w:rFonts w:asciiTheme="minorHAnsi" w:eastAsiaTheme="minorHAnsi" w:hAnsiTheme="minorHAnsi" w:cstheme="minorHAnsi"/>
          <w:sz w:val="22"/>
          <w:szCs w:val="22"/>
        </w:rPr>
        <w:t>%)</w:t>
      </w:r>
      <w:r w:rsidRPr="00EF5E27">
        <w:rPr>
          <w:rFonts w:asciiTheme="minorHAnsi" w:eastAsiaTheme="minorHAnsi" w:hAnsiTheme="minorHAnsi" w:cstheme="minorHAnsi"/>
          <w:sz w:val="22"/>
          <w:szCs w:val="22"/>
        </w:rPr>
        <w:t xml:space="preserve"> v primerjavi </w:t>
      </w:r>
      <w:r w:rsidR="00E37EAE" w:rsidRPr="00EF5E27">
        <w:rPr>
          <w:rFonts w:asciiTheme="minorHAnsi" w:eastAsiaTheme="minorHAnsi" w:hAnsiTheme="minorHAnsi" w:cstheme="minorHAnsi"/>
          <w:sz w:val="22"/>
          <w:szCs w:val="22"/>
        </w:rPr>
        <w:t>s</w:t>
      </w:r>
      <w:r w:rsidRPr="00EF5E27">
        <w:rPr>
          <w:rFonts w:asciiTheme="minorHAnsi" w:eastAsiaTheme="minorHAnsi" w:hAnsiTheme="minorHAnsi" w:cstheme="minorHAnsi"/>
          <w:sz w:val="22"/>
          <w:szCs w:val="22"/>
        </w:rPr>
        <w:t xml:space="preserve"> </w:t>
      </w:r>
      <w:r w:rsidR="002B484B" w:rsidRPr="00EF5E27">
        <w:rPr>
          <w:rFonts w:asciiTheme="minorHAnsi" w:eastAsiaTheme="minorHAnsi" w:hAnsiTheme="minorHAnsi" w:cstheme="minorHAnsi"/>
          <w:sz w:val="22"/>
          <w:szCs w:val="22"/>
        </w:rPr>
        <w:lastRenderedPageBreak/>
        <w:t>7</w:t>
      </w:r>
      <w:r w:rsidR="00F919C8" w:rsidRPr="00EF5E27">
        <w:rPr>
          <w:rFonts w:asciiTheme="minorHAnsi" w:eastAsiaTheme="minorHAnsi" w:hAnsiTheme="minorHAnsi" w:cstheme="minorHAnsi"/>
          <w:sz w:val="22"/>
          <w:szCs w:val="22"/>
        </w:rPr>
        <w:t>4</w:t>
      </w:r>
      <w:r w:rsidR="0006053D" w:rsidRPr="00EF5E27">
        <w:rPr>
          <w:rFonts w:asciiTheme="minorHAnsi" w:eastAsiaTheme="minorHAnsi" w:hAnsiTheme="minorHAnsi" w:cstheme="minorHAnsi"/>
          <w:sz w:val="22"/>
          <w:szCs w:val="22"/>
        </w:rPr>
        <w:t xml:space="preserve"> </w:t>
      </w:r>
      <w:r w:rsidR="002B484B"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tistih s terciarno izobrazbo</w:t>
      </w:r>
      <w:r w:rsidR="00E37EAE" w:rsidRPr="00EF5E27">
        <w:rPr>
          <w:rFonts w:asciiTheme="minorHAnsi" w:eastAsiaTheme="minorHAnsi" w:hAnsiTheme="minorHAnsi" w:cstheme="minorHAnsi"/>
          <w:sz w:val="22"/>
          <w:szCs w:val="22"/>
        </w:rPr>
        <w:t xml:space="preserve"> (OECD </w:t>
      </w:r>
      <w:r w:rsidR="00F919C8" w:rsidRPr="00EF5E27">
        <w:rPr>
          <w:rFonts w:asciiTheme="minorHAnsi" w:eastAsiaTheme="minorHAnsi" w:hAnsiTheme="minorHAnsi" w:cstheme="minorHAnsi"/>
          <w:sz w:val="22"/>
          <w:szCs w:val="22"/>
        </w:rPr>
        <w:t xml:space="preserve">68 </w:t>
      </w:r>
      <w:r w:rsidR="00E37EAE" w:rsidRPr="00EF5E27">
        <w:rPr>
          <w:rFonts w:asciiTheme="minorHAnsi" w:eastAsiaTheme="minorHAnsi" w:hAnsiTheme="minorHAnsi" w:cstheme="minorHAnsi"/>
          <w:sz w:val="22"/>
          <w:szCs w:val="22"/>
        </w:rPr>
        <w:t>%)</w:t>
      </w:r>
      <w:r w:rsidRPr="00EF5E27">
        <w:rPr>
          <w:rFonts w:asciiTheme="minorHAnsi" w:eastAsiaTheme="minorHAnsi" w:hAnsiTheme="minorHAnsi" w:cstheme="minorHAnsi"/>
          <w:sz w:val="22"/>
          <w:szCs w:val="22"/>
        </w:rPr>
        <w:t xml:space="preserve">. </w:t>
      </w:r>
      <w:r w:rsidR="002B484B" w:rsidRPr="00EF5E27">
        <w:rPr>
          <w:rFonts w:asciiTheme="minorHAnsi" w:eastAsiaTheme="minorHAnsi" w:hAnsiTheme="minorHAnsi" w:cstheme="minorHAnsi"/>
          <w:sz w:val="22"/>
          <w:szCs w:val="22"/>
        </w:rPr>
        <w:t>(Tabela A4.2., 2022)</w:t>
      </w:r>
      <w:r w:rsidR="00E6459F" w:rsidRPr="00EF5E27">
        <w:rPr>
          <w:rFonts w:asciiTheme="minorHAnsi" w:eastAsiaTheme="minorHAnsi" w:hAnsiTheme="minorHAnsi" w:cstheme="minorHAnsi"/>
          <w:sz w:val="22"/>
          <w:szCs w:val="22"/>
        </w:rPr>
        <w:t xml:space="preserve"> </w:t>
      </w:r>
    </w:p>
    <w:p w14:paraId="37D8403F" w14:textId="77777777" w:rsidR="003C1994" w:rsidRPr="00EF5E27" w:rsidRDefault="003C1994" w:rsidP="001110DF">
      <w:pPr>
        <w:widowControl w:val="0"/>
        <w:spacing w:before="120" w:line="240" w:lineRule="auto"/>
        <w:jc w:val="both"/>
        <w:rPr>
          <w:rFonts w:asciiTheme="minorHAnsi" w:eastAsiaTheme="minorHAnsi" w:hAnsiTheme="minorHAnsi" w:cstheme="minorHAnsi"/>
          <w:sz w:val="22"/>
          <w:szCs w:val="22"/>
        </w:rPr>
      </w:pPr>
    </w:p>
    <w:p w14:paraId="31EE118F" w14:textId="50968CC8" w:rsidR="004C5D8C" w:rsidRPr="00EF5E27" w:rsidRDefault="009F7FB8" w:rsidP="00D93A0F">
      <w:pPr>
        <w:pStyle w:val="Naslov2"/>
      </w:pPr>
      <w:bookmarkStart w:id="7" w:name="_Toc176856767"/>
      <w:r w:rsidRPr="00EF5E27">
        <w:t xml:space="preserve">Verjetnost zaposlitve se povečuje z doseženo izobrazbo, </w:t>
      </w:r>
      <w:r w:rsidR="001C1B57" w:rsidRPr="00EF5E27">
        <w:t xml:space="preserve">vendar so terciarno izobraženi odrasli, ki so se rodili v tujini zaposleni v manjšem deležu, kot </w:t>
      </w:r>
      <w:r w:rsidR="003C1994">
        <w:t xml:space="preserve">rojeni </w:t>
      </w:r>
      <w:r w:rsidR="000E6FE1" w:rsidRPr="00EF5E27">
        <w:t xml:space="preserve">v državi </w:t>
      </w:r>
      <w:r w:rsidR="001C1B57" w:rsidRPr="00EF5E27">
        <w:t>z isto stopnjo izobrazbe.</w:t>
      </w:r>
      <w:bookmarkEnd w:id="7"/>
      <w:r w:rsidR="001C1B57" w:rsidRPr="00EF5E27">
        <w:t xml:space="preserve"> </w:t>
      </w:r>
    </w:p>
    <w:p w14:paraId="04427D3A" w14:textId="2435B478" w:rsidR="0023134B" w:rsidRPr="00EF5E27" w:rsidRDefault="009F7FB8" w:rsidP="001110DF">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V povprečju je v državah OECD</w:t>
      </w:r>
      <w:r w:rsidR="00577133" w:rsidRPr="00EF5E27">
        <w:rPr>
          <w:rFonts w:asciiTheme="minorHAnsi" w:eastAsiaTheme="minorHAnsi" w:hAnsiTheme="minorHAnsi" w:cstheme="minorHAnsi"/>
          <w:sz w:val="22"/>
          <w:szCs w:val="22"/>
        </w:rPr>
        <w:t xml:space="preserve"> </w:t>
      </w:r>
      <w:r w:rsidR="001C1B57" w:rsidRPr="00EF5E27">
        <w:rPr>
          <w:rFonts w:asciiTheme="minorHAnsi" w:eastAsiaTheme="minorHAnsi" w:hAnsiTheme="minorHAnsi" w:cstheme="minorHAnsi"/>
          <w:sz w:val="22"/>
          <w:szCs w:val="22"/>
        </w:rPr>
        <w:t xml:space="preserve">z manj kot višjo sekundarno izobrazbo </w:t>
      </w:r>
      <w:r w:rsidR="00577133" w:rsidRPr="00EF5E27">
        <w:rPr>
          <w:rFonts w:asciiTheme="minorHAnsi" w:eastAsiaTheme="minorHAnsi" w:hAnsiTheme="minorHAnsi" w:cstheme="minorHAnsi"/>
          <w:sz w:val="22"/>
          <w:szCs w:val="22"/>
        </w:rPr>
        <w:t>zaposlenih</w:t>
      </w:r>
      <w:r w:rsidRPr="00EF5E27">
        <w:rPr>
          <w:rFonts w:asciiTheme="minorHAnsi" w:eastAsiaTheme="minorHAnsi" w:hAnsiTheme="minorHAnsi" w:cstheme="minorHAnsi"/>
          <w:sz w:val="22"/>
          <w:szCs w:val="22"/>
        </w:rPr>
        <w:t xml:space="preserve"> 60 % odraslih, rojenih v državi, in 63 % odraslih, rojenih v tujini,  pri čemer se ta delež poveča na 88 % rojenih </w:t>
      </w:r>
      <w:r w:rsidR="00E018B5" w:rsidRPr="00EF5E27">
        <w:rPr>
          <w:rFonts w:asciiTheme="minorHAnsi" w:eastAsiaTheme="minorHAnsi" w:hAnsiTheme="minorHAnsi" w:cstheme="minorHAnsi"/>
          <w:sz w:val="22"/>
          <w:szCs w:val="22"/>
        </w:rPr>
        <w:t xml:space="preserve">v državi </w:t>
      </w:r>
      <w:r w:rsidRPr="00EF5E27">
        <w:rPr>
          <w:rFonts w:asciiTheme="minorHAnsi" w:eastAsiaTheme="minorHAnsi" w:hAnsiTheme="minorHAnsi" w:cstheme="minorHAnsi"/>
          <w:sz w:val="22"/>
          <w:szCs w:val="22"/>
        </w:rPr>
        <w:t>in 82 % v tujini rojenih odraslih s terciarno izobrazbo.</w:t>
      </w:r>
      <w:r w:rsidR="00542AD6"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 xml:space="preserve"> </w:t>
      </w:r>
    </w:p>
    <w:p w14:paraId="3F1C0CF5" w14:textId="45F247B2" w:rsidR="00563665" w:rsidRPr="00EF5E27" w:rsidRDefault="00563665" w:rsidP="001110DF">
      <w:pPr>
        <w:widowControl w:val="0"/>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 xml:space="preserve">V Sloveniji je </w:t>
      </w:r>
      <w:r w:rsidR="001C1B57" w:rsidRPr="00EF5E27">
        <w:rPr>
          <w:rFonts w:asciiTheme="minorHAnsi" w:eastAsiaTheme="minorHAnsi" w:hAnsiTheme="minorHAnsi" w:cstheme="minorHAnsi"/>
          <w:sz w:val="22"/>
          <w:szCs w:val="22"/>
        </w:rPr>
        <w:t xml:space="preserve">z manj kot višjo sekundarno izobrazbo </w:t>
      </w:r>
      <w:r w:rsidRPr="00EF5E27">
        <w:rPr>
          <w:rFonts w:asciiTheme="minorHAnsi" w:eastAsiaTheme="minorHAnsi" w:hAnsiTheme="minorHAnsi" w:cstheme="minorHAnsi"/>
          <w:sz w:val="22"/>
          <w:szCs w:val="22"/>
        </w:rPr>
        <w:t>zaposlenih 53</w:t>
      </w:r>
      <w:r w:rsidR="0006053D"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 odraslih,</w:t>
      </w:r>
      <w:r w:rsidR="00E43244" w:rsidRPr="00EF5E27">
        <w:rPr>
          <w:rFonts w:asciiTheme="minorHAnsi" w:eastAsiaTheme="minorHAnsi" w:hAnsiTheme="minorHAnsi" w:cstheme="minorHAnsi"/>
          <w:sz w:val="22"/>
          <w:szCs w:val="22"/>
        </w:rPr>
        <w:t xml:space="preserve"> rojenih</w:t>
      </w:r>
      <w:r w:rsidR="000E6FE1" w:rsidRPr="00EF5E27">
        <w:rPr>
          <w:rFonts w:asciiTheme="minorHAnsi" w:eastAsiaTheme="minorHAnsi" w:hAnsiTheme="minorHAnsi" w:cstheme="minorHAnsi"/>
          <w:sz w:val="22"/>
          <w:szCs w:val="22"/>
        </w:rPr>
        <w:t xml:space="preserve"> v Sloveniji</w:t>
      </w:r>
      <w:r w:rsidR="00542AD6" w:rsidRPr="00EF5E27">
        <w:rPr>
          <w:rFonts w:asciiTheme="minorHAnsi" w:eastAsiaTheme="minorHAnsi" w:hAnsiTheme="minorHAnsi" w:cstheme="minorHAnsi"/>
          <w:sz w:val="22"/>
          <w:szCs w:val="22"/>
        </w:rPr>
        <w:t>,</w:t>
      </w:r>
      <w:r w:rsidR="00E43244" w:rsidRPr="00EF5E27">
        <w:rPr>
          <w:rFonts w:asciiTheme="minorHAnsi" w:eastAsiaTheme="minorHAnsi" w:hAnsiTheme="minorHAnsi" w:cstheme="minorHAnsi"/>
          <w:sz w:val="22"/>
          <w:szCs w:val="22"/>
        </w:rPr>
        <w:t xml:space="preserve"> in 58</w:t>
      </w:r>
      <w:r w:rsidR="0006053D" w:rsidRPr="00EF5E27">
        <w:rPr>
          <w:rFonts w:asciiTheme="minorHAnsi" w:eastAsiaTheme="minorHAnsi" w:hAnsiTheme="minorHAnsi" w:cstheme="minorHAnsi"/>
          <w:sz w:val="22"/>
          <w:szCs w:val="22"/>
        </w:rPr>
        <w:t xml:space="preserve"> </w:t>
      </w:r>
      <w:r w:rsidR="00E43244" w:rsidRPr="00EF5E27">
        <w:rPr>
          <w:rFonts w:asciiTheme="minorHAnsi" w:eastAsiaTheme="minorHAnsi" w:hAnsiTheme="minorHAnsi" w:cstheme="minorHAnsi"/>
          <w:sz w:val="22"/>
          <w:szCs w:val="22"/>
        </w:rPr>
        <w:t>% odraslih</w:t>
      </w:r>
      <w:r w:rsidR="00427F42" w:rsidRPr="00EF5E27">
        <w:rPr>
          <w:rFonts w:asciiTheme="minorHAnsi" w:eastAsiaTheme="minorHAnsi" w:hAnsiTheme="minorHAnsi" w:cstheme="minorHAnsi"/>
          <w:sz w:val="22"/>
          <w:szCs w:val="22"/>
        </w:rPr>
        <w:t>,</w:t>
      </w:r>
      <w:r w:rsidR="00E43244" w:rsidRPr="00EF5E27">
        <w:rPr>
          <w:rFonts w:asciiTheme="minorHAnsi" w:eastAsiaTheme="minorHAnsi" w:hAnsiTheme="minorHAnsi" w:cstheme="minorHAnsi"/>
          <w:sz w:val="22"/>
          <w:szCs w:val="22"/>
        </w:rPr>
        <w:t xml:space="preserve"> rojenih v tujini</w:t>
      </w:r>
      <w:r w:rsidR="000E6FE1" w:rsidRPr="00EF5E27">
        <w:rPr>
          <w:rFonts w:asciiTheme="minorHAnsi" w:eastAsiaTheme="minorHAnsi" w:hAnsiTheme="minorHAnsi" w:cstheme="minorHAnsi"/>
          <w:sz w:val="22"/>
          <w:szCs w:val="22"/>
        </w:rPr>
        <w:t>:</w:t>
      </w:r>
      <w:r w:rsidRPr="00EF5E27">
        <w:rPr>
          <w:rFonts w:asciiTheme="minorHAnsi" w:eastAsiaTheme="minorHAnsi" w:hAnsiTheme="minorHAnsi" w:cstheme="minorHAnsi"/>
          <w:sz w:val="22"/>
          <w:szCs w:val="22"/>
        </w:rPr>
        <w:t xml:space="preserve"> </w:t>
      </w:r>
      <w:r w:rsidR="000E6FE1" w:rsidRPr="00EF5E27">
        <w:rPr>
          <w:rFonts w:asciiTheme="minorHAnsi" w:eastAsiaTheme="minorHAnsi" w:hAnsiTheme="minorHAnsi" w:cstheme="minorHAnsi"/>
          <w:sz w:val="22"/>
          <w:szCs w:val="22"/>
        </w:rPr>
        <w:t>P</w:t>
      </w:r>
      <w:r w:rsidR="00E43244" w:rsidRPr="00EF5E27">
        <w:rPr>
          <w:rFonts w:asciiTheme="minorHAnsi" w:eastAsiaTheme="minorHAnsi" w:hAnsiTheme="minorHAnsi" w:cstheme="minorHAnsi"/>
          <w:sz w:val="22"/>
          <w:szCs w:val="22"/>
        </w:rPr>
        <w:t>ri odraslih s terciarno izobrazbo se ta razlika poveča in obrne v prid rojenim</w:t>
      </w:r>
      <w:r w:rsidR="00AB0472" w:rsidRPr="00EF5E27">
        <w:rPr>
          <w:rFonts w:asciiTheme="minorHAnsi" w:eastAsiaTheme="minorHAnsi" w:hAnsiTheme="minorHAnsi" w:cstheme="minorHAnsi"/>
          <w:sz w:val="22"/>
          <w:szCs w:val="22"/>
        </w:rPr>
        <w:t xml:space="preserve"> v državi</w:t>
      </w:r>
      <w:r w:rsidR="00E43244" w:rsidRPr="00EF5E27">
        <w:rPr>
          <w:rFonts w:asciiTheme="minorHAnsi" w:eastAsiaTheme="minorHAnsi" w:hAnsiTheme="minorHAnsi" w:cstheme="minorHAnsi"/>
          <w:sz w:val="22"/>
          <w:szCs w:val="22"/>
        </w:rPr>
        <w:t xml:space="preserve"> in sicer je zaposlenih </w:t>
      </w:r>
      <w:r w:rsidR="001C1B57" w:rsidRPr="00EF5E27">
        <w:rPr>
          <w:rFonts w:asciiTheme="minorHAnsi" w:eastAsiaTheme="minorHAnsi" w:hAnsiTheme="minorHAnsi" w:cstheme="minorHAnsi"/>
          <w:sz w:val="22"/>
          <w:szCs w:val="22"/>
        </w:rPr>
        <w:t xml:space="preserve">odraslih s terciarno izobrazbo </w:t>
      </w:r>
      <w:r w:rsidR="00E43244" w:rsidRPr="00EF5E27">
        <w:rPr>
          <w:rFonts w:asciiTheme="minorHAnsi" w:eastAsiaTheme="minorHAnsi" w:hAnsiTheme="minorHAnsi" w:cstheme="minorHAnsi"/>
          <w:sz w:val="22"/>
          <w:szCs w:val="22"/>
        </w:rPr>
        <w:t>91</w:t>
      </w:r>
      <w:r w:rsidR="0006053D" w:rsidRPr="00EF5E27">
        <w:rPr>
          <w:rFonts w:asciiTheme="minorHAnsi" w:eastAsiaTheme="minorHAnsi" w:hAnsiTheme="minorHAnsi" w:cstheme="minorHAnsi"/>
          <w:sz w:val="22"/>
          <w:szCs w:val="22"/>
        </w:rPr>
        <w:t xml:space="preserve"> </w:t>
      </w:r>
      <w:r w:rsidR="00E43244" w:rsidRPr="00EF5E27">
        <w:rPr>
          <w:rFonts w:asciiTheme="minorHAnsi" w:eastAsiaTheme="minorHAnsi" w:hAnsiTheme="minorHAnsi" w:cstheme="minorHAnsi"/>
          <w:sz w:val="22"/>
          <w:szCs w:val="22"/>
        </w:rPr>
        <w:t>%</w:t>
      </w:r>
      <w:r w:rsidR="000E6FE1" w:rsidRPr="00EF5E27">
        <w:rPr>
          <w:rFonts w:asciiTheme="minorHAnsi" w:eastAsiaTheme="minorHAnsi" w:hAnsiTheme="minorHAnsi" w:cstheme="minorHAnsi"/>
          <w:sz w:val="22"/>
          <w:szCs w:val="22"/>
        </w:rPr>
        <w:t>,</w:t>
      </w:r>
      <w:r w:rsidR="00E43244" w:rsidRPr="00EF5E27">
        <w:rPr>
          <w:rFonts w:asciiTheme="minorHAnsi" w:eastAsiaTheme="minorHAnsi" w:hAnsiTheme="minorHAnsi" w:cstheme="minorHAnsi"/>
          <w:sz w:val="22"/>
          <w:szCs w:val="22"/>
        </w:rPr>
        <w:t xml:space="preserve"> rojenih</w:t>
      </w:r>
      <w:r w:rsidR="00AB0472" w:rsidRPr="00EF5E27">
        <w:rPr>
          <w:rFonts w:asciiTheme="minorHAnsi" w:eastAsiaTheme="minorHAnsi" w:hAnsiTheme="minorHAnsi" w:cstheme="minorHAnsi"/>
          <w:sz w:val="22"/>
          <w:szCs w:val="22"/>
        </w:rPr>
        <w:t xml:space="preserve"> v </w:t>
      </w:r>
      <w:r w:rsidR="004C5721" w:rsidRPr="00EF5E27">
        <w:rPr>
          <w:rFonts w:asciiTheme="minorHAnsi" w:eastAsiaTheme="minorHAnsi" w:hAnsiTheme="minorHAnsi" w:cstheme="minorHAnsi"/>
          <w:sz w:val="22"/>
          <w:szCs w:val="22"/>
        </w:rPr>
        <w:t>Sloveniji</w:t>
      </w:r>
      <w:r w:rsidR="000E6FE1" w:rsidRPr="00EF5E27">
        <w:rPr>
          <w:rFonts w:asciiTheme="minorHAnsi" w:eastAsiaTheme="minorHAnsi" w:hAnsiTheme="minorHAnsi" w:cstheme="minorHAnsi"/>
          <w:sz w:val="22"/>
          <w:szCs w:val="22"/>
        </w:rPr>
        <w:t>,</w:t>
      </w:r>
      <w:r w:rsidR="00E43244" w:rsidRPr="00EF5E27">
        <w:rPr>
          <w:rFonts w:asciiTheme="minorHAnsi" w:eastAsiaTheme="minorHAnsi" w:hAnsiTheme="minorHAnsi" w:cstheme="minorHAnsi"/>
          <w:sz w:val="22"/>
          <w:szCs w:val="22"/>
        </w:rPr>
        <w:t xml:space="preserve"> in 88</w:t>
      </w:r>
      <w:r w:rsidR="0006053D" w:rsidRPr="00EF5E27">
        <w:rPr>
          <w:rFonts w:asciiTheme="minorHAnsi" w:eastAsiaTheme="minorHAnsi" w:hAnsiTheme="minorHAnsi" w:cstheme="minorHAnsi"/>
          <w:sz w:val="22"/>
          <w:szCs w:val="22"/>
        </w:rPr>
        <w:t xml:space="preserve"> </w:t>
      </w:r>
      <w:r w:rsidR="00E43244" w:rsidRPr="00EF5E27">
        <w:rPr>
          <w:rFonts w:asciiTheme="minorHAnsi" w:eastAsiaTheme="minorHAnsi" w:hAnsiTheme="minorHAnsi" w:cstheme="minorHAnsi"/>
          <w:sz w:val="22"/>
          <w:szCs w:val="22"/>
        </w:rPr>
        <w:t>%</w:t>
      </w:r>
      <w:r w:rsidR="000E6FE1" w:rsidRPr="00EF5E27">
        <w:rPr>
          <w:rFonts w:asciiTheme="minorHAnsi" w:eastAsiaTheme="minorHAnsi" w:hAnsiTheme="minorHAnsi" w:cstheme="minorHAnsi"/>
          <w:sz w:val="22"/>
          <w:szCs w:val="22"/>
        </w:rPr>
        <w:t>,</w:t>
      </w:r>
      <w:r w:rsidR="00E43244" w:rsidRPr="00EF5E27">
        <w:rPr>
          <w:rFonts w:asciiTheme="minorHAnsi" w:eastAsiaTheme="minorHAnsi" w:hAnsiTheme="minorHAnsi" w:cstheme="minorHAnsi"/>
          <w:sz w:val="22"/>
          <w:szCs w:val="22"/>
        </w:rPr>
        <w:t xml:space="preserve"> rojenih v tujini. (Tabela A3.4., 2023)</w:t>
      </w:r>
    </w:p>
    <w:p w14:paraId="13D0BEBD" w14:textId="77777777" w:rsidR="00D93A0F" w:rsidRDefault="00D93A0F" w:rsidP="00D93A0F">
      <w:pPr>
        <w:pStyle w:val="Naslov1"/>
        <w:jc w:val="center"/>
      </w:pPr>
    </w:p>
    <w:p w14:paraId="62528CD7" w14:textId="32C3924F" w:rsidR="00D93A0F" w:rsidRPr="00EF5E27" w:rsidRDefault="00D93A0F" w:rsidP="00D93A0F">
      <w:pPr>
        <w:pStyle w:val="Naslov1"/>
        <w:jc w:val="center"/>
      </w:pPr>
      <w:bookmarkStart w:id="8" w:name="_Toc176856768"/>
      <w:r w:rsidRPr="00EF5E27">
        <w:t>Nekaj poudarkov za Slovenijo:</w:t>
      </w:r>
      <w:bookmarkEnd w:id="8"/>
    </w:p>
    <w:p w14:paraId="5B3D2B47" w14:textId="6EA022F0" w:rsidR="0012052E" w:rsidRPr="00EF5E27" w:rsidRDefault="00C32C8C" w:rsidP="00D93A0F">
      <w:pPr>
        <w:pStyle w:val="Naslov2"/>
      </w:pPr>
      <w:bookmarkStart w:id="9" w:name="_Toc176856769"/>
      <w:r w:rsidRPr="00EF5E27">
        <w:t xml:space="preserve">Slovenija je z deležem 4,6 % BDP za izobraževanje </w:t>
      </w:r>
      <w:r w:rsidR="00655D33" w:rsidRPr="00EF5E27">
        <w:t xml:space="preserve"> pod povprečjem OECD</w:t>
      </w:r>
      <w:r w:rsidR="001D7498" w:rsidRPr="00EF5E27">
        <w:t>.</w:t>
      </w:r>
      <w:bookmarkEnd w:id="9"/>
    </w:p>
    <w:p w14:paraId="6D165B52" w14:textId="51132C65" w:rsidR="00F0676B" w:rsidRPr="00EF5E27" w:rsidRDefault="00571C3C" w:rsidP="00F0676B">
      <w:pPr>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 xml:space="preserve">Slovenija </w:t>
      </w:r>
      <w:r w:rsidR="0006053D" w:rsidRPr="00EF5E27">
        <w:rPr>
          <w:rFonts w:asciiTheme="minorHAnsi" w:eastAsiaTheme="minorHAnsi" w:hAnsiTheme="minorHAnsi" w:cstheme="minorHAnsi"/>
          <w:sz w:val="22"/>
          <w:szCs w:val="22"/>
        </w:rPr>
        <w:t xml:space="preserve">je v letu 2021 </w:t>
      </w:r>
      <w:r w:rsidRPr="00EF5E27">
        <w:rPr>
          <w:rFonts w:asciiTheme="minorHAnsi" w:eastAsiaTheme="minorHAnsi" w:hAnsiTheme="minorHAnsi" w:cstheme="minorHAnsi"/>
          <w:sz w:val="22"/>
          <w:szCs w:val="22"/>
        </w:rPr>
        <w:t>namen</w:t>
      </w:r>
      <w:r w:rsidR="0006053D" w:rsidRPr="00EF5E27">
        <w:rPr>
          <w:rFonts w:asciiTheme="minorHAnsi" w:eastAsiaTheme="minorHAnsi" w:hAnsiTheme="minorHAnsi" w:cstheme="minorHAnsi"/>
          <w:sz w:val="22"/>
          <w:szCs w:val="22"/>
        </w:rPr>
        <w:t>ila</w:t>
      </w:r>
      <w:r w:rsidRPr="00EF5E27">
        <w:rPr>
          <w:rFonts w:asciiTheme="minorHAnsi" w:eastAsiaTheme="minorHAnsi" w:hAnsiTheme="minorHAnsi" w:cstheme="minorHAnsi"/>
          <w:sz w:val="22"/>
          <w:szCs w:val="22"/>
        </w:rPr>
        <w:t xml:space="preserve"> 4,6 % bruto domačega proizvoda (BDP) za izobraževanje na primarni do terciarni ravni</w:t>
      </w:r>
      <w:r w:rsidR="00A60342" w:rsidRPr="00EF5E27">
        <w:rPr>
          <w:rFonts w:asciiTheme="minorHAnsi" w:eastAsiaTheme="minorHAnsi" w:hAnsiTheme="minorHAnsi" w:cstheme="minorHAnsi"/>
          <w:sz w:val="22"/>
          <w:szCs w:val="22"/>
        </w:rPr>
        <w:t>, t</w:t>
      </w:r>
      <w:r w:rsidRPr="00EF5E27">
        <w:rPr>
          <w:rFonts w:asciiTheme="minorHAnsi" w:eastAsiaTheme="minorHAnsi" w:hAnsiTheme="minorHAnsi" w:cstheme="minorHAnsi"/>
          <w:sz w:val="22"/>
          <w:szCs w:val="22"/>
        </w:rPr>
        <w:t>o je manj od povprečja OECD, ki</w:t>
      </w:r>
      <w:r w:rsidR="000E6FE1" w:rsidRPr="00EF5E27">
        <w:rPr>
          <w:rFonts w:asciiTheme="minorHAnsi" w:eastAsiaTheme="minorHAnsi" w:hAnsiTheme="minorHAnsi" w:cstheme="minorHAnsi"/>
          <w:sz w:val="22"/>
          <w:szCs w:val="22"/>
        </w:rPr>
        <w:t xml:space="preserve"> je</w:t>
      </w:r>
      <w:r w:rsidRPr="00EF5E27">
        <w:rPr>
          <w:rFonts w:asciiTheme="minorHAnsi" w:eastAsiaTheme="minorHAnsi" w:hAnsiTheme="minorHAnsi" w:cstheme="minorHAnsi"/>
          <w:sz w:val="22"/>
          <w:szCs w:val="22"/>
        </w:rPr>
        <w:t xml:space="preserve"> znaša</w:t>
      </w:r>
      <w:r w:rsidR="000E6FE1" w:rsidRPr="00EF5E27">
        <w:rPr>
          <w:rFonts w:asciiTheme="minorHAnsi" w:eastAsiaTheme="minorHAnsi" w:hAnsiTheme="minorHAnsi" w:cstheme="minorHAnsi"/>
          <w:sz w:val="22"/>
          <w:szCs w:val="22"/>
        </w:rPr>
        <w:t>lo</w:t>
      </w:r>
      <w:r w:rsidRPr="00EF5E27">
        <w:rPr>
          <w:rFonts w:asciiTheme="minorHAnsi" w:eastAsiaTheme="minorHAnsi" w:hAnsiTheme="minorHAnsi" w:cstheme="minorHAnsi"/>
          <w:sz w:val="22"/>
          <w:szCs w:val="22"/>
        </w:rPr>
        <w:t xml:space="preserve"> 4,9 % BDP. </w:t>
      </w:r>
      <w:r w:rsidR="00F0676B" w:rsidRPr="00EF5E27">
        <w:rPr>
          <w:rFonts w:asciiTheme="minorHAnsi" w:eastAsiaTheme="minorHAnsi" w:hAnsiTheme="minorHAnsi" w:cstheme="minorHAnsi"/>
          <w:sz w:val="22"/>
          <w:szCs w:val="22"/>
        </w:rPr>
        <w:t xml:space="preserve">Delež </w:t>
      </w:r>
      <w:r w:rsidR="0006053D" w:rsidRPr="00EF5E27">
        <w:rPr>
          <w:rFonts w:asciiTheme="minorHAnsi" w:eastAsiaTheme="minorHAnsi" w:hAnsiTheme="minorHAnsi" w:cstheme="minorHAnsi"/>
          <w:sz w:val="22"/>
          <w:szCs w:val="22"/>
        </w:rPr>
        <w:t>B</w:t>
      </w:r>
      <w:r w:rsidR="00F0676B" w:rsidRPr="00EF5E27">
        <w:rPr>
          <w:rFonts w:asciiTheme="minorHAnsi" w:eastAsiaTheme="minorHAnsi" w:hAnsiTheme="minorHAnsi" w:cstheme="minorHAnsi"/>
          <w:sz w:val="22"/>
          <w:szCs w:val="22"/>
        </w:rPr>
        <w:t>DP je za posamezne stopnje tako: primarno izobraževanje 1,7</w:t>
      </w:r>
      <w:r w:rsidR="004B4894" w:rsidRPr="00EF5E27">
        <w:rPr>
          <w:rFonts w:asciiTheme="minorHAnsi" w:eastAsiaTheme="minorHAnsi" w:hAnsiTheme="minorHAnsi" w:cstheme="minorHAnsi"/>
          <w:sz w:val="22"/>
          <w:szCs w:val="22"/>
        </w:rPr>
        <w:t xml:space="preserve"> </w:t>
      </w:r>
      <w:r w:rsidR="00F0676B" w:rsidRPr="00EF5E27">
        <w:rPr>
          <w:rFonts w:asciiTheme="minorHAnsi" w:eastAsiaTheme="minorHAnsi" w:hAnsiTheme="minorHAnsi" w:cstheme="minorHAnsi"/>
          <w:sz w:val="22"/>
          <w:szCs w:val="22"/>
        </w:rPr>
        <w:t xml:space="preserve">%, sekundarno </w:t>
      </w:r>
      <w:r w:rsidR="00094A6E" w:rsidRPr="00EF5E27">
        <w:rPr>
          <w:rFonts w:asciiTheme="minorHAnsi" w:eastAsiaTheme="minorHAnsi" w:hAnsiTheme="minorHAnsi" w:cstheme="minorHAnsi"/>
          <w:sz w:val="22"/>
          <w:szCs w:val="22"/>
        </w:rPr>
        <w:t>1</w:t>
      </w:r>
      <w:r w:rsidR="004B4894" w:rsidRPr="00EF5E27">
        <w:rPr>
          <w:rFonts w:asciiTheme="minorHAnsi" w:eastAsiaTheme="minorHAnsi" w:hAnsiTheme="minorHAnsi" w:cstheme="minorHAnsi"/>
          <w:sz w:val="22"/>
          <w:szCs w:val="22"/>
        </w:rPr>
        <w:t>,</w:t>
      </w:r>
      <w:r w:rsidR="00094A6E" w:rsidRPr="00EF5E27">
        <w:rPr>
          <w:rFonts w:asciiTheme="minorHAnsi" w:eastAsiaTheme="minorHAnsi" w:hAnsiTheme="minorHAnsi" w:cstheme="minorHAnsi"/>
          <w:sz w:val="22"/>
          <w:szCs w:val="22"/>
        </w:rPr>
        <w:t>7</w:t>
      </w:r>
      <w:r w:rsidR="004B4894" w:rsidRPr="00EF5E27">
        <w:rPr>
          <w:rFonts w:asciiTheme="minorHAnsi" w:eastAsiaTheme="minorHAnsi" w:hAnsiTheme="minorHAnsi" w:cstheme="minorHAnsi"/>
          <w:sz w:val="22"/>
          <w:szCs w:val="22"/>
        </w:rPr>
        <w:t xml:space="preserve"> </w:t>
      </w:r>
      <w:r w:rsidR="00094A6E" w:rsidRPr="00EF5E27">
        <w:rPr>
          <w:rFonts w:asciiTheme="minorHAnsi" w:eastAsiaTheme="minorHAnsi" w:hAnsiTheme="minorHAnsi" w:cstheme="minorHAnsi"/>
          <w:sz w:val="22"/>
          <w:szCs w:val="22"/>
        </w:rPr>
        <w:t>% (nižje sekundarno 0,8% in višje sekundarno 0,9</w:t>
      </w:r>
      <w:r w:rsidR="004B4894" w:rsidRPr="00EF5E27">
        <w:rPr>
          <w:rFonts w:asciiTheme="minorHAnsi" w:eastAsiaTheme="minorHAnsi" w:hAnsiTheme="minorHAnsi" w:cstheme="minorHAnsi"/>
          <w:sz w:val="22"/>
          <w:szCs w:val="22"/>
        </w:rPr>
        <w:t xml:space="preserve"> </w:t>
      </w:r>
      <w:r w:rsidR="00094A6E" w:rsidRPr="00EF5E27">
        <w:rPr>
          <w:rFonts w:asciiTheme="minorHAnsi" w:eastAsiaTheme="minorHAnsi" w:hAnsiTheme="minorHAnsi" w:cstheme="minorHAnsi"/>
          <w:sz w:val="22"/>
          <w:szCs w:val="22"/>
        </w:rPr>
        <w:t>%) ter terciarno 1,2</w:t>
      </w:r>
      <w:r w:rsidR="004B4894" w:rsidRPr="00EF5E27">
        <w:rPr>
          <w:rFonts w:asciiTheme="minorHAnsi" w:eastAsiaTheme="minorHAnsi" w:hAnsiTheme="minorHAnsi" w:cstheme="minorHAnsi"/>
          <w:sz w:val="22"/>
          <w:szCs w:val="22"/>
        </w:rPr>
        <w:t xml:space="preserve"> </w:t>
      </w:r>
      <w:r w:rsidR="00094A6E" w:rsidRPr="00EF5E27">
        <w:rPr>
          <w:rFonts w:asciiTheme="minorHAnsi" w:eastAsiaTheme="minorHAnsi" w:hAnsiTheme="minorHAnsi" w:cstheme="minorHAnsi"/>
          <w:sz w:val="22"/>
          <w:szCs w:val="22"/>
        </w:rPr>
        <w:t>% v primerjavi z povprečjem OECD, ki je: primarno izobraževanje 1,4 %, sekundarno 1,9</w:t>
      </w:r>
      <w:r w:rsidR="004B4894" w:rsidRPr="00EF5E27">
        <w:rPr>
          <w:rFonts w:asciiTheme="minorHAnsi" w:eastAsiaTheme="minorHAnsi" w:hAnsiTheme="minorHAnsi" w:cstheme="minorHAnsi"/>
          <w:sz w:val="22"/>
          <w:szCs w:val="22"/>
        </w:rPr>
        <w:t xml:space="preserve"> </w:t>
      </w:r>
      <w:r w:rsidR="00094A6E" w:rsidRPr="00EF5E27">
        <w:rPr>
          <w:rFonts w:asciiTheme="minorHAnsi" w:eastAsiaTheme="minorHAnsi" w:hAnsiTheme="minorHAnsi" w:cstheme="minorHAnsi"/>
          <w:sz w:val="22"/>
          <w:szCs w:val="22"/>
        </w:rPr>
        <w:t>% (nižje sekundarno 0,96</w:t>
      </w:r>
      <w:r w:rsidR="004B4894" w:rsidRPr="00EF5E27">
        <w:rPr>
          <w:rFonts w:asciiTheme="minorHAnsi" w:eastAsiaTheme="minorHAnsi" w:hAnsiTheme="minorHAnsi" w:cstheme="minorHAnsi"/>
          <w:sz w:val="22"/>
          <w:szCs w:val="22"/>
        </w:rPr>
        <w:t xml:space="preserve"> </w:t>
      </w:r>
      <w:r w:rsidR="00094A6E" w:rsidRPr="00EF5E27">
        <w:rPr>
          <w:rFonts w:asciiTheme="minorHAnsi" w:eastAsiaTheme="minorHAnsi" w:hAnsiTheme="minorHAnsi" w:cstheme="minorHAnsi"/>
          <w:sz w:val="22"/>
          <w:szCs w:val="22"/>
        </w:rPr>
        <w:t>% in višje sekundarno 1,03</w:t>
      </w:r>
      <w:r w:rsidR="004B4894" w:rsidRPr="00EF5E27">
        <w:rPr>
          <w:rFonts w:asciiTheme="minorHAnsi" w:eastAsiaTheme="minorHAnsi" w:hAnsiTheme="minorHAnsi" w:cstheme="minorHAnsi"/>
          <w:sz w:val="22"/>
          <w:szCs w:val="22"/>
        </w:rPr>
        <w:t xml:space="preserve"> </w:t>
      </w:r>
      <w:r w:rsidR="00094A6E" w:rsidRPr="00EF5E27">
        <w:rPr>
          <w:rFonts w:asciiTheme="minorHAnsi" w:eastAsiaTheme="minorHAnsi" w:hAnsiTheme="minorHAnsi" w:cstheme="minorHAnsi"/>
          <w:sz w:val="22"/>
          <w:szCs w:val="22"/>
        </w:rPr>
        <w:t>% )in terciarno 1,5</w:t>
      </w:r>
      <w:r w:rsidR="004B4894" w:rsidRPr="00EF5E27">
        <w:rPr>
          <w:rFonts w:asciiTheme="minorHAnsi" w:eastAsiaTheme="minorHAnsi" w:hAnsiTheme="minorHAnsi" w:cstheme="minorHAnsi"/>
          <w:sz w:val="22"/>
          <w:szCs w:val="22"/>
        </w:rPr>
        <w:t xml:space="preserve"> </w:t>
      </w:r>
      <w:r w:rsidR="00094A6E" w:rsidRPr="00EF5E27">
        <w:rPr>
          <w:rFonts w:asciiTheme="minorHAnsi" w:eastAsiaTheme="minorHAnsi" w:hAnsiTheme="minorHAnsi" w:cstheme="minorHAnsi"/>
          <w:sz w:val="22"/>
          <w:szCs w:val="22"/>
        </w:rPr>
        <w:t>%. (Tabela C2.1., 2021)</w:t>
      </w:r>
    </w:p>
    <w:p w14:paraId="5CE1334F" w14:textId="3D8E1E7A" w:rsidR="00C32C8C" w:rsidRPr="00EF5E27" w:rsidRDefault="000539E7" w:rsidP="00C32C8C">
      <w:pPr>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Kljub temu, da je indeks spremembe</w:t>
      </w:r>
      <w:r w:rsidR="004C5721" w:rsidRPr="00EF5E27">
        <w:rPr>
          <w:rFonts w:asciiTheme="minorHAnsi" w:eastAsiaTheme="minorHAnsi" w:hAnsiTheme="minorHAnsi" w:cstheme="minorHAnsi"/>
          <w:sz w:val="22"/>
          <w:szCs w:val="22"/>
        </w:rPr>
        <w:t xml:space="preserve"> za Slovenijo</w:t>
      </w:r>
      <w:r w:rsidRPr="00EF5E27">
        <w:rPr>
          <w:rFonts w:asciiTheme="minorHAnsi" w:eastAsiaTheme="minorHAnsi" w:hAnsiTheme="minorHAnsi" w:cstheme="minorHAnsi"/>
          <w:sz w:val="22"/>
          <w:szCs w:val="22"/>
        </w:rPr>
        <w:t xml:space="preserve"> </w:t>
      </w:r>
      <w:r w:rsidR="000E6FE1" w:rsidRPr="00EF5E27">
        <w:rPr>
          <w:rFonts w:asciiTheme="minorHAnsi" w:eastAsiaTheme="minorHAnsi" w:hAnsiTheme="minorHAnsi" w:cstheme="minorHAnsi"/>
          <w:sz w:val="22"/>
          <w:szCs w:val="22"/>
        </w:rPr>
        <w:t>pozitiven med letoma 2015 in 2021</w:t>
      </w:r>
      <w:r w:rsidR="00515F3C" w:rsidRPr="00EF5E27">
        <w:rPr>
          <w:rFonts w:asciiTheme="minorHAnsi" w:eastAsiaTheme="minorHAnsi" w:hAnsiTheme="minorHAnsi" w:cstheme="minorHAnsi"/>
          <w:sz w:val="22"/>
          <w:szCs w:val="22"/>
        </w:rPr>
        <w:t xml:space="preserve"> (Tabela, C2.</w:t>
      </w:r>
      <w:r w:rsidR="00EF5E27" w:rsidRPr="00EF5E27">
        <w:rPr>
          <w:rFonts w:asciiTheme="minorHAnsi" w:eastAsiaTheme="minorHAnsi" w:hAnsiTheme="minorHAnsi" w:cstheme="minorHAnsi"/>
          <w:sz w:val="22"/>
          <w:szCs w:val="22"/>
        </w:rPr>
        <w:t>2</w:t>
      </w:r>
      <w:r w:rsidR="00515F3C" w:rsidRPr="00EF5E27">
        <w:rPr>
          <w:rFonts w:asciiTheme="minorHAnsi" w:eastAsiaTheme="minorHAnsi" w:hAnsiTheme="minorHAnsi" w:cstheme="minorHAnsi"/>
          <w:sz w:val="22"/>
          <w:szCs w:val="22"/>
        </w:rPr>
        <w:t>)</w:t>
      </w:r>
      <w:r w:rsidRPr="00EF5E27">
        <w:rPr>
          <w:rFonts w:asciiTheme="minorHAnsi" w:eastAsiaTheme="minorHAnsi" w:hAnsiTheme="minorHAnsi" w:cstheme="minorHAnsi"/>
          <w:sz w:val="22"/>
          <w:szCs w:val="22"/>
        </w:rPr>
        <w:t xml:space="preserve">, </w:t>
      </w:r>
      <w:r w:rsidR="000E6FE1" w:rsidRPr="00EF5E27">
        <w:rPr>
          <w:rFonts w:asciiTheme="minorHAnsi" w:eastAsiaTheme="minorHAnsi" w:hAnsiTheme="minorHAnsi" w:cstheme="minorHAnsi"/>
          <w:sz w:val="22"/>
          <w:szCs w:val="22"/>
        </w:rPr>
        <w:t>je delež BDP</w:t>
      </w:r>
      <w:r w:rsidR="00515F3C" w:rsidRPr="00EF5E27">
        <w:rPr>
          <w:rFonts w:asciiTheme="minorHAnsi" w:eastAsiaTheme="minorHAnsi" w:hAnsiTheme="minorHAnsi" w:cstheme="minorHAnsi"/>
          <w:sz w:val="22"/>
          <w:szCs w:val="22"/>
        </w:rPr>
        <w:t xml:space="preserve"> </w:t>
      </w:r>
      <w:r w:rsidR="000E6FE1" w:rsidRPr="00EF5E27">
        <w:rPr>
          <w:rFonts w:asciiTheme="minorHAnsi" w:eastAsiaTheme="minorHAnsi" w:hAnsiTheme="minorHAnsi" w:cstheme="minorHAnsi"/>
          <w:sz w:val="22"/>
          <w:szCs w:val="22"/>
        </w:rPr>
        <w:t>za pri</w:t>
      </w:r>
      <w:r w:rsidR="00515F3C" w:rsidRPr="00EF5E27">
        <w:rPr>
          <w:rFonts w:asciiTheme="minorHAnsi" w:eastAsiaTheme="minorHAnsi" w:hAnsiTheme="minorHAnsi" w:cstheme="minorHAnsi"/>
          <w:sz w:val="22"/>
          <w:szCs w:val="22"/>
        </w:rPr>
        <w:t>m</w:t>
      </w:r>
      <w:r w:rsidR="000E6FE1" w:rsidRPr="00EF5E27">
        <w:rPr>
          <w:rFonts w:asciiTheme="minorHAnsi" w:eastAsiaTheme="minorHAnsi" w:hAnsiTheme="minorHAnsi" w:cstheme="minorHAnsi"/>
          <w:sz w:val="22"/>
          <w:szCs w:val="22"/>
        </w:rPr>
        <w:t>arno do terciarno izobraževanje</w:t>
      </w:r>
      <w:r w:rsidRPr="00EF5E27">
        <w:rPr>
          <w:rFonts w:asciiTheme="minorHAnsi" w:eastAsiaTheme="minorHAnsi" w:hAnsiTheme="minorHAnsi" w:cstheme="minorHAnsi"/>
          <w:sz w:val="22"/>
          <w:szCs w:val="22"/>
        </w:rPr>
        <w:t xml:space="preserve"> še vedno bistveno pod vrednostjo BDP 6,2%, ki jo je Slovenija dosegala leta 2005</w:t>
      </w:r>
      <w:r w:rsidR="000E6FE1" w:rsidRPr="00EF5E27">
        <w:rPr>
          <w:rFonts w:asciiTheme="minorHAnsi" w:eastAsiaTheme="minorHAnsi" w:hAnsiTheme="minorHAnsi" w:cstheme="minorHAnsi"/>
          <w:sz w:val="22"/>
          <w:szCs w:val="22"/>
        </w:rPr>
        <w:t xml:space="preserve">, </w:t>
      </w:r>
      <w:r w:rsidR="00EF5E27" w:rsidRPr="00EF5E27">
        <w:rPr>
          <w:rFonts w:asciiTheme="minorHAnsi" w:eastAsiaTheme="minorHAnsi" w:hAnsiTheme="minorHAnsi" w:cstheme="minorHAnsi"/>
          <w:sz w:val="22"/>
          <w:szCs w:val="22"/>
        </w:rPr>
        <w:t xml:space="preserve">ko je </w:t>
      </w:r>
      <w:r w:rsidRPr="00EF5E27">
        <w:rPr>
          <w:rFonts w:asciiTheme="minorHAnsi" w:eastAsiaTheme="minorHAnsi" w:hAnsiTheme="minorHAnsi" w:cstheme="minorHAnsi"/>
          <w:sz w:val="22"/>
          <w:szCs w:val="22"/>
        </w:rPr>
        <w:t>bila nad povprečjem OECD (5,8 %).</w:t>
      </w:r>
      <w:r w:rsidR="000E6FE1" w:rsidRPr="00EF5E27">
        <w:rPr>
          <w:rFonts w:asciiTheme="minorHAnsi" w:eastAsiaTheme="minorHAnsi" w:hAnsiTheme="minorHAnsi" w:cstheme="minorHAnsi"/>
          <w:sz w:val="22"/>
          <w:szCs w:val="22"/>
        </w:rPr>
        <w:t xml:space="preserve">(EAG 2008, Tabela </w:t>
      </w:r>
      <w:r w:rsidR="00EF5E27" w:rsidRPr="00EF5E27">
        <w:rPr>
          <w:rFonts w:asciiTheme="minorHAnsi" w:eastAsiaTheme="minorHAnsi" w:hAnsiTheme="minorHAnsi" w:cstheme="minorHAnsi"/>
          <w:sz w:val="22"/>
          <w:szCs w:val="22"/>
        </w:rPr>
        <w:t>B</w:t>
      </w:r>
      <w:r w:rsidR="000E6FE1" w:rsidRPr="00EF5E27">
        <w:rPr>
          <w:rFonts w:asciiTheme="minorHAnsi" w:eastAsiaTheme="minorHAnsi" w:hAnsiTheme="minorHAnsi" w:cstheme="minorHAnsi"/>
          <w:sz w:val="22"/>
          <w:szCs w:val="22"/>
        </w:rPr>
        <w:t>2.1.)</w:t>
      </w:r>
    </w:p>
    <w:p w14:paraId="1343AF3E" w14:textId="001A6149" w:rsidR="00EF5E27" w:rsidRPr="00EF5E27" w:rsidRDefault="00EF5E27" w:rsidP="00C32C8C">
      <w:pPr>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Za predšolsko vzgojo je Slovenija namenila 1,1</w:t>
      </w:r>
      <w:r w:rsidR="0006381A">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 BDP, kar je nad povprečjem OECD, ki je 0,9</w:t>
      </w:r>
      <w:r w:rsidR="0006381A">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 (Tabela C2.1., 2021)</w:t>
      </w:r>
    </w:p>
    <w:p w14:paraId="644E2650" w14:textId="77777777" w:rsidR="00C32C8C" w:rsidRPr="00EF5E27" w:rsidRDefault="00C32C8C" w:rsidP="00F0676B">
      <w:pPr>
        <w:spacing w:before="120" w:line="240" w:lineRule="auto"/>
        <w:jc w:val="both"/>
        <w:rPr>
          <w:rFonts w:asciiTheme="minorHAnsi" w:eastAsiaTheme="minorHAnsi" w:hAnsiTheme="minorHAnsi" w:cstheme="minorHAnsi"/>
          <w:sz w:val="22"/>
          <w:szCs w:val="22"/>
        </w:rPr>
      </w:pPr>
    </w:p>
    <w:p w14:paraId="09578C2E" w14:textId="1801DF2D" w:rsidR="00DC18C1" w:rsidRPr="00EF5E27" w:rsidRDefault="00DC18C1" w:rsidP="00D93A0F">
      <w:pPr>
        <w:pStyle w:val="Naslov2"/>
      </w:pPr>
      <w:bookmarkStart w:id="10" w:name="_Toc176856770"/>
      <w:r w:rsidRPr="00EF5E27">
        <w:t>V letu 2021 so bili povprečni letni izdatki na učenca od primarnega do terciarnega izobraževanja v Sloveniji pod povprečjem OECD</w:t>
      </w:r>
      <w:r w:rsidR="00515F3C" w:rsidRPr="00EF5E27">
        <w:t>; v</w:t>
      </w:r>
      <w:r w:rsidRPr="00EF5E27">
        <w:t xml:space="preserve"> Slovenij</w:t>
      </w:r>
      <w:r w:rsidR="00515F3C" w:rsidRPr="00EF5E27">
        <w:t xml:space="preserve">i </w:t>
      </w:r>
      <w:r w:rsidRPr="00EF5E27">
        <w:t xml:space="preserve">13.205 USD, </w:t>
      </w:r>
      <w:r w:rsidR="00515F3C" w:rsidRPr="00EF5E27">
        <w:t xml:space="preserve">v </w:t>
      </w:r>
      <w:r w:rsidRPr="00EF5E27">
        <w:t>OECD 14.</w:t>
      </w:r>
      <w:r w:rsidR="00B7604B" w:rsidRPr="00EF5E27">
        <w:t>179</w:t>
      </w:r>
      <w:r w:rsidRPr="00EF5E27">
        <w:t xml:space="preserve"> USD</w:t>
      </w:r>
      <w:r w:rsidR="009B6997" w:rsidRPr="00EF5E27">
        <w:t>.</w:t>
      </w:r>
      <w:bookmarkEnd w:id="10"/>
    </w:p>
    <w:p w14:paraId="69BB672C" w14:textId="5ECAE8EE" w:rsidR="005D3240" w:rsidRPr="00EF5E27" w:rsidRDefault="005D3240" w:rsidP="005D3240">
      <w:pPr>
        <w:spacing w:before="120" w:line="240" w:lineRule="auto"/>
        <w:jc w:val="both"/>
        <w:rPr>
          <w:rFonts w:asciiTheme="minorHAnsi" w:eastAsiaTheme="minorHAnsi" w:hAnsiTheme="minorHAnsi" w:cstheme="minorHAnsi"/>
          <w:sz w:val="22"/>
          <w:szCs w:val="22"/>
        </w:rPr>
      </w:pPr>
      <w:r w:rsidRPr="00EF5E27">
        <w:rPr>
          <w:rFonts w:asciiTheme="minorHAnsi" w:eastAsiaTheme="minorHAnsi" w:hAnsiTheme="minorHAnsi" w:cstheme="minorHAnsi"/>
          <w:sz w:val="22"/>
          <w:szCs w:val="22"/>
        </w:rPr>
        <w:t xml:space="preserve">V letu 2021 so povprečni letni izdatki na učenca od </w:t>
      </w:r>
      <w:r w:rsidR="005336EA" w:rsidRPr="00EF5E27">
        <w:rPr>
          <w:rFonts w:asciiTheme="minorHAnsi" w:eastAsiaTheme="minorHAnsi" w:hAnsiTheme="minorHAnsi" w:cstheme="minorHAnsi"/>
          <w:sz w:val="22"/>
          <w:szCs w:val="22"/>
        </w:rPr>
        <w:t xml:space="preserve">primarnega </w:t>
      </w:r>
      <w:r w:rsidRPr="00EF5E27">
        <w:rPr>
          <w:rFonts w:asciiTheme="minorHAnsi" w:eastAsiaTheme="minorHAnsi" w:hAnsiTheme="minorHAnsi" w:cstheme="minorHAnsi"/>
          <w:sz w:val="22"/>
          <w:szCs w:val="22"/>
        </w:rPr>
        <w:t xml:space="preserve">do </w:t>
      </w:r>
      <w:r w:rsidR="005336EA" w:rsidRPr="00EF5E27">
        <w:rPr>
          <w:rFonts w:asciiTheme="minorHAnsi" w:eastAsiaTheme="minorHAnsi" w:hAnsiTheme="minorHAnsi" w:cstheme="minorHAnsi"/>
          <w:sz w:val="22"/>
          <w:szCs w:val="22"/>
        </w:rPr>
        <w:t>terciarnega</w:t>
      </w:r>
      <w:r w:rsidRPr="00EF5E27">
        <w:rPr>
          <w:rFonts w:asciiTheme="minorHAnsi" w:eastAsiaTheme="minorHAnsi" w:hAnsiTheme="minorHAnsi" w:cstheme="minorHAnsi"/>
          <w:sz w:val="22"/>
          <w:szCs w:val="22"/>
        </w:rPr>
        <w:t xml:space="preserve"> izobraževanja v Sloveniji znašali 13.205 USD, (izraženo v </w:t>
      </w:r>
      <w:r w:rsidR="00C146AF" w:rsidRPr="00EF5E27">
        <w:rPr>
          <w:rFonts w:asciiTheme="minorHAnsi" w:eastAsiaTheme="minorHAnsi" w:hAnsiTheme="minorHAnsi" w:cstheme="minorHAnsi"/>
          <w:sz w:val="22"/>
          <w:szCs w:val="22"/>
        </w:rPr>
        <w:t xml:space="preserve">paritetah </w:t>
      </w:r>
      <w:r w:rsidRPr="00EF5E27">
        <w:rPr>
          <w:rFonts w:asciiTheme="minorHAnsi" w:eastAsiaTheme="minorHAnsi" w:hAnsiTheme="minorHAnsi" w:cstheme="minorHAnsi"/>
          <w:sz w:val="22"/>
          <w:szCs w:val="22"/>
        </w:rPr>
        <w:t>kupne moči),  medtem ko je povprečje v državah OECD 14.</w:t>
      </w:r>
      <w:r w:rsidR="000A393C" w:rsidRPr="00EF5E27">
        <w:rPr>
          <w:rFonts w:asciiTheme="minorHAnsi" w:eastAsiaTheme="minorHAnsi" w:hAnsiTheme="minorHAnsi" w:cstheme="minorHAnsi"/>
          <w:sz w:val="22"/>
          <w:szCs w:val="22"/>
        </w:rPr>
        <w:t xml:space="preserve">209 </w:t>
      </w:r>
      <w:r w:rsidRPr="00EF5E27">
        <w:rPr>
          <w:rFonts w:asciiTheme="minorHAnsi" w:eastAsiaTheme="minorHAnsi" w:hAnsiTheme="minorHAnsi" w:cstheme="minorHAnsi"/>
          <w:sz w:val="22"/>
          <w:szCs w:val="22"/>
        </w:rPr>
        <w:t>USD.</w:t>
      </w:r>
      <w:r w:rsidR="00DC18C1"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V večini držav se izdatki povečujejo glede na stopnjo izobraževanja, v Sloveniji</w:t>
      </w:r>
      <w:r w:rsidR="00412199" w:rsidRPr="00EF5E27">
        <w:rPr>
          <w:rFonts w:asciiTheme="minorHAnsi" w:eastAsiaTheme="minorHAnsi" w:hAnsiTheme="minorHAnsi" w:cstheme="minorHAnsi"/>
          <w:sz w:val="22"/>
          <w:szCs w:val="22"/>
        </w:rPr>
        <w:t xml:space="preserve"> pa</w:t>
      </w:r>
      <w:r w:rsidRPr="00EF5E27">
        <w:rPr>
          <w:rFonts w:asciiTheme="minorHAnsi" w:eastAsiaTheme="minorHAnsi" w:hAnsiTheme="minorHAnsi" w:cstheme="minorHAnsi"/>
          <w:sz w:val="22"/>
          <w:szCs w:val="22"/>
        </w:rPr>
        <w:t xml:space="preserve"> je poraba na </w:t>
      </w:r>
      <w:r w:rsidR="002E54FB" w:rsidRPr="00EF5E27">
        <w:rPr>
          <w:rFonts w:asciiTheme="minorHAnsi" w:eastAsiaTheme="minorHAnsi" w:hAnsiTheme="minorHAnsi" w:cstheme="minorHAnsi"/>
          <w:sz w:val="22"/>
          <w:szCs w:val="22"/>
        </w:rPr>
        <w:t>učenca:</w:t>
      </w:r>
      <w:r w:rsidRPr="00EF5E27">
        <w:rPr>
          <w:rFonts w:asciiTheme="minorHAnsi" w:eastAsiaTheme="minorHAnsi" w:hAnsiTheme="minorHAnsi" w:cstheme="minorHAnsi"/>
          <w:sz w:val="22"/>
          <w:szCs w:val="22"/>
        </w:rPr>
        <w:t xml:space="preserve"> 12</w:t>
      </w:r>
      <w:r w:rsidR="002E54FB" w:rsidRPr="00EF5E27">
        <w:rPr>
          <w:rFonts w:asciiTheme="minorHAnsi" w:eastAsiaTheme="minorHAnsi" w:hAnsiTheme="minorHAnsi" w:cstheme="minorHAnsi"/>
          <w:sz w:val="22"/>
          <w:szCs w:val="22"/>
        </w:rPr>
        <w:t>.</w:t>
      </w:r>
      <w:r w:rsidRPr="00EF5E27">
        <w:rPr>
          <w:rFonts w:asciiTheme="minorHAnsi" w:eastAsiaTheme="minorHAnsi" w:hAnsiTheme="minorHAnsi" w:cstheme="minorHAnsi"/>
          <w:sz w:val="22"/>
          <w:szCs w:val="22"/>
        </w:rPr>
        <w:t>170 USD v primarnem izobraževanju</w:t>
      </w:r>
      <w:r w:rsidR="002E54FB" w:rsidRPr="00EF5E27">
        <w:rPr>
          <w:rFonts w:asciiTheme="minorHAnsi" w:eastAsiaTheme="minorHAnsi" w:hAnsiTheme="minorHAnsi" w:cstheme="minorHAnsi"/>
          <w:sz w:val="22"/>
          <w:szCs w:val="22"/>
        </w:rPr>
        <w:t xml:space="preserve"> (OECD 11</w:t>
      </w:r>
      <w:r w:rsidR="000A393C" w:rsidRPr="00EF5E27">
        <w:rPr>
          <w:rFonts w:asciiTheme="minorHAnsi" w:eastAsiaTheme="minorHAnsi" w:hAnsiTheme="minorHAnsi" w:cstheme="minorHAnsi"/>
          <w:sz w:val="22"/>
          <w:szCs w:val="22"/>
        </w:rPr>
        <w:t>.</w:t>
      </w:r>
      <w:r w:rsidR="00B3069B">
        <w:rPr>
          <w:rFonts w:asciiTheme="minorHAnsi" w:eastAsiaTheme="minorHAnsi" w:hAnsiTheme="minorHAnsi" w:cstheme="minorHAnsi"/>
          <w:sz w:val="22"/>
          <w:szCs w:val="22"/>
        </w:rPr>
        <w:t>902</w:t>
      </w:r>
      <w:r w:rsidR="002E54FB" w:rsidRPr="00EF5E27">
        <w:rPr>
          <w:rFonts w:asciiTheme="minorHAnsi" w:eastAsiaTheme="minorHAnsi" w:hAnsiTheme="minorHAnsi" w:cstheme="minorHAnsi"/>
          <w:sz w:val="22"/>
          <w:szCs w:val="22"/>
        </w:rPr>
        <w:t xml:space="preserve"> USD)</w:t>
      </w:r>
      <w:r w:rsidRPr="00EF5E27">
        <w:rPr>
          <w:rFonts w:asciiTheme="minorHAnsi" w:eastAsiaTheme="minorHAnsi" w:hAnsiTheme="minorHAnsi" w:cstheme="minorHAnsi"/>
          <w:sz w:val="22"/>
          <w:szCs w:val="22"/>
        </w:rPr>
        <w:t xml:space="preserve">, </w:t>
      </w:r>
      <w:r w:rsidR="002E54FB" w:rsidRPr="00EF5E27">
        <w:rPr>
          <w:rFonts w:asciiTheme="minorHAnsi" w:eastAsiaTheme="minorHAnsi" w:hAnsiTheme="minorHAnsi" w:cstheme="minorHAnsi"/>
          <w:sz w:val="22"/>
          <w:szCs w:val="22"/>
        </w:rPr>
        <w:t>13.000 USD v nižjem sekundarnem (OECD 13.</w:t>
      </w:r>
      <w:r w:rsidR="000A393C" w:rsidRPr="00EF5E27">
        <w:rPr>
          <w:rFonts w:asciiTheme="minorHAnsi" w:eastAsiaTheme="minorHAnsi" w:hAnsiTheme="minorHAnsi" w:cstheme="minorHAnsi"/>
          <w:sz w:val="22"/>
          <w:szCs w:val="22"/>
        </w:rPr>
        <w:t xml:space="preserve">528 </w:t>
      </w:r>
      <w:r w:rsidR="002E54FB" w:rsidRPr="00EF5E27">
        <w:rPr>
          <w:rFonts w:asciiTheme="minorHAnsi" w:eastAsiaTheme="minorHAnsi" w:hAnsiTheme="minorHAnsi" w:cstheme="minorHAnsi"/>
          <w:sz w:val="22"/>
          <w:szCs w:val="22"/>
        </w:rPr>
        <w:t xml:space="preserve">USD), </w:t>
      </w:r>
      <w:r w:rsidR="005336EA" w:rsidRPr="00EF5E27">
        <w:rPr>
          <w:rFonts w:asciiTheme="minorHAnsi" w:eastAsiaTheme="minorHAnsi" w:hAnsiTheme="minorHAnsi" w:cstheme="minorHAnsi"/>
          <w:sz w:val="22"/>
          <w:szCs w:val="22"/>
        </w:rPr>
        <w:t xml:space="preserve">10.928 USD </w:t>
      </w:r>
      <w:r w:rsidR="002E54FB" w:rsidRPr="00EF5E27">
        <w:rPr>
          <w:rFonts w:asciiTheme="minorHAnsi" w:eastAsiaTheme="minorHAnsi" w:hAnsiTheme="minorHAnsi" w:cstheme="minorHAnsi"/>
          <w:sz w:val="22"/>
          <w:szCs w:val="22"/>
        </w:rPr>
        <w:t>višjem sekundarnem</w:t>
      </w:r>
      <w:r w:rsidR="005336EA" w:rsidRPr="00EF5E27">
        <w:rPr>
          <w:rFonts w:asciiTheme="minorHAnsi" w:eastAsiaTheme="minorHAnsi" w:hAnsiTheme="minorHAnsi" w:cstheme="minorHAnsi"/>
          <w:sz w:val="22"/>
          <w:szCs w:val="22"/>
        </w:rPr>
        <w:t xml:space="preserve"> (OECD </w:t>
      </w:r>
      <w:r w:rsidR="00412199" w:rsidRPr="00EF5E27">
        <w:rPr>
          <w:rFonts w:asciiTheme="minorHAnsi" w:eastAsiaTheme="minorHAnsi" w:hAnsiTheme="minorHAnsi" w:cstheme="minorHAnsi"/>
          <w:sz w:val="22"/>
          <w:szCs w:val="22"/>
        </w:rPr>
        <w:t>13.</w:t>
      </w:r>
      <w:r w:rsidR="000A393C" w:rsidRPr="00EF5E27">
        <w:rPr>
          <w:rFonts w:asciiTheme="minorHAnsi" w:eastAsiaTheme="minorHAnsi" w:hAnsiTheme="minorHAnsi" w:cstheme="minorHAnsi"/>
          <w:sz w:val="22"/>
          <w:szCs w:val="22"/>
        </w:rPr>
        <w:t>719</w:t>
      </w:r>
      <w:r w:rsidR="005336EA" w:rsidRPr="00EF5E27">
        <w:rPr>
          <w:rFonts w:asciiTheme="minorHAnsi" w:eastAsiaTheme="minorHAnsi" w:hAnsiTheme="minorHAnsi" w:cstheme="minorHAnsi"/>
          <w:sz w:val="22"/>
          <w:szCs w:val="22"/>
        </w:rPr>
        <w:t>) in sicer 11.18</w:t>
      </w:r>
      <w:r w:rsidR="000A393C" w:rsidRPr="00EF5E27">
        <w:rPr>
          <w:rFonts w:asciiTheme="minorHAnsi" w:eastAsiaTheme="minorHAnsi" w:hAnsiTheme="minorHAnsi" w:cstheme="minorHAnsi"/>
          <w:sz w:val="22"/>
          <w:szCs w:val="22"/>
        </w:rPr>
        <w:t>3</w:t>
      </w:r>
      <w:r w:rsidR="005336EA" w:rsidRPr="00EF5E27">
        <w:rPr>
          <w:rFonts w:asciiTheme="minorHAnsi" w:eastAsiaTheme="minorHAnsi" w:hAnsiTheme="minorHAnsi" w:cstheme="minorHAnsi"/>
          <w:sz w:val="22"/>
          <w:szCs w:val="22"/>
        </w:rPr>
        <w:t xml:space="preserve"> USD za splošne (gimnazijske) programe (OECD 12.</w:t>
      </w:r>
      <w:r w:rsidR="000A393C" w:rsidRPr="00EF5E27">
        <w:rPr>
          <w:rFonts w:asciiTheme="minorHAnsi" w:eastAsiaTheme="minorHAnsi" w:hAnsiTheme="minorHAnsi" w:cstheme="minorHAnsi"/>
          <w:sz w:val="22"/>
          <w:szCs w:val="22"/>
        </w:rPr>
        <w:t xml:space="preserve">314 </w:t>
      </w:r>
      <w:r w:rsidR="005336EA" w:rsidRPr="00EF5E27">
        <w:rPr>
          <w:rFonts w:asciiTheme="minorHAnsi" w:eastAsiaTheme="minorHAnsi" w:hAnsiTheme="minorHAnsi" w:cstheme="minorHAnsi"/>
          <w:sz w:val="22"/>
          <w:szCs w:val="22"/>
        </w:rPr>
        <w:t>USD) in 10.805 USD za poklicne programe (OECD 14.</w:t>
      </w:r>
      <w:r w:rsidR="000A393C" w:rsidRPr="00EF5E27">
        <w:rPr>
          <w:rFonts w:asciiTheme="minorHAnsi" w:eastAsiaTheme="minorHAnsi" w:hAnsiTheme="minorHAnsi" w:cstheme="minorHAnsi"/>
          <w:sz w:val="22"/>
          <w:szCs w:val="22"/>
        </w:rPr>
        <w:t xml:space="preserve">646 </w:t>
      </w:r>
      <w:r w:rsidR="005336EA" w:rsidRPr="00EF5E27">
        <w:rPr>
          <w:rFonts w:asciiTheme="minorHAnsi" w:eastAsiaTheme="minorHAnsi" w:hAnsiTheme="minorHAnsi" w:cstheme="minorHAnsi"/>
          <w:sz w:val="22"/>
          <w:szCs w:val="22"/>
        </w:rPr>
        <w:t xml:space="preserve">USD) </w:t>
      </w:r>
      <w:r w:rsidR="002E54FB" w:rsidRPr="00EF5E27">
        <w:rPr>
          <w:rFonts w:asciiTheme="minorHAnsi" w:eastAsiaTheme="minorHAnsi" w:hAnsiTheme="minorHAnsi" w:cstheme="minorHAnsi"/>
          <w:sz w:val="22"/>
          <w:szCs w:val="22"/>
        </w:rPr>
        <w:t xml:space="preserve"> </w:t>
      </w:r>
      <w:r w:rsidRPr="00EF5E27">
        <w:rPr>
          <w:rFonts w:asciiTheme="minorHAnsi" w:eastAsiaTheme="minorHAnsi" w:hAnsiTheme="minorHAnsi" w:cstheme="minorHAnsi"/>
          <w:sz w:val="22"/>
          <w:szCs w:val="22"/>
        </w:rPr>
        <w:t>in 18 533 USD v terciarnem izobraževanju</w:t>
      </w:r>
      <w:r w:rsidR="002E54FB" w:rsidRPr="00EF5E27">
        <w:rPr>
          <w:rFonts w:asciiTheme="minorHAnsi" w:eastAsiaTheme="minorHAnsi" w:hAnsiTheme="minorHAnsi" w:cstheme="minorHAnsi"/>
          <w:sz w:val="22"/>
          <w:szCs w:val="22"/>
        </w:rPr>
        <w:t xml:space="preserve"> (OECD 20.</w:t>
      </w:r>
      <w:r w:rsidR="000A393C" w:rsidRPr="00EF5E27">
        <w:rPr>
          <w:rFonts w:asciiTheme="minorHAnsi" w:eastAsiaTheme="minorHAnsi" w:hAnsiTheme="minorHAnsi" w:cstheme="minorHAnsi"/>
          <w:sz w:val="22"/>
          <w:szCs w:val="22"/>
        </w:rPr>
        <w:t xml:space="preserve">499 </w:t>
      </w:r>
      <w:r w:rsidR="002E54FB" w:rsidRPr="00EF5E27">
        <w:rPr>
          <w:rFonts w:asciiTheme="minorHAnsi" w:eastAsiaTheme="minorHAnsi" w:hAnsiTheme="minorHAnsi" w:cstheme="minorHAnsi"/>
          <w:sz w:val="22"/>
          <w:szCs w:val="22"/>
        </w:rPr>
        <w:t>USD)</w:t>
      </w:r>
      <w:r w:rsidRPr="00EF5E27">
        <w:rPr>
          <w:rFonts w:asciiTheme="minorHAnsi" w:eastAsiaTheme="minorHAnsi" w:hAnsiTheme="minorHAnsi" w:cstheme="minorHAnsi"/>
          <w:sz w:val="22"/>
          <w:szCs w:val="22"/>
        </w:rPr>
        <w:t xml:space="preserve"> (Tabela C1.1, 2021).  </w:t>
      </w:r>
    </w:p>
    <w:p w14:paraId="3D6902F9" w14:textId="77777777" w:rsidR="00F61105" w:rsidRPr="00EF5E27" w:rsidRDefault="00F61105" w:rsidP="007530D0">
      <w:pPr>
        <w:spacing w:before="120" w:line="240" w:lineRule="auto"/>
        <w:ind w:left="360"/>
        <w:jc w:val="both"/>
        <w:rPr>
          <w:rFonts w:asciiTheme="minorHAnsi" w:eastAsiaTheme="minorHAnsi" w:hAnsiTheme="minorHAnsi" w:cstheme="minorHAnsi"/>
          <w:sz w:val="22"/>
          <w:szCs w:val="22"/>
        </w:rPr>
      </w:pPr>
      <w:bookmarkStart w:id="11" w:name="_Hlk145513165"/>
    </w:p>
    <w:p w14:paraId="7E4A6448" w14:textId="0795A6B0" w:rsidR="00F61105" w:rsidRPr="00EF5E27" w:rsidRDefault="00515F3C" w:rsidP="00D93A0F">
      <w:pPr>
        <w:pStyle w:val="Naslov2"/>
      </w:pPr>
      <w:bookmarkStart w:id="12" w:name="_Toc176856771"/>
      <w:r w:rsidRPr="00EF5E27">
        <w:lastRenderedPageBreak/>
        <w:t>Število</w:t>
      </w:r>
      <w:r w:rsidR="00F61105" w:rsidRPr="00EF5E27">
        <w:t xml:space="preserve"> učenc</w:t>
      </w:r>
      <w:r w:rsidRPr="00EF5E27">
        <w:t>ev na</w:t>
      </w:r>
      <w:r w:rsidR="00F61105" w:rsidRPr="00EF5E27">
        <w:t xml:space="preserve"> učitelj</w:t>
      </w:r>
      <w:r w:rsidRPr="00EF5E27">
        <w:t>a</w:t>
      </w:r>
      <w:r w:rsidR="00F61105" w:rsidRPr="00EF5E27">
        <w:t xml:space="preserve"> se razlikuje med ravnmi izobraževanja</w:t>
      </w:r>
      <w:r w:rsidRPr="00EF5E27">
        <w:t>;</w:t>
      </w:r>
      <w:r w:rsidR="00D1296A" w:rsidRPr="00EF5E27">
        <w:t xml:space="preserve"> v Sloveniji </w:t>
      </w:r>
      <w:r w:rsidR="007C389B" w:rsidRPr="00EF5E27">
        <w:t xml:space="preserve">je </w:t>
      </w:r>
      <w:r w:rsidR="00D1296A" w:rsidRPr="00EF5E27">
        <w:t>pod povprečjem OECD</w:t>
      </w:r>
      <w:r w:rsidR="000E7F8F" w:rsidRPr="00EF5E27">
        <w:t xml:space="preserve"> </w:t>
      </w:r>
      <w:r w:rsidR="007C389B" w:rsidRPr="00EF5E27">
        <w:t>na primarni in nižji sekundarni ravni (osnovna šola)</w:t>
      </w:r>
      <w:r w:rsidR="000E7F8F" w:rsidRPr="00EF5E27">
        <w:t xml:space="preserve"> in nad povprečjem</w:t>
      </w:r>
      <w:r w:rsidR="007C389B" w:rsidRPr="00EF5E27">
        <w:t xml:space="preserve"> na višji sekundarni ravni</w:t>
      </w:r>
      <w:r w:rsidR="000E7F8F" w:rsidRPr="00EF5E27">
        <w:t xml:space="preserve"> </w:t>
      </w:r>
      <w:r w:rsidR="007C389B" w:rsidRPr="00EF5E27">
        <w:t>(</w:t>
      </w:r>
      <w:r w:rsidR="000E7F8F" w:rsidRPr="00EF5E27">
        <w:t>srednj</w:t>
      </w:r>
      <w:r w:rsidR="007C389B" w:rsidRPr="00EF5E27">
        <w:t>a</w:t>
      </w:r>
      <w:r w:rsidR="000E7F8F" w:rsidRPr="00EF5E27">
        <w:t xml:space="preserve"> šo</w:t>
      </w:r>
      <w:r w:rsidR="007C389B" w:rsidRPr="00EF5E27">
        <w:t>la).</w:t>
      </w:r>
      <w:bookmarkEnd w:id="12"/>
    </w:p>
    <w:p w14:paraId="395AD8A0" w14:textId="7AB657AE" w:rsidR="00F61105" w:rsidRPr="00EF5E27" w:rsidRDefault="00F61105" w:rsidP="00D1296A">
      <w:pPr>
        <w:jc w:val="both"/>
        <w:rPr>
          <w:rFonts w:cstheme="minorHAnsi"/>
        </w:rPr>
      </w:pPr>
      <w:r w:rsidRPr="00EF5E27">
        <w:rPr>
          <w:rFonts w:asciiTheme="minorHAnsi" w:eastAsiaTheme="minorHAnsi" w:hAnsiTheme="minorHAnsi" w:cstheme="minorHAnsi"/>
          <w:sz w:val="22"/>
          <w:szCs w:val="22"/>
        </w:rPr>
        <w:t xml:space="preserve">V povprečju  OECD je v primarnem izobraževanju 14 učencev na učitelja, v nižjem sekundarnem izobraževanju 13 učencev in v višjem sekundarnem izobraževanju 13 učencev. V Sloveniji </w:t>
      </w:r>
      <w:r w:rsidR="00D1296A" w:rsidRPr="00EF5E27">
        <w:rPr>
          <w:rFonts w:asciiTheme="minorHAnsi" w:eastAsiaTheme="minorHAnsi" w:hAnsiTheme="minorHAnsi" w:cstheme="minorHAnsi"/>
          <w:sz w:val="22"/>
          <w:szCs w:val="22"/>
        </w:rPr>
        <w:t>je</w:t>
      </w:r>
      <w:r w:rsidRPr="00EF5E27">
        <w:rPr>
          <w:rFonts w:asciiTheme="minorHAnsi" w:eastAsiaTheme="minorHAnsi" w:hAnsiTheme="minorHAnsi" w:cstheme="minorHAnsi"/>
          <w:sz w:val="22"/>
          <w:szCs w:val="22"/>
        </w:rPr>
        <w:t xml:space="preserve"> 10 </w:t>
      </w:r>
      <w:r w:rsidR="00D1296A" w:rsidRPr="00EF5E27">
        <w:rPr>
          <w:rFonts w:asciiTheme="minorHAnsi" w:eastAsiaTheme="minorHAnsi" w:hAnsiTheme="minorHAnsi" w:cstheme="minorHAnsi"/>
          <w:sz w:val="22"/>
          <w:szCs w:val="22"/>
        </w:rPr>
        <w:t xml:space="preserve">učencev na učitelja </w:t>
      </w:r>
      <w:r w:rsidRPr="00EF5E27">
        <w:rPr>
          <w:rFonts w:asciiTheme="minorHAnsi" w:eastAsiaTheme="minorHAnsi" w:hAnsiTheme="minorHAnsi" w:cstheme="minorHAnsi"/>
          <w:sz w:val="22"/>
          <w:szCs w:val="22"/>
        </w:rPr>
        <w:t xml:space="preserve">v primarnem in nižjem sekundarnem izobraževanju (združen podatek zaradi drugačne organizacije, </w:t>
      </w:r>
      <w:r w:rsidR="00B467E3" w:rsidRPr="00EF5E27">
        <w:rPr>
          <w:rFonts w:asciiTheme="minorHAnsi" w:eastAsiaTheme="minorHAnsi" w:hAnsiTheme="minorHAnsi" w:cstheme="minorHAnsi"/>
          <w:sz w:val="22"/>
          <w:szCs w:val="22"/>
        </w:rPr>
        <w:t xml:space="preserve">enovito primarno in nižje sekundarno izobraževanje v </w:t>
      </w:r>
      <w:r w:rsidRPr="00EF5E27">
        <w:rPr>
          <w:rFonts w:asciiTheme="minorHAnsi" w:eastAsiaTheme="minorHAnsi" w:hAnsiTheme="minorHAnsi" w:cstheme="minorHAnsi"/>
          <w:sz w:val="22"/>
          <w:szCs w:val="22"/>
        </w:rPr>
        <w:t>osnovn</w:t>
      </w:r>
      <w:r w:rsidR="00B467E3" w:rsidRPr="00EF5E27">
        <w:rPr>
          <w:rFonts w:asciiTheme="minorHAnsi" w:eastAsiaTheme="minorHAnsi" w:hAnsiTheme="minorHAnsi" w:cstheme="minorHAnsi"/>
          <w:sz w:val="22"/>
          <w:szCs w:val="22"/>
        </w:rPr>
        <w:t>i</w:t>
      </w:r>
      <w:r w:rsidRPr="00EF5E27">
        <w:rPr>
          <w:rFonts w:asciiTheme="minorHAnsi" w:eastAsiaTheme="minorHAnsi" w:hAnsiTheme="minorHAnsi" w:cstheme="minorHAnsi"/>
          <w:sz w:val="22"/>
          <w:szCs w:val="22"/>
        </w:rPr>
        <w:t xml:space="preserve"> šol</w:t>
      </w:r>
      <w:r w:rsidR="00B467E3" w:rsidRPr="00EF5E27">
        <w:rPr>
          <w:rFonts w:asciiTheme="minorHAnsi" w:eastAsiaTheme="minorHAnsi" w:hAnsiTheme="minorHAnsi" w:cstheme="minorHAnsi"/>
          <w:sz w:val="22"/>
          <w:szCs w:val="22"/>
        </w:rPr>
        <w:t>i</w:t>
      </w:r>
      <w:r w:rsidRPr="00EF5E27">
        <w:rPr>
          <w:rFonts w:asciiTheme="minorHAnsi" w:eastAsiaTheme="minorHAnsi" w:hAnsiTheme="minorHAnsi" w:cstheme="minorHAnsi"/>
          <w:sz w:val="22"/>
          <w:szCs w:val="22"/>
        </w:rPr>
        <w:t>) in 14</w:t>
      </w:r>
      <w:r w:rsidR="00D1296A" w:rsidRPr="00EF5E27">
        <w:rPr>
          <w:rFonts w:asciiTheme="minorHAnsi" w:eastAsiaTheme="minorHAnsi" w:hAnsiTheme="minorHAnsi" w:cstheme="minorHAnsi"/>
          <w:sz w:val="22"/>
          <w:szCs w:val="22"/>
        </w:rPr>
        <w:t xml:space="preserve"> učencev na učitelja</w:t>
      </w:r>
      <w:r w:rsidRPr="00EF5E27">
        <w:rPr>
          <w:rFonts w:asciiTheme="minorHAnsi" w:eastAsiaTheme="minorHAnsi" w:hAnsiTheme="minorHAnsi" w:cstheme="minorHAnsi"/>
          <w:sz w:val="22"/>
          <w:szCs w:val="22"/>
        </w:rPr>
        <w:t xml:space="preserve"> v višjem sekundarnem izobraževanju. </w:t>
      </w:r>
      <w:r w:rsidR="00D1296A" w:rsidRPr="00EF5E27">
        <w:rPr>
          <w:rFonts w:asciiTheme="minorHAnsi" w:eastAsiaTheme="minorHAnsi" w:hAnsiTheme="minorHAnsi" w:cstheme="minorHAnsi"/>
          <w:sz w:val="22"/>
          <w:szCs w:val="22"/>
        </w:rPr>
        <w:t>(Tabela D2.2, 2022)</w:t>
      </w:r>
    </w:p>
    <w:p w14:paraId="1988E5B2" w14:textId="77777777" w:rsidR="00D93A0F" w:rsidRPr="00EF5E27" w:rsidRDefault="00D93A0F" w:rsidP="00F61105">
      <w:pPr>
        <w:rPr>
          <w:rFonts w:cstheme="minorHAnsi"/>
        </w:rPr>
      </w:pPr>
    </w:p>
    <w:p w14:paraId="0765AAFB" w14:textId="0F4FE344" w:rsidR="00AD2C49" w:rsidRPr="00D93A0F" w:rsidRDefault="00AD2C49" w:rsidP="00D93A0F">
      <w:pPr>
        <w:pStyle w:val="Naslov2"/>
      </w:pPr>
      <w:bookmarkStart w:id="13" w:name="_Toc176856772"/>
      <w:r w:rsidRPr="00EF5E27">
        <w:t>Povprečne dejansk</w:t>
      </w:r>
      <w:r w:rsidR="00E73B27" w:rsidRPr="00EF5E27">
        <w:t xml:space="preserve">o </w:t>
      </w:r>
      <w:r w:rsidR="00EC5BF3" w:rsidRPr="00EF5E27">
        <w:t>izplačane</w:t>
      </w:r>
      <w:r w:rsidRPr="00EF5E27">
        <w:t xml:space="preserve"> plače učiteljev</w:t>
      </w:r>
      <w:r w:rsidR="00515F3C" w:rsidRPr="00EF5E27">
        <w:t xml:space="preserve"> so bile </w:t>
      </w:r>
      <w:r w:rsidR="000E7F8F" w:rsidRPr="00EF5E27">
        <w:t>v</w:t>
      </w:r>
      <w:r w:rsidR="00E3616B" w:rsidRPr="00EF5E27">
        <w:t xml:space="preserve"> Sloveniji</w:t>
      </w:r>
      <w:r w:rsidRPr="00EF5E27">
        <w:t xml:space="preserve"> pod povprečjem OECD.</w:t>
      </w:r>
      <w:bookmarkEnd w:id="13"/>
    </w:p>
    <w:bookmarkEnd w:id="11"/>
    <w:p w14:paraId="2DAA4A05" w14:textId="69ECF917" w:rsidR="00E3616B" w:rsidRPr="00EF5E27" w:rsidRDefault="006947FF" w:rsidP="00EC5BF3">
      <w:pPr>
        <w:pStyle w:val="Odstavekseznama"/>
        <w:spacing w:before="120" w:after="0" w:line="240" w:lineRule="auto"/>
        <w:ind w:left="0"/>
        <w:contextualSpacing w:val="0"/>
        <w:jc w:val="both"/>
        <w:rPr>
          <w:rFonts w:cstheme="minorHAnsi"/>
        </w:rPr>
      </w:pPr>
      <w:r w:rsidRPr="00EF5E27">
        <w:rPr>
          <w:rFonts w:cstheme="minorHAnsi"/>
        </w:rPr>
        <w:t>P</w:t>
      </w:r>
      <w:r w:rsidR="00E3616B" w:rsidRPr="00EF5E27">
        <w:rPr>
          <w:rFonts w:cstheme="minorHAnsi"/>
        </w:rPr>
        <w:t xml:space="preserve">ovprečne </w:t>
      </w:r>
      <w:r w:rsidR="00E73B27" w:rsidRPr="00EF5E27">
        <w:rPr>
          <w:rFonts w:cstheme="minorHAnsi"/>
        </w:rPr>
        <w:t>dejansko izplačane letne</w:t>
      </w:r>
      <w:r w:rsidR="00E3616B" w:rsidRPr="00EF5E27">
        <w:rPr>
          <w:rFonts w:cstheme="minorHAnsi"/>
        </w:rPr>
        <w:t xml:space="preserve"> plače učiteljev v Sloveniji</w:t>
      </w:r>
      <w:r w:rsidRPr="00EF5E27">
        <w:rPr>
          <w:rStyle w:val="Sprotnaopomba-sklic"/>
          <w:rFonts w:cstheme="minorHAnsi"/>
        </w:rPr>
        <w:footnoteReference w:id="1"/>
      </w:r>
      <w:r w:rsidRPr="00EF5E27">
        <w:rPr>
          <w:rFonts w:cstheme="minorHAnsi"/>
        </w:rPr>
        <w:t xml:space="preserve"> so</w:t>
      </w:r>
      <w:r w:rsidR="00E3616B" w:rsidRPr="00EF5E27">
        <w:rPr>
          <w:rFonts w:cstheme="minorHAnsi"/>
        </w:rPr>
        <w:t xml:space="preserve"> pod povprečjem OECD</w:t>
      </w:r>
      <w:r w:rsidR="000E7F8F" w:rsidRPr="00EF5E27">
        <w:rPr>
          <w:rFonts w:cstheme="minorHAnsi"/>
        </w:rPr>
        <w:t xml:space="preserve"> </w:t>
      </w:r>
      <w:r w:rsidR="00E3616B" w:rsidRPr="00EF5E27">
        <w:rPr>
          <w:rFonts w:cstheme="minorHAnsi"/>
        </w:rPr>
        <w:t>in sicer: 35.497 USD</w:t>
      </w:r>
      <w:r w:rsidR="004B4894" w:rsidRPr="00EF5E27">
        <w:rPr>
          <w:rFonts w:cstheme="minorHAnsi"/>
        </w:rPr>
        <w:t xml:space="preserve"> (izraženo v </w:t>
      </w:r>
      <w:r w:rsidRPr="00EF5E27">
        <w:rPr>
          <w:rFonts w:cstheme="minorHAnsi"/>
        </w:rPr>
        <w:t>paritetah</w:t>
      </w:r>
      <w:r w:rsidR="004B4894" w:rsidRPr="00EF5E27">
        <w:rPr>
          <w:rFonts w:cstheme="minorHAnsi"/>
        </w:rPr>
        <w:t xml:space="preserve"> kupne moči) </w:t>
      </w:r>
      <w:r w:rsidR="00E3616B" w:rsidRPr="00EF5E27">
        <w:rPr>
          <w:rFonts w:cstheme="minorHAnsi"/>
        </w:rPr>
        <w:t xml:space="preserve"> v predšolski vzgoji (OECD 46.475), 48.497 USD na primarni ravni (OECD 54.052), 49.350 USD na nižji sekundarni ravni (OECD 56.462) in 51.071 USD na višji sekundarni ravni</w:t>
      </w:r>
      <w:r w:rsidR="005839FA" w:rsidRPr="00EF5E27">
        <w:rPr>
          <w:rFonts w:cstheme="minorHAnsi"/>
        </w:rPr>
        <w:t xml:space="preserve"> (</w:t>
      </w:r>
      <w:r w:rsidR="00E3616B" w:rsidRPr="00EF5E27">
        <w:rPr>
          <w:rFonts w:cstheme="minorHAnsi"/>
        </w:rPr>
        <w:t>splošni program</w:t>
      </w:r>
      <w:r w:rsidR="00754D77" w:rsidRPr="00EF5E27">
        <w:rPr>
          <w:rFonts w:cstheme="minorHAnsi"/>
        </w:rPr>
        <w:t>)</w:t>
      </w:r>
      <w:r w:rsidR="00E3616B" w:rsidRPr="00EF5E27">
        <w:rPr>
          <w:rFonts w:cstheme="minorHAnsi"/>
        </w:rPr>
        <w:t xml:space="preserve"> (OECD 59.978). (Tabela D3.3, 2023)</w:t>
      </w:r>
    </w:p>
    <w:p w14:paraId="0D639630" w14:textId="0C91B59E" w:rsidR="00CB715F" w:rsidRPr="00EF5E27" w:rsidRDefault="00CB715F" w:rsidP="00CB715F">
      <w:pPr>
        <w:pStyle w:val="Odstavekseznama"/>
        <w:spacing w:before="120" w:after="0" w:line="240" w:lineRule="auto"/>
        <w:ind w:left="0"/>
        <w:contextualSpacing w:val="0"/>
        <w:jc w:val="both"/>
        <w:rPr>
          <w:rFonts w:cstheme="minorHAnsi"/>
        </w:rPr>
      </w:pPr>
      <w:r w:rsidRPr="00EF5E27">
        <w:rPr>
          <w:rFonts w:cstheme="minorHAnsi"/>
        </w:rPr>
        <w:t xml:space="preserve">V primerjavi z dejansko izplačanimi plačami terciarno izobraženih </w:t>
      </w:r>
      <w:r w:rsidR="00B34BF7" w:rsidRPr="00EF5E27">
        <w:rPr>
          <w:rFonts w:cstheme="minorHAnsi"/>
        </w:rPr>
        <w:t>delovno aktivnih odraslih</w:t>
      </w:r>
      <w:r w:rsidR="006B6547" w:rsidRPr="00EF5E27">
        <w:rPr>
          <w:rFonts w:cstheme="minorHAnsi"/>
        </w:rPr>
        <w:t xml:space="preserve"> zaposlenih za polni delovni čas</w:t>
      </w:r>
      <w:r w:rsidR="00B34BF7" w:rsidRPr="00EF5E27">
        <w:rPr>
          <w:rFonts w:cstheme="minorHAnsi"/>
        </w:rPr>
        <w:t xml:space="preserve"> </w:t>
      </w:r>
      <w:r w:rsidRPr="00EF5E27">
        <w:rPr>
          <w:rFonts w:cstheme="minorHAnsi"/>
        </w:rPr>
        <w:t>so plače učiteljev nižje v vseh državah z razpoložljivimi podatki, razen na Portugalskem</w:t>
      </w:r>
      <w:r w:rsidR="00A44689" w:rsidRPr="00EF5E27">
        <w:rPr>
          <w:rFonts w:cstheme="minorHAnsi"/>
        </w:rPr>
        <w:t xml:space="preserve"> in v Kostariki</w:t>
      </w:r>
      <w:r w:rsidRPr="00EF5E27">
        <w:rPr>
          <w:rFonts w:cstheme="minorHAnsi"/>
        </w:rPr>
        <w:t xml:space="preserve">. V Sloveniji so </w:t>
      </w:r>
      <w:r w:rsidR="00B34BF7" w:rsidRPr="00EF5E27">
        <w:rPr>
          <w:rFonts w:cstheme="minorHAnsi"/>
        </w:rPr>
        <w:t xml:space="preserve">bile leta 2022 </w:t>
      </w:r>
      <w:r w:rsidRPr="00EF5E27">
        <w:rPr>
          <w:rFonts w:cstheme="minorHAnsi"/>
        </w:rPr>
        <w:t>plače učiteljev na prim</w:t>
      </w:r>
      <w:r w:rsidR="00B34BF7" w:rsidRPr="00EF5E27">
        <w:rPr>
          <w:rFonts w:cstheme="minorHAnsi"/>
        </w:rPr>
        <w:t>a</w:t>
      </w:r>
      <w:r w:rsidRPr="00EF5E27">
        <w:rPr>
          <w:rFonts w:cstheme="minorHAnsi"/>
        </w:rPr>
        <w:t>rni ravni 0,88</w:t>
      </w:r>
      <w:r w:rsidR="00A44689" w:rsidRPr="00EF5E27">
        <w:rPr>
          <w:rFonts w:cstheme="minorHAnsi"/>
        </w:rPr>
        <w:t xml:space="preserve"> </w:t>
      </w:r>
      <w:r w:rsidRPr="00EF5E27">
        <w:rPr>
          <w:rFonts w:cstheme="minorHAnsi"/>
        </w:rPr>
        <w:t>% (OECD</w:t>
      </w:r>
      <w:r w:rsidR="00A44689" w:rsidRPr="00EF5E27">
        <w:rPr>
          <w:rFonts w:cstheme="minorHAnsi"/>
        </w:rPr>
        <w:t xml:space="preserve"> 0</w:t>
      </w:r>
      <w:r w:rsidR="00F83FE3" w:rsidRPr="00EF5E27">
        <w:rPr>
          <w:rFonts w:cstheme="minorHAnsi"/>
        </w:rPr>
        <w:t>,</w:t>
      </w:r>
      <w:r w:rsidR="00A44689" w:rsidRPr="00EF5E27">
        <w:rPr>
          <w:rFonts w:cstheme="minorHAnsi"/>
        </w:rPr>
        <w:t>8</w:t>
      </w:r>
      <w:r w:rsidR="004A7482" w:rsidRPr="00EF5E27">
        <w:rPr>
          <w:rFonts w:cstheme="minorHAnsi"/>
        </w:rPr>
        <w:t>1</w:t>
      </w:r>
      <w:r w:rsidR="00A44689" w:rsidRPr="00EF5E27">
        <w:rPr>
          <w:rFonts w:cstheme="minorHAnsi"/>
        </w:rPr>
        <w:t xml:space="preserve"> %)</w:t>
      </w:r>
      <w:r w:rsidRPr="00EF5E27">
        <w:rPr>
          <w:rFonts w:cstheme="minorHAnsi"/>
        </w:rPr>
        <w:t xml:space="preserve">, na nižji sekundarni 0,89% </w:t>
      </w:r>
      <w:r w:rsidR="00A44689" w:rsidRPr="00EF5E27">
        <w:rPr>
          <w:rFonts w:cstheme="minorHAnsi"/>
        </w:rPr>
        <w:t xml:space="preserve"> (OECD 0,84 %) </w:t>
      </w:r>
      <w:r w:rsidRPr="00EF5E27">
        <w:rPr>
          <w:rFonts w:cstheme="minorHAnsi"/>
        </w:rPr>
        <w:t xml:space="preserve">in na višji sekundarni, splošni program 0,92% </w:t>
      </w:r>
      <w:r w:rsidR="00A44689" w:rsidRPr="00EF5E27">
        <w:rPr>
          <w:rFonts w:cstheme="minorHAnsi"/>
        </w:rPr>
        <w:t xml:space="preserve"> (OECD 0,88 %) </w:t>
      </w:r>
      <w:r w:rsidRPr="00EF5E27">
        <w:rPr>
          <w:rFonts w:cstheme="minorHAnsi"/>
        </w:rPr>
        <w:t>glede na plače terciarno izobraženih zaposlenih.</w:t>
      </w:r>
      <w:r w:rsidR="00B34BF7" w:rsidRPr="00EF5E27">
        <w:rPr>
          <w:rFonts w:cstheme="minorHAnsi"/>
        </w:rPr>
        <w:t xml:space="preserve"> (Tabela D3.2., 2023)</w:t>
      </w:r>
    </w:p>
    <w:bookmarkEnd w:id="1"/>
    <w:p w14:paraId="38A4A685" w14:textId="77777777" w:rsidR="00785511" w:rsidRPr="00EF5E27" w:rsidRDefault="00785511" w:rsidP="00EC5BF3">
      <w:pPr>
        <w:pStyle w:val="Odstavekseznama"/>
        <w:spacing w:before="120" w:after="0" w:line="240" w:lineRule="auto"/>
        <w:ind w:left="0"/>
        <w:contextualSpacing w:val="0"/>
        <w:jc w:val="both"/>
        <w:rPr>
          <w:rFonts w:cstheme="minorHAnsi"/>
        </w:rPr>
      </w:pPr>
    </w:p>
    <w:p w14:paraId="04C42C6D" w14:textId="763B08CD" w:rsidR="00542AD6" w:rsidRPr="00EF5E27" w:rsidRDefault="00542AD6" w:rsidP="00EF5E27">
      <w:pPr>
        <w:pStyle w:val="Odstavekseznama"/>
        <w:pBdr>
          <w:top w:val="single" w:sz="4" w:space="1" w:color="auto"/>
        </w:pBdr>
        <w:spacing w:before="120" w:after="0" w:line="240" w:lineRule="auto"/>
        <w:ind w:left="0"/>
        <w:contextualSpacing w:val="0"/>
        <w:jc w:val="both"/>
        <w:rPr>
          <w:rFonts w:cstheme="minorHAnsi"/>
        </w:rPr>
      </w:pPr>
      <w:r w:rsidRPr="00EF5E27">
        <w:rPr>
          <w:rFonts w:cstheme="minorHAnsi"/>
        </w:rPr>
        <w:t>Dodamo pojasnilo o ravneh izobraževanja</w:t>
      </w:r>
      <w:r w:rsidR="00EF5E27" w:rsidRPr="00EF5E27">
        <w:rPr>
          <w:rFonts w:cstheme="minorHAnsi"/>
        </w:rPr>
        <w:t>:</w:t>
      </w:r>
    </w:p>
    <w:p w14:paraId="1FAED619"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b/>
          <w:bCs/>
        </w:rPr>
        <w:t xml:space="preserve">Za razumevanje slovenskih podatkov </w:t>
      </w:r>
      <w:r w:rsidRPr="00EF5E27">
        <w:rPr>
          <w:rFonts w:asciiTheme="minorHAnsi" w:hAnsiTheme="minorHAnsi" w:cstheme="minorHAnsi"/>
        </w:rPr>
        <w:t>je pomembno pojasnilo o tem, kako pri nas razvrščamo vzgojo in izobraževanje glede na klasifikacijo ISCED 2011, ki razlikuje med osmimi ravnmi izobraževanja: </w:t>
      </w:r>
    </w:p>
    <w:p w14:paraId="1158434B"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ISCED 0 – predšolska vzgoja in izobraževanje: prvo starostno obdobje (ISCED 01) in drugo starostno obdobje (ISCED 02) predšolske vzgoje </w:t>
      </w:r>
    </w:p>
    <w:p w14:paraId="021A4F4B"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ISCED 1 – primarno izobraževanje: osnovnošolsko izobraževanje od 1. do 6. razreda (1. in 2. vzgojno-izobraževalno obdobje) </w:t>
      </w:r>
    </w:p>
    <w:p w14:paraId="4660A8D1"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ISCED 2 – nižje sekundarno izobraževanje: osnovnošolsko izobraževanje od 7. do 9. razreda (3. vzgojno-izobraževalno obdobje) </w:t>
      </w:r>
    </w:p>
    <w:p w14:paraId="05393917"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ISCED 3 – višje sekundarno izobraževanje: srednješolsko izobraževanje </w:t>
      </w:r>
    </w:p>
    <w:p w14:paraId="7F4FE5B1"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 xml:space="preserve">ISCED 4 – </w:t>
      </w:r>
      <w:proofErr w:type="spellStart"/>
      <w:r w:rsidRPr="00EF5E27">
        <w:rPr>
          <w:rFonts w:asciiTheme="minorHAnsi" w:hAnsiTheme="minorHAnsi" w:cstheme="minorHAnsi"/>
        </w:rPr>
        <w:t>posekundarno</w:t>
      </w:r>
      <w:proofErr w:type="spellEnd"/>
      <w:r w:rsidRPr="00EF5E27">
        <w:rPr>
          <w:rFonts w:asciiTheme="minorHAnsi" w:hAnsiTheme="minorHAnsi" w:cstheme="minorHAnsi"/>
        </w:rPr>
        <w:t xml:space="preserve"> </w:t>
      </w:r>
      <w:proofErr w:type="spellStart"/>
      <w:r w:rsidRPr="00EF5E27">
        <w:rPr>
          <w:rFonts w:asciiTheme="minorHAnsi" w:hAnsiTheme="minorHAnsi" w:cstheme="minorHAnsi"/>
        </w:rPr>
        <w:t>neterciarno</w:t>
      </w:r>
      <w:proofErr w:type="spellEnd"/>
      <w:r w:rsidRPr="00EF5E27">
        <w:rPr>
          <w:rFonts w:asciiTheme="minorHAnsi" w:hAnsiTheme="minorHAnsi" w:cstheme="minorHAnsi"/>
        </w:rPr>
        <w:t xml:space="preserve"> izobraževanje: v Sloveniji ni izobraževanja na tej ravni </w:t>
      </w:r>
    </w:p>
    <w:p w14:paraId="372BBC4D"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ISCED 5 – krajše terciarno izobraževanje: višje strokovno izobraževanje </w:t>
      </w:r>
    </w:p>
    <w:p w14:paraId="23E39956"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ISCED 6 – prva stopnja (</w:t>
      </w:r>
      <w:proofErr w:type="spellStart"/>
      <w:r w:rsidRPr="00EF5E27">
        <w:rPr>
          <w:rFonts w:asciiTheme="minorHAnsi" w:hAnsiTheme="minorHAnsi" w:cstheme="minorHAnsi"/>
          <w:i/>
          <w:iCs/>
        </w:rPr>
        <w:t>Bachelor</w:t>
      </w:r>
      <w:proofErr w:type="spellEnd"/>
      <w:r w:rsidRPr="00EF5E27">
        <w:rPr>
          <w:rFonts w:asciiTheme="minorHAnsi" w:hAnsiTheme="minorHAnsi" w:cstheme="minorHAnsi"/>
        </w:rPr>
        <w:t>): izobraževanje po študijskih programih prve stopnje </w:t>
      </w:r>
    </w:p>
    <w:p w14:paraId="6D7E3708"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ISCED 7 – druga stopnja (</w:t>
      </w:r>
      <w:proofErr w:type="spellStart"/>
      <w:r w:rsidRPr="00EF5E27">
        <w:rPr>
          <w:rFonts w:asciiTheme="minorHAnsi" w:hAnsiTheme="minorHAnsi" w:cstheme="minorHAnsi"/>
          <w:i/>
          <w:iCs/>
        </w:rPr>
        <w:t>Master</w:t>
      </w:r>
      <w:proofErr w:type="spellEnd"/>
      <w:r w:rsidRPr="00EF5E27">
        <w:rPr>
          <w:rFonts w:asciiTheme="minorHAnsi" w:hAnsiTheme="minorHAnsi" w:cstheme="minorHAnsi"/>
        </w:rPr>
        <w:t>): izobraževanje po študijskih programih druge stopnje </w:t>
      </w:r>
    </w:p>
    <w:p w14:paraId="1E120FFD"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ISCED 8 – doktorsko izobraževanje: doktorsko izobraževanje (študijski programi tretje stopnje) </w:t>
      </w:r>
    </w:p>
    <w:p w14:paraId="35FC2DE9"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Navedba "sekundarno izobraževanje" (</w:t>
      </w:r>
      <w:proofErr w:type="spellStart"/>
      <w:r w:rsidRPr="00EF5E27">
        <w:rPr>
          <w:rFonts w:asciiTheme="minorHAnsi" w:hAnsiTheme="minorHAnsi" w:cstheme="minorHAnsi"/>
          <w:i/>
          <w:iCs/>
        </w:rPr>
        <w:t>secondary</w:t>
      </w:r>
      <w:proofErr w:type="spellEnd"/>
      <w:r w:rsidRPr="00EF5E27">
        <w:rPr>
          <w:rFonts w:asciiTheme="minorHAnsi" w:hAnsiTheme="minorHAnsi" w:cstheme="minorHAnsi"/>
          <w:i/>
          <w:iCs/>
        </w:rPr>
        <w:t xml:space="preserve"> </w:t>
      </w:r>
      <w:proofErr w:type="spellStart"/>
      <w:r w:rsidRPr="00EF5E27">
        <w:rPr>
          <w:rFonts w:asciiTheme="minorHAnsi" w:hAnsiTheme="minorHAnsi" w:cstheme="minorHAnsi"/>
          <w:i/>
          <w:iCs/>
        </w:rPr>
        <w:t>education</w:t>
      </w:r>
      <w:proofErr w:type="spellEnd"/>
      <w:r w:rsidRPr="00EF5E27">
        <w:rPr>
          <w:rFonts w:asciiTheme="minorHAnsi" w:hAnsiTheme="minorHAnsi" w:cstheme="minorHAnsi"/>
        </w:rPr>
        <w:t>) tako za Slovenijo pomeni, da podatki zajemajo skupaj 3. vzgojno-izobraževalno obdobje osnovne šole in srednješolsko izobraževanje. </w:t>
      </w:r>
    </w:p>
    <w:p w14:paraId="267A04AF"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Navedba "poklicno" (</w:t>
      </w:r>
      <w:proofErr w:type="spellStart"/>
      <w:r w:rsidRPr="00EF5E27">
        <w:rPr>
          <w:rFonts w:asciiTheme="minorHAnsi" w:hAnsiTheme="minorHAnsi" w:cstheme="minorHAnsi"/>
          <w:i/>
          <w:iCs/>
        </w:rPr>
        <w:t>vocational</w:t>
      </w:r>
      <w:proofErr w:type="spellEnd"/>
      <w:r w:rsidRPr="00EF5E27">
        <w:rPr>
          <w:rFonts w:asciiTheme="minorHAnsi" w:hAnsiTheme="minorHAnsi" w:cstheme="minorHAnsi"/>
        </w:rPr>
        <w:t>) izobraževanje vključuje nižje in srednje poklicno izobraževanje, srednje strokovno in tehniško izobraževanje ter poklicno-tehniško izobraževanje. </w:t>
      </w:r>
    </w:p>
    <w:p w14:paraId="32127A87"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t>Navedba "splošno višje sekundarno izobraževanje" (</w:t>
      </w:r>
      <w:r w:rsidRPr="00EF5E27">
        <w:rPr>
          <w:rFonts w:asciiTheme="minorHAnsi" w:hAnsiTheme="minorHAnsi" w:cstheme="minorHAnsi"/>
          <w:i/>
          <w:iCs/>
        </w:rPr>
        <w:t xml:space="preserve">general </w:t>
      </w:r>
      <w:proofErr w:type="spellStart"/>
      <w:r w:rsidRPr="00EF5E27">
        <w:rPr>
          <w:rFonts w:asciiTheme="minorHAnsi" w:hAnsiTheme="minorHAnsi" w:cstheme="minorHAnsi"/>
          <w:i/>
          <w:iCs/>
        </w:rPr>
        <w:t>upper</w:t>
      </w:r>
      <w:proofErr w:type="spellEnd"/>
      <w:r w:rsidRPr="00EF5E27">
        <w:rPr>
          <w:rFonts w:asciiTheme="minorHAnsi" w:hAnsiTheme="minorHAnsi" w:cstheme="minorHAnsi"/>
          <w:i/>
          <w:iCs/>
        </w:rPr>
        <w:t xml:space="preserve"> </w:t>
      </w:r>
      <w:proofErr w:type="spellStart"/>
      <w:r w:rsidRPr="00EF5E27">
        <w:rPr>
          <w:rFonts w:asciiTheme="minorHAnsi" w:hAnsiTheme="minorHAnsi" w:cstheme="minorHAnsi"/>
          <w:i/>
          <w:iCs/>
        </w:rPr>
        <w:t>secondary</w:t>
      </w:r>
      <w:proofErr w:type="spellEnd"/>
      <w:r w:rsidRPr="00EF5E27">
        <w:rPr>
          <w:rFonts w:asciiTheme="minorHAnsi" w:hAnsiTheme="minorHAnsi" w:cstheme="minorHAnsi"/>
        </w:rPr>
        <w:t>) v Sloveniji pomeni gimnazijsko izobraževanje. </w:t>
      </w:r>
    </w:p>
    <w:p w14:paraId="09F3556D" w14:textId="77777777" w:rsidR="00F83FE3" w:rsidRPr="00EF5E27" w:rsidRDefault="00F83FE3" w:rsidP="00F83FE3">
      <w:pPr>
        <w:pStyle w:val="Navadensplet"/>
        <w:spacing w:before="0" w:beforeAutospacing="0" w:after="0" w:afterAutospacing="0"/>
        <w:rPr>
          <w:rFonts w:asciiTheme="minorHAnsi" w:hAnsiTheme="minorHAnsi" w:cstheme="minorHAnsi"/>
        </w:rPr>
      </w:pPr>
      <w:r w:rsidRPr="00EF5E27">
        <w:rPr>
          <w:rFonts w:asciiTheme="minorHAnsi" w:hAnsiTheme="minorHAnsi" w:cstheme="minorHAnsi"/>
        </w:rPr>
        <w:lastRenderedPageBreak/>
        <w:t>Več pojasnil o razvrstitvi izobraževanja, tudi prejšnjega višje- in visokošolskega izobraževanja, je na voljo na spletni strani Inštituta za statistiko UNESCO (UIS), v rubriki "ISCED MAPPINGS" (</w:t>
      </w:r>
      <w:hyperlink r:id="rId12" w:history="1">
        <w:r w:rsidRPr="00EF5E27">
          <w:rPr>
            <w:rStyle w:val="Hiperpovezava"/>
            <w:rFonts w:asciiTheme="minorHAnsi" w:hAnsiTheme="minorHAnsi" w:cstheme="minorHAnsi"/>
          </w:rPr>
          <w:t>http://uis.unesco.org/en/isced-mappings</w:t>
        </w:r>
      </w:hyperlink>
      <w:r w:rsidRPr="00EF5E27">
        <w:rPr>
          <w:rFonts w:asciiTheme="minorHAnsi" w:hAnsiTheme="minorHAnsi" w:cstheme="minorHAnsi"/>
          <w:color w:val="0000FF"/>
        </w:rPr>
        <w:t>)</w:t>
      </w:r>
      <w:r w:rsidRPr="00EF5E27">
        <w:rPr>
          <w:rFonts w:asciiTheme="minorHAnsi" w:hAnsiTheme="minorHAnsi" w:cstheme="minorHAnsi"/>
        </w:rPr>
        <w:t>. </w:t>
      </w:r>
    </w:p>
    <w:p w14:paraId="6878BEEA" w14:textId="77777777" w:rsidR="00F83FE3" w:rsidRPr="00DC3B54" w:rsidRDefault="00F83FE3" w:rsidP="00EC5BF3">
      <w:pPr>
        <w:pStyle w:val="Odstavekseznama"/>
        <w:spacing w:before="120" w:after="0" w:line="240" w:lineRule="auto"/>
        <w:ind w:left="0"/>
        <w:contextualSpacing w:val="0"/>
        <w:jc w:val="both"/>
        <w:rPr>
          <w:rFonts w:cstheme="minorHAnsi"/>
        </w:rPr>
      </w:pPr>
    </w:p>
    <w:sectPr w:rsidR="00F83FE3" w:rsidRPr="00DC3B54" w:rsidSect="00783310">
      <w:headerReference w:type="default" r:id="rId13"/>
      <w:footerReference w:type="even" r:id="rId14"/>
      <w:footerReference w:type="default" r:id="rId15"/>
      <w:head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8878" w14:textId="77777777" w:rsidR="00FD3032" w:rsidRDefault="00FD3032" w:rsidP="008A4089">
      <w:pPr>
        <w:spacing w:line="240" w:lineRule="auto"/>
      </w:pPr>
      <w:r>
        <w:separator/>
      </w:r>
    </w:p>
  </w:endnote>
  <w:endnote w:type="continuationSeparator" w:id="0">
    <w:p w14:paraId="4E631A77" w14:textId="77777777" w:rsidR="00FD3032" w:rsidRDefault="00FD3032"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30107B"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30107B" w:rsidRDefault="003010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30107B"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30107B" w:rsidRDefault="003010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3080" w14:textId="77777777" w:rsidR="00FD3032" w:rsidRDefault="00FD3032" w:rsidP="008A4089">
      <w:pPr>
        <w:spacing w:line="240" w:lineRule="auto"/>
      </w:pPr>
      <w:r>
        <w:separator/>
      </w:r>
    </w:p>
  </w:footnote>
  <w:footnote w:type="continuationSeparator" w:id="0">
    <w:p w14:paraId="771D4AD0" w14:textId="77777777" w:rsidR="00FD3032" w:rsidRDefault="00FD3032" w:rsidP="008A4089">
      <w:pPr>
        <w:spacing w:line="240" w:lineRule="auto"/>
      </w:pPr>
      <w:r>
        <w:continuationSeparator/>
      </w:r>
    </w:p>
  </w:footnote>
  <w:footnote w:id="1">
    <w:p w14:paraId="5B3793D5" w14:textId="497451EB" w:rsidR="006947FF" w:rsidRDefault="006947FF">
      <w:pPr>
        <w:pStyle w:val="Sprotnaopomba-besedilo"/>
      </w:pPr>
      <w:r>
        <w:rPr>
          <w:rStyle w:val="Sprotnaopomba-sklic"/>
        </w:rPr>
        <w:footnoteRef/>
      </w:r>
      <w:r>
        <w:t xml:space="preserve"> Podatki za slovenijo iz leta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C4C3" w14:textId="77777777" w:rsidR="00EC5BF3" w:rsidRPr="00F024AC" w:rsidRDefault="00EC5BF3" w:rsidP="00EC5BF3">
    <w:pPr>
      <w:pStyle w:val="Noga"/>
    </w:pPr>
  </w:p>
  <w:p w14:paraId="360A08D1" w14:textId="77777777" w:rsidR="0030107B" w:rsidRPr="00934C06" w:rsidRDefault="0030107B" w:rsidP="007D75CF">
    <w:pPr>
      <w:pStyle w:val="Glava"/>
      <w:spacing w:line="240" w:lineRule="exact"/>
      <w:rPr>
        <w:rFonts w:ascii="Republika" w:hAnsi="Republika"/>
        <w:sz w:val="16"/>
        <w:lang w:val="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30107B"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30107B" w:rsidRPr="006D42D9" w:rsidRDefault="0030107B" w:rsidP="007A37F8">
          <w:pPr>
            <w:rPr>
              <w:rFonts w:ascii="Republika" w:hAnsi="Republika"/>
              <w:sz w:val="60"/>
              <w:szCs w:val="60"/>
            </w:rPr>
          </w:pPr>
        </w:p>
        <w:p w14:paraId="42C80698" w14:textId="77777777" w:rsidR="0030107B" w:rsidRPr="006D42D9" w:rsidRDefault="0030107B" w:rsidP="007A37F8">
          <w:pPr>
            <w:rPr>
              <w:rFonts w:ascii="Republika" w:hAnsi="Republika"/>
              <w:sz w:val="60"/>
              <w:szCs w:val="60"/>
            </w:rPr>
          </w:pPr>
        </w:p>
        <w:p w14:paraId="0EB1BCEE" w14:textId="77777777" w:rsidR="0030107B" w:rsidRPr="006D42D9" w:rsidRDefault="0030107B" w:rsidP="007A37F8">
          <w:pPr>
            <w:rPr>
              <w:rFonts w:ascii="Republika" w:hAnsi="Republika"/>
              <w:sz w:val="60"/>
              <w:szCs w:val="60"/>
            </w:rPr>
          </w:pPr>
        </w:p>
        <w:p w14:paraId="53A9A36B" w14:textId="77777777" w:rsidR="0030107B" w:rsidRPr="006D42D9" w:rsidRDefault="0030107B" w:rsidP="007A37F8">
          <w:pPr>
            <w:rPr>
              <w:rFonts w:ascii="Republika" w:hAnsi="Republika"/>
              <w:sz w:val="60"/>
              <w:szCs w:val="60"/>
            </w:rPr>
          </w:pPr>
        </w:p>
        <w:p w14:paraId="2DEF191D" w14:textId="77777777" w:rsidR="0030107B" w:rsidRPr="006D42D9" w:rsidRDefault="0030107B" w:rsidP="007A37F8">
          <w:pPr>
            <w:rPr>
              <w:rFonts w:ascii="Republika" w:hAnsi="Republika"/>
              <w:sz w:val="60"/>
              <w:szCs w:val="60"/>
            </w:rPr>
          </w:pPr>
        </w:p>
        <w:p w14:paraId="48A32DD3" w14:textId="77777777" w:rsidR="0030107B" w:rsidRPr="006D42D9" w:rsidRDefault="0030107B" w:rsidP="007A37F8">
          <w:pPr>
            <w:rPr>
              <w:rFonts w:ascii="Republika" w:hAnsi="Republika"/>
              <w:sz w:val="60"/>
              <w:szCs w:val="60"/>
            </w:rPr>
          </w:pPr>
        </w:p>
        <w:p w14:paraId="3721CBA6" w14:textId="77777777" w:rsidR="0030107B" w:rsidRPr="006D42D9" w:rsidRDefault="0030107B" w:rsidP="007A37F8">
          <w:pPr>
            <w:rPr>
              <w:rFonts w:ascii="Republika" w:hAnsi="Republika"/>
              <w:sz w:val="60"/>
              <w:szCs w:val="60"/>
            </w:rPr>
          </w:pPr>
        </w:p>
        <w:p w14:paraId="268E6A89" w14:textId="77777777" w:rsidR="0030107B" w:rsidRPr="006D42D9" w:rsidRDefault="0030107B" w:rsidP="007A37F8">
          <w:pPr>
            <w:rPr>
              <w:rFonts w:ascii="Republika" w:hAnsi="Republika"/>
              <w:sz w:val="60"/>
              <w:szCs w:val="60"/>
            </w:rPr>
          </w:pPr>
        </w:p>
        <w:p w14:paraId="4099CB55" w14:textId="77777777" w:rsidR="0030107B" w:rsidRPr="006D42D9" w:rsidRDefault="0030107B" w:rsidP="007A37F8">
          <w:pPr>
            <w:rPr>
              <w:rFonts w:ascii="Republika" w:hAnsi="Republika"/>
              <w:sz w:val="60"/>
              <w:szCs w:val="60"/>
            </w:rPr>
          </w:pPr>
        </w:p>
        <w:p w14:paraId="671A533E" w14:textId="77777777" w:rsidR="0030107B" w:rsidRPr="006D42D9" w:rsidRDefault="0030107B" w:rsidP="007A37F8">
          <w:pPr>
            <w:rPr>
              <w:rFonts w:ascii="Republika" w:hAnsi="Republika"/>
              <w:sz w:val="60"/>
              <w:szCs w:val="60"/>
            </w:rPr>
          </w:pPr>
        </w:p>
        <w:p w14:paraId="77F869C8" w14:textId="77777777" w:rsidR="0030107B" w:rsidRPr="006D42D9" w:rsidRDefault="0030107B" w:rsidP="007A37F8">
          <w:pPr>
            <w:rPr>
              <w:rFonts w:ascii="Republika" w:hAnsi="Republika"/>
              <w:sz w:val="60"/>
              <w:szCs w:val="60"/>
            </w:rPr>
          </w:pPr>
        </w:p>
        <w:p w14:paraId="0FFF0BF4" w14:textId="77777777" w:rsidR="0030107B" w:rsidRPr="006D42D9" w:rsidRDefault="0030107B" w:rsidP="007A37F8">
          <w:pPr>
            <w:rPr>
              <w:rFonts w:ascii="Republika" w:hAnsi="Republika"/>
              <w:sz w:val="60"/>
              <w:szCs w:val="60"/>
            </w:rPr>
          </w:pPr>
        </w:p>
        <w:p w14:paraId="467A5181" w14:textId="77777777" w:rsidR="0030107B" w:rsidRPr="006D42D9" w:rsidRDefault="0030107B" w:rsidP="007A37F8">
          <w:pPr>
            <w:rPr>
              <w:rFonts w:ascii="Republika" w:hAnsi="Republika"/>
              <w:sz w:val="60"/>
              <w:szCs w:val="60"/>
            </w:rPr>
          </w:pPr>
        </w:p>
        <w:p w14:paraId="5D958EBD" w14:textId="77777777" w:rsidR="0030107B" w:rsidRPr="006D42D9" w:rsidRDefault="0030107B" w:rsidP="007A37F8">
          <w:pPr>
            <w:rPr>
              <w:rFonts w:ascii="Republika" w:hAnsi="Republika"/>
              <w:sz w:val="60"/>
              <w:szCs w:val="60"/>
            </w:rPr>
          </w:pPr>
        </w:p>
        <w:p w14:paraId="4D91D06F" w14:textId="77777777" w:rsidR="0030107B" w:rsidRPr="006D42D9" w:rsidRDefault="0030107B" w:rsidP="007A37F8">
          <w:pPr>
            <w:rPr>
              <w:rFonts w:ascii="Republika" w:hAnsi="Republika"/>
              <w:sz w:val="60"/>
              <w:szCs w:val="60"/>
            </w:rPr>
          </w:pPr>
        </w:p>
        <w:p w14:paraId="6DF6221D" w14:textId="77777777" w:rsidR="0030107B" w:rsidRPr="006D42D9" w:rsidRDefault="0030107B" w:rsidP="007A37F8">
          <w:pPr>
            <w:rPr>
              <w:rFonts w:ascii="Republika" w:hAnsi="Republika"/>
              <w:sz w:val="60"/>
              <w:szCs w:val="60"/>
            </w:rPr>
          </w:pPr>
        </w:p>
      </w:tc>
    </w:tr>
    <w:tr w:rsidR="00F024AC" w:rsidRPr="008F3500" w14:paraId="6AEBEE4E" w14:textId="77777777" w:rsidTr="00CA6DCC">
      <w:trPr>
        <w:trHeight w:hRule="exact" w:val="847"/>
      </w:trPr>
      <w:tc>
        <w:tcPr>
          <w:tcW w:w="649" w:type="dxa"/>
        </w:tcPr>
        <w:p w14:paraId="732198B3" w14:textId="77777777" w:rsidR="00F024AC" w:rsidRPr="008F3500" w:rsidRDefault="00F024AC" w:rsidP="007A37F8">
          <w:pPr>
            <w:autoSpaceDE w:val="0"/>
            <w:autoSpaceDN w:val="0"/>
            <w:adjustRightInd w:val="0"/>
            <w:spacing w:line="240" w:lineRule="auto"/>
            <w:rPr>
              <w:rFonts w:ascii="Republika" w:hAnsi="Republika" w:cs="Republika"/>
              <w:color w:val="529DBA"/>
              <w:sz w:val="60"/>
              <w:szCs w:val="60"/>
            </w:rPr>
          </w:pPr>
        </w:p>
      </w:tc>
    </w:tr>
    <w:tr w:rsidR="00F024AC" w:rsidRPr="008F3500" w14:paraId="5068E752" w14:textId="77777777" w:rsidTr="00CA6DCC">
      <w:trPr>
        <w:trHeight w:hRule="exact" w:val="847"/>
      </w:trPr>
      <w:tc>
        <w:tcPr>
          <w:tcW w:w="649" w:type="dxa"/>
        </w:tcPr>
        <w:p w14:paraId="4F502359" w14:textId="77777777" w:rsidR="00F024AC" w:rsidRPr="008F3500" w:rsidRDefault="00F024AC" w:rsidP="007A37F8">
          <w:pPr>
            <w:autoSpaceDE w:val="0"/>
            <w:autoSpaceDN w:val="0"/>
            <w:adjustRightInd w:val="0"/>
            <w:spacing w:line="240" w:lineRule="auto"/>
            <w:rPr>
              <w:rFonts w:ascii="Republika" w:hAnsi="Republika" w:cs="Republika"/>
              <w:color w:val="529DB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30107B" w:rsidRPr="006D42D9" w:rsidRDefault="0030107B" w:rsidP="006D42D9">
          <w:pPr>
            <w:rPr>
              <w:rFonts w:ascii="Republika" w:hAnsi="Republika"/>
              <w:sz w:val="60"/>
              <w:szCs w:val="60"/>
            </w:rPr>
          </w:pPr>
        </w:p>
      </w:tc>
    </w:tr>
  </w:tbl>
  <w:p w14:paraId="73B60C24" w14:textId="476A297E" w:rsidR="0030107B"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6333C"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r w:rsidR="00F024AC" w:rsidRPr="00F024AC">
      <w:rPr>
        <w:rFonts w:cs="Arial"/>
        <w:b/>
        <w:bCs/>
        <w:color w:val="FF0000"/>
        <w:sz w:val="26"/>
        <w:szCs w:val="26"/>
      </w:rPr>
      <w:t xml:space="preserve"> </w:t>
    </w:r>
  </w:p>
  <w:p w14:paraId="29FCB37F" w14:textId="00F704D5" w:rsidR="0030107B"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FA3790B" w:rsidR="003702FA" w:rsidRPr="008F3500" w:rsidRDefault="00CF4672" w:rsidP="00795E41">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30107B" w:rsidRPr="008F3500" w:rsidRDefault="0030107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5E9"/>
    <w:multiLevelType w:val="multilevel"/>
    <w:tmpl w:val="F87678FE"/>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4C7BAC"/>
    <w:multiLevelType w:val="hybridMultilevel"/>
    <w:tmpl w:val="3AE4C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1C7AE3"/>
    <w:multiLevelType w:val="hybridMultilevel"/>
    <w:tmpl w:val="65C49F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A1529A"/>
    <w:multiLevelType w:val="hybridMultilevel"/>
    <w:tmpl w:val="2D7412F4"/>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44541684"/>
    <w:multiLevelType w:val="multilevel"/>
    <w:tmpl w:val="B69E588C"/>
    <w:lvl w:ilvl="0">
      <w:start w:val="1"/>
      <w:numFmt w:val="upperLetter"/>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D4F1014"/>
    <w:multiLevelType w:val="hybridMultilevel"/>
    <w:tmpl w:val="1EAAB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EE37AA0"/>
    <w:multiLevelType w:val="hybridMultilevel"/>
    <w:tmpl w:val="4FFA8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304F49"/>
    <w:multiLevelType w:val="hybridMultilevel"/>
    <w:tmpl w:val="E0FA6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3380201">
    <w:abstractNumId w:val="0"/>
  </w:num>
  <w:num w:numId="2" w16cid:durableId="525756156">
    <w:abstractNumId w:val="3"/>
  </w:num>
  <w:num w:numId="3" w16cid:durableId="576019157">
    <w:abstractNumId w:val="4"/>
  </w:num>
  <w:num w:numId="4" w16cid:durableId="1980188311">
    <w:abstractNumId w:val="5"/>
  </w:num>
  <w:num w:numId="5" w16cid:durableId="1245839498">
    <w:abstractNumId w:val="2"/>
  </w:num>
  <w:num w:numId="6" w16cid:durableId="1550796496">
    <w:abstractNumId w:val="7"/>
  </w:num>
  <w:num w:numId="7" w16cid:durableId="629749063">
    <w:abstractNumId w:val="1"/>
  </w:num>
  <w:num w:numId="8" w16cid:durableId="2594887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52E1"/>
    <w:rsid w:val="0003685B"/>
    <w:rsid w:val="000539E7"/>
    <w:rsid w:val="0006053D"/>
    <w:rsid w:val="0006381A"/>
    <w:rsid w:val="00094A6E"/>
    <w:rsid w:val="00096602"/>
    <w:rsid w:val="000A393C"/>
    <w:rsid w:val="000C048A"/>
    <w:rsid w:val="000D7826"/>
    <w:rsid w:val="000E1654"/>
    <w:rsid w:val="000E6FE1"/>
    <w:rsid w:val="000E7F8F"/>
    <w:rsid w:val="001110DF"/>
    <w:rsid w:val="0011164D"/>
    <w:rsid w:val="0012052E"/>
    <w:rsid w:val="001604CD"/>
    <w:rsid w:val="00163EEA"/>
    <w:rsid w:val="001772B5"/>
    <w:rsid w:val="001816C8"/>
    <w:rsid w:val="00193E4D"/>
    <w:rsid w:val="00196493"/>
    <w:rsid w:val="001C00FD"/>
    <w:rsid w:val="001C1B57"/>
    <w:rsid w:val="001C4201"/>
    <w:rsid w:val="001D3E76"/>
    <w:rsid w:val="001D7498"/>
    <w:rsid w:val="001F4D06"/>
    <w:rsid w:val="001F5CEB"/>
    <w:rsid w:val="00200CE3"/>
    <w:rsid w:val="00224665"/>
    <w:rsid w:val="0023134B"/>
    <w:rsid w:val="00262C76"/>
    <w:rsid w:val="0027411A"/>
    <w:rsid w:val="00277B73"/>
    <w:rsid w:val="00280385"/>
    <w:rsid w:val="002829DF"/>
    <w:rsid w:val="00286CB1"/>
    <w:rsid w:val="00292E98"/>
    <w:rsid w:val="00295B51"/>
    <w:rsid w:val="002971AE"/>
    <w:rsid w:val="002B484B"/>
    <w:rsid w:val="002B6D16"/>
    <w:rsid w:val="002C395F"/>
    <w:rsid w:val="002E54FB"/>
    <w:rsid w:val="002F45C0"/>
    <w:rsid w:val="003006CF"/>
    <w:rsid w:val="0030107B"/>
    <w:rsid w:val="00305E1F"/>
    <w:rsid w:val="00312290"/>
    <w:rsid w:val="00322BFD"/>
    <w:rsid w:val="00325679"/>
    <w:rsid w:val="0032730D"/>
    <w:rsid w:val="00327984"/>
    <w:rsid w:val="00366131"/>
    <w:rsid w:val="003702FA"/>
    <w:rsid w:val="00397882"/>
    <w:rsid w:val="003C1994"/>
    <w:rsid w:val="003D0FCB"/>
    <w:rsid w:val="003E242B"/>
    <w:rsid w:val="003E5FA9"/>
    <w:rsid w:val="003F0487"/>
    <w:rsid w:val="003F16A2"/>
    <w:rsid w:val="00411EC5"/>
    <w:rsid w:val="00412199"/>
    <w:rsid w:val="004231CA"/>
    <w:rsid w:val="00423E1B"/>
    <w:rsid w:val="00427F42"/>
    <w:rsid w:val="004450E9"/>
    <w:rsid w:val="00462393"/>
    <w:rsid w:val="004941CD"/>
    <w:rsid w:val="004A7482"/>
    <w:rsid w:val="004B4894"/>
    <w:rsid w:val="004C4489"/>
    <w:rsid w:val="004C5721"/>
    <w:rsid w:val="004C5D8C"/>
    <w:rsid w:val="004E0C98"/>
    <w:rsid w:val="004E37BC"/>
    <w:rsid w:val="004F7FEB"/>
    <w:rsid w:val="00515F3C"/>
    <w:rsid w:val="005336EA"/>
    <w:rsid w:val="00542AD6"/>
    <w:rsid w:val="00555EC4"/>
    <w:rsid w:val="005609E4"/>
    <w:rsid w:val="00563665"/>
    <w:rsid w:val="00571C3C"/>
    <w:rsid w:val="005770A1"/>
    <w:rsid w:val="00577133"/>
    <w:rsid w:val="005776BC"/>
    <w:rsid w:val="005839FA"/>
    <w:rsid w:val="00591F41"/>
    <w:rsid w:val="005A74E1"/>
    <w:rsid w:val="005B6F61"/>
    <w:rsid w:val="005C4991"/>
    <w:rsid w:val="005D2CAC"/>
    <w:rsid w:val="005D3240"/>
    <w:rsid w:val="005D5302"/>
    <w:rsid w:val="005E5990"/>
    <w:rsid w:val="005E59DB"/>
    <w:rsid w:val="005E5EE1"/>
    <w:rsid w:val="00611F87"/>
    <w:rsid w:val="00620ADF"/>
    <w:rsid w:val="00633FAB"/>
    <w:rsid w:val="00637276"/>
    <w:rsid w:val="00655349"/>
    <w:rsid w:val="00655947"/>
    <w:rsid w:val="00655D33"/>
    <w:rsid w:val="00671DA9"/>
    <w:rsid w:val="006728A0"/>
    <w:rsid w:val="00680A24"/>
    <w:rsid w:val="00682A78"/>
    <w:rsid w:val="006947FF"/>
    <w:rsid w:val="006B6547"/>
    <w:rsid w:val="006B710B"/>
    <w:rsid w:val="006F2B57"/>
    <w:rsid w:val="00703EB6"/>
    <w:rsid w:val="00707379"/>
    <w:rsid w:val="00710D8D"/>
    <w:rsid w:val="00722E8D"/>
    <w:rsid w:val="007261D6"/>
    <w:rsid w:val="00730470"/>
    <w:rsid w:val="007530D0"/>
    <w:rsid w:val="00754D77"/>
    <w:rsid w:val="00756C78"/>
    <w:rsid w:val="00757D23"/>
    <w:rsid w:val="00761AF4"/>
    <w:rsid w:val="007735A2"/>
    <w:rsid w:val="00785511"/>
    <w:rsid w:val="007859FE"/>
    <w:rsid w:val="00792E50"/>
    <w:rsid w:val="00794188"/>
    <w:rsid w:val="0079510C"/>
    <w:rsid w:val="00795E41"/>
    <w:rsid w:val="007A64F5"/>
    <w:rsid w:val="007B16C0"/>
    <w:rsid w:val="007B4B53"/>
    <w:rsid w:val="007C389B"/>
    <w:rsid w:val="007D27C0"/>
    <w:rsid w:val="007F294D"/>
    <w:rsid w:val="007F35B4"/>
    <w:rsid w:val="007F60FD"/>
    <w:rsid w:val="008229DE"/>
    <w:rsid w:val="00840D30"/>
    <w:rsid w:val="00841C1C"/>
    <w:rsid w:val="00843EE2"/>
    <w:rsid w:val="0084652B"/>
    <w:rsid w:val="00863AA6"/>
    <w:rsid w:val="00871605"/>
    <w:rsid w:val="008754EF"/>
    <w:rsid w:val="008868D1"/>
    <w:rsid w:val="008A3518"/>
    <w:rsid w:val="008A4089"/>
    <w:rsid w:val="008B6F31"/>
    <w:rsid w:val="008E2AC7"/>
    <w:rsid w:val="0090016F"/>
    <w:rsid w:val="00901911"/>
    <w:rsid w:val="00906F57"/>
    <w:rsid w:val="009104BD"/>
    <w:rsid w:val="00925B79"/>
    <w:rsid w:val="00927476"/>
    <w:rsid w:val="00934C06"/>
    <w:rsid w:val="00940C88"/>
    <w:rsid w:val="00953A81"/>
    <w:rsid w:val="00970B2B"/>
    <w:rsid w:val="0097547F"/>
    <w:rsid w:val="00984744"/>
    <w:rsid w:val="00985B7D"/>
    <w:rsid w:val="009B6997"/>
    <w:rsid w:val="009D4E40"/>
    <w:rsid w:val="009D5388"/>
    <w:rsid w:val="009E2547"/>
    <w:rsid w:val="009E40D3"/>
    <w:rsid w:val="009F7FB8"/>
    <w:rsid w:val="00A302C1"/>
    <w:rsid w:val="00A32EB9"/>
    <w:rsid w:val="00A33797"/>
    <w:rsid w:val="00A402CE"/>
    <w:rsid w:val="00A42F0E"/>
    <w:rsid w:val="00A44689"/>
    <w:rsid w:val="00A54D9B"/>
    <w:rsid w:val="00A60342"/>
    <w:rsid w:val="00A60BE6"/>
    <w:rsid w:val="00A6466B"/>
    <w:rsid w:val="00A74226"/>
    <w:rsid w:val="00AA5796"/>
    <w:rsid w:val="00AB0472"/>
    <w:rsid w:val="00AB0AE8"/>
    <w:rsid w:val="00AB660A"/>
    <w:rsid w:val="00AD2C49"/>
    <w:rsid w:val="00AD3EB1"/>
    <w:rsid w:val="00AF0EEC"/>
    <w:rsid w:val="00B00175"/>
    <w:rsid w:val="00B12F1A"/>
    <w:rsid w:val="00B3069B"/>
    <w:rsid w:val="00B32792"/>
    <w:rsid w:val="00B34BF7"/>
    <w:rsid w:val="00B36E62"/>
    <w:rsid w:val="00B36F85"/>
    <w:rsid w:val="00B467E3"/>
    <w:rsid w:val="00B60E64"/>
    <w:rsid w:val="00B7604B"/>
    <w:rsid w:val="00BA3040"/>
    <w:rsid w:val="00BA69A7"/>
    <w:rsid w:val="00BB081C"/>
    <w:rsid w:val="00BB0B3E"/>
    <w:rsid w:val="00BB5F5D"/>
    <w:rsid w:val="00BF77FD"/>
    <w:rsid w:val="00C1331A"/>
    <w:rsid w:val="00C146AF"/>
    <w:rsid w:val="00C203CF"/>
    <w:rsid w:val="00C3025A"/>
    <w:rsid w:val="00C32C8C"/>
    <w:rsid w:val="00C336A3"/>
    <w:rsid w:val="00C4613F"/>
    <w:rsid w:val="00C66E84"/>
    <w:rsid w:val="00C85BDA"/>
    <w:rsid w:val="00CA571D"/>
    <w:rsid w:val="00CB18FD"/>
    <w:rsid w:val="00CB715F"/>
    <w:rsid w:val="00CE53F4"/>
    <w:rsid w:val="00CF4672"/>
    <w:rsid w:val="00D02F43"/>
    <w:rsid w:val="00D1296A"/>
    <w:rsid w:val="00D314F4"/>
    <w:rsid w:val="00D478DC"/>
    <w:rsid w:val="00D50FDE"/>
    <w:rsid w:val="00D63572"/>
    <w:rsid w:val="00D8075B"/>
    <w:rsid w:val="00D93A0F"/>
    <w:rsid w:val="00DB7D92"/>
    <w:rsid w:val="00DC08EF"/>
    <w:rsid w:val="00DC18C1"/>
    <w:rsid w:val="00DC3B54"/>
    <w:rsid w:val="00DF5B10"/>
    <w:rsid w:val="00DF6548"/>
    <w:rsid w:val="00E018B5"/>
    <w:rsid w:val="00E10C74"/>
    <w:rsid w:val="00E12985"/>
    <w:rsid w:val="00E12CA0"/>
    <w:rsid w:val="00E227E2"/>
    <w:rsid w:val="00E2796F"/>
    <w:rsid w:val="00E3616B"/>
    <w:rsid w:val="00E37EAE"/>
    <w:rsid w:val="00E43244"/>
    <w:rsid w:val="00E6459F"/>
    <w:rsid w:val="00E73B27"/>
    <w:rsid w:val="00E74436"/>
    <w:rsid w:val="00E93C03"/>
    <w:rsid w:val="00EA79C4"/>
    <w:rsid w:val="00EB26B3"/>
    <w:rsid w:val="00EC5BF3"/>
    <w:rsid w:val="00ED7A21"/>
    <w:rsid w:val="00EE12AE"/>
    <w:rsid w:val="00EF5E27"/>
    <w:rsid w:val="00F024AC"/>
    <w:rsid w:val="00F0676B"/>
    <w:rsid w:val="00F13FDD"/>
    <w:rsid w:val="00F14997"/>
    <w:rsid w:val="00F17F85"/>
    <w:rsid w:val="00F26756"/>
    <w:rsid w:val="00F3415A"/>
    <w:rsid w:val="00F3456A"/>
    <w:rsid w:val="00F61105"/>
    <w:rsid w:val="00F66D7B"/>
    <w:rsid w:val="00F80AF7"/>
    <w:rsid w:val="00F83FE3"/>
    <w:rsid w:val="00F90D61"/>
    <w:rsid w:val="00F919C8"/>
    <w:rsid w:val="00F9613C"/>
    <w:rsid w:val="00FA7C7B"/>
    <w:rsid w:val="00FA7FF9"/>
    <w:rsid w:val="00FC7000"/>
    <w:rsid w:val="00FD2735"/>
    <w:rsid w:val="00FD3032"/>
    <w:rsid w:val="00FD5C6A"/>
    <w:rsid w:val="00FF10D6"/>
    <w:rsid w:val="00FF2F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D6F799B5-12DE-44AA-A375-28ED5363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93A0F"/>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D93A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3E242B"/>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2Znak">
    <w:name w:val="Naslov 2 Znak"/>
    <w:basedOn w:val="Privzetapisavaodstavka"/>
    <w:link w:val="Naslov2"/>
    <w:uiPriority w:val="9"/>
    <w:rsid w:val="003E242B"/>
    <w:rPr>
      <w:rFonts w:asciiTheme="majorHAnsi" w:eastAsiaTheme="majorEastAsia" w:hAnsiTheme="majorHAnsi" w:cstheme="majorBidi"/>
      <w:color w:val="2F5496" w:themeColor="accent1" w:themeShade="BF"/>
      <w:sz w:val="26"/>
      <w:szCs w:val="26"/>
    </w:rPr>
  </w:style>
  <w:style w:type="character" w:styleId="Hiperpovezava">
    <w:name w:val="Hyperlink"/>
    <w:basedOn w:val="Privzetapisavaodstavka"/>
    <w:uiPriority w:val="99"/>
    <w:unhideWhenUsed/>
    <w:rsid w:val="003E242B"/>
    <w:rPr>
      <w:color w:val="0563C1" w:themeColor="hyperlink"/>
      <w:u w:val="single"/>
    </w:rPr>
  </w:style>
  <w:style w:type="paragraph" w:styleId="Sprotnaopomba-besedilo">
    <w:name w:val="footnote text"/>
    <w:basedOn w:val="Navaden"/>
    <w:link w:val="Sprotnaopomba-besediloZnak"/>
    <w:uiPriority w:val="99"/>
    <w:semiHidden/>
    <w:unhideWhenUsed/>
    <w:rsid w:val="003E242B"/>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3E242B"/>
    <w:rPr>
      <w:sz w:val="20"/>
      <w:szCs w:val="20"/>
    </w:rPr>
  </w:style>
  <w:style w:type="paragraph" w:styleId="Odstavekseznama">
    <w:name w:val="List Paragraph"/>
    <w:basedOn w:val="Navaden"/>
    <w:uiPriority w:val="34"/>
    <w:qFormat/>
    <w:rsid w:val="003E242B"/>
    <w:pPr>
      <w:spacing w:after="160" w:line="256" w:lineRule="auto"/>
      <w:ind w:left="720"/>
      <w:contextualSpacing/>
    </w:pPr>
    <w:rPr>
      <w:rFonts w:asciiTheme="minorHAnsi" w:eastAsiaTheme="minorHAnsi" w:hAnsiTheme="minorHAnsi" w:cstheme="minorBidi"/>
      <w:sz w:val="22"/>
      <w:szCs w:val="22"/>
    </w:rPr>
  </w:style>
  <w:style w:type="character" w:styleId="Sprotnaopomba-sklic">
    <w:name w:val="footnote reference"/>
    <w:basedOn w:val="Privzetapisavaodstavka"/>
    <w:uiPriority w:val="99"/>
    <w:semiHidden/>
    <w:unhideWhenUsed/>
    <w:rsid w:val="003E242B"/>
    <w:rPr>
      <w:vertAlign w:val="superscript"/>
    </w:rPr>
  </w:style>
  <w:style w:type="paragraph" w:styleId="Revizija">
    <w:name w:val="Revision"/>
    <w:hidden/>
    <w:uiPriority w:val="99"/>
    <w:semiHidden/>
    <w:rsid w:val="001604CD"/>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30107B"/>
    <w:rPr>
      <w:sz w:val="16"/>
      <w:szCs w:val="16"/>
    </w:rPr>
  </w:style>
  <w:style w:type="paragraph" w:styleId="Pripombabesedilo">
    <w:name w:val="annotation text"/>
    <w:basedOn w:val="Navaden"/>
    <w:link w:val="PripombabesediloZnak"/>
    <w:uiPriority w:val="99"/>
    <w:unhideWhenUsed/>
    <w:rsid w:val="0030107B"/>
    <w:pPr>
      <w:spacing w:line="240" w:lineRule="auto"/>
    </w:pPr>
    <w:rPr>
      <w:szCs w:val="20"/>
    </w:rPr>
  </w:style>
  <w:style w:type="character" w:customStyle="1" w:styleId="PripombabesediloZnak">
    <w:name w:val="Pripomba – besedilo Znak"/>
    <w:basedOn w:val="Privzetapisavaodstavka"/>
    <w:link w:val="Pripombabesedilo"/>
    <w:uiPriority w:val="99"/>
    <w:rsid w:val="0030107B"/>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0107B"/>
    <w:rPr>
      <w:b/>
      <w:bCs/>
    </w:rPr>
  </w:style>
  <w:style w:type="character" w:customStyle="1" w:styleId="ZadevapripombeZnak">
    <w:name w:val="Zadeva pripombe Znak"/>
    <w:basedOn w:val="PripombabesediloZnak"/>
    <w:link w:val="Zadevapripombe"/>
    <w:uiPriority w:val="99"/>
    <w:semiHidden/>
    <w:rsid w:val="0030107B"/>
    <w:rPr>
      <w:rFonts w:ascii="Arial" w:eastAsia="Times New Roman" w:hAnsi="Arial" w:cs="Times New Roman"/>
      <w:b/>
      <w:bCs/>
      <w:sz w:val="20"/>
      <w:szCs w:val="20"/>
    </w:rPr>
  </w:style>
  <w:style w:type="character" w:styleId="SledenaHiperpovezava">
    <w:name w:val="FollowedHyperlink"/>
    <w:basedOn w:val="Privzetapisavaodstavka"/>
    <w:uiPriority w:val="99"/>
    <w:semiHidden/>
    <w:unhideWhenUsed/>
    <w:rsid w:val="00671DA9"/>
    <w:rPr>
      <w:color w:val="954F72" w:themeColor="followedHyperlink"/>
      <w:u w:val="single"/>
    </w:rPr>
  </w:style>
  <w:style w:type="character" w:styleId="Nerazreenaomemba">
    <w:name w:val="Unresolved Mention"/>
    <w:basedOn w:val="Privzetapisavaodstavka"/>
    <w:uiPriority w:val="99"/>
    <w:semiHidden/>
    <w:unhideWhenUsed/>
    <w:rsid w:val="0011164D"/>
    <w:rPr>
      <w:color w:val="605E5C"/>
      <w:shd w:val="clear" w:color="auto" w:fill="E1DFDD"/>
    </w:rPr>
  </w:style>
  <w:style w:type="paragraph" w:styleId="Navadensplet">
    <w:name w:val="Normal (Web)"/>
    <w:basedOn w:val="Navaden"/>
    <w:uiPriority w:val="99"/>
    <w:semiHidden/>
    <w:unhideWhenUsed/>
    <w:rsid w:val="00F83FE3"/>
    <w:pPr>
      <w:spacing w:before="100" w:beforeAutospacing="1" w:after="100" w:afterAutospacing="1" w:line="240" w:lineRule="auto"/>
    </w:pPr>
    <w:rPr>
      <w:rFonts w:ascii="Calibri" w:eastAsiaTheme="minorHAnsi" w:hAnsi="Calibri" w:cs="Calibri"/>
      <w:sz w:val="22"/>
      <w:szCs w:val="22"/>
      <w:lang w:eastAsia="sl-SI"/>
    </w:rPr>
  </w:style>
  <w:style w:type="character" w:customStyle="1" w:styleId="Naslov1Znak">
    <w:name w:val="Naslov 1 Znak"/>
    <w:basedOn w:val="Privzetapisavaodstavka"/>
    <w:link w:val="Naslov1"/>
    <w:uiPriority w:val="9"/>
    <w:rsid w:val="00D93A0F"/>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D93A0F"/>
    <w:pPr>
      <w:spacing w:line="259" w:lineRule="auto"/>
      <w:outlineLvl w:val="9"/>
    </w:pPr>
    <w:rPr>
      <w:lang w:eastAsia="sl-SI"/>
    </w:rPr>
  </w:style>
  <w:style w:type="paragraph" w:styleId="Kazalovsebine2">
    <w:name w:val="toc 2"/>
    <w:basedOn w:val="Navaden"/>
    <w:next w:val="Navaden"/>
    <w:autoRedefine/>
    <w:uiPriority w:val="39"/>
    <w:unhideWhenUsed/>
    <w:rsid w:val="00D93A0F"/>
    <w:pPr>
      <w:spacing w:after="100" w:line="259" w:lineRule="auto"/>
      <w:ind w:left="220"/>
    </w:pPr>
    <w:rPr>
      <w:rFonts w:asciiTheme="minorHAnsi" w:eastAsiaTheme="minorEastAsia" w:hAnsiTheme="minorHAnsi"/>
      <w:sz w:val="22"/>
      <w:szCs w:val="22"/>
      <w:lang w:eastAsia="sl-SI"/>
    </w:rPr>
  </w:style>
  <w:style w:type="paragraph" w:styleId="Kazalovsebine1">
    <w:name w:val="toc 1"/>
    <w:basedOn w:val="Navaden"/>
    <w:next w:val="Navaden"/>
    <w:autoRedefine/>
    <w:uiPriority w:val="39"/>
    <w:unhideWhenUsed/>
    <w:rsid w:val="00D93A0F"/>
    <w:pPr>
      <w:spacing w:after="100" w:line="259" w:lineRule="auto"/>
    </w:pPr>
    <w:rPr>
      <w:rFonts w:asciiTheme="minorHAnsi" w:eastAsiaTheme="minorEastAsia" w:hAnsiTheme="minorHAnsi"/>
      <w:sz w:val="22"/>
      <w:szCs w:val="22"/>
      <w:lang w:eastAsia="sl-SI"/>
    </w:rPr>
  </w:style>
  <w:style w:type="paragraph" w:styleId="Kazalovsebine3">
    <w:name w:val="toc 3"/>
    <w:basedOn w:val="Navaden"/>
    <w:next w:val="Navaden"/>
    <w:autoRedefine/>
    <w:uiPriority w:val="39"/>
    <w:unhideWhenUsed/>
    <w:rsid w:val="00D93A0F"/>
    <w:pPr>
      <w:spacing w:after="100" w:line="259" w:lineRule="auto"/>
      <w:ind w:left="440"/>
    </w:pPr>
    <w:rPr>
      <w:rFonts w:asciiTheme="minorHAnsi" w:eastAsiaTheme="minorEastAsia" w:hAnsiTheme="minorHAns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4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is.unesco.org/en/isced-mappin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cd-ilibrary.org/education/education-at-a-glance-2024_c00cad36-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A4391-25FE-4957-A53C-6F9FE99AC3E8}">
  <ds:schemaRefs>
    <ds:schemaRef ds:uri="http://schemas.openxmlformats.org/officeDocument/2006/bibliography"/>
  </ds:schemaRefs>
</ds:datastoreItem>
</file>

<file path=customXml/itemProps2.xml><?xml version="1.0" encoding="utf-8"?>
<ds:datastoreItem xmlns:ds="http://schemas.openxmlformats.org/officeDocument/2006/customXml" ds:itemID="{4101F5EE-A174-429C-8D06-34D3384FBF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C81F44-EE6D-4C68-BE00-FFBB03A3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8D48F-E6FE-4296-8B8B-E8E8903FD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2556</Words>
  <Characters>14571</Characters>
  <Application>Microsoft Office Word</Application>
  <DocSecurity>4</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Eva Košak</cp:lastModifiedBy>
  <cp:revision>2</cp:revision>
  <cp:lastPrinted>2024-09-09T11:03:00Z</cp:lastPrinted>
  <dcterms:created xsi:type="dcterms:W3CDTF">2024-09-10T09:28:00Z</dcterms:created>
  <dcterms:modified xsi:type="dcterms:W3CDTF">2024-09-10T09:28:00Z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