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726DF" w14:textId="77777777" w:rsidR="00F51CE5" w:rsidRPr="0067086B" w:rsidRDefault="00F51CE5" w:rsidP="005677B0">
      <w:pPr>
        <w:rPr>
          <w:rFonts w:eastAsia="Times New Roman"/>
          <w:b/>
          <w:sz w:val="20"/>
          <w:szCs w:val="24"/>
        </w:rPr>
      </w:pPr>
      <w:r>
        <w:rPr>
          <w:noProof/>
          <w:lang w:eastAsia="sl-SI"/>
        </w:rPr>
        <w:drawing>
          <wp:anchor distT="0" distB="0" distL="114300" distR="114300" simplePos="0" relativeHeight="251659264" behindDoc="1" locked="0" layoutInCell="1" allowOverlap="1" wp14:anchorId="3B719F55" wp14:editId="10FA58D2">
            <wp:simplePos x="0" y="0"/>
            <wp:positionH relativeFrom="margin">
              <wp:align>right</wp:align>
            </wp:positionH>
            <wp:positionV relativeFrom="paragraph">
              <wp:posOffset>-1363345</wp:posOffset>
            </wp:positionV>
            <wp:extent cx="2049780" cy="991235"/>
            <wp:effectExtent l="0" t="0" r="762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B2057" w14:textId="77777777" w:rsidR="00F51CE5" w:rsidRPr="0067086B" w:rsidRDefault="00F51CE5" w:rsidP="00F51CE5">
      <w:pPr>
        <w:numPr>
          <w:ilvl w:val="1"/>
          <w:numId w:val="2"/>
        </w:numPr>
        <w:overflowPunct w:val="0"/>
        <w:autoSpaceDE w:val="0"/>
        <w:autoSpaceDN w:val="0"/>
        <w:adjustRightInd w:val="0"/>
        <w:spacing w:after="0" w:line="240" w:lineRule="auto"/>
        <w:jc w:val="both"/>
        <w:textAlignment w:val="baseline"/>
        <w:rPr>
          <w:b/>
        </w:rPr>
      </w:pPr>
      <w:r w:rsidRPr="0067086B">
        <w:rPr>
          <w:b/>
        </w:rPr>
        <w:t>Reference</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4392"/>
        <w:gridCol w:w="4131"/>
      </w:tblGrid>
      <w:tr w:rsidR="00F51CE5" w:rsidRPr="0067086B" w14:paraId="535DE709" w14:textId="77777777" w:rsidTr="007F0306">
        <w:tc>
          <w:tcPr>
            <w:tcW w:w="550" w:type="dxa"/>
          </w:tcPr>
          <w:p w14:paraId="6FA46FA9" w14:textId="77777777" w:rsidR="00F51CE5" w:rsidRPr="0067086B" w:rsidRDefault="00F51CE5" w:rsidP="007F0306">
            <w:pPr>
              <w:spacing w:after="0" w:line="260" w:lineRule="exact"/>
              <w:rPr>
                <w:rFonts w:eastAsia="Times New Roman"/>
                <w:b/>
                <w:sz w:val="16"/>
                <w:szCs w:val="16"/>
              </w:rPr>
            </w:pPr>
            <w:r>
              <w:rPr>
                <w:rFonts w:eastAsia="Times New Roman"/>
                <w:b/>
                <w:sz w:val="16"/>
                <w:szCs w:val="16"/>
              </w:rPr>
              <w:t>1</w:t>
            </w:r>
            <w:r w:rsidRPr="0067086B">
              <w:rPr>
                <w:rFonts w:eastAsia="Times New Roman"/>
                <w:b/>
                <w:sz w:val="16"/>
                <w:szCs w:val="16"/>
              </w:rPr>
              <w:t>.1</w:t>
            </w:r>
          </w:p>
        </w:tc>
        <w:tc>
          <w:tcPr>
            <w:tcW w:w="4392" w:type="dxa"/>
          </w:tcPr>
          <w:p w14:paraId="125CA03B" w14:textId="77777777" w:rsidR="00F51CE5" w:rsidRPr="0067086B" w:rsidRDefault="00F51CE5" w:rsidP="007F0306">
            <w:pPr>
              <w:spacing w:after="0" w:line="260" w:lineRule="exact"/>
              <w:rPr>
                <w:rFonts w:eastAsia="Times New Roman"/>
                <w:sz w:val="16"/>
                <w:szCs w:val="16"/>
              </w:rPr>
            </w:pPr>
            <w:r w:rsidRPr="0067086B">
              <w:rPr>
                <w:rFonts w:eastAsia="Times New Roman"/>
                <w:b/>
                <w:sz w:val="16"/>
                <w:szCs w:val="16"/>
              </w:rPr>
              <w:t xml:space="preserve">Reference upravičenca </w:t>
            </w:r>
            <w:r w:rsidRPr="0067086B">
              <w:rPr>
                <w:rFonts w:eastAsia="Times New Roman"/>
                <w:sz w:val="16"/>
                <w:szCs w:val="16"/>
              </w:rPr>
              <w:t>(</w:t>
            </w:r>
            <w:commentRangeStart w:id="0"/>
            <w:r w:rsidRPr="0067086B">
              <w:rPr>
                <w:rFonts w:eastAsia="Times New Roman"/>
                <w:sz w:val="16"/>
                <w:szCs w:val="16"/>
              </w:rPr>
              <w:t>izkušnje na relevantnem področju v zadnjih 3 letih</w:t>
            </w:r>
            <w:commentRangeEnd w:id="0"/>
            <w:r w:rsidR="005677B0">
              <w:rPr>
                <w:rStyle w:val="Pripombasklic"/>
              </w:rPr>
              <w:commentReference w:id="0"/>
            </w:r>
            <w:r w:rsidRPr="0067086B">
              <w:rPr>
                <w:rFonts w:eastAsia="Times New Roman"/>
                <w:sz w:val="16"/>
                <w:szCs w:val="16"/>
              </w:rPr>
              <w:t>)</w:t>
            </w:r>
          </w:p>
        </w:tc>
        <w:tc>
          <w:tcPr>
            <w:tcW w:w="4131" w:type="dxa"/>
          </w:tcPr>
          <w:p w14:paraId="067BB866" w14:textId="77777777" w:rsidR="00F51CE5" w:rsidRPr="0067086B" w:rsidRDefault="00F51CE5" w:rsidP="007F0306">
            <w:pPr>
              <w:spacing w:after="0" w:line="260" w:lineRule="exact"/>
              <w:rPr>
                <w:rFonts w:eastAsia="Times New Roman"/>
                <w:b/>
                <w:sz w:val="16"/>
                <w:szCs w:val="16"/>
              </w:rPr>
            </w:pPr>
          </w:p>
        </w:tc>
      </w:tr>
      <w:tr w:rsidR="00F51CE5" w:rsidRPr="0067086B" w14:paraId="6AA155DE" w14:textId="77777777" w:rsidTr="007F0306">
        <w:tc>
          <w:tcPr>
            <w:tcW w:w="550" w:type="dxa"/>
          </w:tcPr>
          <w:p w14:paraId="54753722" w14:textId="77777777" w:rsidR="00F51CE5" w:rsidRPr="0067086B" w:rsidRDefault="00F51CE5" w:rsidP="007F0306">
            <w:pPr>
              <w:spacing w:after="0" w:line="260" w:lineRule="exact"/>
              <w:rPr>
                <w:rFonts w:eastAsia="Times New Roman"/>
                <w:b/>
                <w:sz w:val="16"/>
                <w:szCs w:val="16"/>
              </w:rPr>
            </w:pPr>
            <w:r>
              <w:rPr>
                <w:rFonts w:eastAsia="Times New Roman"/>
                <w:b/>
                <w:sz w:val="16"/>
                <w:szCs w:val="16"/>
              </w:rPr>
              <w:t>1</w:t>
            </w:r>
            <w:r w:rsidRPr="0067086B">
              <w:rPr>
                <w:rFonts w:eastAsia="Times New Roman"/>
                <w:b/>
                <w:sz w:val="16"/>
                <w:szCs w:val="16"/>
              </w:rPr>
              <w:t>.2</w:t>
            </w:r>
          </w:p>
        </w:tc>
        <w:tc>
          <w:tcPr>
            <w:tcW w:w="4392" w:type="dxa"/>
          </w:tcPr>
          <w:p w14:paraId="2FD0FEA6" w14:textId="77777777" w:rsidR="00F51CE5" w:rsidRPr="0067086B" w:rsidRDefault="00F51CE5" w:rsidP="007F0306">
            <w:pPr>
              <w:spacing w:after="0" w:line="260" w:lineRule="exact"/>
              <w:rPr>
                <w:rFonts w:eastAsia="Times New Roman"/>
                <w:b/>
                <w:sz w:val="16"/>
                <w:szCs w:val="16"/>
              </w:rPr>
            </w:pPr>
            <w:commentRangeStart w:id="1"/>
            <w:r w:rsidRPr="0067086B">
              <w:rPr>
                <w:rFonts w:eastAsia="Times New Roman"/>
                <w:b/>
                <w:sz w:val="16"/>
                <w:szCs w:val="16"/>
              </w:rPr>
              <w:t xml:space="preserve">Podrobnosti o upravičencu in njegovih zmogljivostih za izvajanje operacije </w:t>
            </w:r>
            <w:commentRangeEnd w:id="1"/>
            <w:r w:rsidR="00C96ADB">
              <w:rPr>
                <w:rStyle w:val="Pripombasklic"/>
              </w:rPr>
              <w:commentReference w:id="1"/>
            </w:r>
            <w:r w:rsidRPr="0067086B">
              <w:rPr>
                <w:rFonts w:eastAsia="Times New Roman"/>
                <w:sz w:val="16"/>
                <w:szCs w:val="16"/>
              </w:rPr>
              <w:t xml:space="preserve">(tehnične, </w:t>
            </w:r>
            <w:commentRangeStart w:id="2"/>
            <w:r w:rsidRPr="0067086B">
              <w:rPr>
                <w:rFonts w:eastAsia="Times New Roman"/>
                <w:sz w:val="16"/>
                <w:szCs w:val="16"/>
              </w:rPr>
              <w:t>finančne</w:t>
            </w:r>
            <w:commentRangeEnd w:id="2"/>
            <w:r w:rsidR="005677B0">
              <w:rPr>
                <w:rStyle w:val="Pripombasklic"/>
              </w:rPr>
              <w:commentReference w:id="2"/>
            </w:r>
            <w:r w:rsidRPr="0067086B">
              <w:rPr>
                <w:rFonts w:eastAsia="Times New Roman"/>
                <w:sz w:val="16"/>
                <w:szCs w:val="16"/>
              </w:rPr>
              <w:t xml:space="preserve"> in </w:t>
            </w:r>
            <w:commentRangeStart w:id="3"/>
            <w:r w:rsidRPr="0067086B">
              <w:rPr>
                <w:rFonts w:eastAsia="Times New Roman"/>
                <w:sz w:val="16"/>
                <w:szCs w:val="16"/>
              </w:rPr>
              <w:t>institucionalne</w:t>
            </w:r>
            <w:commentRangeEnd w:id="3"/>
            <w:r w:rsidR="007359B9">
              <w:rPr>
                <w:rStyle w:val="Pripombasklic"/>
              </w:rPr>
              <w:commentReference w:id="3"/>
            </w:r>
            <w:r w:rsidRPr="0067086B">
              <w:rPr>
                <w:rFonts w:eastAsia="Times New Roman"/>
                <w:sz w:val="16"/>
                <w:szCs w:val="16"/>
              </w:rPr>
              <w:t xml:space="preserve"> zmogljivosti)</w:t>
            </w:r>
          </w:p>
        </w:tc>
        <w:tc>
          <w:tcPr>
            <w:tcW w:w="4131" w:type="dxa"/>
          </w:tcPr>
          <w:p w14:paraId="7FC60456" w14:textId="77777777" w:rsidR="00F51CE5" w:rsidRPr="0067086B" w:rsidRDefault="00F51CE5" w:rsidP="007F0306">
            <w:pPr>
              <w:spacing w:after="0" w:line="260" w:lineRule="exact"/>
              <w:rPr>
                <w:rFonts w:eastAsia="Times New Roman"/>
                <w:b/>
                <w:sz w:val="16"/>
                <w:szCs w:val="16"/>
              </w:rPr>
            </w:pPr>
          </w:p>
        </w:tc>
      </w:tr>
      <w:tr w:rsidR="00F51CE5" w:rsidRPr="0067086B" w14:paraId="6AE2866C" w14:textId="77777777" w:rsidTr="007F0306">
        <w:tc>
          <w:tcPr>
            <w:tcW w:w="550" w:type="dxa"/>
          </w:tcPr>
          <w:p w14:paraId="4A6824F4" w14:textId="77777777" w:rsidR="00F51CE5" w:rsidRPr="0067086B" w:rsidRDefault="00F51CE5" w:rsidP="007F0306">
            <w:pPr>
              <w:spacing w:after="0" w:line="260" w:lineRule="exact"/>
              <w:rPr>
                <w:rFonts w:eastAsia="Times New Roman"/>
                <w:b/>
                <w:sz w:val="16"/>
                <w:szCs w:val="16"/>
              </w:rPr>
            </w:pPr>
            <w:r>
              <w:rPr>
                <w:rFonts w:eastAsia="Times New Roman"/>
                <w:b/>
                <w:sz w:val="16"/>
                <w:szCs w:val="16"/>
              </w:rPr>
              <w:t>1</w:t>
            </w:r>
            <w:r w:rsidRPr="0067086B">
              <w:rPr>
                <w:rFonts w:eastAsia="Times New Roman"/>
                <w:b/>
                <w:sz w:val="16"/>
                <w:szCs w:val="16"/>
              </w:rPr>
              <w:t>.3</w:t>
            </w:r>
          </w:p>
        </w:tc>
        <w:tc>
          <w:tcPr>
            <w:tcW w:w="4392" w:type="dxa"/>
          </w:tcPr>
          <w:p w14:paraId="185E6F6C" w14:textId="77777777"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 xml:space="preserve">Reference partnerjev </w:t>
            </w:r>
            <w:r w:rsidRPr="0067086B">
              <w:rPr>
                <w:rFonts w:eastAsia="Times New Roman"/>
                <w:sz w:val="16"/>
                <w:szCs w:val="16"/>
              </w:rPr>
              <w:t>(izkušnje na relevantnem področju v zadnjih 3 letih)</w:t>
            </w:r>
          </w:p>
        </w:tc>
        <w:tc>
          <w:tcPr>
            <w:tcW w:w="4131" w:type="dxa"/>
          </w:tcPr>
          <w:p w14:paraId="79E54059" w14:textId="77777777" w:rsidR="00F51CE5" w:rsidRPr="0067086B" w:rsidRDefault="00F51CE5" w:rsidP="007F0306">
            <w:pPr>
              <w:spacing w:after="0" w:line="260" w:lineRule="exact"/>
              <w:rPr>
                <w:rFonts w:eastAsia="Times New Roman"/>
                <w:b/>
                <w:sz w:val="16"/>
                <w:szCs w:val="16"/>
              </w:rPr>
            </w:pPr>
          </w:p>
        </w:tc>
      </w:tr>
      <w:tr w:rsidR="00F51CE5" w:rsidRPr="0067086B" w14:paraId="58B3DD40" w14:textId="77777777" w:rsidTr="007F0306">
        <w:tc>
          <w:tcPr>
            <w:tcW w:w="550" w:type="dxa"/>
          </w:tcPr>
          <w:p w14:paraId="0F4BD340" w14:textId="77777777" w:rsidR="00F51CE5" w:rsidRPr="0067086B" w:rsidRDefault="00F51CE5" w:rsidP="007F0306">
            <w:pPr>
              <w:spacing w:after="0" w:line="260" w:lineRule="exact"/>
              <w:rPr>
                <w:rFonts w:eastAsia="Times New Roman"/>
                <w:b/>
                <w:sz w:val="16"/>
                <w:szCs w:val="16"/>
              </w:rPr>
            </w:pPr>
            <w:r>
              <w:rPr>
                <w:rFonts w:eastAsia="Times New Roman"/>
                <w:b/>
                <w:sz w:val="16"/>
                <w:szCs w:val="16"/>
              </w:rPr>
              <w:t>1</w:t>
            </w:r>
            <w:r w:rsidRPr="0067086B">
              <w:rPr>
                <w:rFonts w:eastAsia="Times New Roman"/>
                <w:b/>
                <w:sz w:val="16"/>
                <w:szCs w:val="16"/>
              </w:rPr>
              <w:t>.4</w:t>
            </w:r>
          </w:p>
        </w:tc>
        <w:tc>
          <w:tcPr>
            <w:tcW w:w="4392" w:type="dxa"/>
          </w:tcPr>
          <w:p w14:paraId="6AF3F505" w14:textId="77777777" w:rsidR="00F51CE5" w:rsidRPr="0067086B" w:rsidRDefault="00F51CE5" w:rsidP="007F0306">
            <w:pPr>
              <w:spacing w:after="0" w:line="260" w:lineRule="exact"/>
              <w:rPr>
                <w:rFonts w:eastAsia="Times New Roman"/>
                <w:b/>
                <w:sz w:val="16"/>
                <w:szCs w:val="16"/>
              </w:rPr>
            </w:pPr>
            <w:commentRangeStart w:id="4"/>
            <w:r w:rsidRPr="0067086B">
              <w:rPr>
                <w:rFonts w:eastAsia="Times New Roman"/>
                <w:b/>
                <w:sz w:val="16"/>
                <w:szCs w:val="16"/>
              </w:rPr>
              <w:t>Podrobnosti o partnerjih in njihovih zmogljivostih za izvajanje operacije</w:t>
            </w:r>
            <w:r w:rsidRPr="0067086B">
              <w:rPr>
                <w:rFonts w:eastAsia="Times New Roman"/>
                <w:sz w:val="16"/>
                <w:szCs w:val="16"/>
              </w:rPr>
              <w:t xml:space="preserve"> </w:t>
            </w:r>
            <w:commentRangeEnd w:id="4"/>
            <w:r w:rsidR="00C96ADB">
              <w:rPr>
                <w:rStyle w:val="Pripombasklic"/>
              </w:rPr>
              <w:commentReference w:id="4"/>
            </w:r>
            <w:r w:rsidRPr="0067086B">
              <w:rPr>
                <w:rFonts w:eastAsia="Times New Roman"/>
                <w:sz w:val="16"/>
                <w:szCs w:val="16"/>
              </w:rPr>
              <w:t xml:space="preserve">(tehnične, finančne in </w:t>
            </w:r>
            <w:commentRangeStart w:id="5"/>
            <w:r w:rsidRPr="0067086B">
              <w:rPr>
                <w:rFonts w:eastAsia="Times New Roman"/>
                <w:sz w:val="16"/>
                <w:szCs w:val="16"/>
              </w:rPr>
              <w:t xml:space="preserve">institucionalne </w:t>
            </w:r>
            <w:commentRangeEnd w:id="5"/>
            <w:r w:rsidR="004F6DB7">
              <w:rPr>
                <w:rStyle w:val="Pripombasklic"/>
              </w:rPr>
              <w:commentReference w:id="5"/>
            </w:r>
            <w:r w:rsidRPr="0067086B">
              <w:rPr>
                <w:rFonts w:eastAsia="Times New Roman"/>
                <w:sz w:val="16"/>
                <w:szCs w:val="16"/>
              </w:rPr>
              <w:t>zmogljivosti)</w:t>
            </w:r>
          </w:p>
        </w:tc>
        <w:tc>
          <w:tcPr>
            <w:tcW w:w="4131" w:type="dxa"/>
          </w:tcPr>
          <w:p w14:paraId="2C0BB88E" w14:textId="77777777" w:rsidR="00F51CE5" w:rsidRPr="0067086B" w:rsidRDefault="00F51CE5" w:rsidP="007F0306">
            <w:pPr>
              <w:spacing w:after="0" w:line="260" w:lineRule="exact"/>
              <w:rPr>
                <w:rFonts w:eastAsia="Times New Roman"/>
                <w:b/>
                <w:sz w:val="16"/>
                <w:szCs w:val="16"/>
              </w:rPr>
            </w:pPr>
          </w:p>
        </w:tc>
      </w:tr>
      <w:tr w:rsidR="00F51CE5" w:rsidRPr="0067086B" w14:paraId="548178F1" w14:textId="77777777" w:rsidTr="007F0306">
        <w:tc>
          <w:tcPr>
            <w:tcW w:w="550" w:type="dxa"/>
          </w:tcPr>
          <w:p w14:paraId="073BCCE6" w14:textId="77777777" w:rsidR="00F51CE5" w:rsidRPr="0067086B" w:rsidRDefault="00F51CE5" w:rsidP="007F0306">
            <w:pPr>
              <w:spacing w:after="0" w:line="260" w:lineRule="exact"/>
              <w:rPr>
                <w:rFonts w:eastAsia="Times New Roman"/>
                <w:b/>
                <w:sz w:val="16"/>
                <w:szCs w:val="16"/>
              </w:rPr>
            </w:pPr>
            <w:r>
              <w:rPr>
                <w:rFonts w:eastAsia="Times New Roman"/>
                <w:b/>
                <w:sz w:val="16"/>
                <w:szCs w:val="16"/>
              </w:rPr>
              <w:t>1</w:t>
            </w:r>
            <w:r w:rsidRPr="0067086B">
              <w:rPr>
                <w:rFonts w:eastAsia="Times New Roman"/>
                <w:b/>
                <w:sz w:val="16"/>
                <w:szCs w:val="16"/>
              </w:rPr>
              <w:t>.5</w:t>
            </w:r>
          </w:p>
        </w:tc>
        <w:tc>
          <w:tcPr>
            <w:tcW w:w="4392" w:type="dxa"/>
          </w:tcPr>
          <w:p w14:paraId="1C305592" w14:textId="77777777"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 xml:space="preserve">Podrobnosti o načinu urejanja medsebojnih razmerij med upravičencem in partnerji za izvajanje operacije </w:t>
            </w:r>
            <w:r w:rsidRPr="0067086B">
              <w:rPr>
                <w:rFonts w:eastAsia="Times New Roman"/>
                <w:sz w:val="16"/>
                <w:szCs w:val="16"/>
              </w:rPr>
              <w:t>(izhajajoč iz npr. pravnih podlag, konzorcijske pogodbe)</w:t>
            </w:r>
          </w:p>
        </w:tc>
        <w:tc>
          <w:tcPr>
            <w:tcW w:w="4131" w:type="dxa"/>
          </w:tcPr>
          <w:p w14:paraId="054F767E" w14:textId="77777777" w:rsidR="00F51CE5" w:rsidRPr="0067086B" w:rsidRDefault="00F51CE5" w:rsidP="007F0306">
            <w:pPr>
              <w:spacing w:after="0" w:line="260" w:lineRule="exact"/>
              <w:rPr>
                <w:rFonts w:eastAsia="Times New Roman"/>
                <w:b/>
                <w:sz w:val="16"/>
                <w:szCs w:val="16"/>
              </w:rPr>
            </w:pPr>
          </w:p>
        </w:tc>
      </w:tr>
    </w:tbl>
    <w:p w14:paraId="0609A619" w14:textId="77777777" w:rsidR="00F51CE5" w:rsidRPr="0067086B" w:rsidRDefault="00F51CE5" w:rsidP="00F51CE5">
      <w:pPr>
        <w:spacing w:after="0" w:line="260" w:lineRule="exact"/>
        <w:rPr>
          <w:rFonts w:eastAsia="Times New Roman" w:cs="Arial"/>
          <w:b/>
          <w:sz w:val="20"/>
          <w:szCs w:val="24"/>
        </w:rPr>
      </w:pPr>
    </w:p>
    <w:p w14:paraId="17264B43" w14:textId="77777777" w:rsidR="00F51CE5" w:rsidRPr="0067086B" w:rsidRDefault="00F51CE5" w:rsidP="00F51CE5">
      <w:pPr>
        <w:numPr>
          <w:ilvl w:val="1"/>
          <w:numId w:val="2"/>
        </w:numPr>
        <w:overflowPunct w:val="0"/>
        <w:autoSpaceDE w:val="0"/>
        <w:autoSpaceDN w:val="0"/>
        <w:adjustRightInd w:val="0"/>
        <w:spacing w:after="0" w:line="240" w:lineRule="auto"/>
        <w:jc w:val="both"/>
        <w:textAlignment w:val="baseline"/>
        <w:rPr>
          <w:b/>
        </w:rPr>
      </w:pPr>
      <w:r w:rsidRPr="0067086B">
        <w:rPr>
          <w:b/>
        </w:rPr>
        <w:t>Utemeljitev predloga operacije</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3201"/>
        <w:gridCol w:w="5325"/>
      </w:tblGrid>
      <w:tr w:rsidR="00B76210" w:rsidRPr="0067086B" w14:paraId="5986784F" w14:textId="77777777" w:rsidTr="007F0306">
        <w:tc>
          <w:tcPr>
            <w:tcW w:w="567" w:type="dxa"/>
          </w:tcPr>
          <w:p w14:paraId="332215FE" w14:textId="77777777" w:rsidR="00B76210" w:rsidRPr="0067086B" w:rsidRDefault="00B76210" w:rsidP="00B76210">
            <w:pPr>
              <w:spacing w:after="0" w:line="260" w:lineRule="exact"/>
              <w:rPr>
                <w:rFonts w:eastAsia="Times New Roman"/>
                <w:b/>
                <w:sz w:val="16"/>
                <w:szCs w:val="16"/>
              </w:rPr>
            </w:pPr>
            <w:r>
              <w:rPr>
                <w:rFonts w:eastAsia="Times New Roman"/>
                <w:b/>
                <w:sz w:val="16"/>
                <w:szCs w:val="16"/>
              </w:rPr>
              <w:t>2</w:t>
            </w:r>
            <w:r w:rsidRPr="0067086B">
              <w:rPr>
                <w:rFonts w:eastAsia="Times New Roman"/>
                <w:b/>
                <w:sz w:val="16"/>
                <w:szCs w:val="16"/>
              </w:rPr>
              <w:t>.1</w:t>
            </w:r>
          </w:p>
        </w:tc>
        <w:tc>
          <w:tcPr>
            <w:tcW w:w="4361" w:type="dxa"/>
          </w:tcPr>
          <w:p w14:paraId="3DB28425" w14:textId="77777777" w:rsidR="00B76210" w:rsidRPr="0067086B" w:rsidRDefault="00B76210" w:rsidP="00B76210">
            <w:pPr>
              <w:spacing w:after="0" w:line="260" w:lineRule="exact"/>
              <w:rPr>
                <w:rFonts w:eastAsia="Times New Roman"/>
                <w:b/>
                <w:sz w:val="16"/>
                <w:szCs w:val="16"/>
              </w:rPr>
            </w:pPr>
            <w:commentRangeStart w:id="6"/>
            <w:r w:rsidRPr="0067086B">
              <w:rPr>
                <w:rFonts w:eastAsia="Times New Roman"/>
                <w:b/>
                <w:sz w:val="16"/>
                <w:szCs w:val="16"/>
              </w:rPr>
              <w:t>Utemeljitev prispevka k prednostni osi</w:t>
            </w:r>
            <w:commentRangeEnd w:id="6"/>
            <w:r>
              <w:rPr>
                <w:rStyle w:val="Pripombasklic"/>
              </w:rPr>
              <w:commentReference w:id="6"/>
            </w:r>
          </w:p>
          <w:p w14:paraId="0484553D" w14:textId="77777777" w:rsidR="00B76210" w:rsidRPr="0067086B" w:rsidRDefault="00B76210" w:rsidP="00B76210">
            <w:pPr>
              <w:spacing w:after="0" w:line="260" w:lineRule="exact"/>
              <w:rPr>
                <w:rFonts w:eastAsia="Times New Roman"/>
                <w:sz w:val="16"/>
                <w:szCs w:val="16"/>
              </w:rPr>
            </w:pPr>
            <w:r w:rsidRPr="0067086B">
              <w:rPr>
                <w:rFonts w:eastAsia="Times New Roman"/>
                <w:sz w:val="16"/>
                <w:szCs w:val="16"/>
              </w:rPr>
              <w:t>(opredelitev problema in prispevka operacije k reševanju problema)</w:t>
            </w:r>
          </w:p>
        </w:tc>
        <w:tc>
          <w:tcPr>
            <w:tcW w:w="4111" w:type="dxa"/>
          </w:tcPr>
          <w:p w14:paraId="63C6B7CF" w14:textId="17804F7B" w:rsidR="00B76210" w:rsidRPr="0067086B" w:rsidRDefault="00B40B6A" w:rsidP="00B76210">
            <w:pPr>
              <w:spacing w:after="0" w:line="260" w:lineRule="exact"/>
              <w:rPr>
                <w:rFonts w:eastAsia="Times New Roman"/>
                <w:b/>
                <w:sz w:val="16"/>
                <w:szCs w:val="16"/>
              </w:rPr>
            </w:pPr>
            <w:r w:rsidRPr="00D14E3A">
              <w:rPr>
                <w:rFonts w:eastAsia="Times New Roman"/>
                <w:sz w:val="16"/>
                <w:szCs w:val="16"/>
              </w:rPr>
              <w:t>10: Znanje, spretnosti in vseživljenjsko učenje za boljšo zaposljivost; prednostna naložba</w:t>
            </w:r>
          </w:p>
        </w:tc>
      </w:tr>
      <w:tr w:rsidR="00B76210" w:rsidRPr="0067086B" w14:paraId="670A3E8A" w14:textId="77777777" w:rsidTr="007F0306">
        <w:tc>
          <w:tcPr>
            <w:tcW w:w="567" w:type="dxa"/>
          </w:tcPr>
          <w:p w14:paraId="16C24F0F" w14:textId="77777777" w:rsidR="00B76210" w:rsidRPr="0067086B" w:rsidRDefault="00B76210" w:rsidP="00B76210">
            <w:pPr>
              <w:spacing w:after="0" w:line="260" w:lineRule="exact"/>
              <w:rPr>
                <w:rFonts w:eastAsia="Times New Roman"/>
                <w:b/>
                <w:sz w:val="16"/>
                <w:szCs w:val="16"/>
              </w:rPr>
            </w:pPr>
            <w:r>
              <w:rPr>
                <w:rFonts w:eastAsia="Times New Roman"/>
                <w:b/>
                <w:sz w:val="16"/>
                <w:szCs w:val="16"/>
              </w:rPr>
              <w:t>2</w:t>
            </w:r>
            <w:r w:rsidRPr="0067086B">
              <w:rPr>
                <w:rFonts w:eastAsia="Times New Roman"/>
                <w:b/>
                <w:sz w:val="16"/>
                <w:szCs w:val="16"/>
              </w:rPr>
              <w:t>.2</w:t>
            </w:r>
          </w:p>
        </w:tc>
        <w:tc>
          <w:tcPr>
            <w:tcW w:w="4361" w:type="dxa"/>
          </w:tcPr>
          <w:p w14:paraId="375FBC8E" w14:textId="77777777" w:rsidR="00B76210" w:rsidRPr="0067086B" w:rsidRDefault="00B76210" w:rsidP="00B76210">
            <w:pPr>
              <w:spacing w:after="0" w:line="260" w:lineRule="exact"/>
              <w:rPr>
                <w:rFonts w:eastAsia="Times New Roman"/>
                <w:b/>
                <w:sz w:val="16"/>
                <w:szCs w:val="16"/>
              </w:rPr>
            </w:pPr>
            <w:commentRangeStart w:id="7"/>
            <w:r w:rsidRPr="0067086B">
              <w:rPr>
                <w:rFonts w:eastAsia="Times New Roman"/>
                <w:b/>
                <w:sz w:val="16"/>
                <w:szCs w:val="16"/>
              </w:rPr>
              <w:t>Utemeljitev prispevka k ciljem prednostne naložbe</w:t>
            </w:r>
            <w:commentRangeEnd w:id="7"/>
            <w:r>
              <w:rPr>
                <w:rStyle w:val="Pripombasklic"/>
              </w:rPr>
              <w:commentReference w:id="7"/>
            </w:r>
          </w:p>
          <w:p w14:paraId="6ED15FB6" w14:textId="77777777" w:rsidR="00B76210" w:rsidRPr="0067086B" w:rsidRDefault="00B76210" w:rsidP="00B76210">
            <w:pPr>
              <w:spacing w:after="0" w:line="260" w:lineRule="exact"/>
              <w:rPr>
                <w:rFonts w:eastAsia="Times New Roman"/>
                <w:b/>
                <w:sz w:val="16"/>
                <w:szCs w:val="16"/>
              </w:rPr>
            </w:pPr>
            <w:r w:rsidRPr="0067086B">
              <w:rPr>
                <w:rFonts w:eastAsia="Times New Roman"/>
                <w:sz w:val="16"/>
                <w:szCs w:val="16"/>
              </w:rPr>
              <w:t>Navede se tudi, ali operacija prispeva k doseganju rezultatov več prednostnih naložb.</w:t>
            </w:r>
          </w:p>
        </w:tc>
        <w:tc>
          <w:tcPr>
            <w:tcW w:w="4111" w:type="dxa"/>
          </w:tcPr>
          <w:p w14:paraId="7151B7EF" w14:textId="3CE4BE27" w:rsidR="00B76210" w:rsidRPr="0067086B" w:rsidRDefault="00B40B6A" w:rsidP="00B76210">
            <w:pPr>
              <w:spacing w:after="0" w:line="260" w:lineRule="exact"/>
              <w:rPr>
                <w:rFonts w:eastAsia="Times New Roman"/>
                <w:b/>
                <w:sz w:val="16"/>
                <w:szCs w:val="16"/>
              </w:rPr>
            </w:pPr>
            <w:r w:rsidRPr="00D14E3A">
              <w:rPr>
                <w:rFonts w:eastAsia="Times New Roman"/>
                <w:sz w:val="16"/>
                <w:szCs w:val="16"/>
              </w:rPr>
              <w:t xml:space="preserve">10.1: </w:t>
            </w:r>
            <w:r w:rsidRPr="00915033">
              <w:rPr>
                <w:rFonts w:eastAsia="Times New Roman"/>
                <w:sz w:val="16"/>
                <w:szCs w:val="16"/>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w:t>
            </w:r>
            <w:r>
              <w:rPr>
                <w:rFonts w:eastAsia="Times New Roman"/>
                <w:sz w:val="16"/>
                <w:szCs w:val="16"/>
              </w:rPr>
              <w:t>jevanjem pridobljenih kompetenc</w:t>
            </w:r>
          </w:p>
        </w:tc>
      </w:tr>
      <w:tr w:rsidR="00B76210" w:rsidRPr="0067086B" w14:paraId="643547B1" w14:textId="77777777" w:rsidTr="007F0306">
        <w:tc>
          <w:tcPr>
            <w:tcW w:w="567" w:type="dxa"/>
          </w:tcPr>
          <w:p w14:paraId="0F0E1192" w14:textId="77777777" w:rsidR="00B76210" w:rsidRPr="0067086B" w:rsidRDefault="00B76210" w:rsidP="00B76210">
            <w:pPr>
              <w:spacing w:after="0" w:line="260" w:lineRule="exact"/>
              <w:rPr>
                <w:rFonts w:eastAsia="Times New Roman"/>
                <w:b/>
                <w:sz w:val="16"/>
                <w:szCs w:val="16"/>
              </w:rPr>
            </w:pPr>
            <w:r>
              <w:rPr>
                <w:rFonts w:eastAsia="Times New Roman"/>
                <w:b/>
                <w:sz w:val="16"/>
                <w:szCs w:val="16"/>
              </w:rPr>
              <w:t>2</w:t>
            </w:r>
            <w:r w:rsidRPr="0067086B">
              <w:rPr>
                <w:rFonts w:eastAsia="Times New Roman"/>
                <w:b/>
                <w:sz w:val="16"/>
                <w:szCs w:val="16"/>
              </w:rPr>
              <w:t>.3</w:t>
            </w:r>
          </w:p>
        </w:tc>
        <w:tc>
          <w:tcPr>
            <w:tcW w:w="4361" w:type="dxa"/>
          </w:tcPr>
          <w:p w14:paraId="29C4D4EC" w14:textId="77777777" w:rsidR="00B76210" w:rsidRPr="0067086B" w:rsidRDefault="00B76210" w:rsidP="00B76210">
            <w:pPr>
              <w:spacing w:after="0" w:line="260" w:lineRule="exact"/>
              <w:rPr>
                <w:rFonts w:eastAsia="Times New Roman"/>
                <w:b/>
                <w:sz w:val="16"/>
                <w:szCs w:val="16"/>
              </w:rPr>
            </w:pPr>
            <w:commentRangeStart w:id="8"/>
            <w:r w:rsidRPr="0067086B">
              <w:rPr>
                <w:rFonts w:eastAsia="Times New Roman"/>
                <w:b/>
                <w:sz w:val="16"/>
                <w:szCs w:val="16"/>
              </w:rPr>
              <w:t>Utemeljitev prispevka k specifičnemu cilju</w:t>
            </w:r>
            <w:commentRangeEnd w:id="8"/>
            <w:r>
              <w:rPr>
                <w:rStyle w:val="Pripombasklic"/>
              </w:rPr>
              <w:commentReference w:id="8"/>
            </w:r>
          </w:p>
          <w:p w14:paraId="7F293520" w14:textId="77777777" w:rsidR="00B76210" w:rsidRPr="0067086B" w:rsidRDefault="00B76210" w:rsidP="00B76210">
            <w:pPr>
              <w:spacing w:after="0" w:line="260" w:lineRule="exact"/>
              <w:rPr>
                <w:rFonts w:eastAsia="Times New Roman"/>
                <w:sz w:val="16"/>
                <w:szCs w:val="16"/>
              </w:rPr>
            </w:pPr>
            <w:r w:rsidRPr="0067086B">
              <w:rPr>
                <w:rFonts w:eastAsia="Times New Roman"/>
                <w:sz w:val="16"/>
                <w:szCs w:val="16"/>
              </w:rPr>
              <w:t>Navede se konkreten prispevek k rezultatu specifičnega cilja, navedenem v OP. Prav tako se navede, če program, ki ga izvaja upravičenec, prispeva k doseganju rezultatov več specifičnih ciljev in katerih.</w:t>
            </w:r>
          </w:p>
        </w:tc>
        <w:tc>
          <w:tcPr>
            <w:tcW w:w="4111" w:type="dxa"/>
          </w:tcPr>
          <w:p w14:paraId="30B17845" w14:textId="0ED0C3BA" w:rsidR="00B76210" w:rsidRDefault="00F43BD8" w:rsidP="00B76210">
            <w:pPr>
              <w:spacing w:after="0" w:line="260" w:lineRule="exact"/>
              <w:rPr>
                <w:rFonts w:eastAsia="Times New Roman"/>
                <w:b/>
                <w:sz w:val="16"/>
                <w:szCs w:val="16"/>
              </w:rPr>
            </w:pPr>
            <w:r w:rsidRPr="00D14E3A">
              <w:rPr>
                <w:rFonts w:eastAsia="Times New Roman"/>
                <w:sz w:val="16"/>
                <w:szCs w:val="16"/>
              </w:rPr>
              <w:t>Specifični cilj 3: Spodbujanje prožnih oblik učenja ter podpora kakovostni karierni orientaciji za šolajočo se mladino na vseh ravneh izobraževalnega sistema</w:t>
            </w:r>
          </w:p>
          <w:p w14:paraId="235FBAF9" w14:textId="77777777" w:rsidR="00FF2E00" w:rsidRDefault="00FF2E00" w:rsidP="00B76210">
            <w:pPr>
              <w:spacing w:after="0" w:line="260" w:lineRule="exact"/>
              <w:rPr>
                <w:rFonts w:eastAsia="Times New Roman"/>
                <w:b/>
                <w:sz w:val="16"/>
                <w:szCs w:val="16"/>
              </w:rPr>
            </w:pPr>
          </w:p>
          <w:tbl>
            <w:tblPr>
              <w:tblW w:w="4913" w:type="dxa"/>
              <w:tblInd w:w="85" w:type="dxa"/>
              <w:shd w:val="clear" w:color="auto" w:fill="FFFFFF"/>
              <w:tblCellMar>
                <w:left w:w="70" w:type="dxa"/>
                <w:right w:w="70" w:type="dxa"/>
              </w:tblCellMar>
              <w:tblLook w:val="04A0" w:firstRow="1" w:lastRow="0" w:firstColumn="1" w:lastColumn="0" w:noHBand="0" w:noVBand="1"/>
            </w:tblPr>
            <w:tblGrid>
              <w:gridCol w:w="416"/>
              <w:gridCol w:w="1129"/>
              <w:gridCol w:w="190"/>
              <w:gridCol w:w="190"/>
              <w:gridCol w:w="190"/>
              <w:gridCol w:w="190"/>
              <w:gridCol w:w="479"/>
              <w:gridCol w:w="190"/>
              <w:gridCol w:w="309"/>
              <w:gridCol w:w="291"/>
              <w:gridCol w:w="445"/>
              <w:gridCol w:w="190"/>
              <w:gridCol w:w="625"/>
              <w:gridCol w:w="160"/>
            </w:tblGrid>
            <w:tr w:rsidR="00FF2E00" w:rsidRPr="000211AB" w14:paraId="50AE06A1" w14:textId="77777777" w:rsidTr="004C0B02">
              <w:trPr>
                <w:trHeight w:val="499"/>
              </w:trPr>
              <w:tc>
                <w:tcPr>
                  <w:tcW w:w="416"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14:paraId="2A949602" w14:textId="77777777" w:rsidR="00FF2E00" w:rsidRPr="000211AB" w:rsidRDefault="00FF2E00" w:rsidP="00FF2E00">
                  <w:pPr>
                    <w:jc w:val="center"/>
                    <w:rPr>
                      <w:b/>
                      <w:bCs/>
                      <w:i/>
                      <w:color w:val="000000"/>
                      <w:sz w:val="12"/>
                      <w:szCs w:val="28"/>
                    </w:rPr>
                  </w:pPr>
                  <w:r w:rsidRPr="000211AB">
                    <w:rPr>
                      <w:b/>
                      <w:bCs/>
                      <w:i/>
                      <w:color w:val="000000"/>
                      <w:sz w:val="12"/>
                      <w:szCs w:val="28"/>
                    </w:rPr>
                    <w:t>ID</w:t>
                  </w:r>
                </w:p>
              </w:tc>
              <w:tc>
                <w:tcPr>
                  <w:tcW w:w="1889" w:type="dxa"/>
                  <w:gridSpan w:val="5"/>
                  <w:tcBorders>
                    <w:top w:val="single" w:sz="12" w:space="0" w:color="auto"/>
                    <w:left w:val="nil"/>
                    <w:bottom w:val="single" w:sz="12" w:space="0" w:color="auto"/>
                    <w:right w:val="single" w:sz="4" w:space="0" w:color="000000"/>
                  </w:tcBorders>
                  <w:shd w:val="clear" w:color="auto" w:fill="FFFFFF"/>
                  <w:noWrap/>
                  <w:vAlign w:val="center"/>
                  <w:hideMark/>
                </w:tcPr>
                <w:p w14:paraId="214BA35E" w14:textId="77777777" w:rsidR="00FF2E00" w:rsidRPr="000211AB" w:rsidRDefault="00FF2E00" w:rsidP="00FF2E00">
                  <w:pPr>
                    <w:jc w:val="center"/>
                    <w:rPr>
                      <w:b/>
                      <w:bCs/>
                      <w:i/>
                      <w:color w:val="000000"/>
                      <w:sz w:val="12"/>
                      <w:szCs w:val="28"/>
                    </w:rPr>
                  </w:pPr>
                  <w:r w:rsidRPr="000211AB">
                    <w:rPr>
                      <w:b/>
                      <w:bCs/>
                      <w:i/>
                      <w:color w:val="000000"/>
                      <w:sz w:val="12"/>
                      <w:szCs w:val="28"/>
                    </w:rPr>
                    <w:t>Kazalnik</w:t>
                  </w:r>
                </w:p>
              </w:tc>
              <w:tc>
                <w:tcPr>
                  <w:tcW w:w="669" w:type="dxa"/>
                  <w:gridSpan w:val="2"/>
                  <w:tcBorders>
                    <w:top w:val="single" w:sz="12" w:space="0" w:color="auto"/>
                    <w:left w:val="nil"/>
                    <w:bottom w:val="single" w:sz="12" w:space="0" w:color="auto"/>
                    <w:right w:val="single" w:sz="4" w:space="0" w:color="000000"/>
                  </w:tcBorders>
                  <w:shd w:val="clear" w:color="auto" w:fill="FFFFFF"/>
                  <w:noWrap/>
                  <w:vAlign w:val="center"/>
                  <w:hideMark/>
                </w:tcPr>
                <w:p w14:paraId="6DC7226A" w14:textId="77777777" w:rsidR="00FF2E00" w:rsidRPr="000211AB" w:rsidRDefault="00FF2E00" w:rsidP="00FF2E00">
                  <w:pPr>
                    <w:jc w:val="center"/>
                    <w:rPr>
                      <w:b/>
                      <w:bCs/>
                      <w:i/>
                      <w:color w:val="000000"/>
                      <w:sz w:val="12"/>
                      <w:szCs w:val="28"/>
                    </w:rPr>
                  </w:pPr>
                  <w:r w:rsidRPr="000211AB">
                    <w:rPr>
                      <w:b/>
                      <w:bCs/>
                      <w:i/>
                      <w:color w:val="000000"/>
                      <w:sz w:val="12"/>
                      <w:szCs w:val="28"/>
                    </w:rPr>
                    <w:t>Merska enota</w:t>
                  </w:r>
                </w:p>
              </w:tc>
              <w:tc>
                <w:tcPr>
                  <w:tcW w:w="600" w:type="dxa"/>
                  <w:gridSpan w:val="2"/>
                  <w:tcBorders>
                    <w:top w:val="single" w:sz="12" w:space="0" w:color="auto"/>
                    <w:left w:val="nil"/>
                    <w:bottom w:val="single" w:sz="12" w:space="0" w:color="auto"/>
                    <w:right w:val="single" w:sz="4" w:space="0" w:color="auto"/>
                  </w:tcBorders>
                  <w:shd w:val="clear" w:color="auto" w:fill="FFFFFF"/>
                  <w:noWrap/>
                  <w:vAlign w:val="center"/>
                  <w:hideMark/>
                </w:tcPr>
                <w:p w14:paraId="0B803179" w14:textId="77777777" w:rsidR="00FF2E00" w:rsidRPr="000211AB" w:rsidRDefault="00FF2E00" w:rsidP="00FF2E00">
                  <w:pPr>
                    <w:jc w:val="center"/>
                    <w:rPr>
                      <w:b/>
                      <w:bCs/>
                      <w:i/>
                      <w:color w:val="000000"/>
                      <w:sz w:val="12"/>
                      <w:szCs w:val="28"/>
                    </w:rPr>
                  </w:pPr>
                  <w:r w:rsidRPr="000211AB">
                    <w:rPr>
                      <w:b/>
                      <w:bCs/>
                      <w:i/>
                      <w:color w:val="000000"/>
                      <w:sz w:val="12"/>
                      <w:szCs w:val="28"/>
                    </w:rPr>
                    <w:t>Sklad</w:t>
                  </w:r>
                </w:p>
              </w:tc>
              <w:tc>
                <w:tcPr>
                  <w:tcW w:w="635" w:type="dxa"/>
                  <w:gridSpan w:val="2"/>
                  <w:tcBorders>
                    <w:top w:val="single" w:sz="12" w:space="0" w:color="auto"/>
                    <w:left w:val="nil"/>
                    <w:bottom w:val="single" w:sz="12" w:space="0" w:color="auto"/>
                    <w:right w:val="single" w:sz="4" w:space="0" w:color="auto"/>
                  </w:tcBorders>
                  <w:shd w:val="clear" w:color="auto" w:fill="FFFFFF"/>
                  <w:noWrap/>
                  <w:vAlign w:val="center"/>
                  <w:hideMark/>
                </w:tcPr>
                <w:p w14:paraId="4FF6B743" w14:textId="77777777" w:rsidR="00FF2E00" w:rsidRPr="000211AB" w:rsidRDefault="00FF2E00" w:rsidP="00FF2E00">
                  <w:pPr>
                    <w:jc w:val="center"/>
                    <w:rPr>
                      <w:b/>
                      <w:bCs/>
                      <w:i/>
                      <w:color w:val="000000"/>
                      <w:sz w:val="12"/>
                      <w:szCs w:val="28"/>
                    </w:rPr>
                  </w:pPr>
                  <w:r w:rsidRPr="000211AB">
                    <w:rPr>
                      <w:b/>
                      <w:bCs/>
                      <w:i/>
                      <w:color w:val="000000"/>
                      <w:sz w:val="12"/>
                      <w:szCs w:val="28"/>
                    </w:rPr>
                    <w:t>Regija</w:t>
                  </w:r>
                </w:p>
              </w:tc>
              <w:tc>
                <w:tcPr>
                  <w:tcW w:w="704" w:type="dxa"/>
                  <w:gridSpan w:val="2"/>
                  <w:tcBorders>
                    <w:top w:val="single" w:sz="12" w:space="0" w:color="auto"/>
                    <w:left w:val="nil"/>
                    <w:bottom w:val="single" w:sz="12" w:space="0" w:color="auto"/>
                    <w:right w:val="single" w:sz="12" w:space="0" w:color="000000"/>
                  </w:tcBorders>
                  <w:shd w:val="clear" w:color="auto" w:fill="FFFFFF"/>
                  <w:noWrap/>
                  <w:vAlign w:val="center"/>
                  <w:hideMark/>
                </w:tcPr>
                <w:p w14:paraId="46E16A0B" w14:textId="77777777" w:rsidR="00FF2E00" w:rsidRPr="000211AB" w:rsidRDefault="00FF2E00" w:rsidP="00FF2E00">
                  <w:pPr>
                    <w:jc w:val="center"/>
                    <w:rPr>
                      <w:b/>
                      <w:bCs/>
                      <w:i/>
                      <w:color w:val="000000"/>
                      <w:sz w:val="12"/>
                      <w:szCs w:val="28"/>
                    </w:rPr>
                  </w:pPr>
                  <w:r w:rsidRPr="000211AB">
                    <w:rPr>
                      <w:b/>
                      <w:bCs/>
                      <w:i/>
                      <w:color w:val="000000"/>
                      <w:sz w:val="12"/>
                      <w:szCs w:val="28"/>
                    </w:rPr>
                    <w:t>Ciljna Vrednost</w:t>
                  </w:r>
                </w:p>
              </w:tc>
            </w:tr>
            <w:tr w:rsidR="00FF2E00" w:rsidRPr="000211AB" w14:paraId="3F57ED0D" w14:textId="77777777" w:rsidTr="004C0B02">
              <w:trPr>
                <w:trHeight w:val="402"/>
              </w:trPr>
              <w:tc>
                <w:tcPr>
                  <w:tcW w:w="416" w:type="dxa"/>
                  <w:tcBorders>
                    <w:top w:val="nil"/>
                    <w:left w:val="single" w:sz="12" w:space="0" w:color="auto"/>
                    <w:bottom w:val="single" w:sz="4" w:space="0" w:color="auto"/>
                    <w:right w:val="nil"/>
                  </w:tcBorders>
                  <w:shd w:val="clear" w:color="auto" w:fill="FFFFFF"/>
                  <w:noWrap/>
                  <w:vAlign w:val="bottom"/>
                  <w:hideMark/>
                </w:tcPr>
                <w:p w14:paraId="3F413823" w14:textId="77777777" w:rsidR="00FF2E00" w:rsidRPr="000211AB" w:rsidRDefault="00FF2E00" w:rsidP="00FF2E00">
                  <w:pPr>
                    <w:rPr>
                      <w:b/>
                      <w:bCs/>
                      <w:i/>
                      <w:color w:val="000000"/>
                      <w:sz w:val="12"/>
                    </w:rPr>
                  </w:pPr>
                  <w:r w:rsidRPr="000211AB">
                    <w:rPr>
                      <w:b/>
                      <w:bCs/>
                      <w:i/>
                      <w:color w:val="000000"/>
                      <w:sz w:val="12"/>
                    </w:rPr>
                    <w:t>10.12</w:t>
                  </w:r>
                </w:p>
              </w:tc>
              <w:tc>
                <w:tcPr>
                  <w:tcW w:w="1129" w:type="dxa"/>
                  <w:tcBorders>
                    <w:top w:val="single" w:sz="12" w:space="0" w:color="auto"/>
                    <w:left w:val="single" w:sz="4" w:space="0" w:color="auto"/>
                    <w:bottom w:val="single" w:sz="4" w:space="0" w:color="auto"/>
                    <w:right w:val="nil"/>
                  </w:tcBorders>
                  <w:shd w:val="clear" w:color="auto" w:fill="FFFFFF"/>
                  <w:noWrap/>
                  <w:vAlign w:val="center"/>
                  <w:hideMark/>
                </w:tcPr>
                <w:p w14:paraId="441374E6" w14:textId="77777777" w:rsidR="00FF2E00" w:rsidRPr="000211AB" w:rsidRDefault="00FF2E00" w:rsidP="00FF2E00">
                  <w:pPr>
                    <w:rPr>
                      <w:b/>
                      <w:bCs/>
                      <w:i/>
                      <w:color w:val="000000"/>
                      <w:sz w:val="12"/>
                    </w:rPr>
                  </w:pPr>
                  <w:r w:rsidRPr="000211AB">
                    <w:rPr>
                      <w:b/>
                      <w:bCs/>
                      <w:i/>
                      <w:color w:val="000000"/>
                      <w:sz w:val="12"/>
                    </w:rPr>
                    <w:t>Število visokošolskih zavodov, vključenih v projekte</w:t>
                  </w:r>
                </w:p>
              </w:tc>
              <w:tc>
                <w:tcPr>
                  <w:tcW w:w="190" w:type="dxa"/>
                  <w:tcBorders>
                    <w:top w:val="nil"/>
                    <w:left w:val="nil"/>
                    <w:bottom w:val="single" w:sz="4" w:space="0" w:color="auto"/>
                    <w:right w:val="nil"/>
                  </w:tcBorders>
                  <w:shd w:val="clear" w:color="auto" w:fill="FFFFFF"/>
                  <w:noWrap/>
                  <w:vAlign w:val="center"/>
                  <w:hideMark/>
                </w:tcPr>
                <w:p w14:paraId="397881C2" w14:textId="77777777" w:rsidR="00FF2E00" w:rsidRPr="000211AB" w:rsidRDefault="00FF2E00" w:rsidP="00FF2E00">
                  <w:pPr>
                    <w:rPr>
                      <w:b/>
                      <w:bCs/>
                      <w:i/>
                      <w:color w:val="000000"/>
                      <w:sz w:val="12"/>
                    </w:rPr>
                  </w:pPr>
                  <w:r w:rsidRPr="000211AB">
                    <w:rPr>
                      <w:b/>
                      <w:bCs/>
                      <w:i/>
                      <w:color w:val="000000"/>
                      <w:sz w:val="12"/>
                    </w:rPr>
                    <w:t> </w:t>
                  </w:r>
                </w:p>
              </w:tc>
              <w:tc>
                <w:tcPr>
                  <w:tcW w:w="190" w:type="dxa"/>
                  <w:tcBorders>
                    <w:top w:val="nil"/>
                    <w:left w:val="nil"/>
                    <w:bottom w:val="single" w:sz="4" w:space="0" w:color="auto"/>
                    <w:right w:val="nil"/>
                  </w:tcBorders>
                  <w:shd w:val="clear" w:color="auto" w:fill="FFFFFF"/>
                  <w:noWrap/>
                  <w:vAlign w:val="center"/>
                  <w:hideMark/>
                </w:tcPr>
                <w:p w14:paraId="5F16C006" w14:textId="77777777" w:rsidR="00FF2E00" w:rsidRPr="000211AB" w:rsidRDefault="00FF2E00" w:rsidP="00FF2E00">
                  <w:pPr>
                    <w:rPr>
                      <w:b/>
                      <w:bCs/>
                      <w:i/>
                      <w:color w:val="000000"/>
                      <w:sz w:val="12"/>
                    </w:rPr>
                  </w:pPr>
                  <w:r w:rsidRPr="000211AB">
                    <w:rPr>
                      <w:b/>
                      <w:bCs/>
                      <w:i/>
                      <w:color w:val="000000"/>
                      <w:sz w:val="12"/>
                    </w:rPr>
                    <w:t> </w:t>
                  </w:r>
                </w:p>
              </w:tc>
              <w:tc>
                <w:tcPr>
                  <w:tcW w:w="190" w:type="dxa"/>
                  <w:tcBorders>
                    <w:top w:val="nil"/>
                    <w:left w:val="nil"/>
                    <w:bottom w:val="single" w:sz="4" w:space="0" w:color="auto"/>
                    <w:right w:val="nil"/>
                  </w:tcBorders>
                  <w:shd w:val="clear" w:color="auto" w:fill="FFFFFF"/>
                  <w:noWrap/>
                  <w:vAlign w:val="center"/>
                  <w:hideMark/>
                </w:tcPr>
                <w:p w14:paraId="06D18A23" w14:textId="77777777" w:rsidR="00FF2E00" w:rsidRPr="000211AB" w:rsidRDefault="00FF2E00" w:rsidP="00FF2E00">
                  <w:pPr>
                    <w:rPr>
                      <w:b/>
                      <w:bCs/>
                      <w:i/>
                      <w:color w:val="000000"/>
                      <w:sz w:val="12"/>
                    </w:rPr>
                  </w:pPr>
                  <w:r w:rsidRPr="000211AB">
                    <w:rPr>
                      <w:b/>
                      <w:bCs/>
                      <w:i/>
                      <w:color w:val="000000"/>
                      <w:sz w:val="12"/>
                    </w:rPr>
                    <w:t> </w:t>
                  </w:r>
                </w:p>
              </w:tc>
              <w:tc>
                <w:tcPr>
                  <w:tcW w:w="190" w:type="dxa"/>
                  <w:tcBorders>
                    <w:top w:val="nil"/>
                    <w:left w:val="nil"/>
                    <w:bottom w:val="single" w:sz="4" w:space="0" w:color="auto"/>
                    <w:right w:val="single" w:sz="4" w:space="0" w:color="auto"/>
                  </w:tcBorders>
                  <w:shd w:val="clear" w:color="auto" w:fill="FFFFFF"/>
                  <w:noWrap/>
                  <w:vAlign w:val="center"/>
                  <w:hideMark/>
                </w:tcPr>
                <w:p w14:paraId="2FAD2008" w14:textId="77777777" w:rsidR="00FF2E00" w:rsidRPr="000211AB" w:rsidRDefault="00FF2E00" w:rsidP="00FF2E00">
                  <w:pPr>
                    <w:rPr>
                      <w:b/>
                      <w:bCs/>
                      <w:i/>
                      <w:color w:val="000000"/>
                      <w:sz w:val="12"/>
                    </w:rPr>
                  </w:pPr>
                  <w:r w:rsidRPr="000211AB">
                    <w:rPr>
                      <w:b/>
                      <w:bCs/>
                      <w:i/>
                      <w:color w:val="000000"/>
                      <w:sz w:val="12"/>
                    </w:rPr>
                    <w:t> </w:t>
                  </w:r>
                </w:p>
              </w:tc>
              <w:tc>
                <w:tcPr>
                  <w:tcW w:w="479" w:type="dxa"/>
                  <w:tcBorders>
                    <w:top w:val="nil"/>
                    <w:left w:val="nil"/>
                    <w:bottom w:val="single" w:sz="4" w:space="0" w:color="auto"/>
                    <w:right w:val="nil"/>
                  </w:tcBorders>
                  <w:shd w:val="clear" w:color="auto" w:fill="FFFFFF"/>
                  <w:noWrap/>
                  <w:vAlign w:val="center"/>
                  <w:hideMark/>
                </w:tcPr>
                <w:p w14:paraId="1FB2990B" w14:textId="77777777" w:rsidR="00FF2E00" w:rsidRPr="000211AB" w:rsidRDefault="00FF2E00" w:rsidP="00FF2E00">
                  <w:pPr>
                    <w:rPr>
                      <w:b/>
                      <w:bCs/>
                      <w:i/>
                      <w:color w:val="000000"/>
                      <w:sz w:val="12"/>
                    </w:rPr>
                  </w:pPr>
                  <w:r w:rsidRPr="000211AB">
                    <w:rPr>
                      <w:b/>
                      <w:bCs/>
                      <w:i/>
                      <w:color w:val="000000"/>
                      <w:sz w:val="12"/>
                    </w:rPr>
                    <w:t>Število</w:t>
                  </w:r>
                </w:p>
              </w:tc>
              <w:tc>
                <w:tcPr>
                  <w:tcW w:w="190" w:type="dxa"/>
                  <w:tcBorders>
                    <w:top w:val="nil"/>
                    <w:left w:val="nil"/>
                    <w:bottom w:val="single" w:sz="4" w:space="0" w:color="auto"/>
                    <w:right w:val="single" w:sz="4" w:space="0" w:color="auto"/>
                  </w:tcBorders>
                  <w:shd w:val="clear" w:color="auto" w:fill="FFFFFF"/>
                  <w:noWrap/>
                  <w:vAlign w:val="center"/>
                  <w:hideMark/>
                </w:tcPr>
                <w:p w14:paraId="21A5EF13" w14:textId="77777777" w:rsidR="00FF2E00" w:rsidRPr="000211AB" w:rsidRDefault="00FF2E00" w:rsidP="00FF2E00">
                  <w:pPr>
                    <w:rPr>
                      <w:b/>
                      <w:bCs/>
                      <w:i/>
                      <w:color w:val="000000"/>
                      <w:sz w:val="12"/>
                    </w:rPr>
                  </w:pPr>
                  <w:r w:rsidRPr="000211AB">
                    <w:rPr>
                      <w:b/>
                      <w:bCs/>
                      <w:i/>
                      <w:color w:val="000000"/>
                      <w:sz w:val="12"/>
                    </w:rPr>
                    <w:t> </w:t>
                  </w:r>
                </w:p>
              </w:tc>
              <w:tc>
                <w:tcPr>
                  <w:tcW w:w="309" w:type="dxa"/>
                  <w:tcBorders>
                    <w:top w:val="nil"/>
                    <w:left w:val="nil"/>
                    <w:bottom w:val="single" w:sz="4" w:space="0" w:color="auto"/>
                    <w:right w:val="nil"/>
                  </w:tcBorders>
                  <w:shd w:val="clear" w:color="auto" w:fill="FFFFFF"/>
                  <w:noWrap/>
                  <w:vAlign w:val="center"/>
                  <w:hideMark/>
                </w:tcPr>
                <w:p w14:paraId="75D16897" w14:textId="77777777" w:rsidR="00FF2E00" w:rsidRPr="000211AB" w:rsidRDefault="00FF2E00" w:rsidP="00FF2E00">
                  <w:pPr>
                    <w:rPr>
                      <w:i/>
                      <w:color w:val="000000"/>
                      <w:sz w:val="12"/>
                    </w:rPr>
                  </w:pPr>
                  <w:r w:rsidRPr="000211AB">
                    <w:rPr>
                      <w:i/>
                      <w:color w:val="000000"/>
                      <w:sz w:val="12"/>
                    </w:rPr>
                    <w:t>ESS</w:t>
                  </w:r>
                </w:p>
              </w:tc>
              <w:tc>
                <w:tcPr>
                  <w:tcW w:w="291" w:type="dxa"/>
                  <w:tcBorders>
                    <w:top w:val="nil"/>
                    <w:left w:val="nil"/>
                    <w:bottom w:val="single" w:sz="4" w:space="0" w:color="auto"/>
                    <w:right w:val="single" w:sz="4" w:space="0" w:color="auto"/>
                  </w:tcBorders>
                  <w:shd w:val="clear" w:color="auto" w:fill="FFFFFF"/>
                  <w:noWrap/>
                  <w:vAlign w:val="center"/>
                  <w:hideMark/>
                </w:tcPr>
                <w:p w14:paraId="7DA66E00" w14:textId="77777777" w:rsidR="00FF2E00" w:rsidRPr="000211AB" w:rsidRDefault="00FF2E00" w:rsidP="00FF2E00">
                  <w:pPr>
                    <w:rPr>
                      <w:i/>
                      <w:color w:val="000000"/>
                      <w:sz w:val="12"/>
                    </w:rPr>
                  </w:pPr>
                  <w:r w:rsidRPr="000211AB">
                    <w:rPr>
                      <w:i/>
                      <w:color w:val="000000"/>
                      <w:sz w:val="12"/>
                    </w:rPr>
                    <w:t> </w:t>
                  </w:r>
                </w:p>
              </w:tc>
              <w:tc>
                <w:tcPr>
                  <w:tcW w:w="445" w:type="dxa"/>
                  <w:tcBorders>
                    <w:top w:val="nil"/>
                    <w:left w:val="nil"/>
                    <w:bottom w:val="single" w:sz="4" w:space="0" w:color="auto"/>
                    <w:right w:val="nil"/>
                  </w:tcBorders>
                  <w:shd w:val="clear" w:color="auto" w:fill="FFFFFF"/>
                  <w:noWrap/>
                  <w:vAlign w:val="center"/>
                  <w:hideMark/>
                </w:tcPr>
                <w:p w14:paraId="74D6EDA8" w14:textId="77777777" w:rsidR="00FF2E00" w:rsidRPr="000211AB" w:rsidRDefault="00FF2E00" w:rsidP="00FF2E00">
                  <w:pPr>
                    <w:rPr>
                      <w:i/>
                      <w:color w:val="000000"/>
                      <w:sz w:val="12"/>
                    </w:rPr>
                  </w:pPr>
                  <w:r w:rsidRPr="000211AB">
                    <w:rPr>
                      <w:i/>
                      <w:color w:val="000000"/>
                      <w:sz w:val="12"/>
                    </w:rPr>
                    <w:t>Vzhod</w:t>
                  </w:r>
                </w:p>
              </w:tc>
              <w:tc>
                <w:tcPr>
                  <w:tcW w:w="190" w:type="dxa"/>
                  <w:tcBorders>
                    <w:top w:val="nil"/>
                    <w:left w:val="nil"/>
                    <w:bottom w:val="single" w:sz="4" w:space="0" w:color="auto"/>
                    <w:right w:val="single" w:sz="4" w:space="0" w:color="auto"/>
                  </w:tcBorders>
                  <w:shd w:val="clear" w:color="auto" w:fill="FFFFFF"/>
                  <w:noWrap/>
                  <w:vAlign w:val="center"/>
                  <w:hideMark/>
                </w:tcPr>
                <w:p w14:paraId="74684961" w14:textId="77777777" w:rsidR="00FF2E00" w:rsidRPr="000211AB" w:rsidRDefault="00FF2E00" w:rsidP="00FF2E00">
                  <w:pPr>
                    <w:rPr>
                      <w:i/>
                      <w:color w:val="000000"/>
                      <w:sz w:val="12"/>
                    </w:rPr>
                  </w:pPr>
                  <w:r w:rsidRPr="000211AB">
                    <w:rPr>
                      <w:i/>
                      <w:color w:val="000000"/>
                      <w:sz w:val="12"/>
                    </w:rPr>
                    <w:t> </w:t>
                  </w:r>
                </w:p>
              </w:tc>
              <w:tc>
                <w:tcPr>
                  <w:tcW w:w="544" w:type="dxa"/>
                  <w:tcBorders>
                    <w:top w:val="nil"/>
                    <w:left w:val="nil"/>
                    <w:bottom w:val="single" w:sz="4" w:space="0" w:color="auto"/>
                    <w:right w:val="nil"/>
                  </w:tcBorders>
                  <w:shd w:val="clear" w:color="auto" w:fill="FFFFFF"/>
                  <w:noWrap/>
                  <w:vAlign w:val="center"/>
                </w:tcPr>
                <w:p w14:paraId="5FD3F81C" w14:textId="77777777" w:rsidR="00FF2E00" w:rsidRPr="000211AB" w:rsidRDefault="00FF2E00" w:rsidP="00FF2E00">
                  <w:pPr>
                    <w:jc w:val="right"/>
                    <w:rPr>
                      <w:i/>
                      <w:color w:val="000000"/>
                      <w:sz w:val="12"/>
                    </w:rPr>
                  </w:pPr>
                </w:p>
              </w:tc>
              <w:tc>
                <w:tcPr>
                  <w:tcW w:w="160" w:type="dxa"/>
                  <w:tcBorders>
                    <w:top w:val="nil"/>
                    <w:left w:val="nil"/>
                    <w:bottom w:val="single" w:sz="4" w:space="0" w:color="auto"/>
                    <w:right w:val="single" w:sz="12" w:space="0" w:color="auto"/>
                  </w:tcBorders>
                  <w:shd w:val="clear" w:color="auto" w:fill="FFFFFF"/>
                  <w:noWrap/>
                  <w:vAlign w:val="center"/>
                </w:tcPr>
                <w:p w14:paraId="61E23D56" w14:textId="77777777" w:rsidR="00FF2E00" w:rsidRPr="000211AB" w:rsidRDefault="00FF2E00" w:rsidP="00FF2E00">
                  <w:pPr>
                    <w:rPr>
                      <w:i/>
                      <w:color w:val="000000"/>
                      <w:sz w:val="12"/>
                    </w:rPr>
                  </w:pPr>
                </w:p>
              </w:tc>
            </w:tr>
            <w:tr w:rsidR="00FF2E00" w:rsidRPr="000211AB" w14:paraId="559835B3" w14:textId="77777777" w:rsidTr="004C0B02">
              <w:trPr>
                <w:trHeight w:val="402"/>
              </w:trPr>
              <w:tc>
                <w:tcPr>
                  <w:tcW w:w="416" w:type="dxa"/>
                  <w:tcBorders>
                    <w:top w:val="single" w:sz="12" w:space="0" w:color="auto"/>
                    <w:left w:val="single" w:sz="12" w:space="0" w:color="auto"/>
                    <w:bottom w:val="single" w:sz="4" w:space="0" w:color="auto"/>
                    <w:right w:val="nil"/>
                  </w:tcBorders>
                  <w:shd w:val="clear" w:color="auto" w:fill="FFFFFF"/>
                  <w:noWrap/>
                  <w:vAlign w:val="bottom"/>
                  <w:hideMark/>
                </w:tcPr>
                <w:p w14:paraId="2B2DD946" w14:textId="77777777" w:rsidR="00FF2E00" w:rsidRPr="000211AB" w:rsidRDefault="00FF2E00" w:rsidP="00FF2E00">
                  <w:pPr>
                    <w:rPr>
                      <w:b/>
                      <w:bCs/>
                      <w:i/>
                      <w:color w:val="000000"/>
                      <w:sz w:val="12"/>
                    </w:rPr>
                  </w:pPr>
                  <w:commentRangeStart w:id="9"/>
                  <w:r w:rsidRPr="000211AB">
                    <w:rPr>
                      <w:b/>
                      <w:bCs/>
                      <w:i/>
                      <w:color w:val="000000"/>
                      <w:sz w:val="12"/>
                    </w:rPr>
                    <w:t>10.12</w:t>
                  </w:r>
                </w:p>
              </w:tc>
              <w:tc>
                <w:tcPr>
                  <w:tcW w:w="1129" w:type="dxa"/>
                  <w:tcBorders>
                    <w:top w:val="single" w:sz="4" w:space="0" w:color="auto"/>
                    <w:left w:val="single" w:sz="4" w:space="0" w:color="auto"/>
                    <w:bottom w:val="single" w:sz="4" w:space="0" w:color="auto"/>
                    <w:right w:val="nil"/>
                  </w:tcBorders>
                  <w:shd w:val="clear" w:color="auto" w:fill="FFFFFF"/>
                  <w:noWrap/>
                  <w:vAlign w:val="center"/>
                  <w:hideMark/>
                </w:tcPr>
                <w:p w14:paraId="18F52C32" w14:textId="77777777" w:rsidR="00FF2E00" w:rsidRPr="000211AB" w:rsidRDefault="00FF2E00" w:rsidP="00FF2E00">
                  <w:pPr>
                    <w:rPr>
                      <w:b/>
                      <w:bCs/>
                      <w:i/>
                      <w:color w:val="000000"/>
                      <w:sz w:val="12"/>
                    </w:rPr>
                  </w:pPr>
                  <w:r w:rsidRPr="000211AB">
                    <w:rPr>
                      <w:b/>
                      <w:bCs/>
                      <w:i/>
                      <w:color w:val="000000"/>
                      <w:sz w:val="12"/>
                    </w:rPr>
                    <w:t>Število visokošolskih zavodov, vključenih v projekte</w:t>
                  </w:r>
                </w:p>
              </w:tc>
              <w:tc>
                <w:tcPr>
                  <w:tcW w:w="190" w:type="dxa"/>
                  <w:tcBorders>
                    <w:top w:val="nil"/>
                    <w:left w:val="nil"/>
                    <w:bottom w:val="single" w:sz="4" w:space="0" w:color="auto"/>
                    <w:right w:val="nil"/>
                  </w:tcBorders>
                  <w:shd w:val="clear" w:color="auto" w:fill="FFFFFF"/>
                  <w:noWrap/>
                  <w:vAlign w:val="center"/>
                  <w:hideMark/>
                </w:tcPr>
                <w:p w14:paraId="10AD44DF" w14:textId="77777777" w:rsidR="00FF2E00" w:rsidRPr="000211AB" w:rsidRDefault="00FF2E00" w:rsidP="00FF2E00">
                  <w:pPr>
                    <w:rPr>
                      <w:b/>
                      <w:bCs/>
                      <w:i/>
                      <w:color w:val="000000"/>
                      <w:sz w:val="12"/>
                    </w:rPr>
                  </w:pPr>
                  <w:r w:rsidRPr="000211AB">
                    <w:rPr>
                      <w:b/>
                      <w:bCs/>
                      <w:i/>
                      <w:color w:val="000000"/>
                      <w:sz w:val="12"/>
                    </w:rPr>
                    <w:t> </w:t>
                  </w:r>
                </w:p>
              </w:tc>
              <w:tc>
                <w:tcPr>
                  <w:tcW w:w="190" w:type="dxa"/>
                  <w:tcBorders>
                    <w:top w:val="nil"/>
                    <w:left w:val="nil"/>
                    <w:bottom w:val="single" w:sz="4" w:space="0" w:color="auto"/>
                    <w:right w:val="nil"/>
                  </w:tcBorders>
                  <w:shd w:val="clear" w:color="auto" w:fill="FFFFFF"/>
                  <w:noWrap/>
                  <w:vAlign w:val="center"/>
                  <w:hideMark/>
                </w:tcPr>
                <w:p w14:paraId="6237D628" w14:textId="77777777" w:rsidR="00FF2E00" w:rsidRPr="000211AB" w:rsidRDefault="00FF2E00" w:rsidP="00FF2E00">
                  <w:pPr>
                    <w:rPr>
                      <w:b/>
                      <w:bCs/>
                      <w:i/>
                      <w:color w:val="000000"/>
                      <w:sz w:val="12"/>
                    </w:rPr>
                  </w:pPr>
                  <w:r w:rsidRPr="000211AB">
                    <w:rPr>
                      <w:b/>
                      <w:bCs/>
                      <w:i/>
                      <w:color w:val="000000"/>
                      <w:sz w:val="12"/>
                    </w:rPr>
                    <w:t> </w:t>
                  </w:r>
                </w:p>
              </w:tc>
              <w:tc>
                <w:tcPr>
                  <w:tcW w:w="190" w:type="dxa"/>
                  <w:tcBorders>
                    <w:top w:val="nil"/>
                    <w:left w:val="nil"/>
                    <w:bottom w:val="single" w:sz="4" w:space="0" w:color="auto"/>
                    <w:right w:val="nil"/>
                  </w:tcBorders>
                  <w:shd w:val="clear" w:color="auto" w:fill="FFFFFF"/>
                  <w:noWrap/>
                  <w:vAlign w:val="center"/>
                  <w:hideMark/>
                </w:tcPr>
                <w:p w14:paraId="131FB0C0" w14:textId="77777777" w:rsidR="00FF2E00" w:rsidRPr="000211AB" w:rsidRDefault="00FF2E00" w:rsidP="00FF2E00">
                  <w:pPr>
                    <w:rPr>
                      <w:b/>
                      <w:bCs/>
                      <w:i/>
                      <w:color w:val="000000"/>
                      <w:sz w:val="12"/>
                    </w:rPr>
                  </w:pPr>
                  <w:r w:rsidRPr="000211AB">
                    <w:rPr>
                      <w:b/>
                      <w:bCs/>
                      <w:i/>
                      <w:color w:val="000000"/>
                      <w:sz w:val="12"/>
                    </w:rPr>
                    <w:t> </w:t>
                  </w:r>
                </w:p>
              </w:tc>
              <w:tc>
                <w:tcPr>
                  <w:tcW w:w="190" w:type="dxa"/>
                  <w:tcBorders>
                    <w:top w:val="nil"/>
                    <w:left w:val="nil"/>
                    <w:bottom w:val="single" w:sz="4" w:space="0" w:color="auto"/>
                    <w:right w:val="single" w:sz="4" w:space="0" w:color="auto"/>
                  </w:tcBorders>
                  <w:shd w:val="clear" w:color="auto" w:fill="FFFFFF"/>
                  <w:noWrap/>
                  <w:vAlign w:val="center"/>
                  <w:hideMark/>
                </w:tcPr>
                <w:p w14:paraId="41CC5EA9" w14:textId="77777777" w:rsidR="00FF2E00" w:rsidRPr="000211AB" w:rsidRDefault="00FF2E00" w:rsidP="00FF2E00">
                  <w:pPr>
                    <w:rPr>
                      <w:b/>
                      <w:bCs/>
                      <w:i/>
                      <w:color w:val="000000"/>
                      <w:sz w:val="12"/>
                    </w:rPr>
                  </w:pPr>
                  <w:r w:rsidRPr="000211AB">
                    <w:rPr>
                      <w:b/>
                      <w:bCs/>
                      <w:i/>
                      <w:color w:val="000000"/>
                      <w:sz w:val="12"/>
                    </w:rPr>
                    <w:t> </w:t>
                  </w:r>
                </w:p>
              </w:tc>
              <w:tc>
                <w:tcPr>
                  <w:tcW w:w="479" w:type="dxa"/>
                  <w:tcBorders>
                    <w:top w:val="nil"/>
                    <w:left w:val="nil"/>
                    <w:bottom w:val="single" w:sz="4" w:space="0" w:color="auto"/>
                    <w:right w:val="nil"/>
                  </w:tcBorders>
                  <w:shd w:val="clear" w:color="auto" w:fill="FFFFFF"/>
                  <w:noWrap/>
                  <w:vAlign w:val="center"/>
                  <w:hideMark/>
                </w:tcPr>
                <w:p w14:paraId="585859FA" w14:textId="77777777" w:rsidR="00FF2E00" w:rsidRPr="000211AB" w:rsidRDefault="00FF2E00" w:rsidP="00FF2E00">
                  <w:pPr>
                    <w:rPr>
                      <w:b/>
                      <w:bCs/>
                      <w:i/>
                      <w:color w:val="000000"/>
                      <w:sz w:val="12"/>
                    </w:rPr>
                  </w:pPr>
                  <w:r w:rsidRPr="000211AB">
                    <w:rPr>
                      <w:b/>
                      <w:bCs/>
                      <w:i/>
                      <w:color w:val="000000"/>
                      <w:sz w:val="12"/>
                    </w:rPr>
                    <w:t>Število</w:t>
                  </w:r>
                </w:p>
              </w:tc>
              <w:tc>
                <w:tcPr>
                  <w:tcW w:w="190" w:type="dxa"/>
                  <w:tcBorders>
                    <w:top w:val="nil"/>
                    <w:left w:val="nil"/>
                    <w:bottom w:val="single" w:sz="4" w:space="0" w:color="auto"/>
                    <w:right w:val="single" w:sz="4" w:space="0" w:color="auto"/>
                  </w:tcBorders>
                  <w:shd w:val="clear" w:color="auto" w:fill="FFFFFF"/>
                  <w:noWrap/>
                  <w:vAlign w:val="center"/>
                  <w:hideMark/>
                </w:tcPr>
                <w:p w14:paraId="5080AAD4" w14:textId="77777777" w:rsidR="00FF2E00" w:rsidRPr="000211AB" w:rsidRDefault="00FF2E00" w:rsidP="00FF2E00">
                  <w:pPr>
                    <w:rPr>
                      <w:b/>
                      <w:bCs/>
                      <w:i/>
                      <w:color w:val="000000"/>
                      <w:sz w:val="12"/>
                    </w:rPr>
                  </w:pPr>
                  <w:r w:rsidRPr="000211AB">
                    <w:rPr>
                      <w:b/>
                      <w:bCs/>
                      <w:i/>
                      <w:color w:val="000000"/>
                      <w:sz w:val="12"/>
                    </w:rPr>
                    <w:t> </w:t>
                  </w:r>
                </w:p>
              </w:tc>
              <w:tc>
                <w:tcPr>
                  <w:tcW w:w="309" w:type="dxa"/>
                  <w:tcBorders>
                    <w:top w:val="nil"/>
                    <w:left w:val="nil"/>
                    <w:bottom w:val="single" w:sz="4" w:space="0" w:color="auto"/>
                    <w:right w:val="nil"/>
                  </w:tcBorders>
                  <w:shd w:val="clear" w:color="auto" w:fill="FFFFFF"/>
                  <w:noWrap/>
                  <w:vAlign w:val="center"/>
                  <w:hideMark/>
                </w:tcPr>
                <w:p w14:paraId="73266D24" w14:textId="77777777" w:rsidR="00FF2E00" w:rsidRPr="000211AB" w:rsidRDefault="00FF2E00" w:rsidP="00FF2E00">
                  <w:pPr>
                    <w:rPr>
                      <w:i/>
                      <w:color w:val="000000"/>
                      <w:sz w:val="12"/>
                    </w:rPr>
                  </w:pPr>
                  <w:r w:rsidRPr="000211AB">
                    <w:rPr>
                      <w:i/>
                      <w:color w:val="000000"/>
                      <w:sz w:val="12"/>
                    </w:rPr>
                    <w:t>ESS</w:t>
                  </w:r>
                </w:p>
              </w:tc>
              <w:tc>
                <w:tcPr>
                  <w:tcW w:w="291" w:type="dxa"/>
                  <w:tcBorders>
                    <w:top w:val="nil"/>
                    <w:left w:val="nil"/>
                    <w:bottom w:val="single" w:sz="4" w:space="0" w:color="auto"/>
                    <w:right w:val="single" w:sz="4" w:space="0" w:color="auto"/>
                  </w:tcBorders>
                  <w:shd w:val="clear" w:color="auto" w:fill="FFFFFF"/>
                  <w:noWrap/>
                  <w:vAlign w:val="center"/>
                  <w:hideMark/>
                </w:tcPr>
                <w:p w14:paraId="2435EE06" w14:textId="77777777" w:rsidR="00FF2E00" w:rsidRPr="000211AB" w:rsidRDefault="00FF2E00" w:rsidP="00FF2E00">
                  <w:pPr>
                    <w:rPr>
                      <w:i/>
                      <w:color w:val="000000"/>
                      <w:sz w:val="12"/>
                    </w:rPr>
                  </w:pPr>
                  <w:r w:rsidRPr="000211AB">
                    <w:rPr>
                      <w:i/>
                      <w:color w:val="000000"/>
                      <w:sz w:val="12"/>
                    </w:rPr>
                    <w:t> </w:t>
                  </w:r>
                </w:p>
              </w:tc>
              <w:tc>
                <w:tcPr>
                  <w:tcW w:w="445" w:type="dxa"/>
                  <w:tcBorders>
                    <w:top w:val="nil"/>
                    <w:left w:val="nil"/>
                    <w:bottom w:val="single" w:sz="4" w:space="0" w:color="auto"/>
                    <w:right w:val="nil"/>
                  </w:tcBorders>
                  <w:shd w:val="clear" w:color="auto" w:fill="FFFFFF"/>
                  <w:noWrap/>
                  <w:vAlign w:val="center"/>
                  <w:hideMark/>
                </w:tcPr>
                <w:p w14:paraId="43F91E0B" w14:textId="77777777" w:rsidR="00FF2E00" w:rsidRPr="000211AB" w:rsidRDefault="00FF2E00" w:rsidP="00FF2E00">
                  <w:pPr>
                    <w:rPr>
                      <w:i/>
                      <w:color w:val="000000"/>
                      <w:sz w:val="12"/>
                    </w:rPr>
                  </w:pPr>
                  <w:r w:rsidRPr="000211AB">
                    <w:rPr>
                      <w:i/>
                      <w:color w:val="000000"/>
                      <w:sz w:val="12"/>
                    </w:rPr>
                    <w:t>Zahod</w:t>
                  </w:r>
                </w:p>
              </w:tc>
              <w:tc>
                <w:tcPr>
                  <w:tcW w:w="190" w:type="dxa"/>
                  <w:tcBorders>
                    <w:top w:val="nil"/>
                    <w:left w:val="nil"/>
                    <w:bottom w:val="single" w:sz="4" w:space="0" w:color="auto"/>
                    <w:right w:val="single" w:sz="4" w:space="0" w:color="auto"/>
                  </w:tcBorders>
                  <w:shd w:val="clear" w:color="auto" w:fill="FFFFFF"/>
                  <w:noWrap/>
                  <w:vAlign w:val="center"/>
                  <w:hideMark/>
                </w:tcPr>
                <w:p w14:paraId="470258DF" w14:textId="77777777" w:rsidR="00FF2E00" w:rsidRPr="000211AB" w:rsidRDefault="00FF2E00" w:rsidP="00FF2E00">
                  <w:pPr>
                    <w:rPr>
                      <w:i/>
                      <w:color w:val="000000"/>
                      <w:sz w:val="12"/>
                    </w:rPr>
                  </w:pPr>
                  <w:r w:rsidRPr="000211AB">
                    <w:rPr>
                      <w:i/>
                      <w:color w:val="000000"/>
                      <w:sz w:val="12"/>
                    </w:rPr>
                    <w:t> </w:t>
                  </w:r>
                </w:p>
              </w:tc>
              <w:commentRangeEnd w:id="9"/>
              <w:tc>
                <w:tcPr>
                  <w:tcW w:w="544" w:type="dxa"/>
                  <w:tcBorders>
                    <w:top w:val="nil"/>
                    <w:left w:val="nil"/>
                    <w:bottom w:val="single" w:sz="4" w:space="0" w:color="auto"/>
                    <w:right w:val="nil"/>
                  </w:tcBorders>
                  <w:shd w:val="clear" w:color="auto" w:fill="FFFFFF"/>
                  <w:noWrap/>
                  <w:vAlign w:val="bottom"/>
                </w:tcPr>
                <w:p w14:paraId="40184ACA" w14:textId="77777777" w:rsidR="00FF2E00" w:rsidRPr="000211AB" w:rsidRDefault="00FF2E00" w:rsidP="00FF2E00">
                  <w:pPr>
                    <w:jc w:val="right"/>
                    <w:rPr>
                      <w:i/>
                      <w:color w:val="000000"/>
                      <w:sz w:val="12"/>
                    </w:rPr>
                  </w:pPr>
                  <w:r>
                    <w:rPr>
                      <w:rStyle w:val="Pripombasklic"/>
                    </w:rPr>
                    <w:commentReference w:id="9"/>
                  </w:r>
                </w:p>
              </w:tc>
              <w:tc>
                <w:tcPr>
                  <w:tcW w:w="160" w:type="dxa"/>
                  <w:tcBorders>
                    <w:top w:val="nil"/>
                    <w:left w:val="nil"/>
                    <w:bottom w:val="single" w:sz="4" w:space="0" w:color="auto"/>
                    <w:right w:val="single" w:sz="12" w:space="0" w:color="auto"/>
                  </w:tcBorders>
                  <w:shd w:val="clear" w:color="auto" w:fill="FFFFFF"/>
                  <w:noWrap/>
                  <w:vAlign w:val="bottom"/>
                </w:tcPr>
                <w:p w14:paraId="7EF9F0CF" w14:textId="77777777" w:rsidR="00FF2E00" w:rsidRPr="000211AB" w:rsidRDefault="00FF2E00" w:rsidP="00FF2E00">
                  <w:pPr>
                    <w:rPr>
                      <w:i/>
                      <w:color w:val="000000"/>
                      <w:sz w:val="12"/>
                    </w:rPr>
                  </w:pPr>
                </w:p>
              </w:tc>
            </w:tr>
          </w:tbl>
          <w:p w14:paraId="0F00F31E" w14:textId="77777777" w:rsidR="004C0B02" w:rsidRDefault="004C0B02" w:rsidP="00B76210">
            <w:pPr>
              <w:spacing w:after="0" w:line="260" w:lineRule="exact"/>
              <w:rPr>
                <w:rFonts w:eastAsia="Times New Roman"/>
                <w:i/>
                <w:sz w:val="14"/>
                <w:szCs w:val="16"/>
              </w:rPr>
            </w:pPr>
          </w:p>
          <w:tbl>
            <w:tblPr>
              <w:tblW w:w="4913" w:type="dxa"/>
              <w:tblInd w:w="85" w:type="dxa"/>
              <w:shd w:val="clear" w:color="auto" w:fill="FFFFFF"/>
              <w:tblCellMar>
                <w:left w:w="70" w:type="dxa"/>
                <w:right w:w="70" w:type="dxa"/>
              </w:tblCellMar>
              <w:tblLook w:val="04A0" w:firstRow="1" w:lastRow="0" w:firstColumn="1" w:lastColumn="0" w:noHBand="0" w:noVBand="1"/>
            </w:tblPr>
            <w:tblGrid>
              <w:gridCol w:w="416"/>
              <w:gridCol w:w="1129"/>
              <w:gridCol w:w="190"/>
              <w:gridCol w:w="190"/>
              <w:gridCol w:w="190"/>
              <w:gridCol w:w="190"/>
              <w:gridCol w:w="479"/>
              <w:gridCol w:w="190"/>
              <w:gridCol w:w="309"/>
              <w:gridCol w:w="291"/>
              <w:gridCol w:w="445"/>
              <w:gridCol w:w="190"/>
              <w:gridCol w:w="544"/>
              <w:gridCol w:w="160"/>
            </w:tblGrid>
            <w:tr w:rsidR="004C0B02" w:rsidRPr="000211AB" w14:paraId="2EBA7871" w14:textId="77777777" w:rsidTr="00DB2234">
              <w:trPr>
                <w:trHeight w:val="499"/>
              </w:trPr>
              <w:tc>
                <w:tcPr>
                  <w:tcW w:w="416"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14:paraId="48870B8B" w14:textId="77777777" w:rsidR="004C0B02" w:rsidRPr="000211AB" w:rsidRDefault="004C0B02" w:rsidP="004C0B02">
                  <w:pPr>
                    <w:jc w:val="center"/>
                    <w:rPr>
                      <w:b/>
                      <w:bCs/>
                      <w:i/>
                      <w:color w:val="000000"/>
                      <w:sz w:val="12"/>
                      <w:szCs w:val="28"/>
                    </w:rPr>
                  </w:pPr>
                  <w:r w:rsidRPr="000211AB">
                    <w:rPr>
                      <w:b/>
                      <w:bCs/>
                      <w:i/>
                      <w:color w:val="000000"/>
                      <w:sz w:val="12"/>
                      <w:szCs w:val="28"/>
                    </w:rPr>
                    <w:t>ID</w:t>
                  </w:r>
                </w:p>
              </w:tc>
              <w:tc>
                <w:tcPr>
                  <w:tcW w:w="1889" w:type="dxa"/>
                  <w:gridSpan w:val="5"/>
                  <w:tcBorders>
                    <w:top w:val="single" w:sz="12" w:space="0" w:color="auto"/>
                    <w:left w:val="nil"/>
                    <w:bottom w:val="single" w:sz="12" w:space="0" w:color="auto"/>
                    <w:right w:val="single" w:sz="4" w:space="0" w:color="000000"/>
                  </w:tcBorders>
                  <w:shd w:val="clear" w:color="auto" w:fill="FFFFFF"/>
                  <w:noWrap/>
                  <w:vAlign w:val="center"/>
                  <w:hideMark/>
                </w:tcPr>
                <w:p w14:paraId="7FD2AFE1" w14:textId="77777777" w:rsidR="004C0B02" w:rsidRPr="000211AB" w:rsidRDefault="004C0B02" w:rsidP="004C0B02">
                  <w:pPr>
                    <w:jc w:val="center"/>
                    <w:rPr>
                      <w:b/>
                      <w:bCs/>
                      <w:i/>
                      <w:color w:val="000000"/>
                      <w:sz w:val="12"/>
                      <w:szCs w:val="28"/>
                    </w:rPr>
                  </w:pPr>
                  <w:r w:rsidRPr="000211AB">
                    <w:rPr>
                      <w:b/>
                      <w:bCs/>
                      <w:i/>
                      <w:color w:val="000000"/>
                      <w:sz w:val="12"/>
                      <w:szCs w:val="28"/>
                    </w:rPr>
                    <w:t>Kazalnik</w:t>
                  </w:r>
                </w:p>
              </w:tc>
              <w:tc>
                <w:tcPr>
                  <w:tcW w:w="669" w:type="dxa"/>
                  <w:gridSpan w:val="2"/>
                  <w:tcBorders>
                    <w:top w:val="single" w:sz="12" w:space="0" w:color="auto"/>
                    <w:left w:val="nil"/>
                    <w:bottom w:val="single" w:sz="12" w:space="0" w:color="auto"/>
                    <w:right w:val="single" w:sz="4" w:space="0" w:color="000000"/>
                  </w:tcBorders>
                  <w:shd w:val="clear" w:color="auto" w:fill="FFFFFF"/>
                  <w:noWrap/>
                  <w:vAlign w:val="center"/>
                  <w:hideMark/>
                </w:tcPr>
                <w:p w14:paraId="50B24984" w14:textId="77777777" w:rsidR="004C0B02" w:rsidRPr="000211AB" w:rsidRDefault="004C0B02" w:rsidP="004C0B02">
                  <w:pPr>
                    <w:jc w:val="center"/>
                    <w:rPr>
                      <w:b/>
                      <w:bCs/>
                      <w:i/>
                      <w:color w:val="000000"/>
                      <w:sz w:val="12"/>
                      <w:szCs w:val="28"/>
                    </w:rPr>
                  </w:pPr>
                  <w:r w:rsidRPr="000211AB">
                    <w:rPr>
                      <w:b/>
                      <w:bCs/>
                      <w:i/>
                      <w:color w:val="000000"/>
                      <w:sz w:val="12"/>
                      <w:szCs w:val="28"/>
                    </w:rPr>
                    <w:t>Merska enota</w:t>
                  </w:r>
                </w:p>
              </w:tc>
              <w:tc>
                <w:tcPr>
                  <w:tcW w:w="600" w:type="dxa"/>
                  <w:gridSpan w:val="2"/>
                  <w:tcBorders>
                    <w:top w:val="single" w:sz="12" w:space="0" w:color="auto"/>
                    <w:left w:val="nil"/>
                    <w:bottom w:val="single" w:sz="12" w:space="0" w:color="auto"/>
                    <w:right w:val="single" w:sz="4" w:space="0" w:color="auto"/>
                  </w:tcBorders>
                  <w:shd w:val="clear" w:color="auto" w:fill="FFFFFF"/>
                  <w:noWrap/>
                  <w:vAlign w:val="center"/>
                  <w:hideMark/>
                </w:tcPr>
                <w:p w14:paraId="62BB33AE" w14:textId="77777777" w:rsidR="004C0B02" w:rsidRPr="000211AB" w:rsidRDefault="004C0B02" w:rsidP="004C0B02">
                  <w:pPr>
                    <w:jc w:val="center"/>
                    <w:rPr>
                      <w:b/>
                      <w:bCs/>
                      <w:i/>
                      <w:color w:val="000000"/>
                      <w:sz w:val="12"/>
                      <w:szCs w:val="28"/>
                    </w:rPr>
                  </w:pPr>
                  <w:r w:rsidRPr="000211AB">
                    <w:rPr>
                      <w:b/>
                      <w:bCs/>
                      <w:i/>
                      <w:color w:val="000000"/>
                      <w:sz w:val="12"/>
                      <w:szCs w:val="28"/>
                    </w:rPr>
                    <w:t>Sklad</w:t>
                  </w:r>
                </w:p>
              </w:tc>
              <w:tc>
                <w:tcPr>
                  <w:tcW w:w="635" w:type="dxa"/>
                  <w:gridSpan w:val="2"/>
                  <w:tcBorders>
                    <w:top w:val="single" w:sz="12" w:space="0" w:color="auto"/>
                    <w:left w:val="nil"/>
                    <w:bottom w:val="single" w:sz="12" w:space="0" w:color="auto"/>
                    <w:right w:val="single" w:sz="4" w:space="0" w:color="auto"/>
                  </w:tcBorders>
                  <w:shd w:val="clear" w:color="auto" w:fill="FFFFFF"/>
                  <w:noWrap/>
                  <w:vAlign w:val="center"/>
                  <w:hideMark/>
                </w:tcPr>
                <w:p w14:paraId="42BA752D" w14:textId="77777777" w:rsidR="004C0B02" w:rsidRPr="000211AB" w:rsidRDefault="004C0B02" w:rsidP="004C0B02">
                  <w:pPr>
                    <w:jc w:val="center"/>
                    <w:rPr>
                      <w:b/>
                      <w:bCs/>
                      <w:i/>
                      <w:color w:val="000000"/>
                      <w:sz w:val="12"/>
                      <w:szCs w:val="28"/>
                    </w:rPr>
                  </w:pPr>
                  <w:r w:rsidRPr="000211AB">
                    <w:rPr>
                      <w:b/>
                      <w:bCs/>
                      <w:i/>
                      <w:color w:val="000000"/>
                      <w:sz w:val="12"/>
                      <w:szCs w:val="28"/>
                    </w:rPr>
                    <w:t>Regija</w:t>
                  </w:r>
                </w:p>
              </w:tc>
              <w:tc>
                <w:tcPr>
                  <w:tcW w:w="704" w:type="dxa"/>
                  <w:gridSpan w:val="2"/>
                  <w:tcBorders>
                    <w:top w:val="single" w:sz="12" w:space="0" w:color="auto"/>
                    <w:left w:val="nil"/>
                    <w:bottom w:val="single" w:sz="12" w:space="0" w:color="auto"/>
                    <w:right w:val="single" w:sz="12" w:space="0" w:color="000000"/>
                  </w:tcBorders>
                  <w:shd w:val="clear" w:color="auto" w:fill="FFFFFF"/>
                  <w:noWrap/>
                  <w:vAlign w:val="center"/>
                  <w:hideMark/>
                </w:tcPr>
                <w:p w14:paraId="062E0675" w14:textId="77777777" w:rsidR="004C0B02" w:rsidRPr="000211AB" w:rsidRDefault="004C0B02" w:rsidP="004C0B02">
                  <w:pPr>
                    <w:jc w:val="center"/>
                    <w:rPr>
                      <w:b/>
                      <w:bCs/>
                      <w:i/>
                      <w:color w:val="000000"/>
                      <w:sz w:val="12"/>
                      <w:szCs w:val="28"/>
                    </w:rPr>
                  </w:pPr>
                  <w:r w:rsidRPr="000211AB">
                    <w:rPr>
                      <w:b/>
                      <w:bCs/>
                      <w:i/>
                      <w:color w:val="000000"/>
                      <w:sz w:val="12"/>
                      <w:szCs w:val="28"/>
                    </w:rPr>
                    <w:t>Ciljna Vrednost</w:t>
                  </w:r>
                </w:p>
              </w:tc>
            </w:tr>
            <w:tr w:rsidR="004C0B02" w:rsidRPr="000211AB" w14:paraId="7D76F5E1" w14:textId="77777777" w:rsidTr="00DB2234">
              <w:trPr>
                <w:trHeight w:val="402"/>
              </w:trPr>
              <w:tc>
                <w:tcPr>
                  <w:tcW w:w="416" w:type="dxa"/>
                  <w:tcBorders>
                    <w:top w:val="nil"/>
                    <w:left w:val="single" w:sz="12" w:space="0" w:color="auto"/>
                    <w:bottom w:val="single" w:sz="4" w:space="0" w:color="auto"/>
                    <w:right w:val="nil"/>
                  </w:tcBorders>
                  <w:shd w:val="clear" w:color="auto" w:fill="FFFFFF"/>
                  <w:noWrap/>
                  <w:vAlign w:val="bottom"/>
                  <w:hideMark/>
                </w:tcPr>
                <w:p w14:paraId="42AB5AE5" w14:textId="16E1BF0E" w:rsidR="004C0B02" w:rsidRPr="000211AB" w:rsidRDefault="004C0B02" w:rsidP="004C0B02">
                  <w:pPr>
                    <w:rPr>
                      <w:b/>
                      <w:bCs/>
                      <w:i/>
                      <w:color w:val="000000"/>
                      <w:sz w:val="12"/>
                    </w:rPr>
                  </w:pPr>
                </w:p>
              </w:tc>
              <w:tc>
                <w:tcPr>
                  <w:tcW w:w="1129" w:type="dxa"/>
                  <w:tcBorders>
                    <w:top w:val="single" w:sz="12" w:space="0" w:color="auto"/>
                    <w:left w:val="single" w:sz="4" w:space="0" w:color="auto"/>
                    <w:bottom w:val="single" w:sz="4" w:space="0" w:color="auto"/>
                    <w:right w:val="nil"/>
                  </w:tcBorders>
                  <w:shd w:val="clear" w:color="auto" w:fill="FFFFFF"/>
                  <w:noWrap/>
                  <w:vAlign w:val="center"/>
                  <w:hideMark/>
                </w:tcPr>
                <w:p w14:paraId="42CAE6D9" w14:textId="45098FEB" w:rsidR="004C0B02" w:rsidRPr="000211AB" w:rsidRDefault="004C0B02" w:rsidP="004C0B02">
                  <w:pPr>
                    <w:rPr>
                      <w:b/>
                      <w:bCs/>
                      <w:i/>
                      <w:color w:val="000000"/>
                      <w:sz w:val="12"/>
                    </w:rPr>
                  </w:pPr>
                  <w:commentRangeStart w:id="10"/>
                  <w:r w:rsidRPr="004C0B02">
                    <w:rPr>
                      <w:b/>
                      <w:bCs/>
                      <w:i/>
                      <w:color w:val="000000"/>
                      <w:sz w:val="12"/>
                    </w:rPr>
                    <w:t>Število višješolskih zavodov, vključenih v izvajanju programa Mobilnost študentov iz socialno šibkejših okolij.</w:t>
                  </w:r>
                  <w:commentRangeEnd w:id="10"/>
                  <w:r w:rsidR="008E43D8">
                    <w:rPr>
                      <w:rStyle w:val="Pripombasklic"/>
                    </w:rPr>
                    <w:commentReference w:id="10"/>
                  </w:r>
                </w:p>
              </w:tc>
              <w:tc>
                <w:tcPr>
                  <w:tcW w:w="190" w:type="dxa"/>
                  <w:tcBorders>
                    <w:top w:val="nil"/>
                    <w:left w:val="nil"/>
                    <w:bottom w:val="single" w:sz="4" w:space="0" w:color="auto"/>
                    <w:right w:val="nil"/>
                  </w:tcBorders>
                  <w:shd w:val="clear" w:color="auto" w:fill="FFFFFF"/>
                  <w:noWrap/>
                  <w:vAlign w:val="center"/>
                  <w:hideMark/>
                </w:tcPr>
                <w:p w14:paraId="7D06DCA2" w14:textId="77777777" w:rsidR="004C0B02" w:rsidRPr="000211AB" w:rsidRDefault="004C0B02" w:rsidP="004C0B02">
                  <w:pPr>
                    <w:rPr>
                      <w:b/>
                      <w:bCs/>
                      <w:i/>
                      <w:color w:val="000000"/>
                      <w:sz w:val="12"/>
                    </w:rPr>
                  </w:pPr>
                  <w:r w:rsidRPr="000211AB">
                    <w:rPr>
                      <w:b/>
                      <w:bCs/>
                      <w:i/>
                      <w:color w:val="000000"/>
                      <w:sz w:val="12"/>
                    </w:rPr>
                    <w:t> </w:t>
                  </w:r>
                </w:p>
              </w:tc>
              <w:tc>
                <w:tcPr>
                  <w:tcW w:w="190" w:type="dxa"/>
                  <w:tcBorders>
                    <w:top w:val="nil"/>
                    <w:left w:val="nil"/>
                    <w:bottom w:val="single" w:sz="4" w:space="0" w:color="auto"/>
                    <w:right w:val="nil"/>
                  </w:tcBorders>
                  <w:shd w:val="clear" w:color="auto" w:fill="FFFFFF"/>
                  <w:noWrap/>
                  <w:vAlign w:val="center"/>
                  <w:hideMark/>
                </w:tcPr>
                <w:p w14:paraId="0B4B2FD6" w14:textId="77777777" w:rsidR="004C0B02" w:rsidRPr="000211AB" w:rsidRDefault="004C0B02" w:rsidP="004C0B02">
                  <w:pPr>
                    <w:rPr>
                      <w:b/>
                      <w:bCs/>
                      <w:i/>
                      <w:color w:val="000000"/>
                      <w:sz w:val="12"/>
                    </w:rPr>
                  </w:pPr>
                  <w:r w:rsidRPr="000211AB">
                    <w:rPr>
                      <w:b/>
                      <w:bCs/>
                      <w:i/>
                      <w:color w:val="000000"/>
                      <w:sz w:val="12"/>
                    </w:rPr>
                    <w:t> </w:t>
                  </w:r>
                </w:p>
              </w:tc>
              <w:tc>
                <w:tcPr>
                  <w:tcW w:w="190" w:type="dxa"/>
                  <w:tcBorders>
                    <w:top w:val="nil"/>
                    <w:left w:val="nil"/>
                    <w:bottom w:val="single" w:sz="4" w:space="0" w:color="auto"/>
                    <w:right w:val="nil"/>
                  </w:tcBorders>
                  <w:shd w:val="clear" w:color="auto" w:fill="FFFFFF"/>
                  <w:noWrap/>
                  <w:vAlign w:val="center"/>
                  <w:hideMark/>
                </w:tcPr>
                <w:p w14:paraId="5E76D751" w14:textId="77777777" w:rsidR="004C0B02" w:rsidRPr="000211AB" w:rsidRDefault="004C0B02" w:rsidP="004C0B02">
                  <w:pPr>
                    <w:rPr>
                      <w:b/>
                      <w:bCs/>
                      <w:i/>
                      <w:color w:val="000000"/>
                      <w:sz w:val="12"/>
                    </w:rPr>
                  </w:pPr>
                  <w:r w:rsidRPr="000211AB">
                    <w:rPr>
                      <w:b/>
                      <w:bCs/>
                      <w:i/>
                      <w:color w:val="000000"/>
                      <w:sz w:val="12"/>
                    </w:rPr>
                    <w:t> </w:t>
                  </w:r>
                </w:p>
              </w:tc>
              <w:tc>
                <w:tcPr>
                  <w:tcW w:w="190" w:type="dxa"/>
                  <w:tcBorders>
                    <w:top w:val="nil"/>
                    <w:left w:val="nil"/>
                    <w:bottom w:val="single" w:sz="4" w:space="0" w:color="auto"/>
                    <w:right w:val="single" w:sz="4" w:space="0" w:color="auto"/>
                  </w:tcBorders>
                  <w:shd w:val="clear" w:color="auto" w:fill="FFFFFF"/>
                  <w:noWrap/>
                  <w:vAlign w:val="center"/>
                  <w:hideMark/>
                </w:tcPr>
                <w:p w14:paraId="102F2F92" w14:textId="77777777" w:rsidR="004C0B02" w:rsidRPr="000211AB" w:rsidRDefault="004C0B02" w:rsidP="004C0B02">
                  <w:pPr>
                    <w:rPr>
                      <w:b/>
                      <w:bCs/>
                      <w:i/>
                      <w:color w:val="000000"/>
                      <w:sz w:val="12"/>
                    </w:rPr>
                  </w:pPr>
                  <w:r w:rsidRPr="000211AB">
                    <w:rPr>
                      <w:b/>
                      <w:bCs/>
                      <w:i/>
                      <w:color w:val="000000"/>
                      <w:sz w:val="12"/>
                    </w:rPr>
                    <w:t> </w:t>
                  </w:r>
                </w:p>
              </w:tc>
              <w:tc>
                <w:tcPr>
                  <w:tcW w:w="479" w:type="dxa"/>
                  <w:tcBorders>
                    <w:top w:val="nil"/>
                    <w:left w:val="nil"/>
                    <w:bottom w:val="single" w:sz="4" w:space="0" w:color="auto"/>
                    <w:right w:val="nil"/>
                  </w:tcBorders>
                  <w:shd w:val="clear" w:color="auto" w:fill="FFFFFF"/>
                  <w:noWrap/>
                  <w:vAlign w:val="center"/>
                  <w:hideMark/>
                </w:tcPr>
                <w:p w14:paraId="7D40B227" w14:textId="77777777" w:rsidR="004C0B02" w:rsidRPr="000211AB" w:rsidRDefault="004C0B02" w:rsidP="004C0B02">
                  <w:pPr>
                    <w:rPr>
                      <w:b/>
                      <w:bCs/>
                      <w:i/>
                      <w:color w:val="000000"/>
                      <w:sz w:val="12"/>
                    </w:rPr>
                  </w:pPr>
                  <w:r w:rsidRPr="000211AB">
                    <w:rPr>
                      <w:b/>
                      <w:bCs/>
                      <w:i/>
                      <w:color w:val="000000"/>
                      <w:sz w:val="12"/>
                    </w:rPr>
                    <w:t>Število</w:t>
                  </w:r>
                </w:p>
              </w:tc>
              <w:tc>
                <w:tcPr>
                  <w:tcW w:w="190" w:type="dxa"/>
                  <w:tcBorders>
                    <w:top w:val="nil"/>
                    <w:left w:val="nil"/>
                    <w:bottom w:val="single" w:sz="4" w:space="0" w:color="auto"/>
                    <w:right w:val="single" w:sz="4" w:space="0" w:color="auto"/>
                  </w:tcBorders>
                  <w:shd w:val="clear" w:color="auto" w:fill="FFFFFF"/>
                  <w:noWrap/>
                  <w:vAlign w:val="center"/>
                  <w:hideMark/>
                </w:tcPr>
                <w:p w14:paraId="35FF7243" w14:textId="77777777" w:rsidR="004C0B02" w:rsidRPr="000211AB" w:rsidRDefault="004C0B02" w:rsidP="004C0B02">
                  <w:pPr>
                    <w:rPr>
                      <w:b/>
                      <w:bCs/>
                      <w:i/>
                      <w:color w:val="000000"/>
                      <w:sz w:val="12"/>
                    </w:rPr>
                  </w:pPr>
                  <w:r w:rsidRPr="000211AB">
                    <w:rPr>
                      <w:b/>
                      <w:bCs/>
                      <w:i/>
                      <w:color w:val="000000"/>
                      <w:sz w:val="12"/>
                    </w:rPr>
                    <w:t> </w:t>
                  </w:r>
                </w:p>
              </w:tc>
              <w:tc>
                <w:tcPr>
                  <w:tcW w:w="309" w:type="dxa"/>
                  <w:tcBorders>
                    <w:top w:val="nil"/>
                    <w:left w:val="nil"/>
                    <w:bottom w:val="single" w:sz="4" w:space="0" w:color="auto"/>
                    <w:right w:val="nil"/>
                  </w:tcBorders>
                  <w:shd w:val="clear" w:color="auto" w:fill="FFFFFF"/>
                  <w:noWrap/>
                  <w:vAlign w:val="center"/>
                  <w:hideMark/>
                </w:tcPr>
                <w:p w14:paraId="23CF43FE" w14:textId="77777777" w:rsidR="004C0B02" w:rsidRPr="000211AB" w:rsidRDefault="004C0B02" w:rsidP="004C0B02">
                  <w:pPr>
                    <w:rPr>
                      <w:i/>
                      <w:color w:val="000000"/>
                      <w:sz w:val="12"/>
                    </w:rPr>
                  </w:pPr>
                  <w:r w:rsidRPr="000211AB">
                    <w:rPr>
                      <w:i/>
                      <w:color w:val="000000"/>
                      <w:sz w:val="12"/>
                    </w:rPr>
                    <w:t>ESS</w:t>
                  </w:r>
                </w:p>
              </w:tc>
              <w:tc>
                <w:tcPr>
                  <w:tcW w:w="291" w:type="dxa"/>
                  <w:tcBorders>
                    <w:top w:val="nil"/>
                    <w:left w:val="nil"/>
                    <w:bottom w:val="single" w:sz="4" w:space="0" w:color="auto"/>
                    <w:right w:val="single" w:sz="4" w:space="0" w:color="auto"/>
                  </w:tcBorders>
                  <w:shd w:val="clear" w:color="auto" w:fill="FFFFFF"/>
                  <w:noWrap/>
                  <w:vAlign w:val="center"/>
                  <w:hideMark/>
                </w:tcPr>
                <w:p w14:paraId="61701DF8" w14:textId="77777777" w:rsidR="004C0B02" w:rsidRPr="000211AB" w:rsidRDefault="004C0B02" w:rsidP="004C0B02">
                  <w:pPr>
                    <w:rPr>
                      <w:i/>
                      <w:color w:val="000000"/>
                      <w:sz w:val="12"/>
                    </w:rPr>
                  </w:pPr>
                  <w:r w:rsidRPr="000211AB">
                    <w:rPr>
                      <w:i/>
                      <w:color w:val="000000"/>
                      <w:sz w:val="12"/>
                    </w:rPr>
                    <w:t> </w:t>
                  </w:r>
                </w:p>
              </w:tc>
              <w:tc>
                <w:tcPr>
                  <w:tcW w:w="445" w:type="dxa"/>
                  <w:tcBorders>
                    <w:top w:val="nil"/>
                    <w:left w:val="nil"/>
                    <w:bottom w:val="single" w:sz="4" w:space="0" w:color="auto"/>
                    <w:right w:val="nil"/>
                  </w:tcBorders>
                  <w:shd w:val="clear" w:color="auto" w:fill="FFFFFF"/>
                  <w:noWrap/>
                  <w:vAlign w:val="center"/>
                  <w:hideMark/>
                </w:tcPr>
                <w:p w14:paraId="253AA3DD" w14:textId="77777777" w:rsidR="004C0B02" w:rsidRPr="000211AB" w:rsidRDefault="004C0B02" w:rsidP="004C0B02">
                  <w:pPr>
                    <w:rPr>
                      <w:i/>
                      <w:color w:val="000000"/>
                      <w:sz w:val="12"/>
                    </w:rPr>
                  </w:pPr>
                  <w:r w:rsidRPr="000211AB">
                    <w:rPr>
                      <w:i/>
                      <w:color w:val="000000"/>
                      <w:sz w:val="12"/>
                    </w:rPr>
                    <w:t>Vzhod</w:t>
                  </w:r>
                </w:p>
              </w:tc>
              <w:tc>
                <w:tcPr>
                  <w:tcW w:w="190" w:type="dxa"/>
                  <w:tcBorders>
                    <w:top w:val="nil"/>
                    <w:left w:val="nil"/>
                    <w:bottom w:val="single" w:sz="4" w:space="0" w:color="auto"/>
                    <w:right w:val="single" w:sz="4" w:space="0" w:color="auto"/>
                  </w:tcBorders>
                  <w:shd w:val="clear" w:color="auto" w:fill="FFFFFF"/>
                  <w:noWrap/>
                  <w:vAlign w:val="center"/>
                  <w:hideMark/>
                </w:tcPr>
                <w:p w14:paraId="55AD16EC" w14:textId="77777777" w:rsidR="004C0B02" w:rsidRPr="000211AB" w:rsidRDefault="004C0B02" w:rsidP="004C0B02">
                  <w:pPr>
                    <w:rPr>
                      <w:i/>
                      <w:color w:val="000000"/>
                      <w:sz w:val="12"/>
                    </w:rPr>
                  </w:pPr>
                  <w:r w:rsidRPr="000211AB">
                    <w:rPr>
                      <w:i/>
                      <w:color w:val="000000"/>
                      <w:sz w:val="12"/>
                    </w:rPr>
                    <w:t> </w:t>
                  </w:r>
                </w:p>
              </w:tc>
              <w:tc>
                <w:tcPr>
                  <w:tcW w:w="544" w:type="dxa"/>
                  <w:tcBorders>
                    <w:top w:val="nil"/>
                    <w:left w:val="nil"/>
                    <w:bottom w:val="single" w:sz="4" w:space="0" w:color="auto"/>
                    <w:right w:val="nil"/>
                  </w:tcBorders>
                  <w:shd w:val="clear" w:color="auto" w:fill="FFFFFF"/>
                  <w:noWrap/>
                  <w:vAlign w:val="center"/>
                </w:tcPr>
                <w:p w14:paraId="6C553A11" w14:textId="77777777" w:rsidR="004C0B02" w:rsidRPr="000211AB" w:rsidRDefault="004C0B02" w:rsidP="004C0B02">
                  <w:pPr>
                    <w:jc w:val="right"/>
                    <w:rPr>
                      <w:i/>
                      <w:color w:val="000000"/>
                      <w:sz w:val="12"/>
                    </w:rPr>
                  </w:pPr>
                </w:p>
              </w:tc>
              <w:tc>
                <w:tcPr>
                  <w:tcW w:w="160" w:type="dxa"/>
                  <w:tcBorders>
                    <w:top w:val="nil"/>
                    <w:left w:val="nil"/>
                    <w:bottom w:val="single" w:sz="4" w:space="0" w:color="auto"/>
                    <w:right w:val="single" w:sz="12" w:space="0" w:color="auto"/>
                  </w:tcBorders>
                  <w:shd w:val="clear" w:color="auto" w:fill="FFFFFF"/>
                  <w:noWrap/>
                  <w:vAlign w:val="center"/>
                </w:tcPr>
                <w:p w14:paraId="1CA19251" w14:textId="77777777" w:rsidR="004C0B02" w:rsidRPr="000211AB" w:rsidRDefault="004C0B02" w:rsidP="004C0B02">
                  <w:pPr>
                    <w:rPr>
                      <w:i/>
                      <w:color w:val="000000"/>
                      <w:sz w:val="12"/>
                    </w:rPr>
                  </w:pPr>
                </w:p>
              </w:tc>
            </w:tr>
            <w:tr w:rsidR="004C0B02" w:rsidRPr="000211AB" w14:paraId="528208D3" w14:textId="77777777" w:rsidTr="00DB2234">
              <w:trPr>
                <w:trHeight w:val="402"/>
              </w:trPr>
              <w:tc>
                <w:tcPr>
                  <w:tcW w:w="416" w:type="dxa"/>
                  <w:tcBorders>
                    <w:top w:val="single" w:sz="12" w:space="0" w:color="auto"/>
                    <w:left w:val="single" w:sz="12" w:space="0" w:color="auto"/>
                    <w:bottom w:val="single" w:sz="4" w:space="0" w:color="auto"/>
                    <w:right w:val="nil"/>
                  </w:tcBorders>
                  <w:shd w:val="clear" w:color="auto" w:fill="FFFFFF"/>
                  <w:noWrap/>
                  <w:vAlign w:val="bottom"/>
                  <w:hideMark/>
                </w:tcPr>
                <w:p w14:paraId="57C3AB61" w14:textId="2323C977" w:rsidR="004C0B02" w:rsidRPr="000211AB" w:rsidRDefault="004C0B02" w:rsidP="004C0B02">
                  <w:pPr>
                    <w:rPr>
                      <w:b/>
                      <w:bCs/>
                      <w:i/>
                      <w:color w:val="000000"/>
                      <w:sz w:val="12"/>
                    </w:rPr>
                  </w:pPr>
                </w:p>
              </w:tc>
              <w:tc>
                <w:tcPr>
                  <w:tcW w:w="1129" w:type="dxa"/>
                  <w:tcBorders>
                    <w:top w:val="single" w:sz="4" w:space="0" w:color="auto"/>
                    <w:left w:val="single" w:sz="4" w:space="0" w:color="auto"/>
                    <w:bottom w:val="single" w:sz="4" w:space="0" w:color="auto"/>
                    <w:right w:val="nil"/>
                  </w:tcBorders>
                  <w:shd w:val="clear" w:color="auto" w:fill="FFFFFF"/>
                  <w:noWrap/>
                  <w:vAlign w:val="center"/>
                  <w:hideMark/>
                </w:tcPr>
                <w:p w14:paraId="08927EC9" w14:textId="7091C622" w:rsidR="004C0B02" w:rsidRPr="000211AB" w:rsidRDefault="004C0B02" w:rsidP="004C0B02">
                  <w:pPr>
                    <w:rPr>
                      <w:b/>
                      <w:bCs/>
                      <w:i/>
                      <w:color w:val="000000"/>
                      <w:sz w:val="12"/>
                    </w:rPr>
                  </w:pPr>
                  <w:r w:rsidRPr="004C0B02">
                    <w:rPr>
                      <w:b/>
                      <w:bCs/>
                      <w:i/>
                      <w:color w:val="000000"/>
                      <w:sz w:val="12"/>
                    </w:rPr>
                    <w:t>Število višješolskih zavodov, vključenih v izvajanju programa Mobilnost študentov iz socialno šibkejših okolij.</w:t>
                  </w:r>
                </w:p>
              </w:tc>
              <w:tc>
                <w:tcPr>
                  <w:tcW w:w="190" w:type="dxa"/>
                  <w:tcBorders>
                    <w:top w:val="nil"/>
                    <w:left w:val="nil"/>
                    <w:bottom w:val="single" w:sz="4" w:space="0" w:color="auto"/>
                    <w:right w:val="nil"/>
                  </w:tcBorders>
                  <w:shd w:val="clear" w:color="auto" w:fill="FFFFFF"/>
                  <w:noWrap/>
                  <w:vAlign w:val="center"/>
                  <w:hideMark/>
                </w:tcPr>
                <w:p w14:paraId="771690A0" w14:textId="77777777" w:rsidR="004C0B02" w:rsidRPr="000211AB" w:rsidRDefault="004C0B02" w:rsidP="004C0B02">
                  <w:pPr>
                    <w:rPr>
                      <w:b/>
                      <w:bCs/>
                      <w:i/>
                      <w:color w:val="000000"/>
                      <w:sz w:val="12"/>
                    </w:rPr>
                  </w:pPr>
                  <w:r w:rsidRPr="000211AB">
                    <w:rPr>
                      <w:b/>
                      <w:bCs/>
                      <w:i/>
                      <w:color w:val="000000"/>
                      <w:sz w:val="12"/>
                    </w:rPr>
                    <w:t> </w:t>
                  </w:r>
                </w:p>
              </w:tc>
              <w:tc>
                <w:tcPr>
                  <w:tcW w:w="190" w:type="dxa"/>
                  <w:tcBorders>
                    <w:top w:val="nil"/>
                    <w:left w:val="nil"/>
                    <w:bottom w:val="single" w:sz="4" w:space="0" w:color="auto"/>
                    <w:right w:val="nil"/>
                  </w:tcBorders>
                  <w:shd w:val="clear" w:color="auto" w:fill="FFFFFF"/>
                  <w:noWrap/>
                  <w:vAlign w:val="center"/>
                  <w:hideMark/>
                </w:tcPr>
                <w:p w14:paraId="37B73F63" w14:textId="77777777" w:rsidR="004C0B02" w:rsidRPr="000211AB" w:rsidRDefault="004C0B02" w:rsidP="004C0B02">
                  <w:pPr>
                    <w:rPr>
                      <w:b/>
                      <w:bCs/>
                      <w:i/>
                      <w:color w:val="000000"/>
                      <w:sz w:val="12"/>
                    </w:rPr>
                  </w:pPr>
                  <w:r w:rsidRPr="000211AB">
                    <w:rPr>
                      <w:b/>
                      <w:bCs/>
                      <w:i/>
                      <w:color w:val="000000"/>
                      <w:sz w:val="12"/>
                    </w:rPr>
                    <w:t> </w:t>
                  </w:r>
                </w:p>
              </w:tc>
              <w:tc>
                <w:tcPr>
                  <w:tcW w:w="190" w:type="dxa"/>
                  <w:tcBorders>
                    <w:top w:val="nil"/>
                    <w:left w:val="nil"/>
                    <w:bottom w:val="single" w:sz="4" w:space="0" w:color="auto"/>
                    <w:right w:val="nil"/>
                  </w:tcBorders>
                  <w:shd w:val="clear" w:color="auto" w:fill="FFFFFF"/>
                  <w:noWrap/>
                  <w:vAlign w:val="center"/>
                  <w:hideMark/>
                </w:tcPr>
                <w:p w14:paraId="0C079D26" w14:textId="77777777" w:rsidR="004C0B02" w:rsidRPr="000211AB" w:rsidRDefault="004C0B02" w:rsidP="004C0B02">
                  <w:pPr>
                    <w:rPr>
                      <w:b/>
                      <w:bCs/>
                      <w:i/>
                      <w:color w:val="000000"/>
                      <w:sz w:val="12"/>
                    </w:rPr>
                  </w:pPr>
                  <w:r w:rsidRPr="000211AB">
                    <w:rPr>
                      <w:b/>
                      <w:bCs/>
                      <w:i/>
                      <w:color w:val="000000"/>
                      <w:sz w:val="12"/>
                    </w:rPr>
                    <w:t> </w:t>
                  </w:r>
                </w:p>
              </w:tc>
              <w:tc>
                <w:tcPr>
                  <w:tcW w:w="190" w:type="dxa"/>
                  <w:tcBorders>
                    <w:top w:val="nil"/>
                    <w:left w:val="nil"/>
                    <w:bottom w:val="single" w:sz="4" w:space="0" w:color="auto"/>
                    <w:right w:val="single" w:sz="4" w:space="0" w:color="auto"/>
                  </w:tcBorders>
                  <w:shd w:val="clear" w:color="auto" w:fill="FFFFFF"/>
                  <w:noWrap/>
                  <w:vAlign w:val="center"/>
                  <w:hideMark/>
                </w:tcPr>
                <w:p w14:paraId="1B2468AA" w14:textId="77777777" w:rsidR="004C0B02" w:rsidRPr="000211AB" w:rsidRDefault="004C0B02" w:rsidP="004C0B02">
                  <w:pPr>
                    <w:rPr>
                      <w:b/>
                      <w:bCs/>
                      <w:i/>
                      <w:color w:val="000000"/>
                      <w:sz w:val="12"/>
                    </w:rPr>
                  </w:pPr>
                  <w:r w:rsidRPr="000211AB">
                    <w:rPr>
                      <w:b/>
                      <w:bCs/>
                      <w:i/>
                      <w:color w:val="000000"/>
                      <w:sz w:val="12"/>
                    </w:rPr>
                    <w:t> </w:t>
                  </w:r>
                </w:p>
              </w:tc>
              <w:tc>
                <w:tcPr>
                  <w:tcW w:w="479" w:type="dxa"/>
                  <w:tcBorders>
                    <w:top w:val="nil"/>
                    <w:left w:val="nil"/>
                    <w:bottom w:val="single" w:sz="4" w:space="0" w:color="auto"/>
                    <w:right w:val="nil"/>
                  </w:tcBorders>
                  <w:shd w:val="clear" w:color="auto" w:fill="FFFFFF"/>
                  <w:noWrap/>
                  <w:vAlign w:val="center"/>
                  <w:hideMark/>
                </w:tcPr>
                <w:p w14:paraId="5ECFFB87" w14:textId="77777777" w:rsidR="004C0B02" w:rsidRPr="000211AB" w:rsidRDefault="004C0B02" w:rsidP="004C0B02">
                  <w:pPr>
                    <w:rPr>
                      <w:b/>
                      <w:bCs/>
                      <w:i/>
                      <w:color w:val="000000"/>
                      <w:sz w:val="12"/>
                    </w:rPr>
                  </w:pPr>
                  <w:r w:rsidRPr="000211AB">
                    <w:rPr>
                      <w:b/>
                      <w:bCs/>
                      <w:i/>
                      <w:color w:val="000000"/>
                      <w:sz w:val="12"/>
                    </w:rPr>
                    <w:t>Število</w:t>
                  </w:r>
                </w:p>
              </w:tc>
              <w:tc>
                <w:tcPr>
                  <w:tcW w:w="190" w:type="dxa"/>
                  <w:tcBorders>
                    <w:top w:val="nil"/>
                    <w:left w:val="nil"/>
                    <w:bottom w:val="single" w:sz="4" w:space="0" w:color="auto"/>
                    <w:right w:val="single" w:sz="4" w:space="0" w:color="auto"/>
                  </w:tcBorders>
                  <w:shd w:val="clear" w:color="auto" w:fill="FFFFFF"/>
                  <w:noWrap/>
                  <w:vAlign w:val="center"/>
                  <w:hideMark/>
                </w:tcPr>
                <w:p w14:paraId="6BF1459A" w14:textId="77777777" w:rsidR="004C0B02" w:rsidRPr="000211AB" w:rsidRDefault="004C0B02" w:rsidP="004C0B02">
                  <w:pPr>
                    <w:rPr>
                      <w:b/>
                      <w:bCs/>
                      <w:i/>
                      <w:color w:val="000000"/>
                      <w:sz w:val="12"/>
                    </w:rPr>
                  </w:pPr>
                  <w:r w:rsidRPr="000211AB">
                    <w:rPr>
                      <w:b/>
                      <w:bCs/>
                      <w:i/>
                      <w:color w:val="000000"/>
                      <w:sz w:val="12"/>
                    </w:rPr>
                    <w:t> </w:t>
                  </w:r>
                </w:p>
              </w:tc>
              <w:tc>
                <w:tcPr>
                  <w:tcW w:w="309" w:type="dxa"/>
                  <w:tcBorders>
                    <w:top w:val="nil"/>
                    <w:left w:val="nil"/>
                    <w:bottom w:val="single" w:sz="4" w:space="0" w:color="auto"/>
                    <w:right w:val="nil"/>
                  </w:tcBorders>
                  <w:shd w:val="clear" w:color="auto" w:fill="FFFFFF"/>
                  <w:noWrap/>
                  <w:vAlign w:val="center"/>
                  <w:hideMark/>
                </w:tcPr>
                <w:p w14:paraId="220823CD" w14:textId="77777777" w:rsidR="004C0B02" w:rsidRPr="000211AB" w:rsidRDefault="004C0B02" w:rsidP="004C0B02">
                  <w:pPr>
                    <w:rPr>
                      <w:i/>
                      <w:color w:val="000000"/>
                      <w:sz w:val="12"/>
                    </w:rPr>
                  </w:pPr>
                  <w:r w:rsidRPr="000211AB">
                    <w:rPr>
                      <w:i/>
                      <w:color w:val="000000"/>
                      <w:sz w:val="12"/>
                    </w:rPr>
                    <w:t>ESS</w:t>
                  </w:r>
                </w:p>
              </w:tc>
              <w:tc>
                <w:tcPr>
                  <w:tcW w:w="291" w:type="dxa"/>
                  <w:tcBorders>
                    <w:top w:val="nil"/>
                    <w:left w:val="nil"/>
                    <w:bottom w:val="single" w:sz="4" w:space="0" w:color="auto"/>
                    <w:right w:val="single" w:sz="4" w:space="0" w:color="auto"/>
                  </w:tcBorders>
                  <w:shd w:val="clear" w:color="auto" w:fill="FFFFFF"/>
                  <w:noWrap/>
                  <w:vAlign w:val="center"/>
                  <w:hideMark/>
                </w:tcPr>
                <w:p w14:paraId="2D5236E1" w14:textId="77777777" w:rsidR="004C0B02" w:rsidRPr="000211AB" w:rsidRDefault="004C0B02" w:rsidP="004C0B02">
                  <w:pPr>
                    <w:rPr>
                      <w:i/>
                      <w:color w:val="000000"/>
                      <w:sz w:val="12"/>
                    </w:rPr>
                  </w:pPr>
                  <w:r w:rsidRPr="000211AB">
                    <w:rPr>
                      <w:i/>
                      <w:color w:val="000000"/>
                      <w:sz w:val="12"/>
                    </w:rPr>
                    <w:t> </w:t>
                  </w:r>
                </w:p>
              </w:tc>
              <w:tc>
                <w:tcPr>
                  <w:tcW w:w="445" w:type="dxa"/>
                  <w:tcBorders>
                    <w:top w:val="nil"/>
                    <w:left w:val="nil"/>
                    <w:bottom w:val="single" w:sz="4" w:space="0" w:color="auto"/>
                    <w:right w:val="nil"/>
                  </w:tcBorders>
                  <w:shd w:val="clear" w:color="auto" w:fill="FFFFFF"/>
                  <w:noWrap/>
                  <w:vAlign w:val="center"/>
                  <w:hideMark/>
                </w:tcPr>
                <w:p w14:paraId="4610338C" w14:textId="77777777" w:rsidR="004C0B02" w:rsidRPr="000211AB" w:rsidRDefault="004C0B02" w:rsidP="004C0B02">
                  <w:pPr>
                    <w:rPr>
                      <w:i/>
                      <w:color w:val="000000"/>
                      <w:sz w:val="12"/>
                    </w:rPr>
                  </w:pPr>
                  <w:r w:rsidRPr="000211AB">
                    <w:rPr>
                      <w:i/>
                      <w:color w:val="000000"/>
                      <w:sz w:val="12"/>
                    </w:rPr>
                    <w:t>Zahod</w:t>
                  </w:r>
                </w:p>
              </w:tc>
              <w:tc>
                <w:tcPr>
                  <w:tcW w:w="190" w:type="dxa"/>
                  <w:tcBorders>
                    <w:top w:val="nil"/>
                    <w:left w:val="nil"/>
                    <w:bottom w:val="single" w:sz="4" w:space="0" w:color="auto"/>
                    <w:right w:val="single" w:sz="4" w:space="0" w:color="auto"/>
                  </w:tcBorders>
                  <w:shd w:val="clear" w:color="auto" w:fill="FFFFFF"/>
                  <w:noWrap/>
                  <w:vAlign w:val="center"/>
                  <w:hideMark/>
                </w:tcPr>
                <w:p w14:paraId="76966B95" w14:textId="77777777" w:rsidR="004C0B02" w:rsidRPr="000211AB" w:rsidRDefault="004C0B02" w:rsidP="004C0B02">
                  <w:pPr>
                    <w:rPr>
                      <w:i/>
                      <w:color w:val="000000"/>
                      <w:sz w:val="12"/>
                    </w:rPr>
                  </w:pPr>
                  <w:r w:rsidRPr="000211AB">
                    <w:rPr>
                      <w:i/>
                      <w:color w:val="000000"/>
                      <w:sz w:val="12"/>
                    </w:rPr>
                    <w:t> </w:t>
                  </w:r>
                </w:p>
              </w:tc>
              <w:tc>
                <w:tcPr>
                  <w:tcW w:w="544" w:type="dxa"/>
                  <w:tcBorders>
                    <w:top w:val="nil"/>
                    <w:left w:val="nil"/>
                    <w:bottom w:val="single" w:sz="4" w:space="0" w:color="auto"/>
                    <w:right w:val="nil"/>
                  </w:tcBorders>
                  <w:shd w:val="clear" w:color="auto" w:fill="FFFFFF"/>
                  <w:noWrap/>
                  <w:vAlign w:val="bottom"/>
                </w:tcPr>
                <w:p w14:paraId="03AA1849" w14:textId="77777777" w:rsidR="004C0B02" w:rsidRPr="000211AB" w:rsidRDefault="004C0B02" w:rsidP="004C0B02">
                  <w:pPr>
                    <w:jc w:val="right"/>
                    <w:rPr>
                      <w:i/>
                      <w:color w:val="000000"/>
                      <w:sz w:val="12"/>
                    </w:rPr>
                  </w:pPr>
                </w:p>
              </w:tc>
              <w:tc>
                <w:tcPr>
                  <w:tcW w:w="160" w:type="dxa"/>
                  <w:tcBorders>
                    <w:top w:val="nil"/>
                    <w:left w:val="nil"/>
                    <w:bottom w:val="single" w:sz="4" w:space="0" w:color="auto"/>
                    <w:right w:val="single" w:sz="12" w:space="0" w:color="auto"/>
                  </w:tcBorders>
                  <w:shd w:val="clear" w:color="auto" w:fill="FFFFFF"/>
                  <w:noWrap/>
                  <w:vAlign w:val="bottom"/>
                </w:tcPr>
                <w:p w14:paraId="2F726463" w14:textId="77777777" w:rsidR="004C0B02" w:rsidRPr="000211AB" w:rsidRDefault="004C0B02" w:rsidP="004C0B02">
                  <w:pPr>
                    <w:rPr>
                      <w:i/>
                      <w:color w:val="000000"/>
                      <w:sz w:val="12"/>
                    </w:rPr>
                  </w:pPr>
                </w:p>
              </w:tc>
            </w:tr>
          </w:tbl>
          <w:p w14:paraId="3F3B6950" w14:textId="77777777" w:rsidR="00FF2E00" w:rsidRDefault="00FF2E00" w:rsidP="00B76210">
            <w:pPr>
              <w:spacing w:after="0" w:line="260" w:lineRule="exact"/>
              <w:rPr>
                <w:rFonts w:eastAsia="Times New Roman"/>
                <w:i/>
                <w:sz w:val="14"/>
                <w:szCs w:val="16"/>
              </w:rPr>
            </w:pPr>
            <w:r w:rsidRPr="000211AB">
              <w:rPr>
                <w:rFonts w:eastAsia="Times New Roman"/>
                <w:i/>
                <w:sz w:val="14"/>
                <w:szCs w:val="16"/>
              </w:rPr>
              <w:t>Upravičenec kazalnik učinka iz Operativnega programa 2014 – 2020 ne spremlja. Spremlja ga MIZŠ.</w:t>
            </w:r>
          </w:p>
          <w:p w14:paraId="6544068A" w14:textId="77777777" w:rsidR="00FF2E00" w:rsidRDefault="00FF2E00" w:rsidP="00B76210">
            <w:pPr>
              <w:spacing w:after="0" w:line="260" w:lineRule="exact"/>
              <w:rPr>
                <w:rFonts w:eastAsia="Times New Roman"/>
                <w:i/>
                <w:sz w:val="14"/>
                <w:szCs w:val="16"/>
              </w:rPr>
            </w:pPr>
          </w:p>
          <w:tbl>
            <w:tblPr>
              <w:tblW w:w="4521" w:type="dxa"/>
              <w:tblInd w:w="85" w:type="dxa"/>
              <w:shd w:val="clear" w:color="auto" w:fill="FFFFFF"/>
              <w:tblCellMar>
                <w:left w:w="70" w:type="dxa"/>
                <w:right w:w="70" w:type="dxa"/>
              </w:tblCellMar>
              <w:tblLook w:val="04A0" w:firstRow="1" w:lastRow="0" w:firstColumn="1" w:lastColumn="0" w:noHBand="0" w:noVBand="1"/>
            </w:tblPr>
            <w:tblGrid>
              <w:gridCol w:w="411"/>
              <w:gridCol w:w="1701"/>
              <w:gridCol w:w="190"/>
              <w:gridCol w:w="299"/>
              <w:gridCol w:w="214"/>
              <w:gridCol w:w="309"/>
              <w:gridCol w:w="213"/>
              <w:gridCol w:w="445"/>
              <w:gridCol w:w="190"/>
              <w:gridCol w:w="289"/>
              <w:gridCol w:w="308"/>
            </w:tblGrid>
            <w:tr w:rsidR="00FF2E00" w:rsidRPr="001A530F" w14:paraId="193C9D02" w14:textId="77777777" w:rsidTr="003F77B4">
              <w:trPr>
                <w:trHeight w:val="499"/>
              </w:trPr>
              <w:tc>
                <w:tcPr>
                  <w:tcW w:w="411" w:type="dxa"/>
                  <w:tcBorders>
                    <w:top w:val="single" w:sz="12" w:space="0" w:color="auto"/>
                    <w:left w:val="single" w:sz="12" w:space="0" w:color="auto"/>
                    <w:bottom w:val="single" w:sz="12" w:space="0" w:color="auto"/>
                    <w:right w:val="single" w:sz="12" w:space="0" w:color="auto"/>
                  </w:tcBorders>
                  <w:shd w:val="clear" w:color="auto" w:fill="FFFFFF"/>
                  <w:noWrap/>
                  <w:vAlign w:val="center"/>
                  <w:hideMark/>
                </w:tcPr>
                <w:p w14:paraId="4554A49D" w14:textId="77777777" w:rsidR="00FF2E00" w:rsidRPr="001A530F" w:rsidRDefault="00FF2E00" w:rsidP="00FF2E00">
                  <w:pPr>
                    <w:jc w:val="center"/>
                    <w:rPr>
                      <w:b/>
                      <w:bCs/>
                      <w:color w:val="000000"/>
                      <w:sz w:val="12"/>
                      <w:szCs w:val="28"/>
                    </w:rPr>
                  </w:pPr>
                  <w:r w:rsidRPr="001A530F">
                    <w:rPr>
                      <w:b/>
                      <w:bCs/>
                      <w:color w:val="000000"/>
                      <w:sz w:val="12"/>
                      <w:szCs w:val="28"/>
                    </w:rPr>
                    <w:t>ID</w:t>
                  </w:r>
                </w:p>
              </w:tc>
              <w:tc>
                <w:tcPr>
                  <w:tcW w:w="1891" w:type="dxa"/>
                  <w:gridSpan w:val="2"/>
                  <w:tcBorders>
                    <w:top w:val="single" w:sz="12" w:space="0" w:color="auto"/>
                    <w:left w:val="nil"/>
                    <w:bottom w:val="single" w:sz="12" w:space="0" w:color="auto"/>
                    <w:right w:val="single" w:sz="4" w:space="0" w:color="000000"/>
                  </w:tcBorders>
                  <w:shd w:val="clear" w:color="auto" w:fill="FFFFFF"/>
                  <w:noWrap/>
                  <w:vAlign w:val="center"/>
                  <w:hideMark/>
                </w:tcPr>
                <w:p w14:paraId="5B3BE9DC" w14:textId="77777777" w:rsidR="00FF2E00" w:rsidRPr="001A530F" w:rsidRDefault="00FF2E00" w:rsidP="00FF2E00">
                  <w:pPr>
                    <w:jc w:val="center"/>
                    <w:rPr>
                      <w:b/>
                      <w:bCs/>
                      <w:color w:val="000000"/>
                      <w:sz w:val="12"/>
                      <w:szCs w:val="28"/>
                    </w:rPr>
                  </w:pPr>
                  <w:commentRangeStart w:id="11"/>
                  <w:r w:rsidRPr="001A530F">
                    <w:rPr>
                      <w:b/>
                      <w:bCs/>
                      <w:color w:val="000000"/>
                      <w:sz w:val="12"/>
                      <w:szCs w:val="28"/>
                    </w:rPr>
                    <w:t>Kazalnik</w:t>
                  </w:r>
                  <w:commentRangeEnd w:id="11"/>
                  <w:r>
                    <w:rPr>
                      <w:rStyle w:val="Pripombasklic"/>
                    </w:rPr>
                    <w:commentReference w:id="11"/>
                  </w:r>
                </w:p>
              </w:tc>
              <w:tc>
                <w:tcPr>
                  <w:tcW w:w="513" w:type="dxa"/>
                  <w:gridSpan w:val="2"/>
                  <w:tcBorders>
                    <w:top w:val="single" w:sz="12" w:space="0" w:color="auto"/>
                    <w:left w:val="nil"/>
                    <w:bottom w:val="single" w:sz="12" w:space="0" w:color="auto"/>
                    <w:right w:val="single" w:sz="4" w:space="0" w:color="000000"/>
                  </w:tcBorders>
                  <w:shd w:val="clear" w:color="auto" w:fill="FFFFFF"/>
                  <w:noWrap/>
                  <w:vAlign w:val="center"/>
                  <w:hideMark/>
                </w:tcPr>
                <w:p w14:paraId="24877A0F" w14:textId="77777777" w:rsidR="00FF2E00" w:rsidRPr="001A530F" w:rsidRDefault="00FF2E00" w:rsidP="00FF2E00">
                  <w:pPr>
                    <w:jc w:val="center"/>
                    <w:rPr>
                      <w:b/>
                      <w:bCs/>
                      <w:color w:val="000000"/>
                      <w:sz w:val="12"/>
                      <w:szCs w:val="28"/>
                    </w:rPr>
                  </w:pPr>
                  <w:r w:rsidRPr="001A530F">
                    <w:rPr>
                      <w:b/>
                      <w:bCs/>
                      <w:color w:val="000000"/>
                      <w:sz w:val="12"/>
                      <w:szCs w:val="28"/>
                    </w:rPr>
                    <w:t>Merska enota</w:t>
                  </w:r>
                </w:p>
              </w:tc>
              <w:tc>
                <w:tcPr>
                  <w:tcW w:w="522" w:type="dxa"/>
                  <w:gridSpan w:val="2"/>
                  <w:tcBorders>
                    <w:top w:val="single" w:sz="12" w:space="0" w:color="auto"/>
                    <w:left w:val="nil"/>
                    <w:bottom w:val="single" w:sz="12" w:space="0" w:color="auto"/>
                    <w:right w:val="single" w:sz="4" w:space="0" w:color="auto"/>
                  </w:tcBorders>
                  <w:shd w:val="clear" w:color="auto" w:fill="FFFFFF"/>
                  <w:noWrap/>
                  <w:vAlign w:val="center"/>
                  <w:hideMark/>
                </w:tcPr>
                <w:p w14:paraId="7C6262D1" w14:textId="77777777" w:rsidR="00FF2E00" w:rsidRPr="001A530F" w:rsidRDefault="00FF2E00" w:rsidP="00FF2E00">
                  <w:pPr>
                    <w:jc w:val="center"/>
                    <w:rPr>
                      <w:b/>
                      <w:bCs/>
                      <w:color w:val="000000"/>
                      <w:sz w:val="12"/>
                      <w:szCs w:val="28"/>
                    </w:rPr>
                  </w:pPr>
                  <w:r w:rsidRPr="001A530F">
                    <w:rPr>
                      <w:b/>
                      <w:bCs/>
                      <w:color w:val="000000"/>
                      <w:sz w:val="12"/>
                      <w:szCs w:val="28"/>
                    </w:rPr>
                    <w:t>Sklad</w:t>
                  </w:r>
                </w:p>
              </w:tc>
              <w:tc>
                <w:tcPr>
                  <w:tcW w:w="635" w:type="dxa"/>
                  <w:gridSpan w:val="2"/>
                  <w:tcBorders>
                    <w:top w:val="single" w:sz="12" w:space="0" w:color="auto"/>
                    <w:left w:val="nil"/>
                    <w:bottom w:val="single" w:sz="12" w:space="0" w:color="auto"/>
                    <w:right w:val="single" w:sz="4" w:space="0" w:color="auto"/>
                  </w:tcBorders>
                  <w:shd w:val="clear" w:color="auto" w:fill="FFFFFF"/>
                  <w:noWrap/>
                  <w:vAlign w:val="center"/>
                  <w:hideMark/>
                </w:tcPr>
                <w:p w14:paraId="6575F62B" w14:textId="77777777" w:rsidR="00FF2E00" w:rsidRPr="001A530F" w:rsidRDefault="00FF2E00" w:rsidP="00FF2E00">
                  <w:pPr>
                    <w:jc w:val="center"/>
                    <w:rPr>
                      <w:b/>
                      <w:bCs/>
                      <w:color w:val="000000"/>
                      <w:sz w:val="12"/>
                      <w:szCs w:val="28"/>
                    </w:rPr>
                  </w:pPr>
                  <w:r w:rsidRPr="001A530F">
                    <w:rPr>
                      <w:b/>
                      <w:bCs/>
                      <w:color w:val="000000"/>
                      <w:sz w:val="12"/>
                      <w:szCs w:val="28"/>
                    </w:rPr>
                    <w:t>Regija</w:t>
                  </w:r>
                </w:p>
              </w:tc>
              <w:tc>
                <w:tcPr>
                  <w:tcW w:w="549" w:type="dxa"/>
                  <w:gridSpan w:val="2"/>
                  <w:tcBorders>
                    <w:top w:val="single" w:sz="12" w:space="0" w:color="auto"/>
                    <w:left w:val="nil"/>
                    <w:bottom w:val="single" w:sz="12" w:space="0" w:color="auto"/>
                    <w:right w:val="single" w:sz="4" w:space="0" w:color="auto"/>
                  </w:tcBorders>
                  <w:shd w:val="clear" w:color="auto" w:fill="FFFFFF"/>
                  <w:noWrap/>
                  <w:vAlign w:val="center"/>
                  <w:hideMark/>
                </w:tcPr>
                <w:p w14:paraId="7971AE67" w14:textId="77777777" w:rsidR="00FF2E00" w:rsidRPr="001A530F" w:rsidRDefault="00FF2E00" w:rsidP="00FF2E00">
                  <w:pPr>
                    <w:jc w:val="center"/>
                    <w:rPr>
                      <w:b/>
                      <w:bCs/>
                      <w:color w:val="000000"/>
                      <w:sz w:val="12"/>
                      <w:szCs w:val="28"/>
                    </w:rPr>
                  </w:pPr>
                  <w:r w:rsidRPr="001A530F">
                    <w:rPr>
                      <w:b/>
                      <w:bCs/>
                      <w:color w:val="000000"/>
                      <w:sz w:val="12"/>
                      <w:szCs w:val="28"/>
                    </w:rPr>
                    <w:t>Ciljna Vrednost</w:t>
                  </w:r>
                </w:p>
              </w:tc>
            </w:tr>
            <w:tr w:rsidR="00FF2E00" w:rsidRPr="001A530F" w14:paraId="679E3F5E" w14:textId="77777777" w:rsidTr="003F77B4">
              <w:trPr>
                <w:trHeight w:val="106"/>
              </w:trPr>
              <w:tc>
                <w:tcPr>
                  <w:tcW w:w="411" w:type="dxa"/>
                  <w:tcBorders>
                    <w:top w:val="nil"/>
                    <w:left w:val="single" w:sz="12" w:space="0" w:color="auto"/>
                    <w:bottom w:val="nil"/>
                    <w:right w:val="nil"/>
                  </w:tcBorders>
                  <w:shd w:val="clear" w:color="auto" w:fill="FFFFFF"/>
                  <w:noWrap/>
                  <w:vAlign w:val="center"/>
                  <w:hideMark/>
                </w:tcPr>
                <w:p w14:paraId="4560054E" w14:textId="77777777" w:rsidR="00FF2E00" w:rsidRPr="001A530F" w:rsidRDefault="00FF2E00" w:rsidP="00FF2E00">
                  <w:pPr>
                    <w:rPr>
                      <w:b/>
                      <w:bCs/>
                      <w:color w:val="000000"/>
                      <w:sz w:val="12"/>
                    </w:rPr>
                  </w:pPr>
                  <w:r w:rsidRPr="001A530F">
                    <w:rPr>
                      <w:b/>
                      <w:bCs/>
                      <w:color w:val="000000"/>
                      <w:sz w:val="12"/>
                    </w:rPr>
                    <w:t>10.6</w:t>
                  </w:r>
                </w:p>
              </w:tc>
              <w:tc>
                <w:tcPr>
                  <w:tcW w:w="1701" w:type="dxa"/>
                  <w:tcBorders>
                    <w:top w:val="single" w:sz="12" w:space="0" w:color="auto"/>
                    <w:left w:val="single" w:sz="4" w:space="0" w:color="auto"/>
                    <w:bottom w:val="single" w:sz="4" w:space="0" w:color="auto"/>
                    <w:right w:val="nil"/>
                  </w:tcBorders>
                  <w:shd w:val="clear" w:color="auto" w:fill="FFFFFF"/>
                  <w:noWrap/>
                  <w:vAlign w:val="center"/>
                  <w:hideMark/>
                </w:tcPr>
                <w:p w14:paraId="0FB8684A" w14:textId="77777777" w:rsidR="00FF2E00" w:rsidRPr="001A530F" w:rsidRDefault="00FF2E00" w:rsidP="00FF2E00">
                  <w:pPr>
                    <w:rPr>
                      <w:b/>
                      <w:bCs/>
                      <w:color w:val="000000"/>
                      <w:sz w:val="12"/>
                    </w:rPr>
                  </w:pPr>
                  <w:r w:rsidRPr="001A530F">
                    <w:rPr>
                      <w:b/>
                      <w:bCs/>
                      <w:color w:val="000000"/>
                      <w:sz w:val="12"/>
                    </w:rPr>
                    <w:t xml:space="preserve">Delež visokošolskih zavodov, ki so uspešno izvedli strategije prožnih oblik učenja </w:t>
                  </w:r>
                </w:p>
              </w:tc>
              <w:tc>
                <w:tcPr>
                  <w:tcW w:w="190" w:type="dxa"/>
                  <w:tcBorders>
                    <w:top w:val="nil"/>
                    <w:left w:val="nil"/>
                    <w:bottom w:val="single" w:sz="4" w:space="0" w:color="auto"/>
                    <w:right w:val="single" w:sz="4" w:space="0" w:color="auto"/>
                  </w:tcBorders>
                  <w:shd w:val="clear" w:color="auto" w:fill="FFFFFF"/>
                  <w:noWrap/>
                  <w:vAlign w:val="center"/>
                  <w:hideMark/>
                </w:tcPr>
                <w:p w14:paraId="3085A864" w14:textId="77777777" w:rsidR="00FF2E00" w:rsidRPr="001A530F" w:rsidRDefault="00FF2E00" w:rsidP="00FF2E00">
                  <w:pPr>
                    <w:rPr>
                      <w:b/>
                      <w:bCs/>
                      <w:color w:val="000000"/>
                      <w:sz w:val="12"/>
                    </w:rPr>
                  </w:pPr>
                  <w:r w:rsidRPr="001A530F">
                    <w:rPr>
                      <w:b/>
                      <w:bCs/>
                      <w:color w:val="000000"/>
                      <w:sz w:val="12"/>
                    </w:rPr>
                    <w:t> </w:t>
                  </w:r>
                </w:p>
              </w:tc>
              <w:tc>
                <w:tcPr>
                  <w:tcW w:w="299" w:type="dxa"/>
                  <w:tcBorders>
                    <w:top w:val="nil"/>
                    <w:left w:val="nil"/>
                    <w:bottom w:val="single" w:sz="4" w:space="0" w:color="auto"/>
                    <w:right w:val="nil"/>
                  </w:tcBorders>
                  <w:shd w:val="clear" w:color="auto" w:fill="FFFFFF"/>
                  <w:noWrap/>
                  <w:vAlign w:val="center"/>
                  <w:hideMark/>
                </w:tcPr>
                <w:p w14:paraId="1299BF13" w14:textId="77777777" w:rsidR="00FF2E00" w:rsidRPr="001A530F" w:rsidRDefault="00FF2E00" w:rsidP="00FF2E00">
                  <w:pPr>
                    <w:rPr>
                      <w:b/>
                      <w:bCs/>
                      <w:color w:val="000000"/>
                      <w:sz w:val="12"/>
                    </w:rPr>
                  </w:pPr>
                  <w:r w:rsidRPr="001A530F">
                    <w:rPr>
                      <w:b/>
                      <w:bCs/>
                      <w:color w:val="000000"/>
                      <w:sz w:val="12"/>
                    </w:rPr>
                    <w:t>%</w:t>
                  </w:r>
                </w:p>
              </w:tc>
              <w:tc>
                <w:tcPr>
                  <w:tcW w:w="214" w:type="dxa"/>
                  <w:tcBorders>
                    <w:top w:val="nil"/>
                    <w:left w:val="nil"/>
                    <w:bottom w:val="single" w:sz="4" w:space="0" w:color="auto"/>
                    <w:right w:val="single" w:sz="4" w:space="0" w:color="auto"/>
                  </w:tcBorders>
                  <w:shd w:val="clear" w:color="auto" w:fill="FFFFFF"/>
                  <w:noWrap/>
                  <w:vAlign w:val="center"/>
                  <w:hideMark/>
                </w:tcPr>
                <w:p w14:paraId="2F43FEF7" w14:textId="77777777" w:rsidR="00FF2E00" w:rsidRPr="001A530F" w:rsidRDefault="00FF2E00" w:rsidP="00FF2E00">
                  <w:pPr>
                    <w:rPr>
                      <w:b/>
                      <w:bCs/>
                      <w:color w:val="000000"/>
                      <w:sz w:val="12"/>
                    </w:rPr>
                  </w:pPr>
                  <w:r w:rsidRPr="001A530F">
                    <w:rPr>
                      <w:b/>
                      <w:bCs/>
                      <w:color w:val="000000"/>
                      <w:sz w:val="12"/>
                    </w:rPr>
                    <w:t> </w:t>
                  </w:r>
                </w:p>
              </w:tc>
              <w:tc>
                <w:tcPr>
                  <w:tcW w:w="309" w:type="dxa"/>
                  <w:tcBorders>
                    <w:top w:val="nil"/>
                    <w:left w:val="nil"/>
                    <w:bottom w:val="single" w:sz="4" w:space="0" w:color="auto"/>
                    <w:right w:val="nil"/>
                  </w:tcBorders>
                  <w:shd w:val="clear" w:color="auto" w:fill="FFFFFF"/>
                  <w:noWrap/>
                  <w:vAlign w:val="center"/>
                  <w:hideMark/>
                </w:tcPr>
                <w:p w14:paraId="5E991302" w14:textId="77777777" w:rsidR="00FF2E00" w:rsidRPr="001A530F" w:rsidRDefault="00FF2E00" w:rsidP="00FF2E00">
                  <w:pPr>
                    <w:rPr>
                      <w:color w:val="000000"/>
                      <w:sz w:val="12"/>
                    </w:rPr>
                  </w:pPr>
                  <w:r w:rsidRPr="001A530F">
                    <w:rPr>
                      <w:color w:val="000000"/>
                      <w:sz w:val="12"/>
                    </w:rPr>
                    <w:t>ESS</w:t>
                  </w:r>
                </w:p>
              </w:tc>
              <w:tc>
                <w:tcPr>
                  <w:tcW w:w="213" w:type="dxa"/>
                  <w:tcBorders>
                    <w:top w:val="nil"/>
                    <w:left w:val="nil"/>
                    <w:bottom w:val="single" w:sz="4" w:space="0" w:color="auto"/>
                    <w:right w:val="single" w:sz="4" w:space="0" w:color="auto"/>
                  </w:tcBorders>
                  <w:shd w:val="clear" w:color="auto" w:fill="FFFFFF"/>
                  <w:noWrap/>
                  <w:vAlign w:val="center"/>
                  <w:hideMark/>
                </w:tcPr>
                <w:p w14:paraId="317B264B" w14:textId="77777777" w:rsidR="00FF2E00" w:rsidRPr="001A530F" w:rsidRDefault="00FF2E00" w:rsidP="00FF2E00">
                  <w:pPr>
                    <w:rPr>
                      <w:color w:val="000000"/>
                      <w:sz w:val="12"/>
                    </w:rPr>
                  </w:pPr>
                  <w:r w:rsidRPr="001A530F">
                    <w:rPr>
                      <w:color w:val="000000"/>
                      <w:sz w:val="12"/>
                    </w:rPr>
                    <w:t> </w:t>
                  </w:r>
                </w:p>
              </w:tc>
              <w:tc>
                <w:tcPr>
                  <w:tcW w:w="445" w:type="dxa"/>
                  <w:tcBorders>
                    <w:top w:val="nil"/>
                    <w:left w:val="nil"/>
                    <w:bottom w:val="single" w:sz="4" w:space="0" w:color="auto"/>
                    <w:right w:val="nil"/>
                  </w:tcBorders>
                  <w:shd w:val="clear" w:color="auto" w:fill="FFFFFF"/>
                  <w:noWrap/>
                  <w:vAlign w:val="center"/>
                  <w:hideMark/>
                </w:tcPr>
                <w:p w14:paraId="5C78DAAB" w14:textId="77777777" w:rsidR="00FF2E00" w:rsidRPr="001A530F" w:rsidRDefault="00FF2E00" w:rsidP="00FF2E00">
                  <w:pPr>
                    <w:rPr>
                      <w:color w:val="000000"/>
                      <w:sz w:val="12"/>
                    </w:rPr>
                  </w:pPr>
                  <w:r w:rsidRPr="001A530F">
                    <w:rPr>
                      <w:color w:val="000000"/>
                      <w:sz w:val="12"/>
                    </w:rPr>
                    <w:t>Vzhod</w:t>
                  </w:r>
                </w:p>
              </w:tc>
              <w:tc>
                <w:tcPr>
                  <w:tcW w:w="190" w:type="dxa"/>
                  <w:tcBorders>
                    <w:top w:val="nil"/>
                    <w:left w:val="nil"/>
                    <w:bottom w:val="single" w:sz="4" w:space="0" w:color="auto"/>
                    <w:right w:val="single" w:sz="4" w:space="0" w:color="auto"/>
                  </w:tcBorders>
                  <w:shd w:val="clear" w:color="auto" w:fill="FFFFFF"/>
                  <w:noWrap/>
                  <w:vAlign w:val="center"/>
                  <w:hideMark/>
                </w:tcPr>
                <w:p w14:paraId="2369C0A4" w14:textId="77777777" w:rsidR="00FF2E00" w:rsidRPr="001A530F" w:rsidRDefault="00FF2E00" w:rsidP="00FF2E00">
                  <w:pPr>
                    <w:rPr>
                      <w:color w:val="000000"/>
                      <w:sz w:val="12"/>
                    </w:rPr>
                  </w:pPr>
                  <w:r w:rsidRPr="001A530F">
                    <w:rPr>
                      <w:color w:val="000000"/>
                      <w:sz w:val="12"/>
                    </w:rPr>
                    <w:t> </w:t>
                  </w:r>
                </w:p>
              </w:tc>
              <w:tc>
                <w:tcPr>
                  <w:tcW w:w="266" w:type="dxa"/>
                  <w:tcBorders>
                    <w:top w:val="nil"/>
                    <w:left w:val="nil"/>
                    <w:bottom w:val="single" w:sz="4" w:space="0" w:color="auto"/>
                    <w:right w:val="nil"/>
                  </w:tcBorders>
                  <w:shd w:val="clear" w:color="auto" w:fill="FFFFFF"/>
                  <w:noWrap/>
                  <w:vAlign w:val="center"/>
                  <w:hideMark/>
                </w:tcPr>
                <w:p w14:paraId="2B102A59" w14:textId="77777777" w:rsidR="00FF2E00" w:rsidRPr="001A530F" w:rsidRDefault="00FF2E00" w:rsidP="00FF2E00">
                  <w:pPr>
                    <w:jc w:val="right"/>
                    <w:rPr>
                      <w:bCs/>
                      <w:color w:val="000000"/>
                      <w:sz w:val="12"/>
                    </w:rPr>
                  </w:pPr>
                  <w:r w:rsidRPr="001A530F">
                    <w:rPr>
                      <w:bCs/>
                      <w:color w:val="000000"/>
                      <w:sz w:val="12"/>
                    </w:rPr>
                    <w:t>85</w:t>
                  </w:r>
                </w:p>
              </w:tc>
              <w:tc>
                <w:tcPr>
                  <w:tcW w:w="283" w:type="dxa"/>
                  <w:tcBorders>
                    <w:top w:val="nil"/>
                    <w:left w:val="nil"/>
                    <w:bottom w:val="single" w:sz="4" w:space="0" w:color="auto"/>
                    <w:right w:val="single" w:sz="4" w:space="0" w:color="auto"/>
                  </w:tcBorders>
                  <w:shd w:val="clear" w:color="auto" w:fill="FFFFFF"/>
                  <w:noWrap/>
                  <w:vAlign w:val="center"/>
                  <w:hideMark/>
                </w:tcPr>
                <w:p w14:paraId="263558D9" w14:textId="77777777" w:rsidR="00FF2E00" w:rsidRPr="001A530F" w:rsidRDefault="00FF2E00" w:rsidP="00FF2E00">
                  <w:pPr>
                    <w:rPr>
                      <w:b/>
                      <w:bCs/>
                      <w:color w:val="000000"/>
                      <w:sz w:val="12"/>
                    </w:rPr>
                  </w:pPr>
                  <w:r w:rsidRPr="001A530F">
                    <w:rPr>
                      <w:b/>
                      <w:bCs/>
                      <w:color w:val="000000"/>
                      <w:sz w:val="12"/>
                    </w:rPr>
                    <w:t> </w:t>
                  </w:r>
                </w:p>
              </w:tc>
            </w:tr>
            <w:tr w:rsidR="00FF2E00" w:rsidRPr="001A530F" w14:paraId="3DE3BF64" w14:textId="77777777" w:rsidTr="003F77B4">
              <w:trPr>
                <w:trHeight w:val="260"/>
              </w:trPr>
              <w:tc>
                <w:tcPr>
                  <w:tcW w:w="411" w:type="dxa"/>
                  <w:tcBorders>
                    <w:top w:val="single" w:sz="4" w:space="0" w:color="auto"/>
                    <w:left w:val="single" w:sz="12" w:space="0" w:color="auto"/>
                    <w:bottom w:val="single" w:sz="4" w:space="0" w:color="auto"/>
                    <w:right w:val="nil"/>
                  </w:tcBorders>
                  <w:shd w:val="clear" w:color="auto" w:fill="FFFFFF"/>
                  <w:noWrap/>
                  <w:vAlign w:val="center"/>
                  <w:hideMark/>
                </w:tcPr>
                <w:p w14:paraId="3CF1DE61" w14:textId="77777777" w:rsidR="00FF2E00" w:rsidRPr="001A530F" w:rsidRDefault="00FF2E00" w:rsidP="00FF2E00">
                  <w:pPr>
                    <w:rPr>
                      <w:b/>
                      <w:bCs/>
                      <w:color w:val="000000"/>
                      <w:sz w:val="12"/>
                    </w:rPr>
                  </w:pPr>
                  <w:r w:rsidRPr="001A530F">
                    <w:rPr>
                      <w:b/>
                      <w:bCs/>
                      <w:color w:val="000000"/>
                      <w:sz w:val="12"/>
                    </w:rPr>
                    <w:t>10.6</w:t>
                  </w:r>
                </w:p>
              </w:tc>
              <w:tc>
                <w:tcPr>
                  <w:tcW w:w="1701" w:type="dxa"/>
                  <w:tcBorders>
                    <w:top w:val="single" w:sz="4" w:space="0" w:color="auto"/>
                    <w:left w:val="single" w:sz="4" w:space="0" w:color="auto"/>
                    <w:bottom w:val="single" w:sz="4" w:space="0" w:color="auto"/>
                    <w:right w:val="nil"/>
                  </w:tcBorders>
                  <w:shd w:val="clear" w:color="auto" w:fill="FFFFFF"/>
                  <w:noWrap/>
                  <w:vAlign w:val="center"/>
                  <w:hideMark/>
                </w:tcPr>
                <w:p w14:paraId="25ECF1ED" w14:textId="77777777" w:rsidR="00FF2E00" w:rsidRPr="001A530F" w:rsidRDefault="00FF2E00" w:rsidP="00FF2E00">
                  <w:pPr>
                    <w:rPr>
                      <w:b/>
                      <w:bCs/>
                      <w:color w:val="000000"/>
                      <w:sz w:val="12"/>
                    </w:rPr>
                  </w:pPr>
                  <w:r w:rsidRPr="001A530F">
                    <w:rPr>
                      <w:b/>
                      <w:bCs/>
                      <w:color w:val="000000"/>
                      <w:sz w:val="12"/>
                    </w:rPr>
                    <w:t xml:space="preserve">Delež visokošolskih zavodov, ki so uspešno izvedli strategije prožnih oblik učenja </w:t>
                  </w:r>
                </w:p>
              </w:tc>
              <w:tc>
                <w:tcPr>
                  <w:tcW w:w="190" w:type="dxa"/>
                  <w:tcBorders>
                    <w:top w:val="nil"/>
                    <w:left w:val="nil"/>
                    <w:bottom w:val="single" w:sz="4" w:space="0" w:color="auto"/>
                    <w:right w:val="single" w:sz="4" w:space="0" w:color="auto"/>
                  </w:tcBorders>
                  <w:shd w:val="clear" w:color="auto" w:fill="FFFFFF"/>
                  <w:noWrap/>
                  <w:vAlign w:val="center"/>
                  <w:hideMark/>
                </w:tcPr>
                <w:p w14:paraId="0E09DDE7" w14:textId="77777777" w:rsidR="00FF2E00" w:rsidRPr="001A530F" w:rsidRDefault="00FF2E00" w:rsidP="00FF2E00">
                  <w:pPr>
                    <w:rPr>
                      <w:b/>
                      <w:bCs/>
                      <w:color w:val="000000"/>
                      <w:sz w:val="12"/>
                    </w:rPr>
                  </w:pPr>
                  <w:r w:rsidRPr="001A530F">
                    <w:rPr>
                      <w:b/>
                      <w:bCs/>
                      <w:color w:val="000000"/>
                      <w:sz w:val="12"/>
                    </w:rPr>
                    <w:t> </w:t>
                  </w:r>
                </w:p>
              </w:tc>
              <w:tc>
                <w:tcPr>
                  <w:tcW w:w="299" w:type="dxa"/>
                  <w:tcBorders>
                    <w:top w:val="nil"/>
                    <w:left w:val="nil"/>
                    <w:bottom w:val="single" w:sz="4" w:space="0" w:color="auto"/>
                    <w:right w:val="nil"/>
                  </w:tcBorders>
                  <w:shd w:val="clear" w:color="auto" w:fill="FFFFFF"/>
                  <w:noWrap/>
                  <w:vAlign w:val="center"/>
                  <w:hideMark/>
                </w:tcPr>
                <w:p w14:paraId="2B92A15D" w14:textId="77777777" w:rsidR="00FF2E00" w:rsidRPr="001A530F" w:rsidRDefault="00FF2E00" w:rsidP="00FF2E00">
                  <w:pPr>
                    <w:rPr>
                      <w:b/>
                      <w:bCs/>
                      <w:color w:val="000000"/>
                      <w:sz w:val="12"/>
                    </w:rPr>
                  </w:pPr>
                  <w:r w:rsidRPr="001A530F">
                    <w:rPr>
                      <w:b/>
                      <w:bCs/>
                      <w:color w:val="000000"/>
                      <w:sz w:val="12"/>
                    </w:rPr>
                    <w:t>%</w:t>
                  </w:r>
                </w:p>
              </w:tc>
              <w:tc>
                <w:tcPr>
                  <w:tcW w:w="214" w:type="dxa"/>
                  <w:tcBorders>
                    <w:top w:val="nil"/>
                    <w:left w:val="nil"/>
                    <w:bottom w:val="single" w:sz="4" w:space="0" w:color="auto"/>
                    <w:right w:val="single" w:sz="4" w:space="0" w:color="auto"/>
                  </w:tcBorders>
                  <w:shd w:val="clear" w:color="auto" w:fill="FFFFFF"/>
                  <w:noWrap/>
                  <w:vAlign w:val="center"/>
                  <w:hideMark/>
                </w:tcPr>
                <w:p w14:paraId="33453A56" w14:textId="77777777" w:rsidR="00FF2E00" w:rsidRPr="001A530F" w:rsidRDefault="00FF2E00" w:rsidP="00FF2E00">
                  <w:pPr>
                    <w:rPr>
                      <w:b/>
                      <w:bCs/>
                      <w:color w:val="000000"/>
                      <w:sz w:val="12"/>
                    </w:rPr>
                  </w:pPr>
                  <w:r w:rsidRPr="001A530F">
                    <w:rPr>
                      <w:b/>
                      <w:bCs/>
                      <w:color w:val="000000"/>
                      <w:sz w:val="12"/>
                    </w:rPr>
                    <w:t> </w:t>
                  </w:r>
                </w:p>
              </w:tc>
              <w:tc>
                <w:tcPr>
                  <w:tcW w:w="309" w:type="dxa"/>
                  <w:tcBorders>
                    <w:top w:val="nil"/>
                    <w:left w:val="nil"/>
                    <w:bottom w:val="single" w:sz="4" w:space="0" w:color="auto"/>
                    <w:right w:val="nil"/>
                  </w:tcBorders>
                  <w:shd w:val="clear" w:color="auto" w:fill="FFFFFF"/>
                  <w:noWrap/>
                  <w:vAlign w:val="center"/>
                  <w:hideMark/>
                </w:tcPr>
                <w:p w14:paraId="01DBCF03" w14:textId="77777777" w:rsidR="00FF2E00" w:rsidRPr="001A530F" w:rsidRDefault="00FF2E00" w:rsidP="00FF2E00">
                  <w:pPr>
                    <w:rPr>
                      <w:color w:val="000000"/>
                      <w:sz w:val="12"/>
                    </w:rPr>
                  </w:pPr>
                  <w:r w:rsidRPr="001A530F">
                    <w:rPr>
                      <w:color w:val="000000"/>
                      <w:sz w:val="12"/>
                    </w:rPr>
                    <w:t>ESS</w:t>
                  </w:r>
                </w:p>
              </w:tc>
              <w:tc>
                <w:tcPr>
                  <w:tcW w:w="213" w:type="dxa"/>
                  <w:tcBorders>
                    <w:top w:val="nil"/>
                    <w:left w:val="nil"/>
                    <w:bottom w:val="single" w:sz="4" w:space="0" w:color="auto"/>
                    <w:right w:val="single" w:sz="4" w:space="0" w:color="auto"/>
                  </w:tcBorders>
                  <w:shd w:val="clear" w:color="auto" w:fill="FFFFFF"/>
                  <w:noWrap/>
                  <w:vAlign w:val="center"/>
                  <w:hideMark/>
                </w:tcPr>
                <w:p w14:paraId="68A14A6E" w14:textId="77777777" w:rsidR="00FF2E00" w:rsidRPr="001A530F" w:rsidRDefault="00FF2E00" w:rsidP="00FF2E00">
                  <w:pPr>
                    <w:rPr>
                      <w:color w:val="000000"/>
                      <w:sz w:val="12"/>
                    </w:rPr>
                  </w:pPr>
                  <w:r w:rsidRPr="001A530F">
                    <w:rPr>
                      <w:color w:val="000000"/>
                      <w:sz w:val="12"/>
                    </w:rPr>
                    <w:t> </w:t>
                  </w:r>
                </w:p>
              </w:tc>
              <w:tc>
                <w:tcPr>
                  <w:tcW w:w="445" w:type="dxa"/>
                  <w:tcBorders>
                    <w:top w:val="nil"/>
                    <w:left w:val="nil"/>
                    <w:bottom w:val="single" w:sz="4" w:space="0" w:color="auto"/>
                    <w:right w:val="nil"/>
                  </w:tcBorders>
                  <w:shd w:val="clear" w:color="auto" w:fill="FFFFFF"/>
                  <w:noWrap/>
                  <w:vAlign w:val="center"/>
                  <w:hideMark/>
                </w:tcPr>
                <w:p w14:paraId="0EB13B7A" w14:textId="77777777" w:rsidR="00FF2E00" w:rsidRPr="001A530F" w:rsidRDefault="00FF2E00" w:rsidP="00FF2E00">
                  <w:pPr>
                    <w:rPr>
                      <w:color w:val="000000"/>
                      <w:sz w:val="12"/>
                    </w:rPr>
                  </w:pPr>
                  <w:r w:rsidRPr="001A530F">
                    <w:rPr>
                      <w:color w:val="000000"/>
                      <w:sz w:val="12"/>
                    </w:rPr>
                    <w:t>Zahod</w:t>
                  </w:r>
                </w:p>
              </w:tc>
              <w:tc>
                <w:tcPr>
                  <w:tcW w:w="190" w:type="dxa"/>
                  <w:tcBorders>
                    <w:top w:val="nil"/>
                    <w:left w:val="nil"/>
                    <w:bottom w:val="single" w:sz="4" w:space="0" w:color="auto"/>
                    <w:right w:val="single" w:sz="4" w:space="0" w:color="auto"/>
                  </w:tcBorders>
                  <w:shd w:val="clear" w:color="auto" w:fill="FFFFFF"/>
                  <w:noWrap/>
                  <w:vAlign w:val="center"/>
                  <w:hideMark/>
                </w:tcPr>
                <w:p w14:paraId="404375D0" w14:textId="77777777" w:rsidR="00FF2E00" w:rsidRPr="001A530F" w:rsidRDefault="00FF2E00" w:rsidP="00FF2E00">
                  <w:pPr>
                    <w:rPr>
                      <w:color w:val="000000"/>
                      <w:sz w:val="12"/>
                    </w:rPr>
                  </w:pPr>
                  <w:r w:rsidRPr="001A530F">
                    <w:rPr>
                      <w:color w:val="000000"/>
                      <w:sz w:val="12"/>
                    </w:rPr>
                    <w:t> </w:t>
                  </w:r>
                </w:p>
              </w:tc>
              <w:tc>
                <w:tcPr>
                  <w:tcW w:w="266" w:type="dxa"/>
                  <w:tcBorders>
                    <w:top w:val="nil"/>
                    <w:left w:val="nil"/>
                    <w:bottom w:val="single" w:sz="4" w:space="0" w:color="auto"/>
                    <w:right w:val="nil"/>
                  </w:tcBorders>
                  <w:shd w:val="clear" w:color="auto" w:fill="FFFFFF"/>
                  <w:noWrap/>
                  <w:vAlign w:val="bottom"/>
                  <w:hideMark/>
                </w:tcPr>
                <w:p w14:paraId="770B72C4" w14:textId="77777777" w:rsidR="00FF2E00" w:rsidRPr="001A530F" w:rsidRDefault="00FF2E00" w:rsidP="00FF2E00">
                  <w:pPr>
                    <w:jc w:val="right"/>
                    <w:rPr>
                      <w:color w:val="000000"/>
                      <w:sz w:val="12"/>
                    </w:rPr>
                  </w:pPr>
                  <w:r w:rsidRPr="001A530F">
                    <w:rPr>
                      <w:color w:val="000000"/>
                      <w:sz w:val="12"/>
                    </w:rPr>
                    <w:t>85</w:t>
                  </w:r>
                </w:p>
              </w:tc>
              <w:tc>
                <w:tcPr>
                  <w:tcW w:w="283" w:type="dxa"/>
                  <w:tcBorders>
                    <w:top w:val="nil"/>
                    <w:left w:val="nil"/>
                    <w:bottom w:val="single" w:sz="4" w:space="0" w:color="auto"/>
                    <w:right w:val="single" w:sz="4" w:space="0" w:color="auto"/>
                  </w:tcBorders>
                  <w:shd w:val="clear" w:color="auto" w:fill="FFFFFF"/>
                  <w:noWrap/>
                  <w:vAlign w:val="bottom"/>
                  <w:hideMark/>
                </w:tcPr>
                <w:p w14:paraId="0D3ED0FA" w14:textId="77777777" w:rsidR="00FF2E00" w:rsidRPr="001A530F" w:rsidRDefault="00FF2E00" w:rsidP="00FF2E00">
                  <w:pPr>
                    <w:rPr>
                      <w:color w:val="000000"/>
                      <w:sz w:val="12"/>
                    </w:rPr>
                  </w:pPr>
                  <w:r w:rsidRPr="001A530F">
                    <w:rPr>
                      <w:color w:val="000000"/>
                      <w:sz w:val="12"/>
                    </w:rPr>
                    <w:t> </w:t>
                  </w:r>
                </w:p>
              </w:tc>
            </w:tr>
          </w:tbl>
          <w:p w14:paraId="6AE81332" w14:textId="6EFD486E" w:rsidR="00FF2E00" w:rsidRPr="0067086B" w:rsidRDefault="00FF2E00" w:rsidP="001E1EA0">
            <w:pPr>
              <w:spacing w:after="0" w:line="260" w:lineRule="exact"/>
              <w:rPr>
                <w:rFonts w:eastAsia="Times New Roman"/>
                <w:b/>
                <w:sz w:val="16"/>
                <w:szCs w:val="16"/>
              </w:rPr>
            </w:pPr>
            <w:r w:rsidRPr="000211AB">
              <w:rPr>
                <w:rFonts w:eastAsia="Times New Roman"/>
                <w:i/>
                <w:sz w:val="14"/>
                <w:szCs w:val="16"/>
              </w:rPr>
              <w:t xml:space="preserve">Upravičenec kazalnik </w:t>
            </w:r>
            <w:r w:rsidR="001E1EA0">
              <w:rPr>
                <w:rFonts w:eastAsia="Times New Roman"/>
                <w:i/>
                <w:sz w:val="14"/>
                <w:szCs w:val="16"/>
              </w:rPr>
              <w:t>rezultata</w:t>
            </w:r>
            <w:r w:rsidRPr="000211AB">
              <w:rPr>
                <w:rFonts w:eastAsia="Times New Roman"/>
                <w:i/>
                <w:sz w:val="14"/>
                <w:szCs w:val="16"/>
              </w:rPr>
              <w:t xml:space="preserve"> iz Operativnega programa 2014 – 2020 ne spremlja. Spremlja ga MIZŠ.</w:t>
            </w:r>
          </w:p>
        </w:tc>
      </w:tr>
      <w:tr w:rsidR="00B76210" w:rsidRPr="0067086B" w14:paraId="021E013B" w14:textId="77777777" w:rsidTr="007F0306">
        <w:tc>
          <w:tcPr>
            <w:tcW w:w="567" w:type="dxa"/>
          </w:tcPr>
          <w:p w14:paraId="6B0C4C1B" w14:textId="77777777" w:rsidR="00B76210" w:rsidRPr="0067086B" w:rsidRDefault="00B76210" w:rsidP="00B76210">
            <w:pPr>
              <w:spacing w:after="0" w:line="260" w:lineRule="exact"/>
              <w:rPr>
                <w:rFonts w:eastAsia="Times New Roman"/>
                <w:b/>
                <w:sz w:val="16"/>
                <w:szCs w:val="16"/>
              </w:rPr>
            </w:pPr>
            <w:r>
              <w:rPr>
                <w:rFonts w:eastAsia="Times New Roman"/>
                <w:b/>
                <w:sz w:val="16"/>
                <w:szCs w:val="16"/>
              </w:rPr>
              <w:lastRenderedPageBreak/>
              <w:t>2</w:t>
            </w:r>
            <w:r w:rsidRPr="0067086B">
              <w:rPr>
                <w:rFonts w:eastAsia="Times New Roman"/>
                <w:b/>
                <w:sz w:val="16"/>
                <w:szCs w:val="16"/>
              </w:rPr>
              <w:t>.4</w:t>
            </w:r>
          </w:p>
        </w:tc>
        <w:tc>
          <w:tcPr>
            <w:tcW w:w="4361" w:type="dxa"/>
          </w:tcPr>
          <w:p w14:paraId="51D09CD9" w14:textId="77777777" w:rsidR="00B76210" w:rsidRPr="0067086B" w:rsidRDefault="00B76210" w:rsidP="00B76210">
            <w:pPr>
              <w:spacing w:after="0" w:line="260" w:lineRule="exact"/>
              <w:rPr>
                <w:rFonts w:eastAsia="Times New Roman"/>
                <w:b/>
                <w:sz w:val="16"/>
                <w:szCs w:val="16"/>
              </w:rPr>
            </w:pPr>
            <w:r w:rsidRPr="0067086B">
              <w:rPr>
                <w:rFonts w:eastAsia="Times New Roman"/>
                <w:b/>
                <w:sz w:val="16"/>
                <w:szCs w:val="16"/>
              </w:rPr>
              <w:t xml:space="preserve">Ukrep v okviru specifičnega cilja v OP </w:t>
            </w:r>
          </w:p>
          <w:p w14:paraId="4B1E002E" w14:textId="77777777" w:rsidR="00B76210" w:rsidRPr="0067086B" w:rsidRDefault="00B76210" w:rsidP="00B76210">
            <w:pPr>
              <w:spacing w:after="0" w:line="260" w:lineRule="exact"/>
              <w:rPr>
                <w:rFonts w:eastAsia="Times New Roman"/>
                <w:sz w:val="16"/>
                <w:szCs w:val="16"/>
              </w:rPr>
            </w:pPr>
            <w:r w:rsidRPr="0067086B">
              <w:rPr>
                <w:rFonts w:eastAsia="Times New Roman"/>
                <w:sz w:val="16"/>
                <w:szCs w:val="16"/>
              </w:rPr>
              <w:t>Navede se ukrep oziroma več ukrepov posameznega specifičnega cilja, v okviru katerega se izvaja predlagan program, ki ga izvaja upravičenec,</w:t>
            </w:r>
          </w:p>
        </w:tc>
        <w:tc>
          <w:tcPr>
            <w:tcW w:w="4111" w:type="dxa"/>
          </w:tcPr>
          <w:p w14:paraId="58F9CC43" w14:textId="44316696" w:rsidR="00B76210" w:rsidRPr="0067086B" w:rsidRDefault="00B76210" w:rsidP="00B76210">
            <w:pPr>
              <w:spacing w:after="0" w:line="260" w:lineRule="exact"/>
              <w:rPr>
                <w:rFonts w:eastAsia="Times New Roman"/>
                <w:b/>
                <w:sz w:val="16"/>
                <w:szCs w:val="16"/>
              </w:rPr>
            </w:pPr>
            <w:r w:rsidRPr="009B7D52">
              <w:rPr>
                <w:rFonts w:eastAsia="Times New Roman"/>
                <w:i/>
                <w:sz w:val="14"/>
                <w:szCs w:val="16"/>
              </w:rPr>
              <w:t>Izboljšanje mednarodne mobilnosti slovenskih študentov iz socialno šibkih okolij na izmenjavah v tujini, s ciljem povečanja učinka mobilnosti in pridobivanja novih kompetenc za potrebe trga dela ob komplementarnem financiranju mo</w:t>
            </w:r>
            <w:r>
              <w:rPr>
                <w:rFonts w:eastAsia="Times New Roman"/>
                <w:i/>
                <w:sz w:val="14"/>
                <w:szCs w:val="16"/>
              </w:rPr>
              <w:t>bilnosti preko programa ERASMUS</w:t>
            </w:r>
            <w:r w:rsidRPr="009B7D52">
              <w:rPr>
                <w:rFonts w:eastAsia="Times New Roman"/>
                <w:i/>
                <w:sz w:val="14"/>
                <w:szCs w:val="16"/>
              </w:rPr>
              <w:t>+.</w:t>
            </w:r>
          </w:p>
        </w:tc>
      </w:tr>
      <w:tr w:rsidR="00B76210" w:rsidRPr="0067086B" w14:paraId="5C908CB7" w14:textId="77777777" w:rsidTr="007F0306">
        <w:tc>
          <w:tcPr>
            <w:tcW w:w="567" w:type="dxa"/>
          </w:tcPr>
          <w:p w14:paraId="5421F492" w14:textId="4DBD1B3A" w:rsidR="00B76210" w:rsidRPr="0067086B" w:rsidRDefault="00B76210" w:rsidP="00B76210">
            <w:pPr>
              <w:spacing w:after="0" w:line="260" w:lineRule="exact"/>
              <w:rPr>
                <w:rFonts w:eastAsia="Times New Roman"/>
                <w:b/>
                <w:sz w:val="16"/>
                <w:szCs w:val="16"/>
              </w:rPr>
            </w:pPr>
            <w:r>
              <w:rPr>
                <w:rFonts w:eastAsia="Times New Roman"/>
                <w:b/>
                <w:sz w:val="16"/>
                <w:szCs w:val="16"/>
              </w:rPr>
              <w:t>2</w:t>
            </w:r>
            <w:r w:rsidR="00436359">
              <w:rPr>
                <w:rFonts w:eastAsia="Times New Roman"/>
                <w:b/>
                <w:sz w:val="16"/>
                <w:szCs w:val="16"/>
              </w:rPr>
              <w:t>.5</w:t>
            </w:r>
          </w:p>
        </w:tc>
        <w:tc>
          <w:tcPr>
            <w:tcW w:w="4361" w:type="dxa"/>
          </w:tcPr>
          <w:p w14:paraId="35B07177" w14:textId="77777777" w:rsidR="00B76210" w:rsidRPr="0067086B" w:rsidRDefault="00B76210" w:rsidP="00B76210">
            <w:pPr>
              <w:spacing w:after="0" w:line="260" w:lineRule="exact"/>
              <w:rPr>
                <w:rFonts w:eastAsia="Times New Roman"/>
                <w:b/>
                <w:sz w:val="16"/>
                <w:szCs w:val="16"/>
              </w:rPr>
            </w:pPr>
            <w:commentRangeStart w:id="12"/>
            <w:r w:rsidRPr="0067086B">
              <w:rPr>
                <w:rFonts w:eastAsia="Times New Roman"/>
                <w:b/>
                <w:sz w:val="16"/>
                <w:szCs w:val="16"/>
              </w:rPr>
              <w:t xml:space="preserve">Prispevek operacije k priporočilom Sveta ES in NRP </w:t>
            </w:r>
          </w:p>
          <w:p w14:paraId="4CFDA657" w14:textId="77777777" w:rsidR="00B76210" w:rsidRPr="0067086B" w:rsidRDefault="00B76210" w:rsidP="00B76210">
            <w:pPr>
              <w:spacing w:after="120" w:line="260" w:lineRule="exact"/>
              <w:jc w:val="both"/>
              <w:rPr>
                <w:rFonts w:eastAsia="Times New Roman"/>
                <w:b/>
                <w:sz w:val="16"/>
                <w:szCs w:val="16"/>
              </w:rPr>
            </w:pPr>
            <w:r w:rsidRPr="0067086B">
              <w:rPr>
                <w:rFonts w:eastAsia="Times New Roman"/>
                <w:sz w:val="16"/>
                <w:szCs w:val="16"/>
              </w:rPr>
              <w:t>Če je operacija namenjena izvajanju priporočil Sveta oziroma prispeva k ciljem Nacionalnega reformnega programa, se to navede.</w:t>
            </w:r>
            <w:commentRangeEnd w:id="12"/>
            <w:r>
              <w:rPr>
                <w:rStyle w:val="Pripombasklic"/>
              </w:rPr>
              <w:commentReference w:id="12"/>
            </w:r>
          </w:p>
        </w:tc>
        <w:tc>
          <w:tcPr>
            <w:tcW w:w="4111" w:type="dxa"/>
          </w:tcPr>
          <w:p w14:paraId="39E335B7" w14:textId="77777777" w:rsidR="00B76210" w:rsidRPr="0067086B" w:rsidRDefault="00B76210" w:rsidP="00B76210">
            <w:pPr>
              <w:spacing w:after="0" w:line="260" w:lineRule="exact"/>
              <w:rPr>
                <w:rFonts w:eastAsia="Times New Roman"/>
                <w:b/>
                <w:sz w:val="16"/>
                <w:szCs w:val="16"/>
              </w:rPr>
            </w:pPr>
          </w:p>
        </w:tc>
      </w:tr>
      <w:tr w:rsidR="00B76210" w:rsidRPr="0067086B" w14:paraId="5B08452E" w14:textId="77777777" w:rsidTr="007F0306">
        <w:tc>
          <w:tcPr>
            <w:tcW w:w="567" w:type="dxa"/>
          </w:tcPr>
          <w:p w14:paraId="30731D27" w14:textId="737D080F" w:rsidR="00B76210" w:rsidRPr="0067086B" w:rsidRDefault="00B76210" w:rsidP="00B76210">
            <w:pPr>
              <w:spacing w:after="0" w:line="260" w:lineRule="exact"/>
              <w:rPr>
                <w:rFonts w:eastAsia="Times New Roman"/>
                <w:b/>
                <w:sz w:val="16"/>
                <w:szCs w:val="16"/>
              </w:rPr>
            </w:pPr>
            <w:r>
              <w:rPr>
                <w:rFonts w:eastAsia="Times New Roman"/>
                <w:b/>
                <w:sz w:val="16"/>
                <w:szCs w:val="16"/>
              </w:rPr>
              <w:t>2</w:t>
            </w:r>
            <w:r w:rsidR="00436359">
              <w:rPr>
                <w:rFonts w:eastAsia="Times New Roman"/>
                <w:b/>
                <w:sz w:val="16"/>
                <w:szCs w:val="16"/>
              </w:rPr>
              <w:t>.6</w:t>
            </w:r>
          </w:p>
        </w:tc>
        <w:tc>
          <w:tcPr>
            <w:tcW w:w="4361" w:type="dxa"/>
          </w:tcPr>
          <w:p w14:paraId="4B321E62" w14:textId="77777777" w:rsidR="00B76210" w:rsidRPr="0067086B" w:rsidRDefault="00B76210" w:rsidP="00B76210">
            <w:pPr>
              <w:spacing w:after="0" w:line="260" w:lineRule="exact"/>
              <w:rPr>
                <w:rFonts w:eastAsia="Times New Roman"/>
                <w:b/>
                <w:sz w:val="16"/>
                <w:szCs w:val="16"/>
              </w:rPr>
            </w:pPr>
            <w:commentRangeStart w:id="13"/>
            <w:r w:rsidRPr="0067086B">
              <w:rPr>
                <w:rFonts w:eastAsia="Times New Roman"/>
                <w:b/>
                <w:sz w:val="16"/>
                <w:szCs w:val="16"/>
              </w:rPr>
              <w:t>Prispevek k dopolnjevanju z drugimi politikami in instrumenti EU ter nacionalnimi in regionalnimi ukrepi (oziroma regionalnemu razvoju)</w:t>
            </w:r>
            <w:commentRangeEnd w:id="13"/>
            <w:r>
              <w:rPr>
                <w:rStyle w:val="Pripombasklic"/>
              </w:rPr>
              <w:commentReference w:id="13"/>
            </w:r>
          </w:p>
          <w:p w14:paraId="5CC47ECD" w14:textId="77777777" w:rsidR="00B76210" w:rsidRPr="0067086B" w:rsidRDefault="00B76210" w:rsidP="00B76210">
            <w:pPr>
              <w:spacing w:after="120" w:line="260" w:lineRule="exact"/>
              <w:jc w:val="both"/>
              <w:rPr>
                <w:rFonts w:eastAsia="Times New Roman"/>
                <w:sz w:val="16"/>
                <w:szCs w:val="16"/>
              </w:rPr>
            </w:pPr>
            <w:r w:rsidRPr="0067086B">
              <w:rPr>
                <w:rFonts w:eastAsia="Times New Roman"/>
                <w:sz w:val="16"/>
                <w:szCs w:val="16"/>
              </w:rPr>
              <w:t>Če je relevantno, se navede prispevek.</w:t>
            </w:r>
          </w:p>
        </w:tc>
        <w:tc>
          <w:tcPr>
            <w:tcW w:w="4111" w:type="dxa"/>
          </w:tcPr>
          <w:p w14:paraId="79415935" w14:textId="77777777" w:rsidR="00B76210" w:rsidRPr="0067086B" w:rsidRDefault="00B76210" w:rsidP="00B76210">
            <w:pPr>
              <w:spacing w:after="0" w:line="260" w:lineRule="exact"/>
              <w:rPr>
                <w:rFonts w:eastAsia="Times New Roman"/>
                <w:b/>
                <w:sz w:val="16"/>
                <w:szCs w:val="16"/>
              </w:rPr>
            </w:pPr>
          </w:p>
        </w:tc>
      </w:tr>
      <w:tr w:rsidR="00B76210" w:rsidRPr="0067086B" w14:paraId="0EC33886" w14:textId="77777777" w:rsidTr="007F0306">
        <w:tc>
          <w:tcPr>
            <w:tcW w:w="567" w:type="dxa"/>
          </w:tcPr>
          <w:p w14:paraId="6752EA86" w14:textId="740A1D63" w:rsidR="00B76210" w:rsidRPr="0067086B" w:rsidRDefault="00B76210" w:rsidP="00B76210">
            <w:pPr>
              <w:spacing w:after="0" w:line="260" w:lineRule="exact"/>
              <w:rPr>
                <w:rFonts w:eastAsia="Times New Roman"/>
                <w:b/>
                <w:sz w:val="16"/>
                <w:szCs w:val="16"/>
              </w:rPr>
            </w:pPr>
            <w:r>
              <w:rPr>
                <w:rFonts w:eastAsia="Times New Roman"/>
                <w:b/>
                <w:sz w:val="16"/>
                <w:szCs w:val="16"/>
              </w:rPr>
              <w:t>2</w:t>
            </w:r>
            <w:r w:rsidR="00436359">
              <w:rPr>
                <w:rFonts w:eastAsia="Times New Roman"/>
                <w:b/>
                <w:sz w:val="16"/>
                <w:szCs w:val="16"/>
              </w:rPr>
              <w:t>.7</w:t>
            </w:r>
          </w:p>
        </w:tc>
        <w:tc>
          <w:tcPr>
            <w:tcW w:w="4361" w:type="dxa"/>
          </w:tcPr>
          <w:p w14:paraId="72FBF756" w14:textId="77777777" w:rsidR="00B76210" w:rsidRPr="0067086B" w:rsidRDefault="00B76210" w:rsidP="00B76210">
            <w:pPr>
              <w:spacing w:after="0" w:line="260" w:lineRule="exact"/>
              <w:rPr>
                <w:rFonts w:eastAsia="Times New Roman"/>
                <w:b/>
                <w:sz w:val="16"/>
                <w:szCs w:val="16"/>
              </w:rPr>
            </w:pPr>
            <w:commentRangeStart w:id="14"/>
            <w:r w:rsidRPr="0067086B">
              <w:rPr>
                <w:rFonts w:eastAsia="Times New Roman"/>
                <w:b/>
                <w:sz w:val="16"/>
                <w:szCs w:val="16"/>
              </w:rPr>
              <w:t>Ukrepi za obveščanje javnosti</w:t>
            </w:r>
            <w:commentRangeEnd w:id="14"/>
            <w:r>
              <w:rPr>
                <w:rStyle w:val="Pripombasklic"/>
              </w:rPr>
              <w:commentReference w:id="14"/>
            </w:r>
          </w:p>
          <w:p w14:paraId="474C8438" w14:textId="77777777" w:rsidR="00B76210" w:rsidRPr="0067086B" w:rsidRDefault="00B76210" w:rsidP="00B76210">
            <w:pPr>
              <w:spacing w:after="120" w:line="260" w:lineRule="exact"/>
              <w:jc w:val="both"/>
              <w:rPr>
                <w:rFonts w:eastAsia="Times New Roman"/>
                <w:b/>
                <w:sz w:val="16"/>
                <w:szCs w:val="16"/>
              </w:rPr>
            </w:pPr>
            <w:r w:rsidRPr="0067086B">
              <w:rPr>
                <w:rFonts w:eastAsia="Times New Roman"/>
                <w:sz w:val="16"/>
                <w:szCs w:val="16"/>
              </w:rPr>
              <w:t>Navesti je treba ukrepe za obveščanje javnosti o pomoči Unije, orodja informiranja in obveščanja, ciljna javnost itd.</w:t>
            </w:r>
          </w:p>
        </w:tc>
        <w:tc>
          <w:tcPr>
            <w:tcW w:w="4111" w:type="dxa"/>
          </w:tcPr>
          <w:p w14:paraId="44DD5495" w14:textId="28CB8F16" w:rsidR="00B76210" w:rsidRDefault="00B76210" w:rsidP="00B76210">
            <w:pPr>
              <w:spacing w:after="0" w:line="260" w:lineRule="exact"/>
              <w:rPr>
                <w:rFonts w:eastAsia="Times New Roman"/>
                <w:i/>
                <w:sz w:val="14"/>
                <w:szCs w:val="16"/>
              </w:rPr>
            </w:pPr>
            <w:r w:rsidRPr="00C766CB">
              <w:rPr>
                <w:rFonts w:eastAsia="Times New Roman"/>
                <w:i/>
                <w:sz w:val="14"/>
                <w:szCs w:val="16"/>
              </w:rPr>
              <w:t>Stroški iz tega naslova ne bodo nastali</w:t>
            </w:r>
            <w:r>
              <w:rPr>
                <w:rFonts w:eastAsia="Times New Roman"/>
                <w:i/>
                <w:sz w:val="14"/>
                <w:szCs w:val="16"/>
              </w:rPr>
              <w:t>.</w:t>
            </w:r>
          </w:p>
          <w:p w14:paraId="3D1D517A" w14:textId="77777777" w:rsidR="00B76210" w:rsidRDefault="00B76210" w:rsidP="00B76210">
            <w:pPr>
              <w:spacing w:after="0" w:line="260" w:lineRule="exact"/>
              <w:rPr>
                <w:rFonts w:eastAsia="Times New Roman"/>
                <w:i/>
                <w:sz w:val="14"/>
                <w:szCs w:val="16"/>
              </w:rPr>
            </w:pPr>
          </w:p>
          <w:p w14:paraId="5D793A6C" w14:textId="22F5B723" w:rsidR="00B76210" w:rsidRPr="0067086B" w:rsidRDefault="00B76210" w:rsidP="00B76210">
            <w:pPr>
              <w:spacing w:after="0" w:line="260" w:lineRule="exact"/>
              <w:rPr>
                <w:rFonts w:eastAsia="Times New Roman"/>
                <w:b/>
                <w:sz w:val="16"/>
                <w:szCs w:val="16"/>
              </w:rPr>
            </w:pPr>
            <w:r>
              <w:rPr>
                <w:rFonts w:eastAsia="Times New Roman"/>
                <w:i/>
                <w:sz w:val="14"/>
                <w:szCs w:val="16"/>
              </w:rPr>
              <w:t>Izpolnjevale se bodo</w:t>
            </w:r>
            <w:r w:rsidRPr="005208E2">
              <w:rPr>
                <w:rFonts w:eastAsia="Times New Roman"/>
                <w:i/>
                <w:sz w:val="14"/>
                <w:szCs w:val="16"/>
              </w:rPr>
              <w:t xml:space="preserve"> zahteve glede obveščanja in informiranja javnosti in upo</w:t>
            </w:r>
            <w:r w:rsidR="0028533C">
              <w:rPr>
                <w:rFonts w:eastAsia="Times New Roman"/>
                <w:i/>
                <w:sz w:val="14"/>
                <w:szCs w:val="16"/>
              </w:rPr>
              <w:t>rabe logotipov v skladu s</w:t>
            </w:r>
            <w:r>
              <w:rPr>
                <w:rFonts w:eastAsia="Times New Roman"/>
                <w:i/>
                <w:sz w:val="14"/>
                <w:szCs w:val="16"/>
              </w:rPr>
              <w:t xml:space="preserve"> 115. in 116. č</w:t>
            </w:r>
            <w:r w:rsidRPr="005208E2">
              <w:rPr>
                <w:rFonts w:eastAsia="Times New Roman"/>
                <w:i/>
                <w:sz w:val="14"/>
                <w:szCs w:val="16"/>
              </w:rPr>
              <w:t xml:space="preserve">lenom </w:t>
            </w:r>
            <w:r>
              <w:rPr>
                <w:rFonts w:eastAsia="Times New Roman"/>
                <w:i/>
                <w:sz w:val="14"/>
                <w:szCs w:val="16"/>
              </w:rPr>
              <w:t>Uredbe</w:t>
            </w:r>
            <w:r w:rsidR="0028533C">
              <w:rPr>
                <w:rFonts w:eastAsia="Times New Roman"/>
                <w:i/>
                <w:sz w:val="14"/>
                <w:szCs w:val="16"/>
              </w:rPr>
              <w:t xml:space="preserve"> (EU)</w:t>
            </w:r>
            <w:r>
              <w:rPr>
                <w:rFonts w:eastAsia="Times New Roman"/>
                <w:i/>
                <w:sz w:val="14"/>
                <w:szCs w:val="16"/>
              </w:rPr>
              <w:t xml:space="preserve"> št. </w:t>
            </w:r>
            <w:r w:rsidR="001C364E">
              <w:rPr>
                <w:rFonts w:eastAsia="Times New Roman"/>
                <w:i/>
                <w:sz w:val="14"/>
                <w:szCs w:val="16"/>
              </w:rPr>
              <w:t>1303/2013</w:t>
            </w:r>
            <w:r>
              <w:rPr>
                <w:rFonts w:eastAsia="Times New Roman"/>
                <w:i/>
                <w:sz w:val="14"/>
                <w:szCs w:val="16"/>
              </w:rPr>
              <w:t>, navodi</w:t>
            </w:r>
            <w:r w:rsidR="0028533C">
              <w:rPr>
                <w:rFonts w:eastAsia="Times New Roman"/>
                <w:i/>
                <w:sz w:val="14"/>
                <w:szCs w:val="16"/>
              </w:rPr>
              <w:t>li o</w:t>
            </w:r>
            <w:r w:rsidRPr="005208E2">
              <w:rPr>
                <w:rFonts w:eastAsia="Times New Roman"/>
                <w:i/>
                <w:sz w:val="14"/>
                <w:szCs w:val="16"/>
              </w:rPr>
              <w:t xml:space="preserve">rgana upravljanja in posredniškega </w:t>
            </w:r>
            <w:r>
              <w:rPr>
                <w:rFonts w:eastAsia="Times New Roman"/>
                <w:i/>
                <w:sz w:val="14"/>
                <w:szCs w:val="16"/>
              </w:rPr>
              <w:t>organa</w:t>
            </w:r>
            <w:r w:rsidRPr="005208E2">
              <w:rPr>
                <w:rFonts w:eastAsia="Times New Roman"/>
                <w:i/>
                <w:sz w:val="14"/>
                <w:szCs w:val="16"/>
              </w:rPr>
              <w:t xml:space="preserve"> ter na zahtevo posredniškega </w:t>
            </w:r>
            <w:r>
              <w:rPr>
                <w:rFonts w:eastAsia="Times New Roman"/>
                <w:i/>
                <w:sz w:val="14"/>
                <w:szCs w:val="16"/>
              </w:rPr>
              <w:t>organa oziroma organa u</w:t>
            </w:r>
            <w:r w:rsidRPr="005208E2">
              <w:rPr>
                <w:rFonts w:eastAsia="Times New Roman"/>
                <w:i/>
                <w:sz w:val="14"/>
                <w:szCs w:val="16"/>
              </w:rPr>
              <w:t xml:space="preserve">pravljanja poročali o izvajanju ter dopuščali njihovo javno objavo podatkov o operaciji, kot sledi iz Priloge XII Uredbe </w:t>
            </w:r>
            <w:r w:rsidR="0028533C">
              <w:rPr>
                <w:rFonts w:eastAsia="Times New Roman"/>
                <w:i/>
                <w:sz w:val="14"/>
                <w:szCs w:val="16"/>
              </w:rPr>
              <w:t xml:space="preserve">(EU) št. </w:t>
            </w:r>
            <w:r w:rsidR="001C364E">
              <w:rPr>
                <w:rFonts w:eastAsia="Times New Roman"/>
                <w:i/>
                <w:sz w:val="14"/>
                <w:szCs w:val="16"/>
              </w:rPr>
              <w:t xml:space="preserve"> 1303/2013</w:t>
            </w:r>
            <w:r w:rsidRPr="005208E2">
              <w:rPr>
                <w:rFonts w:eastAsia="Times New Roman"/>
                <w:i/>
                <w:sz w:val="14"/>
                <w:szCs w:val="16"/>
              </w:rPr>
              <w:t>.</w:t>
            </w:r>
          </w:p>
        </w:tc>
      </w:tr>
    </w:tbl>
    <w:p w14:paraId="725C26BF" w14:textId="77777777" w:rsidR="00F51CE5" w:rsidRPr="0067086B" w:rsidRDefault="00F51CE5" w:rsidP="00F51CE5">
      <w:pPr>
        <w:spacing w:after="0" w:line="260" w:lineRule="exact"/>
        <w:rPr>
          <w:rFonts w:eastAsia="Times New Roman"/>
          <w:b/>
          <w:sz w:val="20"/>
          <w:szCs w:val="24"/>
        </w:rPr>
      </w:pPr>
    </w:p>
    <w:p w14:paraId="544764D2" w14:textId="77777777" w:rsidR="00F51CE5" w:rsidRPr="0067086B" w:rsidRDefault="00F51CE5" w:rsidP="00F51CE5">
      <w:pPr>
        <w:numPr>
          <w:ilvl w:val="1"/>
          <w:numId w:val="2"/>
        </w:numPr>
        <w:overflowPunct w:val="0"/>
        <w:autoSpaceDE w:val="0"/>
        <w:autoSpaceDN w:val="0"/>
        <w:adjustRightInd w:val="0"/>
        <w:spacing w:after="0" w:line="240" w:lineRule="auto"/>
        <w:jc w:val="both"/>
        <w:textAlignment w:val="baseline"/>
        <w:rPr>
          <w:b/>
        </w:rPr>
      </w:pPr>
      <w:r w:rsidRPr="0067086B">
        <w:rPr>
          <w:b/>
        </w:rPr>
        <w:t>Postopk</w:t>
      </w:r>
      <w:r>
        <w:rPr>
          <w:b/>
        </w:rPr>
        <w:t>i vključevanja ciljnih skupin</w:t>
      </w:r>
      <w:r w:rsidRPr="0067086B">
        <w:rPr>
          <w:b/>
        </w:rPr>
        <w:t xml:space="preserve">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F51CE5" w:rsidRPr="0067086B" w14:paraId="221E687C" w14:textId="77777777" w:rsidTr="007F0306">
        <w:tc>
          <w:tcPr>
            <w:tcW w:w="534" w:type="dxa"/>
          </w:tcPr>
          <w:p w14:paraId="51F3BACF" w14:textId="77777777" w:rsidR="00F51CE5" w:rsidRPr="0067086B" w:rsidRDefault="00F51CE5" w:rsidP="007F0306">
            <w:pPr>
              <w:spacing w:after="0" w:line="260" w:lineRule="exact"/>
              <w:rPr>
                <w:rFonts w:eastAsia="Times New Roman"/>
                <w:b/>
                <w:sz w:val="16"/>
                <w:szCs w:val="16"/>
              </w:rPr>
            </w:pPr>
            <w:r>
              <w:rPr>
                <w:rFonts w:eastAsia="Times New Roman"/>
                <w:b/>
                <w:sz w:val="16"/>
                <w:szCs w:val="16"/>
              </w:rPr>
              <w:t>3</w:t>
            </w:r>
            <w:r w:rsidRPr="0067086B">
              <w:rPr>
                <w:rFonts w:eastAsia="Times New Roman"/>
                <w:b/>
                <w:sz w:val="16"/>
                <w:szCs w:val="16"/>
              </w:rPr>
              <w:t>.1</w:t>
            </w:r>
          </w:p>
        </w:tc>
        <w:tc>
          <w:tcPr>
            <w:tcW w:w="4374" w:type="dxa"/>
          </w:tcPr>
          <w:p w14:paraId="0E526DF8" w14:textId="77777777" w:rsidR="00F51CE5" w:rsidRPr="0067086B" w:rsidRDefault="00F51CE5" w:rsidP="007F0306">
            <w:pPr>
              <w:spacing w:after="0" w:line="260" w:lineRule="exact"/>
              <w:rPr>
                <w:rFonts w:eastAsia="Times New Roman"/>
                <w:sz w:val="16"/>
                <w:szCs w:val="16"/>
              </w:rPr>
            </w:pPr>
            <w:commentRangeStart w:id="15"/>
            <w:r w:rsidRPr="0067086B">
              <w:rPr>
                <w:rFonts w:eastAsia="Times New Roman"/>
                <w:b/>
                <w:sz w:val="16"/>
                <w:szCs w:val="16"/>
              </w:rPr>
              <w:t xml:space="preserve">Predstavitev načrtovanih postopkov vključevanja ciljnih skupin </w:t>
            </w:r>
            <w:commentRangeEnd w:id="15"/>
            <w:r w:rsidR="0028533C">
              <w:rPr>
                <w:rStyle w:val="Pripombasklic"/>
              </w:rPr>
              <w:commentReference w:id="15"/>
            </w:r>
          </w:p>
          <w:p w14:paraId="0B51839C" w14:textId="77777777" w:rsidR="00F51CE5" w:rsidRPr="0067086B" w:rsidRDefault="00F51CE5" w:rsidP="007F0306">
            <w:pPr>
              <w:spacing w:after="0" w:line="260" w:lineRule="exact"/>
              <w:rPr>
                <w:rFonts w:eastAsia="Times New Roman"/>
                <w:b/>
                <w:sz w:val="16"/>
                <w:szCs w:val="16"/>
              </w:rPr>
            </w:pPr>
            <w:r w:rsidRPr="0067086B">
              <w:rPr>
                <w:rFonts w:eastAsia="Times New Roman"/>
                <w:sz w:val="16"/>
                <w:szCs w:val="16"/>
              </w:rPr>
              <w:t xml:space="preserve">Navesti je treba način, pravne podlage in utemeljitev skladnosti z opredeljenimi pravnimi podlagami za transparentno in </w:t>
            </w:r>
            <w:proofErr w:type="spellStart"/>
            <w:r w:rsidRPr="0067086B">
              <w:rPr>
                <w:rFonts w:eastAsia="Times New Roman"/>
                <w:sz w:val="16"/>
                <w:szCs w:val="16"/>
              </w:rPr>
              <w:t>nediskriminatorno</w:t>
            </w:r>
            <w:proofErr w:type="spellEnd"/>
            <w:r w:rsidRPr="0067086B">
              <w:rPr>
                <w:rFonts w:eastAsia="Times New Roman"/>
                <w:sz w:val="16"/>
                <w:szCs w:val="16"/>
              </w:rPr>
              <w:t xml:space="preserve"> vključevanje ciljnih skupin v operacijo. </w:t>
            </w:r>
          </w:p>
        </w:tc>
        <w:tc>
          <w:tcPr>
            <w:tcW w:w="4131" w:type="dxa"/>
          </w:tcPr>
          <w:p w14:paraId="5132BA35" w14:textId="77777777" w:rsidR="00F51CE5" w:rsidRPr="0067086B" w:rsidRDefault="00F51CE5" w:rsidP="007F0306">
            <w:pPr>
              <w:spacing w:after="0" w:line="260" w:lineRule="exact"/>
              <w:rPr>
                <w:rFonts w:eastAsia="Times New Roman"/>
                <w:b/>
                <w:sz w:val="16"/>
                <w:szCs w:val="16"/>
              </w:rPr>
            </w:pPr>
          </w:p>
        </w:tc>
      </w:tr>
      <w:tr w:rsidR="00F51CE5" w:rsidRPr="0067086B" w14:paraId="1ADD7E01" w14:textId="77777777" w:rsidTr="007F0306">
        <w:tc>
          <w:tcPr>
            <w:tcW w:w="534" w:type="dxa"/>
          </w:tcPr>
          <w:p w14:paraId="039B1FBD" w14:textId="77777777" w:rsidR="00F51CE5" w:rsidRPr="0067086B" w:rsidRDefault="00F51CE5" w:rsidP="007F0306">
            <w:pPr>
              <w:spacing w:after="0" w:line="260" w:lineRule="exact"/>
              <w:rPr>
                <w:rFonts w:eastAsia="Times New Roman"/>
                <w:b/>
                <w:sz w:val="16"/>
                <w:szCs w:val="16"/>
              </w:rPr>
            </w:pPr>
            <w:r>
              <w:rPr>
                <w:rFonts w:eastAsia="Times New Roman"/>
                <w:b/>
                <w:sz w:val="16"/>
                <w:szCs w:val="16"/>
              </w:rPr>
              <w:t>3.2</w:t>
            </w:r>
          </w:p>
        </w:tc>
        <w:tc>
          <w:tcPr>
            <w:tcW w:w="4374" w:type="dxa"/>
          </w:tcPr>
          <w:p w14:paraId="711D3C19" w14:textId="77777777" w:rsidR="00F51CE5" w:rsidRPr="0067086B" w:rsidRDefault="00F51CE5" w:rsidP="007F0306">
            <w:pPr>
              <w:spacing w:after="0" w:line="260" w:lineRule="exact"/>
              <w:rPr>
                <w:rFonts w:eastAsia="Times New Roman"/>
                <w:b/>
                <w:sz w:val="16"/>
                <w:szCs w:val="16"/>
              </w:rPr>
            </w:pPr>
            <w:commentRangeStart w:id="16"/>
            <w:r w:rsidRPr="0067086B">
              <w:rPr>
                <w:rFonts w:eastAsia="Times New Roman"/>
                <w:b/>
                <w:sz w:val="16"/>
                <w:szCs w:val="16"/>
              </w:rPr>
              <w:t xml:space="preserve">Mejniki vključevanja ciljnih skupin </w:t>
            </w:r>
            <w:commentRangeEnd w:id="16"/>
            <w:r w:rsidR="00451C1E">
              <w:rPr>
                <w:rStyle w:val="Pripombasklic"/>
              </w:rPr>
              <w:commentReference w:id="16"/>
            </w:r>
          </w:p>
          <w:p w14:paraId="09976BE5" w14:textId="77777777" w:rsidR="00F51CE5" w:rsidRPr="0067086B" w:rsidRDefault="00F51CE5" w:rsidP="007F0306">
            <w:pPr>
              <w:spacing w:after="0" w:line="260" w:lineRule="exact"/>
              <w:rPr>
                <w:rFonts w:eastAsia="Times New Roman"/>
                <w:sz w:val="16"/>
                <w:szCs w:val="16"/>
              </w:rPr>
            </w:pPr>
            <w:r w:rsidRPr="0067086B">
              <w:rPr>
                <w:rFonts w:eastAsia="Times New Roman"/>
                <w:sz w:val="16"/>
                <w:szCs w:val="16"/>
              </w:rPr>
              <w:t xml:space="preserve">Navesti je treba mejnike glede vključevanja ciljnih skupin </w:t>
            </w:r>
          </w:p>
        </w:tc>
        <w:tc>
          <w:tcPr>
            <w:tcW w:w="4131" w:type="dxa"/>
          </w:tcPr>
          <w:p w14:paraId="1112D762" w14:textId="77777777" w:rsidR="00F51CE5" w:rsidRPr="0067086B" w:rsidRDefault="00F51CE5" w:rsidP="007F0306">
            <w:pPr>
              <w:spacing w:after="0" w:line="260" w:lineRule="exact"/>
              <w:rPr>
                <w:rFonts w:eastAsia="Times New Roman"/>
                <w:b/>
                <w:sz w:val="16"/>
                <w:szCs w:val="16"/>
              </w:rPr>
            </w:pPr>
          </w:p>
        </w:tc>
      </w:tr>
    </w:tbl>
    <w:p w14:paraId="3E37B711" w14:textId="77777777" w:rsidR="00F51CE5" w:rsidRPr="0067086B" w:rsidRDefault="00F51CE5" w:rsidP="00F51CE5">
      <w:pPr>
        <w:spacing w:after="0" w:line="260" w:lineRule="exact"/>
        <w:rPr>
          <w:rFonts w:eastAsia="Times New Roman"/>
          <w:b/>
          <w:sz w:val="20"/>
          <w:szCs w:val="24"/>
        </w:rPr>
      </w:pPr>
    </w:p>
    <w:p w14:paraId="7A76E4AF" w14:textId="77777777" w:rsidR="00F51CE5" w:rsidRPr="0067086B" w:rsidRDefault="00F51CE5" w:rsidP="00F51CE5">
      <w:pPr>
        <w:numPr>
          <w:ilvl w:val="1"/>
          <w:numId w:val="2"/>
        </w:numPr>
        <w:overflowPunct w:val="0"/>
        <w:autoSpaceDE w:val="0"/>
        <w:autoSpaceDN w:val="0"/>
        <w:adjustRightInd w:val="0"/>
        <w:spacing w:after="0" w:line="240" w:lineRule="auto"/>
        <w:jc w:val="both"/>
        <w:textAlignment w:val="baseline"/>
        <w:rPr>
          <w:b/>
        </w:rPr>
      </w:pPr>
      <w:r w:rsidRPr="0067086B">
        <w:rPr>
          <w:b/>
        </w:rPr>
        <w:t>Horizontalne teme</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F51CE5" w:rsidRPr="0067086B" w14:paraId="5E405453" w14:textId="77777777" w:rsidTr="007F0306">
        <w:tc>
          <w:tcPr>
            <w:tcW w:w="534" w:type="dxa"/>
          </w:tcPr>
          <w:p w14:paraId="3E3001CA" w14:textId="77777777" w:rsidR="00F51CE5" w:rsidRPr="0067086B" w:rsidRDefault="00F51CE5" w:rsidP="007F0306">
            <w:pPr>
              <w:spacing w:after="0" w:line="260" w:lineRule="exact"/>
              <w:rPr>
                <w:rFonts w:eastAsia="Times New Roman"/>
                <w:b/>
                <w:sz w:val="16"/>
                <w:szCs w:val="16"/>
              </w:rPr>
            </w:pPr>
            <w:r>
              <w:rPr>
                <w:rFonts w:eastAsia="Times New Roman"/>
                <w:b/>
                <w:sz w:val="16"/>
                <w:szCs w:val="16"/>
              </w:rPr>
              <w:lastRenderedPageBreak/>
              <w:t>4</w:t>
            </w:r>
            <w:r w:rsidRPr="0067086B">
              <w:rPr>
                <w:rFonts w:eastAsia="Times New Roman"/>
                <w:b/>
                <w:sz w:val="16"/>
                <w:szCs w:val="16"/>
              </w:rPr>
              <w:t>.1</w:t>
            </w:r>
          </w:p>
        </w:tc>
        <w:tc>
          <w:tcPr>
            <w:tcW w:w="4374" w:type="dxa"/>
          </w:tcPr>
          <w:p w14:paraId="52C171BB" w14:textId="77777777" w:rsidR="00F51CE5" w:rsidRPr="0067086B" w:rsidRDefault="00F51CE5" w:rsidP="007F0306">
            <w:pPr>
              <w:spacing w:after="120" w:line="260" w:lineRule="exact"/>
              <w:jc w:val="both"/>
              <w:rPr>
                <w:rFonts w:eastAsia="Times New Roman"/>
                <w:b/>
                <w:sz w:val="16"/>
                <w:szCs w:val="16"/>
              </w:rPr>
            </w:pPr>
            <w:commentRangeStart w:id="17"/>
            <w:r w:rsidRPr="0067086B">
              <w:rPr>
                <w:rFonts w:eastAsia="Times New Roman"/>
                <w:b/>
                <w:sz w:val="16"/>
                <w:szCs w:val="16"/>
              </w:rPr>
              <w:t>Spodbujanje enakosti moških in žensk ter nediskriminacija</w:t>
            </w:r>
            <w:commentRangeEnd w:id="17"/>
            <w:r w:rsidR="005344F1">
              <w:rPr>
                <w:rStyle w:val="Pripombasklic"/>
              </w:rPr>
              <w:commentReference w:id="17"/>
            </w:r>
          </w:p>
          <w:p w14:paraId="6234FA7C" w14:textId="77777777" w:rsidR="00F51CE5" w:rsidRPr="0067086B" w:rsidRDefault="00F51CE5" w:rsidP="007F0306">
            <w:pPr>
              <w:spacing w:after="0" w:line="260" w:lineRule="exact"/>
              <w:rPr>
                <w:rFonts w:eastAsia="Times New Roman"/>
                <w:b/>
                <w:sz w:val="16"/>
                <w:szCs w:val="16"/>
              </w:rPr>
            </w:pPr>
            <w:r w:rsidRPr="0067086B">
              <w:rPr>
                <w:rFonts w:eastAsia="Times New Roman"/>
                <w:sz w:val="16"/>
                <w:szCs w:val="16"/>
              </w:rPr>
              <w:t>Navede se način, kako se zagotavlja načelo spodbujanja enakosti moških in žensk ter nediskriminacija v izvajanju operacije.</w:t>
            </w:r>
          </w:p>
        </w:tc>
        <w:tc>
          <w:tcPr>
            <w:tcW w:w="4131" w:type="dxa"/>
          </w:tcPr>
          <w:p w14:paraId="257A41F0" w14:textId="117DB8FB" w:rsidR="002A6AE2" w:rsidRPr="002A6AE2" w:rsidRDefault="005344F1" w:rsidP="002A6AE2">
            <w:pPr>
              <w:spacing w:after="0" w:line="260" w:lineRule="exact"/>
              <w:rPr>
                <w:rFonts w:eastAsia="Times New Roman"/>
                <w:i/>
                <w:sz w:val="14"/>
                <w:szCs w:val="16"/>
              </w:rPr>
            </w:pPr>
            <w:r w:rsidRPr="00841AFD">
              <w:rPr>
                <w:rFonts w:eastAsia="Times New Roman"/>
                <w:i/>
                <w:sz w:val="14"/>
                <w:szCs w:val="16"/>
              </w:rPr>
              <w:t>Pri načrtovanju, izvedbi in spremljanju operacije Mobilnost študentov iz socialno šibkejših okolij bo, na podlagi Smernic Organa upravljanja za integracijo načel enakosti spolov, enakih možnosti, nediskriminacije in dostopnosti za invalide pri izvajanju</w:t>
            </w:r>
            <w:r w:rsidR="002A6AE2">
              <w:rPr>
                <w:rFonts w:eastAsia="Times New Roman"/>
                <w:i/>
                <w:sz w:val="14"/>
                <w:szCs w:val="16"/>
              </w:rPr>
              <w:t>,</w:t>
            </w:r>
            <w:r w:rsidRPr="00841AFD">
              <w:rPr>
                <w:rFonts w:eastAsia="Times New Roman"/>
                <w:i/>
                <w:sz w:val="14"/>
                <w:szCs w:val="16"/>
              </w:rPr>
              <w:t xml:space="preserve"> spremljanju, poročanju in vrednotenju evropske kohezijske politike v programskem obdobju 2014-2020, vsem posameznikom in skupinam ne glede na spol, raso, narodnost, vero ali prepričanje, invalidnost, starost in spolno usmerjenost, skladno z ustavnim redom Republike Slovenije in področnimi zakoni, zagotovljena enaka možnost sodelovanja oz. dostopa. </w:t>
            </w:r>
            <w:r w:rsidR="0028533C">
              <w:rPr>
                <w:rFonts w:eastAsia="Times New Roman"/>
                <w:i/>
                <w:sz w:val="14"/>
                <w:szCs w:val="16"/>
              </w:rPr>
              <w:t xml:space="preserve">Smernice so dosegljive na: </w:t>
            </w:r>
            <w:hyperlink r:id="rId11" w:history="1">
              <w:r w:rsidR="002A6AE2" w:rsidRPr="0014405F">
                <w:rPr>
                  <w:rStyle w:val="Hiperpovezava"/>
                  <w:rFonts w:eastAsia="Times New Roman"/>
                  <w:i/>
                  <w:sz w:val="14"/>
                  <w:szCs w:val="16"/>
                </w:rPr>
                <w:t>http://www.eu-skladi.si/sl/dokumenti/navodila/smernice-ou-enakost.pdf</w:t>
              </w:r>
            </w:hyperlink>
            <w:r w:rsidR="002A6AE2">
              <w:rPr>
                <w:rFonts w:asciiTheme="minorHAnsi" w:eastAsia="Times New Roman" w:hAnsiTheme="minorHAnsi" w:cstheme="minorHAnsi"/>
                <w:sz w:val="20"/>
                <w:szCs w:val="20"/>
              </w:rPr>
              <w:t xml:space="preserve"> </w:t>
            </w:r>
          </w:p>
        </w:tc>
      </w:tr>
      <w:tr w:rsidR="00F51CE5" w:rsidRPr="0067086B" w14:paraId="7E8D5093" w14:textId="77777777" w:rsidTr="007F0306">
        <w:tc>
          <w:tcPr>
            <w:tcW w:w="534" w:type="dxa"/>
          </w:tcPr>
          <w:p w14:paraId="64EFE092" w14:textId="77777777" w:rsidR="00F51CE5" w:rsidRPr="0067086B" w:rsidRDefault="00F51CE5" w:rsidP="007F0306">
            <w:pPr>
              <w:spacing w:after="0" w:line="260" w:lineRule="exact"/>
              <w:rPr>
                <w:rFonts w:eastAsia="Times New Roman"/>
                <w:b/>
                <w:sz w:val="16"/>
                <w:szCs w:val="16"/>
              </w:rPr>
            </w:pPr>
            <w:r>
              <w:rPr>
                <w:rFonts w:eastAsia="Times New Roman"/>
                <w:b/>
                <w:sz w:val="16"/>
                <w:szCs w:val="16"/>
              </w:rPr>
              <w:t>4</w:t>
            </w:r>
            <w:r w:rsidRPr="0067086B">
              <w:rPr>
                <w:rFonts w:eastAsia="Times New Roman"/>
                <w:b/>
                <w:sz w:val="16"/>
                <w:szCs w:val="16"/>
              </w:rPr>
              <w:t>.2</w:t>
            </w:r>
          </w:p>
        </w:tc>
        <w:tc>
          <w:tcPr>
            <w:tcW w:w="4374" w:type="dxa"/>
          </w:tcPr>
          <w:p w14:paraId="61873ADF" w14:textId="77777777" w:rsidR="00F51CE5" w:rsidRPr="0067086B" w:rsidRDefault="00F51CE5" w:rsidP="007F0306">
            <w:pPr>
              <w:spacing w:after="0" w:line="260" w:lineRule="exact"/>
              <w:rPr>
                <w:rFonts w:eastAsia="Times New Roman"/>
                <w:sz w:val="16"/>
                <w:szCs w:val="16"/>
              </w:rPr>
            </w:pPr>
            <w:r w:rsidRPr="0067086B">
              <w:rPr>
                <w:rFonts w:eastAsia="Times New Roman"/>
                <w:b/>
                <w:sz w:val="16"/>
                <w:szCs w:val="16"/>
              </w:rPr>
              <w:t>Trajnostni razvoj</w:t>
            </w:r>
          </w:p>
          <w:p w14:paraId="1BEA6431" w14:textId="77777777" w:rsidR="00F51CE5" w:rsidRPr="0067086B" w:rsidRDefault="00F51CE5" w:rsidP="007F0306">
            <w:pPr>
              <w:spacing w:after="0" w:line="260" w:lineRule="exact"/>
              <w:rPr>
                <w:rFonts w:eastAsia="Times New Roman"/>
                <w:sz w:val="16"/>
                <w:szCs w:val="16"/>
              </w:rPr>
            </w:pPr>
            <w:r w:rsidRPr="0067086B">
              <w:rPr>
                <w:rFonts w:eastAsia="Times New Roman"/>
                <w:sz w:val="16"/>
                <w:szCs w:val="16"/>
              </w:rPr>
              <w:t>Navede se način, kako se zagotavlja načelo trajnostnega razvoja v izvajanju operacije.</w:t>
            </w:r>
          </w:p>
        </w:tc>
        <w:tc>
          <w:tcPr>
            <w:tcW w:w="4131" w:type="dxa"/>
          </w:tcPr>
          <w:p w14:paraId="0A1263DA" w14:textId="20371033" w:rsidR="00F51CE5" w:rsidRPr="0067086B" w:rsidRDefault="005344F1" w:rsidP="007F0306">
            <w:pPr>
              <w:spacing w:after="0" w:line="260" w:lineRule="exact"/>
              <w:rPr>
                <w:rFonts w:eastAsia="Times New Roman"/>
                <w:b/>
                <w:sz w:val="16"/>
                <w:szCs w:val="16"/>
              </w:rPr>
            </w:pPr>
            <w:r w:rsidRPr="00493752">
              <w:rPr>
                <w:rFonts w:eastAsia="Times New Roman"/>
                <w:i/>
                <w:sz w:val="14"/>
                <w:szCs w:val="16"/>
              </w:rPr>
              <w:t>Skladno</w:t>
            </w:r>
            <w:r w:rsidR="00406DCA">
              <w:rPr>
                <w:rFonts w:eastAsia="Times New Roman"/>
                <w:i/>
                <w:sz w:val="14"/>
                <w:szCs w:val="16"/>
              </w:rPr>
              <w:t xml:space="preserve"> z 8. členom Uredbe (EU) št.</w:t>
            </w:r>
            <w:r w:rsidR="00B152C6">
              <w:rPr>
                <w:rFonts w:eastAsia="Times New Roman"/>
                <w:i/>
                <w:sz w:val="14"/>
                <w:szCs w:val="16"/>
              </w:rPr>
              <w:t xml:space="preserve"> 1303/2013</w:t>
            </w:r>
            <w:r w:rsidR="00DC335D">
              <w:rPr>
                <w:rFonts w:eastAsia="Times New Roman"/>
                <w:i/>
                <w:sz w:val="14"/>
                <w:szCs w:val="16"/>
              </w:rPr>
              <w:t xml:space="preserve"> operacija ne prispev</w:t>
            </w:r>
            <w:r w:rsidRPr="00493752">
              <w:rPr>
                <w:rFonts w:eastAsia="Times New Roman"/>
                <w:i/>
                <w:sz w:val="14"/>
                <w:szCs w:val="16"/>
              </w:rPr>
              <w:t>a</w:t>
            </w:r>
            <w:r>
              <w:rPr>
                <w:rFonts w:eastAsia="Times New Roman"/>
                <w:i/>
                <w:sz w:val="14"/>
                <w:szCs w:val="16"/>
              </w:rPr>
              <w:t xml:space="preserve"> k trajnostnemu razvoju.</w:t>
            </w:r>
          </w:p>
        </w:tc>
      </w:tr>
    </w:tbl>
    <w:p w14:paraId="0E5901F4" w14:textId="77777777" w:rsidR="00F51CE5" w:rsidRDefault="00F51CE5" w:rsidP="00F51CE5">
      <w:pPr>
        <w:spacing w:after="0" w:line="260" w:lineRule="exact"/>
        <w:rPr>
          <w:rFonts w:eastAsia="Times New Roman"/>
          <w:b/>
          <w:sz w:val="20"/>
          <w:szCs w:val="24"/>
        </w:rPr>
      </w:pPr>
    </w:p>
    <w:p w14:paraId="55315667" w14:textId="77777777" w:rsidR="00AA4C04" w:rsidRDefault="00AA4C04" w:rsidP="00F51CE5">
      <w:pPr>
        <w:spacing w:after="0" w:line="260" w:lineRule="exact"/>
        <w:rPr>
          <w:rFonts w:eastAsia="Times New Roman"/>
          <w:b/>
          <w:sz w:val="20"/>
          <w:szCs w:val="24"/>
        </w:rPr>
      </w:pPr>
    </w:p>
    <w:p w14:paraId="60CC9EA2" w14:textId="77777777" w:rsidR="00AA4C04" w:rsidRPr="0067086B" w:rsidRDefault="00AA4C04" w:rsidP="00F51CE5">
      <w:pPr>
        <w:spacing w:after="0" w:line="260" w:lineRule="exact"/>
        <w:rPr>
          <w:rFonts w:eastAsia="Times New Roman"/>
          <w:b/>
          <w:sz w:val="20"/>
          <w:szCs w:val="24"/>
        </w:rPr>
      </w:pPr>
    </w:p>
    <w:p w14:paraId="07ACAC82" w14:textId="77777777" w:rsidR="00F51CE5" w:rsidRPr="0067086B" w:rsidRDefault="00F51CE5" w:rsidP="00F51CE5">
      <w:pPr>
        <w:numPr>
          <w:ilvl w:val="1"/>
          <w:numId w:val="2"/>
        </w:numPr>
        <w:overflowPunct w:val="0"/>
        <w:autoSpaceDE w:val="0"/>
        <w:autoSpaceDN w:val="0"/>
        <w:adjustRightInd w:val="0"/>
        <w:spacing w:after="0" w:line="240" w:lineRule="auto"/>
        <w:jc w:val="both"/>
        <w:textAlignment w:val="baseline"/>
        <w:rPr>
          <w:b/>
        </w:rPr>
      </w:pPr>
      <w:r w:rsidRPr="0067086B">
        <w:rPr>
          <w:b/>
        </w:rPr>
        <w:t>Spremljanje programa, hranjenje dokumentacije in kontrole</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94"/>
        <w:gridCol w:w="4111"/>
      </w:tblGrid>
      <w:tr w:rsidR="00F51CE5" w:rsidRPr="0067086B" w14:paraId="5B9ADF8E" w14:textId="77777777" w:rsidTr="007F0306">
        <w:tc>
          <w:tcPr>
            <w:tcW w:w="568" w:type="dxa"/>
            <w:shd w:val="clear" w:color="auto" w:fill="auto"/>
          </w:tcPr>
          <w:p w14:paraId="0662B9EB" w14:textId="77777777" w:rsidR="00F51CE5" w:rsidRPr="0067086B" w:rsidRDefault="00F51CE5" w:rsidP="007F0306">
            <w:pPr>
              <w:spacing w:after="0" w:line="260" w:lineRule="exact"/>
              <w:rPr>
                <w:rFonts w:eastAsia="Times New Roman"/>
                <w:b/>
                <w:sz w:val="16"/>
                <w:szCs w:val="16"/>
              </w:rPr>
            </w:pPr>
            <w:r>
              <w:rPr>
                <w:rFonts w:eastAsia="Times New Roman"/>
                <w:b/>
                <w:sz w:val="16"/>
                <w:szCs w:val="16"/>
              </w:rPr>
              <w:t>5</w:t>
            </w:r>
            <w:r w:rsidRPr="0067086B">
              <w:rPr>
                <w:rFonts w:eastAsia="Times New Roman"/>
                <w:b/>
                <w:sz w:val="16"/>
                <w:szCs w:val="16"/>
              </w:rPr>
              <w:t>.1</w:t>
            </w:r>
          </w:p>
        </w:tc>
        <w:tc>
          <w:tcPr>
            <w:tcW w:w="4394" w:type="dxa"/>
            <w:shd w:val="clear" w:color="auto" w:fill="auto"/>
          </w:tcPr>
          <w:p w14:paraId="148312D0" w14:textId="77777777" w:rsidR="00F51CE5" w:rsidRPr="0067086B" w:rsidRDefault="00F51CE5" w:rsidP="007F0306">
            <w:pPr>
              <w:spacing w:after="0" w:line="260" w:lineRule="exact"/>
              <w:contextualSpacing/>
              <w:rPr>
                <w:rFonts w:eastAsia="Times New Roman"/>
                <w:b/>
                <w:sz w:val="16"/>
                <w:szCs w:val="16"/>
              </w:rPr>
            </w:pPr>
            <w:r w:rsidRPr="0067086B">
              <w:rPr>
                <w:rFonts w:eastAsia="Times New Roman"/>
                <w:b/>
                <w:sz w:val="16"/>
                <w:szCs w:val="16"/>
              </w:rPr>
              <w:t>Način spremljanja podatkov iz Priloge I in, če je relevantno, Priloge II k Uredbi (EU) 1304/2013</w:t>
            </w:r>
          </w:p>
          <w:p w14:paraId="03757003" w14:textId="1FAD9101" w:rsidR="00F51CE5" w:rsidRPr="0067086B" w:rsidRDefault="00F51CE5" w:rsidP="00BF1765">
            <w:pPr>
              <w:spacing w:after="0" w:line="260" w:lineRule="exact"/>
              <w:contextualSpacing/>
              <w:rPr>
                <w:rFonts w:eastAsia="Times New Roman"/>
                <w:sz w:val="16"/>
                <w:szCs w:val="16"/>
              </w:rPr>
            </w:pPr>
            <w:r w:rsidRPr="0067086B">
              <w:rPr>
                <w:rFonts w:eastAsia="Times New Roman"/>
                <w:sz w:val="16"/>
                <w:szCs w:val="16"/>
              </w:rPr>
              <w:t xml:space="preserve">Opišite, kdo so udeleženci na </w:t>
            </w:r>
            <w:r w:rsidR="00BF1765">
              <w:rPr>
                <w:rFonts w:eastAsia="Times New Roman"/>
                <w:sz w:val="16"/>
                <w:szCs w:val="16"/>
              </w:rPr>
              <w:t>programu</w:t>
            </w:r>
            <w:r w:rsidRPr="0067086B">
              <w:rPr>
                <w:rFonts w:eastAsia="Times New Roman"/>
                <w:sz w:val="16"/>
                <w:szCs w:val="16"/>
              </w:rPr>
              <w:t xml:space="preserve"> in kakšen bo način spremljanja glede na poglavje 4.6 navodil OU.</w:t>
            </w:r>
          </w:p>
        </w:tc>
        <w:tc>
          <w:tcPr>
            <w:tcW w:w="4111" w:type="dxa"/>
            <w:shd w:val="clear" w:color="auto" w:fill="auto"/>
          </w:tcPr>
          <w:p w14:paraId="4B56CA47" w14:textId="6CBB973C" w:rsidR="00F51CE5" w:rsidRPr="0067086B" w:rsidRDefault="004C6442" w:rsidP="004B1C19">
            <w:pPr>
              <w:spacing w:after="0" w:line="260" w:lineRule="exact"/>
              <w:contextualSpacing/>
              <w:rPr>
                <w:rFonts w:eastAsia="Times New Roman"/>
                <w:b/>
                <w:sz w:val="16"/>
                <w:szCs w:val="16"/>
              </w:rPr>
            </w:pPr>
            <w:r w:rsidRPr="00A96915">
              <w:rPr>
                <w:rFonts w:eastAsia="Times New Roman"/>
                <w:i/>
                <w:sz w:val="14"/>
                <w:szCs w:val="16"/>
              </w:rPr>
              <w:t xml:space="preserve">Podatki se bodo zbirali na individualni ravni z vključitvijo </w:t>
            </w:r>
            <w:r w:rsidR="004B1C19">
              <w:rPr>
                <w:rFonts w:eastAsia="Times New Roman"/>
                <w:i/>
                <w:sz w:val="14"/>
                <w:szCs w:val="16"/>
              </w:rPr>
              <w:t>študenta</w:t>
            </w:r>
            <w:r w:rsidR="006D4E26">
              <w:rPr>
                <w:rFonts w:eastAsia="Times New Roman"/>
                <w:i/>
                <w:sz w:val="14"/>
                <w:szCs w:val="16"/>
              </w:rPr>
              <w:t xml:space="preserve"> iz socialno šibkejših okolij </w:t>
            </w:r>
            <w:r w:rsidR="004B1C19">
              <w:rPr>
                <w:rFonts w:eastAsia="Times New Roman"/>
                <w:i/>
                <w:sz w:val="14"/>
                <w:szCs w:val="16"/>
              </w:rPr>
              <w:t xml:space="preserve"> </w:t>
            </w:r>
            <w:r w:rsidRPr="00A96915">
              <w:rPr>
                <w:rFonts w:eastAsia="Times New Roman"/>
                <w:i/>
                <w:sz w:val="14"/>
                <w:szCs w:val="16"/>
              </w:rPr>
              <w:t xml:space="preserve">v </w:t>
            </w:r>
            <w:r>
              <w:rPr>
                <w:rFonts w:eastAsia="Times New Roman"/>
                <w:i/>
                <w:sz w:val="14"/>
                <w:szCs w:val="16"/>
              </w:rPr>
              <w:t xml:space="preserve">program </w:t>
            </w:r>
            <w:r w:rsidRPr="00A96915">
              <w:rPr>
                <w:rFonts w:eastAsia="Times New Roman"/>
                <w:i/>
                <w:sz w:val="14"/>
                <w:szCs w:val="16"/>
              </w:rPr>
              <w:t>(izpolnjen Vprašalnik za spremljanje podatkov o udeležencih na operacijah</w:t>
            </w:r>
            <w:r>
              <w:rPr>
                <w:rFonts w:eastAsia="Times New Roman"/>
                <w:i/>
                <w:sz w:val="14"/>
                <w:szCs w:val="16"/>
              </w:rPr>
              <w:t xml:space="preserve">). Poročanje bo potekalo na agregirani ravni, in sicer tako, da </w:t>
            </w:r>
            <w:r w:rsidR="00322805">
              <w:rPr>
                <w:rFonts w:eastAsia="Times New Roman"/>
                <w:i/>
                <w:sz w:val="14"/>
                <w:szCs w:val="16"/>
              </w:rPr>
              <w:t>se</w:t>
            </w:r>
            <w:r w:rsidR="004B1C19">
              <w:rPr>
                <w:rFonts w:eastAsia="Times New Roman"/>
                <w:i/>
                <w:sz w:val="14"/>
                <w:szCs w:val="16"/>
              </w:rPr>
              <w:t xml:space="preserve"> ministrstvu </w:t>
            </w:r>
            <w:r>
              <w:rPr>
                <w:rFonts w:eastAsia="Times New Roman"/>
                <w:i/>
                <w:sz w:val="14"/>
                <w:szCs w:val="16"/>
              </w:rPr>
              <w:t>poroča o udeležencih</w:t>
            </w:r>
            <w:r w:rsidR="00F64FD7">
              <w:rPr>
                <w:rFonts w:eastAsia="Times New Roman"/>
                <w:i/>
                <w:sz w:val="14"/>
                <w:szCs w:val="16"/>
              </w:rPr>
              <w:t xml:space="preserve"> skladno</w:t>
            </w:r>
            <w:r>
              <w:rPr>
                <w:rFonts w:eastAsia="Times New Roman"/>
                <w:i/>
                <w:sz w:val="14"/>
                <w:szCs w:val="16"/>
              </w:rPr>
              <w:t xml:space="preserve"> z </w:t>
            </w:r>
            <w:hyperlink r:id="rId12" w:tgtFrame="_top" w:history="1">
              <w:r w:rsidRPr="00A96915">
                <w:rPr>
                  <w:rFonts w:eastAsia="Times New Roman"/>
                  <w:i/>
                  <w:sz w:val="14"/>
                  <w:szCs w:val="16"/>
                </w:rPr>
                <w:t>Navodil</w:t>
              </w:r>
              <w:r>
                <w:rPr>
                  <w:rFonts w:eastAsia="Times New Roman"/>
                  <w:i/>
                  <w:sz w:val="14"/>
                  <w:szCs w:val="16"/>
                </w:rPr>
                <w:t>i</w:t>
              </w:r>
              <w:r w:rsidRPr="00A96915">
                <w:rPr>
                  <w:rFonts w:eastAsia="Times New Roman"/>
                  <w:i/>
                  <w:sz w:val="14"/>
                  <w:szCs w:val="16"/>
                </w:rPr>
                <w:t xml:space="preserve"> Ministrstva za izobraževanje, znanost in šport za izvajanje operacij evropske kohezijske politike v programskem obdobju 2014-2020</w:t>
              </w:r>
            </w:hyperlink>
            <w:r>
              <w:rPr>
                <w:rFonts w:eastAsia="Times New Roman"/>
                <w:i/>
                <w:sz w:val="14"/>
                <w:szCs w:val="16"/>
              </w:rPr>
              <w:t xml:space="preserve"> oziro</w:t>
            </w:r>
            <w:r w:rsidR="00F64FD7">
              <w:rPr>
                <w:rFonts w:eastAsia="Times New Roman"/>
                <w:i/>
                <w:sz w:val="14"/>
                <w:szCs w:val="16"/>
              </w:rPr>
              <w:t>ma po prilogi 7; objavljenimi</w:t>
            </w:r>
            <w:r>
              <w:rPr>
                <w:rFonts w:eastAsia="Times New Roman"/>
                <w:i/>
                <w:sz w:val="14"/>
                <w:szCs w:val="16"/>
              </w:rPr>
              <w:t xml:space="preserve"> na spletni strani</w:t>
            </w:r>
            <w:r w:rsidR="004B1C19">
              <w:rPr>
                <w:rFonts w:eastAsia="Times New Roman"/>
                <w:i/>
                <w:sz w:val="14"/>
                <w:szCs w:val="16"/>
              </w:rPr>
              <w:t xml:space="preserve"> ministrstva</w:t>
            </w:r>
            <w:r>
              <w:rPr>
                <w:rFonts w:eastAsia="Times New Roman"/>
                <w:i/>
                <w:sz w:val="14"/>
                <w:szCs w:val="16"/>
              </w:rPr>
              <w:t>.</w:t>
            </w:r>
          </w:p>
        </w:tc>
      </w:tr>
      <w:tr w:rsidR="00F51CE5" w:rsidRPr="0067086B" w14:paraId="41ADB313" w14:textId="77777777" w:rsidTr="00122288">
        <w:trPr>
          <w:trHeight w:val="4925"/>
        </w:trPr>
        <w:tc>
          <w:tcPr>
            <w:tcW w:w="568" w:type="dxa"/>
            <w:shd w:val="clear" w:color="auto" w:fill="auto"/>
          </w:tcPr>
          <w:p w14:paraId="5F7F3BA7" w14:textId="77777777" w:rsidR="00F51CE5" w:rsidRPr="0067086B" w:rsidRDefault="00F51CE5" w:rsidP="007F0306">
            <w:pPr>
              <w:spacing w:after="0" w:line="260" w:lineRule="exact"/>
              <w:contextualSpacing/>
              <w:rPr>
                <w:rFonts w:eastAsia="Times New Roman"/>
                <w:b/>
                <w:sz w:val="16"/>
                <w:szCs w:val="16"/>
              </w:rPr>
            </w:pPr>
            <w:r>
              <w:rPr>
                <w:rFonts w:eastAsia="Times New Roman"/>
                <w:b/>
                <w:sz w:val="16"/>
                <w:szCs w:val="16"/>
              </w:rPr>
              <w:t>5</w:t>
            </w:r>
            <w:r w:rsidRPr="0067086B">
              <w:rPr>
                <w:rFonts w:eastAsia="Times New Roman"/>
                <w:b/>
                <w:sz w:val="16"/>
                <w:szCs w:val="16"/>
              </w:rPr>
              <w:t>.2</w:t>
            </w:r>
          </w:p>
        </w:tc>
        <w:tc>
          <w:tcPr>
            <w:tcW w:w="4394" w:type="dxa"/>
            <w:shd w:val="clear" w:color="auto" w:fill="auto"/>
          </w:tcPr>
          <w:p w14:paraId="2F20532E" w14:textId="77777777" w:rsidR="00F51CE5" w:rsidRPr="0067086B" w:rsidRDefault="00F51CE5" w:rsidP="007F0306">
            <w:pPr>
              <w:spacing w:after="0" w:line="260" w:lineRule="exact"/>
              <w:contextualSpacing/>
              <w:rPr>
                <w:rFonts w:eastAsia="Times New Roman"/>
                <w:b/>
                <w:sz w:val="16"/>
                <w:szCs w:val="16"/>
              </w:rPr>
            </w:pPr>
            <w:r w:rsidRPr="0067086B">
              <w:rPr>
                <w:rFonts w:eastAsia="Times New Roman"/>
                <w:b/>
                <w:sz w:val="16"/>
                <w:szCs w:val="16"/>
              </w:rPr>
              <w:t>Zagotavljanje upoštevanja pravil EU</w:t>
            </w:r>
          </w:p>
          <w:p w14:paraId="0623D991" w14:textId="77777777" w:rsidR="00F51CE5" w:rsidRPr="0067086B" w:rsidRDefault="00F51CE5" w:rsidP="007F0306">
            <w:pPr>
              <w:spacing w:after="0" w:line="260" w:lineRule="exact"/>
              <w:contextualSpacing/>
              <w:rPr>
                <w:rFonts w:eastAsia="Times New Roman"/>
                <w:sz w:val="16"/>
                <w:szCs w:val="16"/>
              </w:rPr>
            </w:pPr>
            <w:r w:rsidRPr="0067086B">
              <w:rPr>
                <w:rFonts w:eastAsia="Times New Roman"/>
                <w:sz w:val="16"/>
                <w:szCs w:val="16"/>
              </w:rPr>
              <w:t>Opišite zagotavljanje dostopnosti dokumentacije (140. člen Uredbe (EU) 1303/2013), prepoved dvojnega financiranja, zagotavljanje revizijske sledi itd.</w:t>
            </w:r>
          </w:p>
        </w:tc>
        <w:tc>
          <w:tcPr>
            <w:tcW w:w="4111" w:type="dxa"/>
            <w:shd w:val="clear" w:color="auto" w:fill="auto"/>
          </w:tcPr>
          <w:p w14:paraId="3242045F" w14:textId="19D55728" w:rsidR="007B1EAD" w:rsidRPr="00E66C7F" w:rsidRDefault="007B1EAD" w:rsidP="007B1EAD">
            <w:pPr>
              <w:spacing w:after="0" w:line="240" w:lineRule="auto"/>
              <w:contextualSpacing/>
              <w:jc w:val="both"/>
              <w:rPr>
                <w:rFonts w:eastAsia="Times New Roman"/>
                <w:i/>
                <w:sz w:val="14"/>
                <w:szCs w:val="16"/>
              </w:rPr>
            </w:pPr>
            <w:r w:rsidRPr="00E66C7F">
              <w:rPr>
                <w:rFonts w:eastAsia="Times New Roman"/>
                <w:i/>
                <w:sz w:val="14"/>
                <w:szCs w:val="16"/>
              </w:rPr>
              <w:t>Med pripravo in izvajanjem predlaganega programa bomo, vključno v zvezi s spremljanjem, poročanjem in vrednotenjem, delovali v smeri preprečevanja in aktivne odprave diskriminacije ter dosledno spoštovali načela učinkovi</w:t>
            </w:r>
            <w:r w:rsidR="002C00FF">
              <w:rPr>
                <w:rFonts w:eastAsia="Times New Roman"/>
                <w:i/>
                <w:sz w:val="14"/>
                <w:szCs w:val="16"/>
              </w:rPr>
              <w:t>te rabe sredstev</w:t>
            </w:r>
            <w:r w:rsidR="000C0AFA">
              <w:rPr>
                <w:rFonts w:eastAsia="Times New Roman"/>
                <w:i/>
                <w:sz w:val="14"/>
                <w:szCs w:val="16"/>
              </w:rPr>
              <w:t>.</w:t>
            </w:r>
          </w:p>
          <w:p w14:paraId="29AE7AEB" w14:textId="44746606" w:rsidR="007B1EAD" w:rsidRPr="00E66C7F" w:rsidRDefault="00FF1B74" w:rsidP="007B1EAD">
            <w:pPr>
              <w:spacing w:after="0" w:line="240" w:lineRule="auto"/>
              <w:contextualSpacing/>
              <w:jc w:val="both"/>
              <w:rPr>
                <w:rFonts w:eastAsia="Times New Roman"/>
                <w:i/>
                <w:sz w:val="14"/>
                <w:szCs w:val="16"/>
              </w:rPr>
            </w:pPr>
            <w:r>
              <w:rPr>
                <w:rFonts w:eastAsia="Times New Roman"/>
                <w:i/>
                <w:sz w:val="14"/>
                <w:szCs w:val="16"/>
              </w:rPr>
              <w:t xml:space="preserve">Skladno </w:t>
            </w:r>
            <w:r w:rsidR="002C00FF" w:rsidRPr="002C00FF">
              <w:rPr>
                <w:rFonts w:eastAsia="Times New Roman"/>
                <w:i/>
                <w:sz w:val="14"/>
                <w:szCs w:val="16"/>
              </w:rPr>
              <w:t>z Navodili Ministrstva za izobraževanje, znanost in šport za izvajanje operacij evropske kohezijske politike v programskem obdobju 2014-2020</w:t>
            </w:r>
            <w:r w:rsidR="002C00FF">
              <w:rPr>
                <w:rFonts w:asciiTheme="minorHAnsi" w:eastAsia="Times New Roman" w:hAnsiTheme="minorHAnsi" w:cstheme="minorHAnsi"/>
                <w:sz w:val="20"/>
                <w:szCs w:val="20"/>
              </w:rPr>
              <w:t xml:space="preserve"> </w:t>
            </w:r>
            <w:r w:rsidR="007B1EAD" w:rsidRPr="00E66C7F">
              <w:rPr>
                <w:rFonts w:eastAsia="Times New Roman"/>
                <w:i/>
                <w:sz w:val="14"/>
                <w:szCs w:val="16"/>
              </w:rPr>
              <w:t>bo vsa dokumentacija, povezana s programom, hranjena na enem mestu, in sicer lo</w:t>
            </w:r>
            <w:r>
              <w:rPr>
                <w:rFonts w:eastAsia="Times New Roman"/>
                <w:i/>
                <w:sz w:val="14"/>
                <w:szCs w:val="16"/>
              </w:rPr>
              <w:t>čeno od ostale dokumentacije oziroma</w:t>
            </w:r>
            <w:r w:rsidR="007B1EAD" w:rsidRPr="00E66C7F">
              <w:rPr>
                <w:rFonts w:eastAsia="Times New Roman"/>
                <w:i/>
                <w:sz w:val="14"/>
                <w:szCs w:val="16"/>
              </w:rPr>
              <w:t xml:space="preserve"> ločeno za vsako operacijo v primeru, da </w:t>
            </w:r>
            <w:r w:rsidR="00D61A37">
              <w:rPr>
                <w:rFonts w:eastAsia="Times New Roman"/>
                <w:i/>
                <w:sz w:val="14"/>
                <w:szCs w:val="16"/>
              </w:rPr>
              <w:t>smo odgovorni</w:t>
            </w:r>
            <w:r w:rsidR="007B1EAD" w:rsidRPr="00E66C7F">
              <w:rPr>
                <w:rFonts w:eastAsia="Times New Roman"/>
                <w:i/>
                <w:sz w:val="14"/>
                <w:szCs w:val="16"/>
              </w:rPr>
              <w:t xml:space="preserve"> za izvedbo več operacij </w:t>
            </w:r>
            <w:r>
              <w:rPr>
                <w:rFonts w:eastAsia="Times New Roman"/>
                <w:i/>
                <w:sz w:val="14"/>
                <w:szCs w:val="16"/>
              </w:rPr>
              <w:t>evropske kohezijske politike</w:t>
            </w:r>
            <w:r w:rsidR="007B1EAD" w:rsidRPr="00E66C7F">
              <w:rPr>
                <w:rFonts w:eastAsia="Times New Roman"/>
                <w:i/>
                <w:sz w:val="14"/>
                <w:szCs w:val="16"/>
              </w:rPr>
              <w:t>. Kot upravičenec zagotavljamo, da bomo spoštovali vsa določila glede zagotavljanja dostopnosti dokumentacije in določila glede zagotavljanja revizijske sledi. Skladno s pravili Evropske unije (140. člen Uredbe</w:t>
            </w:r>
            <w:r w:rsidR="0028533C">
              <w:rPr>
                <w:rFonts w:eastAsia="Times New Roman"/>
                <w:i/>
                <w:sz w:val="14"/>
                <w:szCs w:val="16"/>
              </w:rPr>
              <w:t xml:space="preserve"> (EU) št.</w:t>
            </w:r>
            <w:r w:rsidR="00406DCA">
              <w:rPr>
                <w:rFonts w:eastAsia="Times New Roman"/>
                <w:i/>
                <w:sz w:val="14"/>
                <w:szCs w:val="16"/>
              </w:rPr>
              <w:t xml:space="preserve"> 1303/2013</w:t>
            </w:r>
            <w:r w:rsidR="007B1EAD" w:rsidRPr="00E66C7F">
              <w:rPr>
                <w:rFonts w:eastAsia="Times New Roman"/>
                <w:i/>
                <w:sz w:val="14"/>
                <w:szCs w:val="16"/>
              </w:rPr>
              <w:t xml:space="preserve">) in nacionalno zakonodajo bomo kot navedeno zagotavljali hrambo celotne originalne </w:t>
            </w:r>
            <w:r w:rsidR="00D61A37">
              <w:rPr>
                <w:rFonts w:eastAsia="Times New Roman"/>
                <w:i/>
                <w:sz w:val="14"/>
                <w:szCs w:val="16"/>
              </w:rPr>
              <w:t>programsk</w:t>
            </w:r>
            <w:r w:rsidR="007B1EAD" w:rsidRPr="00E66C7F">
              <w:rPr>
                <w:rFonts w:eastAsia="Times New Roman"/>
                <w:i/>
                <w:sz w:val="14"/>
                <w:szCs w:val="16"/>
              </w:rPr>
              <w:t>e dokumentacije in zagotavljali dostop in vpogled za potrebe bodočih preverjanj.</w:t>
            </w:r>
          </w:p>
          <w:p w14:paraId="544314D6" w14:textId="77777777" w:rsidR="002C00FF" w:rsidRDefault="002C00FF" w:rsidP="00B90470">
            <w:pPr>
              <w:pStyle w:val="Pripombabesedilo"/>
              <w:rPr>
                <w:i/>
                <w:sz w:val="14"/>
                <w:szCs w:val="16"/>
              </w:rPr>
            </w:pPr>
          </w:p>
          <w:p w14:paraId="285E3897" w14:textId="16041711" w:rsidR="00355C4E" w:rsidRPr="007B1EAD" w:rsidRDefault="007B1EAD" w:rsidP="002C00FF">
            <w:pPr>
              <w:pStyle w:val="Pripombabesedilo"/>
              <w:rPr>
                <w:i/>
                <w:sz w:val="14"/>
                <w:szCs w:val="16"/>
              </w:rPr>
            </w:pPr>
            <w:r w:rsidRPr="00E66C7F">
              <w:rPr>
                <w:i/>
                <w:sz w:val="14"/>
                <w:szCs w:val="16"/>
              </w:rPr>
              <w:t xml:space="preserve">Skladno s pogodbo o sofinanciranju </w:t>
            </w:r>
            <w:r w:rsidR="00D61A37">
              <w:rPr>
                <w:i/>
                <w:sz w:val="14"/>
                <w:szCs w:val="16"/>
              </w:rPr>
              <w:t>bomo</w:t>
            </w:r>
            <w:r w:rsidR="00355C4E">
              <w:rPr>
                <w:i/>
                <w:sz w:val="14"/>
                <w:szCs w:val="16"/>
              </w:rPr>
              <w:t xml:space="preserve"> </w:t>
            </w:r>
            <w:r w:rsidR="00B90470">
              <w:rPr>
                <w:i/>
                <w:sz w:val="14"/>
                <w:szCs w:val="16"/>
              </w:rPr>
              <w:t>kot upravičenec</w:t>
            </w:r>
            <w:r w:rsidR="00D61A37">
              <w:rPr>
                <w:i/>
                <w:sz w:val="14"/>
                <w:szCs w:val="16"/>
              </w:rPr>
              <w:t xml:space="preserve"> zagotovili</w:t>
            </w:r>
            <w:r w:rsidR="0028533C">
              <w:rPr>
                <w:i/>
                <w:sz w:val="14"/>
                <w:szCs w:val="16"/>
              </w:rPr>
              <w:t>, da za stroške, ki</w:t>
            </w:r>
            <w:r w:rsidR="00B90470">
              <w:rPr>
                <w:i/>
                <w:sz w:val="14"/>
                <w:szCs w:val="16"/>
              </w:rPr>
              <w:t xml:space="preserve"> </w:t>
            </w:r>
            <w:r w:rsidR="00355C4E">
              <w:rPr>
                <w:i/>
                <w:sz w:val="14"/>
                <w:szCs w:val="16"/>
              </w:rPr>
              <w:t>bodo</w:t>
            </w:r>
            <w:r w:rsidR="00B90470">
              <w:rPr>
                <w:i/>
                <w:sz w:val="14"/>
                <w:szCs w:val="16"/>
              </w:rPr>
              <w:t xml:space="preserve"> predmet pogodbe o</w:t>
            </w:r>
            <w:r w:rsidRPr="00E66C7F">
              <w:rPr>
                <w:i/>
                <w:sz w:val="14"/>
                <w:szCs w:val="16"/>
              </w:rPr>
              <w:t xml:space="preserve"> sofinanciranj</w:t>
            </w:r>
            <w:r w:rsidR="00B90470">
              <w:rPr>
                <w:i/>
                <w:sz w:val="14"/>
                <w:szCs w:val="16"/>
              </w:rPr>
              <w:t>u</w:t>
            </w:r>
            <w:r w:rsidRPr="00E66C7F">
              <w:rPr>
                <w:i/>
                <w:sz w:val="14"/>
                <w:szCs w:val="16"/>
              </w:rPr>
              <w:t>, nismo prejeli oziroma ne bomo prejeli sredstev iz drugih virov financiranja (prepoved dvojnega financiranja). Če</w:t>
            </w:r>
            <w:r w:rsidR="002C00FF">
              <w:rPr>
                <w:i/>
                <w:sz w:val="14"/>
                <w:szCs w:val="16"/>
              </w:rPr>
              <w:t xml:space="preserve"> ministrstvo</w:t>
            </w:r>
            <w:r w:rsidRPr="00E66C7F">
              <w:rPr>
                <w:i/>
                <w:sz w:val="14"/>
                <w:szCs w:val="16"/>
              </w:rPr>
              <w:t xml:space="preserve"> </w:t>
            </w:r>
            <w:r w:rsidR="00B90470">
              <w:rPr>
                <w:i/>
                <w:sz w:val="14"/>
                <w:szCs w:val="16"/>
              </w:rPr>
              <w:t xml:space="preserve">ali drugi nadzorni organ </w:t>
            </w:r>
            <w:r w:rsidRPr="00E66C7F">
              <w:rPr>
                <w:i/>
                <w:sz w:val="14"/>
                <w:szCs w:val="16"/>
              </w:rPr>
              <w:t xml:space="preserve">ugotovi, da </w:t>
            </w:r>
            <w:r w:rsidR="00D61A37">
              <w:rPr>
                <w:i/>
                <w:sz w:val="14"/>
                <w:szCs w:val="16"/>
              </w:rPr>
              <w:t>smo</w:t>
            </w:r>
            <w:r w:rsidRPr="00E66C7F">
              <w:rPr>
                <w:i/>
                <w:sz w:val="14"/>
                <w:szCs w:val="16"/>
              </w:rPr>
              <w:t xml:space="preserve"> p</w:t>
            </w:r>
            <w:r w:rsidR="0028533C">
              <w:rPr>
                <w:i/>
                <w:sz w:val="14"/>
                <w:szCs w:val="16"/>
              </w:rPr>
              <w:t>rejel</w:t>
            </w:r>
            <w:r w:rsidR="00ED2BBB">
              <w:rPr>
                <w:i/>
                <w:sz w:val="14"/>
                <w:szCs w:val="16"/>
              </w:rPr>
              <w:t>i</w:t>
            </w:r>
            <w:r w:rsidR="0028533C">
              <w:rPr>
                <w:i/>
                <w:sz w:val="14"/>
                <w:szCs w:val="16"/>
              </w:rPr>
              <w:t xml:space="preserve"> sredstva za stroške, ki bodo predmet</w:t>
            </w:r>
            <w:r w:rsidRPr="00E66C7F">
              <w:rPr>
                <w:i/>
                <w:sz w:val="14"/>
                <w:szCs w:val="16"/>
              </w:rPr>
              <w:t xml:space="preserve"> pogodbe</w:t>
            </w:r>
            <w:r w:rsidR="00B90470">
              <w:rPr>
                <w:i/>
                <w:sz w:val="14"/>
                <w:szCs w:val="16"/>
              </w:rPr>
              <w:t xml:space="preserve"> o sofinanciranju</w:t>
            </w:r>
            <w:r w:rsidRPr="00E66C7F">
              <w:rPr>
                <w:i/>
                <w:sz w:val="14"/>
                <w:szCs w:val="16"/>
              </w:rPr>
              <w:t xml:space="preserve"> tudi iz drugih virov financiranja ali pa so </w:t>
            </w:r>
            <w:r w:rsidR="00D61A37">
              <w:rPr>
                <w:i/>
                <w:sz w:val="14"/>
                <w:szCs w:val="16"/>
              </w:rPr>
              <w:t>nam</w:t>
            </w:r>
            <w:r w:rsidRPr="00E66C7F">
              <w:rPr>
                <w:i/>
                <w:sz w:val="14"/>
                <w:szCs w:val="16"/>
              </w:rPr>
              <w:t xml:space="preserve"> bila odobrena, se lahko pogodba</w:t>
            </w:r>
            <w:r w:rsidR="00B90470">
              <w:rPr>
                <w:i/>
                <w:sz w:val="14"/>
                <w:szCs w:val="16"/>
              </w:rPr>
              <w:t xml:space="preserve"> o sofinanciranju</w:t>
            </w:r>
            <w:r w:rsidRPr="00E66C7F">
              <w:rPr>
                <w:i/>
                <w:sz w:val="14"/>
                <w:szCs w:val="16"/>
              </w:rPr>
              <w:t xml:space="preserve"> razdre, </w:t>
            </w:r>
            <w:r w:rsidR="002C00FF">
              <w:rPr>
                <w:i/>
                <w:sz w:val="14"/>
                <w:szCs w:val="16"/>
              </w:rPr>
              <w:t>ministrstvu pa bomo dolžni</w:t>
            </w:r>
            <w:r w:rsidRPr="00E66C7F">
              <w:rPr>
                <w:i/>
                <w:sz w:val="14"/>
                <w:szCs w:val="16"/>
              </w:rPr>
              <w:t xml:space="preserve"> povrniti vsa neupravičeno prejeta sredstva s pripadajočimi </w:t>
            </w:r>
            <w:r w:rsidR="00B90470">
              <w:rPr>
                <w:i/>
                <w:sz w:val="14"/>
                <w:szCs w:val="16"/>
              </w:rPr>
              <w:t>zakonskimi zamudnimi obresti od dneva nakazila na transakcijski račun do dneva vračila v dobro proračuna Republike Slovenije.</w:t>
            </w:r>
          </w:p>
        </w:tc>
      </w:tr>
      <w:tr w:rsidR="00F51CE5" w:rsidRPr="0067086B" w14:paraId="606C7159" w14:textId="77777777" w:rsidTr="007F0306">
        <w:tc>
          <w:tcPr>
            <w:tcW w:w="568" w:type="dxa"/>
            <w:shd w:val="clear" w:color="auto" w:fill="auto"/>
          </w:tcPr>
          <w:p w14:paraId="3FBBBEE9" w14:textId="77777777" w:rsidR="00F51CE5" w:rsidRPr="0067086B" w:rsidRDefault="00F51CE5" w:rsidP="007F0306">
            <w:pPr>
              <w:spacing w:after="0" w:line="260" w:lineRule="exact"/>
              <w:contextualSpacing/>
              <w:rPr>
                <w:rFonts w:eastAsia="Times New Roman"/>
                <w:b/>
                <w:sz w:val="16"/>
                <w:szCs w:val="16"/>
              </w:rPr>
            </w:pPr>
            <w:r>
              <w:rPr>
                <w:rFonts w:eastAsia="Times New Roman"/>
                <w:b/>
                <w:sz w:val="16"/>
                <w:szCs w:val="16"/>
              </w:rPr>
              <w:t>5</w:t>
            </w:r>
            <w:r w:rsidRPr="0067086B">
              <w:rPr>
                <w:rFonts w:eastAsia="Times New Roman"/>
                <w:b/>
                <w:sz w:val="16"/>
                <w:szCs w:val="16"/>
              </w:rPr>
              <w:t>.3</w:t>
            </w:r>
          </w:p>
        </w:tc>
        <w:tc>
          <w:tcPr>
            <w:tcW w:w="4394" w:type="dxa"/>
            <w:shd w:val="clear" w:color="auto" w:fill="auto"/>
          </w:tcPr>
          <w:p w14:paraId="2097D6C6" w14:textId="77777777" w:rsidR="00F51CE5" w:rsidRPr="0067086B" w:rsidRDefault="00F51CE5" w:rsidP="007F0306">
            <w:pPr>
              <w:spacing w:after="0" w:line="260" w:lineRule="exact"/>
              <w:contextualSpacing/>
              <w:rPr>
                <w:rFonts w:eastAsia="Times New Roman"/>
                <w:b/>
                <w:sz w:val="16"/>
                <w:szCs w:val="16"/>
              </w:rPr>
            </w:pPr>
            <w:r w:rsidRPr="0067086B">
              <w:rPr>
                <w:rFonts w:eastAsia="Times New Roman"/>
                <w:b/>
                <w:sz w:val="16"/>
                <w:szCs w:val="16"/>
              </w:rPr>
              <w:t>Preverjanje in izvajanje kontrole nad izvajanjem oziroma odgovorna oseba</w:t>
            </w:r>
          </w:p>
          <w:p w14:paraId="7C173382" w14:textId="77777777" w:rsidR="00F51CE5" w:rsidRPr="0067086B" w:rsidRDefault="00F51CE5" w:rsidP="007F0306">
            <w:pPr>
              <w:spacing w:after="0" w:line="260" w:lineRule="exact"/>
              <w:contextualSpacing/>
              <w:rPr>
                <w:rFonts w:eastAsia="Times New Roman"/>
                <w:sz w:val="16"/>
                <w:szCs w:val="16"/>
              </w:rPr>
            </w:pPr>
            <w:r w:rsidRPr="0067086B">
              <w:rPr>
                <w:rFonts w:eastAsia="Times New Roman"/>
                <w:sz w:val="16"/>
                <w:szCs w:val="16"/>
              </w:rPr>
              <w:t>Na kratko opišite izvajanje kontrol in navedite odgovorne osebe (pri upravičencu in PO).</w:t>
            </w:r>
          </w:p>
        </w:tc>
        <w:tc>
          <w:tcPr>
            <w:tcW w:w="4111" w:type="dxa"/>
            <w:shd w:val="clear" w:color="auto" w:fill="auto"/>
          </w:tcPr>
          <w:p w14:paraId="659CF100" w14:textId="77777777" w:rsidR="007B1EAD" w:rsidRPr="00902EE0" w:rsidRDefault="007B1EAD" w:rsidP="007B1EAD">
            <w:pPr>
              <w:spacing w:after="0" w:line="260" w:lineRule="exact"/>
              <w:contextualSpacing/>
              <w:rPr>
                <w:rFonts w:eastAsia="Times New Roman"/>
                <w:i/>
                <w:sz w:val="14"/>
                <w:szCs w:val="16"/>
              </w:rPr>
            </w:pPr>
            <w:r w:rsidRPr="00902EE0">
              <w:rPr>
                <w:rFonts w:eastAsia="Times New Roman"/>
                <w:i/>
                <w:sz w:val="14"/>
                <w:szCs w:val="16"/>
              </w:rPr>
              <w:t>Posredniški organ:</w:t>
            </w:r>
          </w:p>
          <w:p w14:paraId="50D672AD" w14:textId="44AFA006" w:rsidR="007B1EAD" w:rsidRPr="00902EE0" w:rsidRDefault="007B1EAD" w:rsidP="007B1EAD">
            <w:pPr>
              <w:spacing w:after="0" w:line="260" w:lineRule="exact"/>
              <w:contextualSpacing/>
              <w:rPr>
                <w:rFonts w:eastAsia="Times New Roman"/>
                <w:i/>
                <w:sz w:val="14"/>
                <w:szCs w:val="16"/>
              </w:rPr>
            </w:pPr>
            <w:r>
              <w:rPr>
                <w:rFonts w:eastAsia="Times New Roman"/>
                <w:i/>
                <w:sz w:val="14"/>
                <w:szCs w:val="16"/>
              </w:rPr>
              <w:t>-</w:t>
            </w:r>
            <w:r w:rsidRPr="00902EE0">
              <w:rPr>
                <w:rFonts w:eastAsia="Times New Roman"/>
                <w:i/>
                <w:sz w:val="14"/>
                <w:szCs w:val="16"/>
              </w:rPr>
              <w:t xml:space="preserve">Izvajanje administrativnega preverjanja po 125. členu Uredbe </w:t>
            </w:r>
            <w:r w:rsidR="00406DCA">
              <w:rPr>
                <w:rFonts w:eastAsia="Times New Roman"/>
                <w:i/>
                <w:sz w:val="14"/>
                <w:szCs w:val="16"/>
              </w:rPr>
              <w:t xml:space="preserve">(EU) </w:t>
            </w:r>
            <w:r w:rsidR="0038714F">
              <w:rPr>
                <w:rFonts w:eastAsia="Times New Roman"/>
                <w:i/>
                <w:sz w:val="14"/>
                <w:szCs w:val="16"/>
              </w:rPr>
              <w:t xml:space="preserve">št. </w:t>
            </w:r>
            <w:r w:rsidR="00406DCA">
              <w:rPr>
                <w:rFonts w:eastAsia="Times New Roman"/>
                <w:i/>
                <w:sz w:val="14"/>
                <w:szCs w:val="16"/>
              </w:rPr>
              <w:t>1303/2013</w:t>
            </w:r>
            <w:r w:rsidRPr="00902EE0">
              <w:rPr>
                <w:rFonts w:eastAsia="Times New Roman"/>
                <w:i/>
                <w:sz w:val="14"/>
                <w:szCs w:val="16"/>
              </w:rPr>
              <w:t>.</w:t>
            </w:r>
          </w:p>
          <w:p w14:paraId="4DFA4358" w14:textId="18F562EF" w:rsidR="007B1EAD" w:rsidRDefault="007B1EAD" w:rsidP="007B1EAD">
            <w:pPr>
              <w:spacing w:after="0" w:line="260" w:lineRule="exact"/>
              <w:contextualSpacing/>
              <w:rPr>
                <w:rFonts w:eastAsia="Times New Roman"/>
                <w:i/>
                <w:sz w:val="14"/>
                <w:szCs w:val="16"/>
              </w:rPr>
            </w:pPr>
            <w:r>
              <w:rPr>
                <w:rFonts w:eastAsia="Times New Roman"/>
                <w:i/>
                <w:sz w:val="14"/>
                <w:szCs w:val="16"/>
              </w:rPr>
              <w:t>-</w:t>
            </w:r>
            <w:r w:rsidRPr="00902EE0">
              <w:rPr>
                <w:rFonts w:eastAsia="Times New Roman"/>
                <w:i/>
                <w:sz w:val="14"/>
                <w:szCs w:val="16"/>
              </w:rPr>
              <w:t>Izvajanje preverjanja na kraju samem po 125. členu Uredbe</w:t>
            </w:r>
            <w:r w:rsidR="0038714F">
              <w:rPr>
                <w:rFonts w:eastAsia="Times New Roman"/>
                <w:i/>
                <w:sz w:val="14"/>
                <w:szCs w:val="16"/>
              </w:rPr>
              <w:t xml:space="preserve"> </w:t>
            </w:r>
            <w:r w:rsidR="00406DCA">
              <w:rPr>
                <w:rFonts w:eastAsia="Times New Roman"/>
                <w:i/>
                <w:sz w:val="14"/>
                <w:szCs w:val="16"/>
              </w:rPr>
              <w:t xml:space="preserve">(EU) </w:t>
            </w:r>
            <w:r w:rsidR="0038714F">
              <w:rPr>
                <w:rFonts w:eastAsia="Times New Roman"/>
                <w:i/>
                <w:sz w:val="14"/>
                <w:szCs w:val="16"/>
              </w:rPr>
              <w:t xml:space="preserve">št. </w:t>
            </w:r>
            <w:r w:rsidR="00406DCA">
              <w:rPr>
                <w:rFonts w:eastAsia="Times New Roman"/>
                <w:i/>
                <w:sz w:val="14"/>
                <w:szCs w:val="16"/>
              </w:rPr>
              <w:t>1303/2013</w:t>
            </w:r>
            <w:r w:rsidRPr="00902EE0">
              <w:rPr>
                <w:rFonts w:eastAsia="Times New Roman"/>
                <w:i/>
                <w:sz w:val="14"/>
                <w:szCs w:val="16"/>
              </w:rPr>
              <w:t>.</w:t>
            </w:r>
          </w:p>
          <w:p w14:paraId="3CE55D6B" w14:textId="463DAA83" w:rsidR="00122288" w:rsidRPr="00902EE0" w:rsidRDefault="00122288" w:rsidP="007B1EAD">
            <w:pPr>
              <w:spacing w:after="0" w:line="260" w:lineRule="exact"/>
              <w:contextualSpacing/>
              <w:rPr>
                <w:rFonts w:eastAsia="Times New Roman"/>
                <w:i/>
                <w:sz w:val="14"/>
                <w:szCs w:val="16"/>
              </w:rPr>
            </w:pPr>
            <w:r>
              <w:rPr>
                <w:rFonts w:eastAsia="Times New Roman"/>
                <w:i/>
                <w:sz w:val="14"/>
                <w:szCs w:val="16"/>
              </w:rPr>
              <w:t>Odgovorna oseba:</w:t>
            </w:r>
          </w:p>
          <w:p w14:paraId="14F66169" w14:textId="77777777" w:rsidR="007B1EAD" w:rsidRDefault="007B1EAD" w:rsidP="007B1EAD">
            <w:pPr>
              <w:spacing w:after="0" w:line="260" w:lineRule="exact"/>
              <w:contextualSpacing/>
              <w:rPr>
                <w:rFonts w:eastAsia="Times New Roman"/>
                <w:i/>
                <w:sz w:val="14"/>
                <w:szCs w:val="16"/>
              </w:rPr>
            </w:pPr>
            <w:r w:rsidRPr="00902EE0">
              <w:rPr>
                <w:rFonts w:eastAsia="Times New Roman"/>
                <w:i/>
                <w:sz w:val="14"/>
                <w:szCs w:val="16"/>
              </w:rPr>
              <w:t>CMEPIUS:</w:t>
            </w:r>
          </w:p>
          <w:p w14:paraId="2F9EAA8D" w14:textId="77777777" w:rsidR="00122288" w:rsidRDefault="007B1EAD" w:rsidP="00122288">
            <w:pPr>
              <w:spacing w:after="0" w:line="260" w:lineRule="exact"/>
              <w:contextualSpacing/>
              <w:rPr>
                <w:rFonts w:eastAsia="Times New Roman"/>
                <w:i/>
                <w:sz w:val="14"/>
                <w:szCs w:val="16"/>
              </w:rPr>
            </w:pPr>
            <w:r>
              <w:rPr>
                <w:rFonts w:eastAsia="Times New Roman"/>
                <w:i/>
                <w:sz w:val="14"/>
                <w:szCs w:val="16"/>
              </w:rPr>
              <w:t>-</w:t>
            </w:r>
          </w:p>
          <w:p w14:paraId="40764261" w14:textId="75019E90" w:rsidR="00122288" w:rsidRPr="00902EE0" w:rsidRDefault="00122288" w:rsidP="00122288">
            <w:pPr>
              <w:spacing w:after="0" w:line="260" w:lineRule="exact"/>
              <w:contextualSpacing/>
              <w:rPr>
                <w:rFonts w:eastAsia="Times New Roman"/>
                <w:i/>
                <w:sz w:val="14"/>
                <w:szCs w:val="16"/>
              </w:rPr>
            </w:pPr>
            <w:r>
              <w:rPr>
                <w:rFonts w:eastAsia="Times New Roman"/>
                <w:i/>
                <w:sz w:val="14"/>
                <w:szCs w:val="16"/>
              </w:rPr>
              <w:lastRenderedPageBreak/>
              <w:t>Odgovorna oseba:</w:t>
            </w:r>
          </w:p>
          <w:p w14:paraId="3DC4C2E9" w14:textId="77777777" w:rsidR="00122288" w:rsidRDefault="00122288" w:rsidP="007B1EAD">
            <w:pPr>
              <w:tabs>
                <w:tab w:val="center" w:pos="1947"/>
              </w:tabs>
              <w:spacing w:after="0" w:line="260" w:lineRule="exact"/>
              <w:contextualSpacing/>
              <w:rPr>
                <w:rFonts w:eastAsia="Times New Roman"/>
                <w:i/>
                <w:sz w:val="14"/>
                <w:szCs w:val="16"/>
              </w:rPr>
            </w:pPr>
          </w:p>
          <w:p w14:paraId="6863B186" w14:textId="77777777" w:rsidR="007B1EAD" w:rsidRDefault="007B1EAD" w:rsidP="007B1EAD">
            <w:pPr>
              <w:tabs>
                <w:tab w:val="center" w:pos="1947"/>
              </w:tabs>
              <w:spacing w:after="0" w:line="260" w:lineRule="exact"/>
              <w:contextualSpacing/>
              <w:rPr>
                <w:rFonts w:eastAsia="Times New Roman"/>
                <w:i/>
                <w:sz w:val="14"/>
                <w:szCs w:val="16"/>
              </w:rPr>
            </w:pPr>
            <w:commentRangeStart w:id="18"/>
            <w:r w:rsidRPr="00902EE0">
              <w:rPr>
                <w:rFonts w:eastAsia="Times New Roman"/>
                <w:i/>
                <w:sz w:val="14"/>
                <w:szCs w:val="16"/>
              </w:rPr>
              <w:t>UPRAVIČENEC:</w:t>
            </w:r>
            <w:commentRangeEnd w:id="18"/>
            <w:r w:rsidR="00E35193">
              <w:rPr>
                <w:rStyle w:val="Pripombasklic"/>
              </w:rPr>
              <w:commentReference w:id="18"/>
            </w:r>
            <w:r>
              <w:rPr>
                <w:rFonts w:eastAsia="Times New Roman"/>
                <w:i/>
                <w:sz w:val="14"/>
                <w:szCs w:val="16"/>
              </w:rPr>
              <w:tab/>
            </w:r>
          </w:p>
          <w:p w14:paraId="5A2CF51E" w14:textId="77777777" w:rsidR="00F51CE5" w:rsidRDefault="007B1EAD" w:rsidP="007B1EAD">
            <w:pPr>
              <w:spacing w:after="0" w:line="260" w:lineRule="exact"/>
              <w:contextualSpacing/>
              <w:rPr>
                <w:rFonts w:eastAsia="Times New Roman"/>
                <w:i/>
                <w:sz w:val="14"/>
                <w:szCs w:val="16"/>
              </w:rPr>
            </w:pPr>
            <w:r>
              <w:rPr>
                <w:rFonts w:eastAsia="Times New Roman"/>
                <w:i/>
                <w:sz w:val="14"/>
                <w:szCs w:val="16"/>
              </w:rPr>
              <w:t>-</w:t>
            </w:r>
            <w:r w:rsidR="003A62E9" w:rsidRPr="006103E0">
              <w:rPr>
                <w:rFonts w:ascii="Century Gothic" w:hAnsi="Century Gothic" w:cstheme="minorHAnsi"/>
              </w:rPr>
              <w:t xml:space="preserve"> </w:t>
            </w:r>
            <w:r w:rsidR="003A62E9" w:rsidRPr="003A62E9">
              <w:rPr>
                <w:rFonts w:eastAsia="Times New Roman"/>
                <w:i/>
                <w:sz w:val="14"/>
                <w:szCs w:val="16"/>
              </w:rPr>
              <w:t>Z namenom preglednosti in izvajanja preverjanj bo vodeno ločeno stroškovno mesto (skladno z Navodili Ministrstva za izobraževanje, znanost in šport za izvajanje operacij evropske kohezijske politike v programskem obdobju 2014-2020).</w:t>
            </w:r>
          </w:p>
          <w:p w14:paraId="211FEA4E" w14:textId="50C9CA42" w:rsidR="00122288" w:rsidRPr="00122288" w:rsidRDefault="00122288" w:rsidP="007B1EAD">
            <w:pPr>
              <w:spacing w:after="0" w:line="260" w:lineRule="exact"/>
              <w:contextualSpacing/>
              <w:rPr>
                <w:rFonts w:eastAsia="Times New Roman"/>
                <w:i/>
                <w:sz w:val="14"/>
                <w:szCs w:val="16"/>
              </w:rPr>
            </w:pPr>
            <w:r>
              <w:rPr>
                <w:rFonts w:eastAsia="Times New Roman"/>
                <w:i/>
                <w:sz w:val="14"/>
                <w:szCs w:val="16"/>
              </w:rPr>
              <w:t>Odgovorna oseba:</w:t>
            </w:r>
          </w:p>
        </w:tc>
      </w:tr>
    </w:tbl>
    <w:p w14:paraId="3B455A52" w14:textId="77777777" w:rsidR="00F51CE5" w:rsidRPr="0067086B" w:rsidRDefault="00F51CE5" w:rsidP="00F51CE5">
      <w:pPr>
        <w:spacing w:after="0" w:line="260" w:lineRule="exact"/>
        <w:rPr>
          <w:rFonts w:eastAsia="Times New Roman"/>
          <w:b/>
          <w:sz w:val="20"/>
          <w:szCs w:val="24"/>
        </w:rPr>
      </w:pPr>
    </w:p>
    <w:p w14:paraId="0E2DF7E4" w14:textId="2949938A" w:rsidR="00F51CE5" w:rsidRPr="004C6442" w:rsidRDefault="00F51CE5" w:rsidP="004C6442">
      <w:pPr>
        <w:numPr>
          <w:ilvl w:val="1"/>
          <w:numId w:val="2"/>
        </w:numPr>
        <w:overflowPunct w:val="0"/>
        <w:autoSpaceDE w:val="0"/>
        <w:autoSpaceDN w:val="0"/>
        <w:adjustRightInd w:val="0"/>
        <w:spacing w:after="0" w:line="240" w:lineRule="auto"/>
        <w:jc w:val="both"/>
        <w:textAlignment w:val="baseline"/>
        <w:rPr>
          <w:b/>
        </w:rPr>
      </w:pPr>
      <w:r>
        <w:rPr>
          <w:b/>
        </w:rPr>
        <w:t>Postopki</w:t>
      </w:r>
      <w:r w:rsidRPr="0067086B">
        <w:rPr>
          <w:b/>
        </w:rPr>
        <w:t xml:space="preserve"> javnega naročanja</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74"/>
        <w:gridCol w:w="4131"/>
      </w:tblGrid>
      <w:tr w:rsidR="00F51CE5" w:rsidRPr="0067086B" w14:paraId="529237D7" w14:textId="77777777" w:rsidTr="007F0306">
        <w:tc>
          <w:tcPr>
            <w:tcW w:w="534" w:type="dxa"/>
          </w:tcPr>
          <w:p w14:paraId="148BAC7D" w14:textId="77777777" w:rsidR="00F51CE5" w:rsidRPr="0067086B" w:rsidRDefault="00F51CE5" w:rsidP="007F0306">
            <w:pPr>
              <w:spacing w:after="0" w:line="260" w:lineRule="exact"/>
              <w:rPr>
                <w:rFonts w:eastAsia="Times New Roman"/>
                <w:b/>
                <w:sz w:val="16"/>
                <w:szCs w:val="16"/>
              </w:rPr>
            </w:pPr>
            <w:r>
              <w:rPr>
                <w:rFonts w:eastAsia="Times New Roman"/>
                <w:b/>
                <w:sz w:val="16"/>
                <w:szCs w:val="16"/>
              </w:rPr>
              <w:t>6.1</w:t>
            </w:r>
          </w:p>
        </w:tc>
        <w:tc>
          <w:tcPr>
            <w:tcW w:w="4374" w:type="dxa"/>
          </w:tcPr>
          <w:p w14:paraId="4D64F5E6" w14:textId="77777777" w:rsidR="00F51CE5" w:rsidRPr="0067086B" w:rsidRDefault="00F51CE5" w:rsidP="007F0306">
            <w:pPr>
              <w:spacing w:after="0" w:line="260" w:lineRule="exact"/>
              <w:rPr>
                <w:rFonts w:eastAsia="Times New Roman"/>
                <w:sz w:val="16"/>
                <w:szCs w:val="16"/>
              </w:rPr>
            </w:pPr>
            <w:r w:rsidRPr="0067086B">
              <w:rPr>
                <w:rFonts w:eastAsia="Times New Roman"/>
                <w:b/>
                <w:sz w:val="16"/>
                <w:szCs w:val="16"/>
              </w:rPr>
              <w:t xml:space="preserve">Predstavitev načrtovanih postopkov javnega naročanja </w:t>
            </w:r>
          </w:p>
          <w:p w14:paraId="353A6520" w14:textId="77777777" w:rsidR="00F51CE5" w:rsidRPr="0067086B" w:rsidRDefault="00F51CE5" w:rsidP="007F0306">
            <w:pPr>
              <w:spacing w:after="0" w:line="260" w:lineRule="exact"/>
              <w:rPr>
                <w:rFonts w:eastAsia="Times New Roman"/>
                <w:sz w:val="16"/>
                <w:szCs w:val="16"/>
              </w:rPr>
            </w:pPr>
            <w:r w:rsidRPr="0067086B">
              <w:rPr>
                <w:rFonts w:eastAsia="Times New Roman"/>
                <w:sz w:val="16"/>
                <w:szCs w:val="16"/>
              </w:rPr>
              <w:t>Navesti je treba načrtovane postopke javnega naročanja s časovnimi mejniki vsakega postopka posebej.</w:t>
            </w:r>
          </w:p>
        </w:tc>
        <w:tc>
          <w:tcPr>
            <w:tcW w:w="4131" w:type="dxa"/>
          </w:tcPr>
          <w:p w14:paraId="1C465E09" w14:textId="750349F7" w:rsidR="00F51CE5" w:rsidRPr="0067086B" w:rsidRDefault="00F868B7" w:rsidP="007F0306">
            <w:pPr>
              <w:spacing w:after="0" w:line="260" w:lineRule="exact"/>
              <w:rPr>
                <w:rFonts w:eastAsia="Times New Roman"/>
                <w:b/>
                <w:sz w:val="16"/>
                <w:szCs w:val="16"/>
              </w:rPr>
            </w:pPr>
            <w:r w:rsidRPr="00F3331B">
              <w:rPr>
                <w:rFonts w:eastAsia="Times New Roman"/>
                <w:i/>
                <w:sz w:val="14"/>
                <w:szCs w:val="16"/>
              </w:rPr>
              <w:t>Postopek javnega naročanja ni predviden.</w:t>
            </w:r>
          </w:p>
        </w:tc>
      </w:tr>
      <w:tr w:rsidR="00F51CE5" w:rsidRPr="0067086B" w14:paraId="63F4F977" w14:textId="77777777" w:rsidTr="007F0306">
        <w:tc>
          <w:tcPr>
            <w:tcW w:w="534" w:type="dxa"/>
          </w:tcPr>
          <w:p w14:paraId="4E751244" w14:textId="77777777" w:rsidR="00F51CE5" w:rsidRPr="0067086B" w:rsidRDefault="00F51CE5" w:rsidP="007F0306">
            <w:pPr>
              <w:spacing w:after="0" w:line="260" w:lineRule="exact"/>
              <w:rPr>
                <w:rFonts w:eastAsia="Times New Roman"/>
                <w:b/>
                <w:sz w:val="16"/>
                <w:szCs w:val="16"/>
              </w:rPr>
            </w:pPr>
            <w:r>
              <w:rPr>
                <w:rFonts w:eastAsia="Times New Roman"/>
                <w:b/>
                <w:sz w:val="16"/>
                <w:szCs w:val="16"/>
              </w:rPr>
              <w:t>6.2</w:t>
            </w:r>
          </w:p>
        </w:tc>
        <w:tc>
          <w:tcPr>
            <w:tcW w:w="4374" w:type="dxa"/>
          </w:tcPr>
          <w:p w14:paraId="7C4A8867" w14:textId="77777777"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Mejniki vključevanja javnega naročanja</w:t>
            </w:r>
          </w:p>
          <w:p w14:paraId="525FBF1E" w14:textId="77777777" w:rsidR="00F51CE5" w:rsidRPr="0067086B" w:rsidRDefault="00F51CE5" w:rsidP="007F0306">
            <w:pPr>
              <w:spacing w:after="0" w:line="260" w:lineRule="exact"/>
              <w:rPr>
                <w:rFonts w:eastAsia="Times New Roman"/>
                <w:sz w:val="16"/>
                <w:szCs w:val="16"/>
              </w:rPr>
            </w:pPr>
            <w:r w:rsidRPr="0067086B">
              <w:rPr>
                <w:rFonts w:eastAsia="Times New Roman"/>
                <w:sz w:val="16"/>
                <w:szCs w:val="16"/>
              </w:rPr>
              <w:t>Navesti je treba mejnike glede izvedbe javnih naročil.</w:t>
            </w:r>
          </w:p>
        </w:tc>
        <w:tc>
          <w:tcPr>
            <w:tcW w:w="4131" w:type="dxa"/>
          </w:tcPr>
          <w:p w14:paraId="3E33CAB9" w14:textId="1A397A8D" w:rsidR="00F51CE5" w:rsidRPr="0067086B" w:rsidRDefault="00F868B7" w:rsidP="007F0306">
            <w:pPr>
              <w:spacing w:after="0" w:line="260" w:lineRule="exact"/>
              <w:rPr>
                <w:rFonts w:eastAsia="Times New Roman"/>
                <w:b/>
                <w:sz w:val="16"/>
                <w:szCs w:val="16"/>
              </w:rPr>
            </w:pPr>
            <w:r w:rsidRPr="00F3331B">
              <w:rPr>
                <w:rFonts w:eastAsia="Times New Roman"/>
                <w:i/>
                <w:sz w:val="14"/>
                <w:szCs w:val="16"/>
              </w:rPr>
              <w:t>Postopek javnega naročanja ni predviden.</w:t>
            </w:r>
          </w:p>
        </w:tc>
      </w:tr>
    </w:tbl>
    <w:p w14:paraId="48133767" w14:textId="77777777" w:rsidR="00F51CE5" w:rsidRPr="0067086B" w:rsidRDefault="00F51CE5" w:rsidP="00F51CE5">
      <w:pPr>
        <w:spacing w:after="0" w:line="260" w:lineRule="exact"/>
        <w:rPr>
          <w:rFonts w:eastAsia="Times New Roman"/>
          <w:b/>
          <w:sz w:val="20"/>
          <w:szCs w:val="24"/>
        </w:rPr>
      </w:pPr>
    </w:p>
    <w:p w14:paraId="244136D9" w14:textId="77777777" w:rsidR="00F51CE5" w:rsidRPr="0067086B" w:rsidRDefault="00F51CE5" w:rsidP="00F51CE5">
      <w:pPr>
        <w:spacing w:after="0" w:line="260" w:lineRule="exact"/>
        <w:rPr>
          <w:rFonts w:eastAsia="Times New Roman"/>
          <w:b/>
          <w:sz w:val="20"/>
          <w:szCs w:val="24"/>
        </w:rPr>
      </w:pPr>
    </w:p>
    <w:p w14:paraId="74E1E0CB" w14:textId="77777777" w:rsidR="00F51CE5" w:rsidRPr="0067086B" w:rsidRDefault="00F51CE5" w:rsidP="00F51CE5">
      <w:pPr>
        <w:numPr>
          <w:ilvl w:val="0"/>
          <w:numId w:val="1"/>
        </w:numPr>
        <w:spacing w:after="0" w:line="260" w:lineRule="exact"/>
        <w:contextualSpacing/>
        <w:rPr>
          <w:rFonts w:eastAsia="Times New Roman"/>
          <w:b/>
          <w:sz w:val="20"/>
          <w:szCs w:val="24"/>
        </w:rPr>
        <w:sectPr w:rsidR="00F51CE5" w:rsidRPr="0067086B" w:rsidSect="004A6E62">
          <w:headerReference w:type="first" r:id="rId13"/>
          <w:pgSz w:w="11900" w:h="16840" w:code="9"/>
          <w:pgMar w:top="1418" w:right="1268" w:bottom="1134" w:left="1418" w:header="2121" w:footer="794" w:gutter="0"/>
          <w:cols w:space="708"/>
          <w:titlePg/>
          <w:docGrid w:linePitch="272"/>
        </w:sectPr>
      </w:pPr>
    </w:p>
    <w:p w14:paraId="1879D445" w14:textId="77777777" w:rsidR="00F51CE5" w:rsidRPr="0067086B" w:rsidRDefault="00F51CE5" w:rsidP="00F51CE5">
      <w:pPr>
        <w:spacing w:after="0" w:line="260" w:lineRule="exact"/>
        <w:ind w:left="360"/>
        <w:rPr>
          <w:rFonts w:eastAsia="Times New Roman" w:cs="Arial"/>
          <w:i/>
          <w:sz w:val="20"/>
          <w:szCs w:val="24"/>
        </w:rPr>
      </w:pPr>
    </w:p>
    <w:p w14:paraId="06C19CB7" w14:textId="2D59CA13" w:rsidR="00DC3E29" w:rsidRDefault="00F51CE5" w:rsidP="00DC3E29">
      <w:pPr>
        <w:numPr>
          <w:ilvl w:val="1"/>
          <w:numId w:val="2"/>
        </w:numPr>
        <w:overflowPunct w:val="0"/>
        <w:autoSpaceDE w:val="0"/>
        <w:autoSpaceDN w:val="0"/>
        <w:adjustRightInd w:val="0"/>
        <w:spacing w:after="0" w:line="240" w:lineRule="auto"/>
        <w:jc w:val="both"/>
        <w:textAlignment w:val="baseline"/>
        <w:rPr>
          <w:b/>
        </w:rPr>
      </w:pPr>
      <w:r w:rsidRPr="0067086B">
        <w:rPr>
          <w:b/>
        </w:rPr>
        <w:t>Aktivnosti operacije, stroški, potrebni za izvedbo posamezne aktivnosti, rezultati in trajanje</w:t>
      </w:r>
    </w:p>
    <w:p w14:paraId="68AA0468" w14:textId="77777777" w:rsidR="00DC3E29" w:rsidRDefault="00DC3E29" w:rsidP="00DC3E29">
      <w:pPr>
        <w:overflowPunct w:val="0"/>
        <w:autoSpaceDE w:val="0"/>
        <w:autoSpaceDN w:val="0"/>
        <w:adjustRightInd w:val="0"/>
        <w:spacing w:after="0" w:line="240" w:lineRule="auto"/>
        <w:jc w:val="both"/>
        <w:textAlignment w:val="baseline"/>
        <w:rPr>
          <w:b/>
        </w:rPr>
      </w:pPr>
    </w:p>
    <w:tbl>
      <w:tblPr>
        <w:tblW w:w="141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2"/>
        <w:gridCol w:w="2410"/>
        <w:gridCol w:w="3192"/>
        <w:gridCol w:w="3470"/>
        <w:gridCol w:w="2977"/>
      </w:tblGrid>
      <w:tr w:rsidR="00DC3E29" w:rsidRPr="006C6570" w14:paraId="23E4DE4B" w14:textId="77777777" w:rsidTr="00CD1CA1">
        <w:trPr>
          <w:trHeight w:val="1050"/>
        </w:trPr>
        <w:tc>
          <w:tcPr>
            <w:tcW w:w="425" w:type="dxa"/>
            <w:shd w:val="clear" w:color="auto" w:fill="99CCFF"/>
          </w:tcPr>
          <w:p w14:paraId="3CEB798A" w14:textId="77777777" w:rsidR="00DC3E29" w:rsidRPr="006C6570" w:rsidRDefault="00DC3E29" w:rsidP="00CD1CA1">
            <w:pPr>
              <w:spacing w:after="0" w:line="260" w:lineRule="exact"/>
              <w:rPr>
                <w:rFonts w:eastAsia="Times New Roman" w:cs="Arial"/>
                <w:b/>
                <w:sz w:val="16"/>
                <w:szCs w:val="16"/>
              </w:rPr>
            </w:pPr>
          </w:p>
          <w:p w14:paraId="30A27209" w14:textId="77777777" w:rsidR="00DC3E29" w:rsidRPr="006C6570" w:rsidRDefault="00DC3E29" w:rsidP="00CD1CA1">
            <w:pPr>
              <w:spacing w:after="0" w:line="260" w:lineRule="exact"/>
              <w:rPr>
                <w:rFonts w:eastAsia="Times New Roman" w:cs="Arial"/>
                <w:sz w:val="16"/>
                <w:szCs w:val="16"/>
              </w:rPr>
            </w:pPr>
            <w:r w:rsidRPr="006C6570">
              <w:rPr>
                <w:rFonts w:eastAsia="Times New Roman" w:cs="Arial"/>
                <w:sz w:val="16"/>
                <w:szCs w:val="16"/>
              </w:rPr>
              <w:t>Št.</w:t>
            </w:r>
          </w:p>
        </w:tc>
        <w:tc>
          <w:tcPr>
            <w:tcW w:w="1702" w:type="dxa"/>
            <w:shd w:val="clear" w:color="auto" w:fill="99CCFF"/>
          </w:tcPr>
          <w:p w14:paraId="62FD8102" w14:textId="77777777" w:rsidR="00DC3E29" w:rsidRPr="006C6570" w:rsidRDefault="00DC3E29" w:rsidP="00CD1CA1">
            <w:pPr>
              <w:spacing w:after="0" w:line="260" w:lineRule="exact"/>
              <w:jc w:val="center"/>
              <w:rPr>
                <w:rFonts w:eastAsia="Times New Roman" w:cs="Arial"/>
                <w:b/>
                <w:sz w:val="16"/>
                <w:szCs w:val="16"/>
              </w:rPr>
            </w:pPr>
            <w:r w:rsidRPr="006C6570">
              <w:rPr>
                <w:rFonts w:eastAsia="Times New Roman" w:cs="Arial"/>
                <w:b/>
                <w:sz w:val="16"/>
                <w:szCs w:val="16"/>
              </w:rPr>
              <w:t>A</w:t>
            </w:r>
          </w:p>
          <w:p w14:paraId="324B1D58" w14:textId="77777777" w:rsidR="00DC3E29" w:rsidRPr="006C6570" w:rsidRDefault="00DC3E29" w:rsidP="00CD1CA1">
            <w:pPr>
              <w:spacing w:after="0" w:line="260" w:lineRule="exact"/>
              <w:jc w:val="center"/>
              <w:rPr>
                <w:rFonts w:eastAsia="Times New Roman" w:cs="Arial"/>
                <w:b/>
                <w:sz w:val="16"/>
                <w:szCs w:val="16"/>
              </w:rPr>
            </w:pPr>
            <w:r w:rsidRPr="006C6570">
              <w:rPr>
                <w:rFonts w:eastAsia="Times New Roman" w:cs="Arial"/>
                <w:b/>
                <w:sz w:val="16"/>
                <w:szCs w:val="16"/>
              </w:rPr>
              <w:t>Aktivnost</w:t>
            </w:r>
          </w:p>
        </w:tc>
        <w:tc>
          <w:tcPr>
            <w:tcW w:w="2410" w:type="dxa"/>
            <w:shd w:val="clear" w:color="auto" w:fill="99CCFF"/>
          </w:tcPr>
          <w:p w14:paraId="06B176DD" w14:textId="77777777" w:rsidR="00DC3E29" w:rsidRPr="006C6570" w:rsidRDefault="00DC3E29" w:rsidP="00CD1CA1">
            <w:pPr>
              <w:spacing w:after="0" w:line="260" w:lineRule="exact"/>
              <w:jc w:val="center"/>
              <w:rPr>
                <w:rFonts w:eastAsia="Times New Roman" w:cs="Arial"/>
                <w:b/>
                <w:sz w:val="16"/>
                <w:szCs w:val="16"/>
              </w:rPr>
            </w:pPr>
            <w:r w:rsidRPr="006C6570">
              <w:rPr>
                <w:rFonts w:eastAsia="Times New Roman" w:cs="Arial"/>
                <w:b/>
                <w:sz w:val="16"/>
                <w:szCs w:val="16"/>
              </w:rPr>
              <w:t>B</w:t>
            </w:r>
          </w:p>
          <w:p w14:paraId="6129B11C" w14:textId="77777777" w:rsidR="00DC3E29" w:rsidRPr="006C6570" w:rsidRDefault="00DC3E29" w:rsidP="00CD1CA1">
            <w:pPr>
              <w:spacing w:after="0" w:line="260" w:lineRule="exact"/>
              <w:jc w:val="center"/>
              <w:rPr>
                <w:rFonts w:eastAsia="Times New Roman" w:cs="Arial"/>
                <w:b/>
                <w:sz w:val="16"/>
                <w:szCs w:val="16"/>
              </w:rPr>
            </w:pPr>
            <w:proofErr w:type="spellStart"/>
            <w:r w:rsidRPr="006C6570">
              <w:rPr>
                <w:rFonts w:eastAsia="Times New Roman" w:cs="Arial"/>
                <w:b/>
                <w:sz w:val="16"/>
                <w:szCs w:val="16"/>
              </w:rPr>
              <w:t>Podaktivnost</w:t>
            </w:r>
            <w:proofErr w:type="spellEnd"/>
            <w:r w:rsidRPr="006C6570">
              <w:rPr>
                <w:rFonts w:eastAsia="Times New Roman" w:cs="Arial"/>
                <w:b/>
                <w:sz w:val="16"/>
                <w:szCs w:val="16"/>
              </w:rPr>
              <w:t xml:space="preserve"> </w:t>
            </w:r>
          </w:p>
        </w:tc>
        <w:tc>
          <w:tcPr>
            <w:tcW w:w="3192" w:type="dxa"/>
            <w:shd w:val="clear" w:color="auto" w:fill="99CCFF"/>
          </w:tcPr>
          <w:p w14:paraId="177C5B30" w14:textId="77777777" w:rsidR="00DC3E29" w:rsidRPr="006C6570" w:rsidRDefault="00DC3E29" w:rsidP="00CD1CA1">
            <w:pPr>
              <w:spacing w:after="0" w:line="260" w:lineRule="exact"/>
              <w:jc w:val="center"/>
              <w:rPr>
                <w:rFonts w:eastAsia="Times New Roman" w:cs="Arial"/>
                <w:b/>
                <w:sz w:val="16"/>
                <w:szCs w:val="16"/>
              </w:rPr>
            </w:pPr>
            <w:r w:rsidRPr="006C6570">
              <w:rPr>
                <w:rFonts w:eastAsia="Times New Roman" w:cs="Arial"/>
                <w:b/>
                <w:sz w:val="16"/>
                <w:szCs w:val="16"/>
              </w:rPr>
              <w:t>C</w:t>
            </w:r>
          </w:p>
          <w:p w14:paraId="18C2F604" w14:textId="77777777" w:rsidR="00DC3E29" w:rsidRPr="006C6570" w:rsidRDefault="00DC3E29" w:rsidP="00CD1CA1">
            <w:pPr>
              <w:spacing w:after="0" w:line="260" w:lineRule="exact"/>
              <w:jc w:val="center"/>
              <w:rPr>
                <w:rFonts w:eastAsia="Times New Roman" w:cs="Arial"/>
                <w:b/>
                <w:sz w:val="16"/>
                <w:szCs w:val="16"/>
              </w:rPr>
            </w:pPr>
            <w:r w:rsidRPr="006C6570">
              <w:rPr>
                <w:rFonts w:eastAsia="Times New Roman" w:cs="Arial"/>
                <w:b/>
                <w:sz w:val="16"/>
                <w:szCs w:val="16"/>
              </w:rPr>
              <w:t>Stroški</w:t>
            </w:r>
          </w:p>
        </w:tc>
        <w:tc>
          <w:tcPr>
            <w:tcW w:w="3470" w:type="dxa"/>
            <w:shd w:val="clear" w:color="auto" w:fill="99CCFF"/>
          </w:tcPr>
          <w:p w14:paraId="0A64A610" w14:textId="77777777" w:rsidR="00DC3E29" w:rsidRPr="006C6570" w:rsidRDefault="00DC3E29" w:rsidP="00CD1CA1">
            <w:pPr>
              <w:spacing w:after="0" w:line="260" w:lineRule="exact"/>
              <w:jc w:val="center"/>
              <w:rPr>
                <w:rFonts w:eastAsia="Times New Roman" w:cs="Arial"/>
                <w:b/>
                <w:sz w:val="16"/>
                <w:szCs w:val="16"/>
              </w:rPr>
            </w:pPr>
            <w:r w:rsidRPr="006C6570">
              <w:rPr>
                <w:rFonts w:eastAsia="Times New Roman" w:cs="Arial"/>
                <w:b/>
                <w:sz w:val="16"/>
                <w:szCs w:val="16"/>
              </w:rPr>
              <w:t>D</w:t>
            </w:r>
          </w:p>
          <w:p w14:paraId="5243668A" w14:textId="77777777" w:rsidR="00DC3E29" w:rsidRPr="006C6570" w:rsidRDefault="00DC3E29" w:rsidP="00CD1CA1">
            <w:pPr>
              <w:spacing w:after="0" w:line="260" w:lineRule="exact"/>
              <w:jc w:val="center"/>
              <w:rPr>
                <w:rFonts w:eastAsia="Times New Roman" w:cs="Arial"/>
                <w:b/>
                <w:sz w:val="16"/>
                <w:szCs w:val="16"/>
              </w:rPr>
            </w:pPr>
            <w:r w:rsidRPr="006C6570">
              <w:rPr>
                <w:rFonts w:eastAsia="Times New Roman" w:cs="Arial"/>
                <w:b/>
                <w:sz w:val="16"/>
                <w:szCs w:val="16"/>
              </w:rPr>
              <w:t>Neposredni učinki</w:t>
            </w:r>
          </w:p>
        </w:tc>
        <w:tc>
          <w:tcPr>
            <w:tcW w:w="2977" w:type="dxa"/>
            <w:shd w:val="clear" w:color="auto" w:fill="99CCFF"/>
          </w:tcPr>
          <w:p w14:paraId="7EC194D8" w14:textId="77777777" w:rsidR="00DC3E29" w:rsidRPr="006C6570" w:rsidRDefault="00DC3E29" w:rsidP="00CD1CA1">
            <w:pPr>
              <w:spacing w:after="0" w:line="260" w:lineRule="exact"/>
              <w:jc w:val="center"/>
              <w:rPr>
                <w:rFonts w:eastAsia="Times New Roman" w:cs="Arial"/>
                <w:b/>
                <w:sz w:val="16"/>
                <w:szCs w:val="16"/>
              </w:rPr>
            </w:pPr>
            <w:r w:rsidRPr="006C6570">
              <w:rPr>
                <w:rFonts w:eastAsia="Times New Roman" w:cs="Arial"/>
                <w:b/>
                <w:sz w:val="16"/>
                <w:szCs w:val="16"/>
              </w:rPr>
              <w:t>E</w:t>
            </w:r>
          </w:p>
          <w:p w14:paraId="63782511" w14:textId="77777777" w:rsidR="00DC3E29" w:rsidRPr="006C6570" w:rsidRDefault="00DC3E29" w:rsidP="00CD1CA1">
            <w:pPr>
              <w:spacing w:after="0" w:line="260" w:lineRule="exact"/>
              <w:jc w:val="center"/>
              <w:rPr>
                <w:rFonts w:eastAsia="Times New Roman" w:cs="Arial"/>
                <w:b/>
                <w:sz w:val="16"/>
                <w:szCs w:val="16"/>
              </w:rPr>
            </w:pPr>
            <w:r w:rsidRPr="006C6570">
              <w:rPr>
                <w:rFonts w:eastAsia="Times New Roman" w:cs="Arial"/>
                <w:b/>
                <w:sz w:val="16"/>
                <w:szCs w:val="16"/>
              </w:rPr>
              <w:t>Obdobje izvajanja aktivnosti</w:t>
            </w:r>
          </w:p>
          <w:p w14:paraId="1332EE19" w14:textId="77777777" w:rsidR="00DC3E29" w:rsidRPr="006C6570" w:rsidRDefault="00DC3E29" w:rsidP="00CD1CA1">
            <w:pPr>
              <w:spacing w:after="0" w:line="260" w:lineRule="exact"/>
              <w:rPr>
                <w:rFonts w:eastAsia="Times New Roman" w:cs="Arial"/>
                <w:b/>
                <w:sz w:val="16"/>
                <w:szCs w:val="16"/>
              </w:rPr>
            </w:pPr>
          </w:p>
        </w:tc>
      </w:tr>
      <w:tr w:rsidR="00DC3E29" w:rsidRPr="006C6570" w14:paraId="31743DBC" w14:textId="77777777" w:rsidTr="00CD1CA1">
        <w:trPr>
          <w:trHeight w:val="2204"/>
        </w:trPr>
        <w:tc>
          <w:tcPr>
            <w:tcW w:w="425" w:type="dxa"/>
          </w:tcPr>
          <w:p w14:paraId="1E30B957" w14:textId="77777777" w:rsidR="00DC3E29" w:rsidRPr="006C6570" w:rsidRDefault="00DC3E29" w:rsidP="00CD1CA1">
            <w:pPr>
              <w:spacing w:after="0" w:line="260" w:lineRule="exact"/>
              <w:rPr>
                <w:rFonts w:eastAsia="Times New Roman" w:cs="Arial"/>
                <w:b/>
                <w:sz w:val="16"/>
                <w:szCs w:val="16"/>
              </w:rPr>
            </w:pPr>
          </w:p>
          <w:p w14:paraId="4E430D21" w14:textId="77777777" w:rsidR="00DC3E29" w:rsidRPr="006C6570" w:rsidRDefault="00DC3E29" w:rsidP="00CD1CA1">
            <w:pPr>
              <w:spacing w:after="0" w:line="260" w:lineRule="exact"/>
              <w:rPr>
                <w:rFonts w:eastAsia="Times New Roman" w:cs="Arial"/>
                <w:b/>
                <w:sz w:val="16"/>
                <w:szCs w:val="16"/>
              </w:rPr>
            </w:pPr>
          </w:p>
          <w:p w14:paraId="7D5B929C" w14:textId="77777777" w:rsidR="00DC3E29" w:rsidRPr="006C6570" w:rsidRDefault="00DC3E29" w:rsidP="00CD1CA1">
            <w:pPr>
              <w:spacing w:after="0" w:line="260" w:lineRule="exact"/>
              <w:rPr>
                <w:rFonts w:eastAsia="Times New Roman" w:cs="Arial"/>
                <w:b/>
                <w:sz w:val="16"/>
                <w:szCs w:val="16"/>
              </w:rPr>
            </w:pPr>
          </w:p>
          <w:p w14:paraId="3D1472E4" w14:textId="347E2DAD" w:rsidR="00DC3E29" w:rsidRPr="006C6570" w:rsidRDefault="00DC3E29" w:rsidP="00CD1CA1">
            <w:pPr>
              <w:spacing w:after="0" w:line="260" w:lineRule="exact"/>
              <w:rPr>
                <w:rFonts w:eastAsia="Times New Roman" w:cs="Arial"/>
                <w:b/>
                <w:sz w:val="16"/>
                <w:szCs w:val="16"/>
              </w:rPr>
            </w:pPr>
            <w:r>
              <w:rPr>
                <w:rFonts w:eastAsia="Times New Roman" w:cs="Arial"/>
                <w:b/>
                <w:sz w:val="16"/>
                <w:szCs w:val="16"/>
              </w:rPr>
              <w:t>1</w:t>
            </w:r>
            <w:r w:rsidRPr="006C6570">
              <w:rPr>
                <w:rFonts w:eastAsia="Times New Roman" w:cs="Arial"/>
                <w:b/>
                <w:sz w:val="16"/>
                <w:szCs w:val="16"/>
              </w:rPr>
              <w:t>.</w:t>
            </w:r>
          </w:p>
        </w:tc>
        <w:tc>
          <w:tcPr>
            <w:tcW w:w="1702" w:type="dxa"/>
          </w:tcPr>
          <w:p w14:paraId="5488775C" w14:textId="77777777" w:rsidR="00DC3E29" w:rsidRPr="006C6570" w:rsidRDefault="00DC3E29" w:rsidP="00CD1CA1">
            <w:pPr>
              <w:spacing w:after="0" w:line="260" w:lineRule="exact"/>
              <w:rPr>
                <w:rFonts w:eastAsia="Times New Roman" w:cs="Arial"/>
                <w:b/>
                <w:sz w:val="16"/>
                <w:szCs w:val="16"/>
              </w:rPr>
            </w:pPr>
          </w:p>
          <w:p w14:paraId="1257D8CB" w14:textId="77777777" w:rsidR="00DC3E29" w:rsidRPr="006C6570" w:rsidRDefault="00DC3E29" w:rsidP="00CD1CA1">
            <w:pPr>
              <w:spacing w:after="0" w:line="260" w:lineRule="exact"/>
              <w:rPr>
                <w:rFonts w:eastAsia="Times New Roman" w:cs="Arial"/>
                <w:b/>
                <w:sz w:val="16"/>
                <w:szCs w:val="16"/>
              </w:rPr>
            </w:pPr>
          </w:p>
          <w:p w14:paraId="67AB241B" w14:textId="77777777" w:rsidR="00DC3E29" w:rsidRDefault="00DC3E29" w:rsidP="00CD1CA1">
            <w:pPr>
              <w:spacing w:after="0" w:line="260" w:lineRule="exact"/>
              <w:rPr>
                <w:rFonts w:eastAsia="Times New Roman" w:cs="Arial"/>
                <w:b/>
                <w:sz w:val="16"/>
                <w:szCs w:val="16"/>
              </w:rPr>
            </w:pPr>
          </w:p>
          <w:p w14:paraId="4CD25476" w14:textId="77777777" w:rsidR="00DC3E29" w:rsidRPr="006C6570" w:rsidRDefault="00DC3E29" w:rsidP="00CD1CA1">
            <w:pPr>
              <w:spacing w:after="0" w:line="260" w:lineRule="exact"/>
              <w:rPr>
                <w:rFonts w:eastAsia="Times New Roman" w:cs="Arial"/>
                <w:b/>
                <w:sz w:val="16"/>
                <w:szCs w:val="16"/>
              </w:rPr>
            </w:pPr>
            <w:r w:rsidRPr="006C6570">
              <w:rPr>
                <w:rFonts w:eastAsia="Times New Roman" w:cs="Arial"/>
                <w:b/>
                <w:sz w:val="16"/>
                <w:szCs w:val="16"/>
              </w:rPr>
              <w:t>Izvajanje programa</w:t>
            </w:r>
          </w:p>
          <w:p w14:paraId="3BFF0C1B" w14:textId="77777777" w:rsidR="00DC3E29" w:rsidRPr="006C6570" w:rsidRDefault="00DC3E29" w:rsidP="00CD1CA1">
            <w:pPr>
              <w:spacing w:after="0" w:line="260" w:lineRule="exact"/>
              <w:rPr>
                <w:rFonts w:eastAsia="Times New Roman" w:cs="Arial"/>
                <w:b/>
                <w:sz w:val="16"/>
                <w:szCs w:val="16"/>
              </w:rPr>
            </w:pPr>
          </w:p>
          <w:p w14:paraId="42804E76" w14:textId="77777777" w:rsidR="00DC3E29" w:rsidRPr="006C6570" w:rsidRDefault="00DC3E29" w:rsidP="00CD1CA1">
            <w:pPr>
              <w:spacing w:after="0" w:line="260" w:lineRule="exact"/>
              <w:rPr>
                <w:rFonts w:eastAsia="Times New Roman" w:cs="Arial"/>
                <w:b/>
                <w:sz w:val="16"/>
                <w:szCs w:val="16"/>
              </w:rPr>
            </w:pPr>
          </w:p>
        </w:tc>
        <w:tc>
          <w:tcPr>
            <w:tcW w:w="2410" w:type="dxa"/>
          </w:tcPr>
          <w:p w14:paraId="4F4ED8DC" w14:textId="1BBB6149" w:rsidR="00DC3E29" w:rsidRDefault="00DC3E29" w:rsidP="00CD1CA1">
            <w:pPr>
              <w:spacing w:after="0" w:line="260" w:lineRule="exact"/>
              <w:rPr>
                <w:rFonts w:eastAsia="Times New Roman" w:cs="Arial"/>
                <w:i/>
                <w:sz w:val="16"/>
                <w:szCs w:val="16"/>
              </w:rPr>
            </w:pPr>
            <w:r>
              <w:rPr>
                <w:rFonts w:eastAsia="Times New Roman" w:cs="Arial"/>
                <w:i/>
                <w:sz w:val="16"/>
                <w:szCs w:val="16"/>
              </w:rPr>
              <w:t xml:space="preserve">Izbor s Sklepom </w:t>
            </w:r>
            <w:r w:rsidRPr="007169EB">
              <w:rPr>
                <w:rFonts w:eastAsia="Times New Roman" w:cs="Arial"/>
                <w:i/>
                <w:sz w:val="16"/>
                <w:szCs w:val="16"/>
              </w:rPr>
              <w:t>o izboru in višini sofinanciranja vlog v okviru programa Evropskih sk</w:t>
            </w:r>
            <w:r w:rsidR="00BA09DF">
              <w:rPr>
                <w:rFonts w:eastAsia="Times New Roman" w:cs="Arial"/>
                <w:i/>
                <w:sz w:val="16"/>
                <w:szCs w:val="16"/>
              </w:rPr>
              <w:t xml:space="preserve">upnosti </w:t>
            </w:r>
            <w:proofErr w:type="spellStart"/>
            <w:r w:rsidR="00BA09DF">
              <w:rPr>
                <w:rFonts w:eastAsia="Times New Roman" w:cs="Arial"/>
                <w:i/>
                <w:sz w:val="16"/>
                <w:szCs w:val="16"/>
              </w:rPr>
              <w:t>Erasmus</w:t>
            </w:r>
            <w:proofErr w:type="spellEnd"/>
            <w:r w:rsidR="00BA09DF">
              <w:rPr>
                <w:rFonts w:eastAsia="Times New Roman" w:cs="Arial"/>
                <w:i/>
                <w:sz w:val="16"/>
                <w:szCs w:val="16"/>
              </w:rPr>
              <w:t>+, Razpis E+ 2019</w:t>
            </w:r>
            <w:bookmarkStart w:id="19" w:name="_GoBack"/>
            <w:bookmarkEnd w:id="19"/>
            <w:r w:rsidRPr="007169EB">
              <w:rPr>
                <w:rFonts w:eastAsia="Times New Roman" w:cs="Arial"/>
                <w:i/>
                <w:sz w:val="16"/>
                <w:szCs w:val="16"/>
              </w:rPr>
              <w:t>, Ključni ukrep 1: projekti učne mobilnosti posameznikov na področju te</w:t>
            </w:r>
            <w:r>
              <w:rPr>
                <w:rFonts w:eastAsia="Times New Roman" w:cs="Arial"/>
                <w:i/>
                <w:sz w:val="16"/>
                <w:szCs w:val="16"/>
              </w:rPr>
              <w:t>rciarnega izobraževanja (KA103).</w:t>
            </w:r>
          </w:p>
          <w:p w14:paraId="1EE26184" w14:textId="77777777" w:rsidR="00DC3E29" w:rsidRDefault="00DC3E29" w:rsidP="00CD1CA1">
            <w:pPr>
              <w:spacing w:after="0" w:line="260" w:lineRule="exact"/>
              <w:rPr>
                <w:rFonts w:eastAsia="Times New Roman" w:cs="Arial"/>
                <w:i/>
                <w:sz w:val="16"/>
                <w:szCs w:val="16"/>
              </w:rPr>
            </w:pPr>
          </w:p>
          <w:p w14:paraId="6DC3C683" w14:textId="544C9232" w:rsidR="00DC3E29" w:rsidRPr="006C6570" w:rsidRDefault="00DC3E29" w:rsidP="00CD1CA1">
            <w:pPr>
              <w:spacing w:after="0" w:line="260" w:lineRule="exact"/>
              <w:rPr>
                <w:rFonts w:eastAsia="Times New Roman" w:cs="Arial"/>
                <w:i/>
                <w:sz w:val="16"/>
                <w:szCs w:val="16"/>
              </w:rPr>
            </w:pPr>
            <w:commentRangeStart w:id="20"/>
            <w:r>
              <w:rPr>
                <w:rFonts w:eastAsia="Times New Roman" w:cs="Arial"/>
                <w:i/>
                <w:sz w:val="16"/>
                <w:szCs w:val="16"/>
              </w:rPr>
              <w:t>Sklenjena pravna podlaga s posameznim študentom iz socialno šibkejših okolij</w:t>
            </w:r>
            <w:r w:rsidR="00F57578">
              <w:rPr>
                <w:rFonts w:eastAsia="Times New Roman" w:cs="Arial"/>
                <w:i/>
                <w:sz w:val="16"/>
                <w:szCs w:val="16"/>
              </w:rPr>
              <w:t>.</w:t>
            </w:r>
            <w:commentRangeEnd w:id="20"/>
            <w:r w:rsidR="00F57578">
              <w:rPr>
                <w:rStyle w:val="Pripombasklic"/>
              </w:rPr>
              <w:commentReference w:id="20"/>
            </w:r>
          </w:p>
        </w:tc>
        <w:tc>
          <w:tcPr>
            <w:tcW w:w="3192" w:type="dxa"/>
          </w:tcPr>
          <w:p w14:paraId="0AA38D53" w14:textId="77777777" w:rsidR="00DC3E29" w:rsidRDefault="00DC3E29" w:rsidP="00CD1CA1">
            <w:pPr>
              <w:spacing w:after="0" w:line="260" w:lineRule="exact"/>
              <w:rPr>
                <w:rFonts w:eastAsia="Times New Roman" w:cs="Arial"/>
                <w:i/>
                <w:sz w:val="16"/>
                <w:szCs w:val="16"/>
              </w:rPr>
            </w:pPr>
            <w:r w:rsidRPr="00B475A1">
              <w:rPr>
                <w:rFonts w:eastAsia="Times New Roman" w:cs="Arial"/>
                <w:i/>
                <w:sz w:val="16"/>
                <w:szCs w:val="16"/>
              </w:rPr>
              <w:t>Standardni strošek na enoto</w:t>
            </w:r>
          </w:p>
          <w:p w14:paraId="3F7154D6" w14:textId="223AE221" w:rsidR="00DC3E29" w:rsidRPr="00B475A1" w:rsidRDefault="00FB3801" w:rsidP="006B1987">
            <w:pPr>
              <w:spacing w:after="0" w:line="260" w:lineRule="exact"/>
              <w:rPr>
                <w:rFonts w:eastAsia="Times New Roman" w:cs="Arial"/>
                <w:i/>
                <w:sz w:val="16"/>
                <w:szCs w:val="16"/>
              </w:rPr>
            </w:pPr>
            <w:r>
              <w:rPr>
                <w:rFonts w:eastAsia="Times New Roman" w:cs="Arial"/>
                <w:b/>
                <w:sz w:val="16"/>
                <w:szCs w:val="16"/>
              </w:rPr>
              <w:t>(200 EUR</w:t>
            </w:r>
            <w:r w:rsidR="00DC3E29" w:rsidRPr="0041177D">
              <w:rPr>
                <w:rFonts w:eastAsia="Times New Roman" w:cs="Arial"/>
                <w:b/>
                <w:sz w:val="16"/>
                <w:szCs w:val="16"/>
              </w:rPr>
              <w:t xml:space="preserve"> x število mesecev mednarodne mobilnosti = višina spodbude</w:t>
            </w:r>
            <w:r w:rsidR="00DC3E29">
              <w:rPr>
                <w:rFonts w:eastAsia="Times New Roman" w:cs="Arial"/>
                <w:b/>
                <w:sz w:val="16"/>
                <w:szCs w:val="16"/>
              </w:rPr>
              <w:t xml:space="preserve"> </w:t>
            </w:r>
            <w:r w:rsidR="00DC3E29" w:rsidRPr="002143A4">
              <w:rPr>
                <w:rFonts w:eastAsia="Times New Roman" w:cs="Arial"/>
                <w:b/>
                <w:sz w:val="16"/>
                <w:szCs w:val="16"/>
              </w:rPr>
              <w:t>za socialno šibkejše</w:t>
            </w:r>
            <w:r w:rsidR="00DC3E29" w:rsidRPr="0041177D">
              <w:rPr>
                <w:rFonts w:eastAsia="Times New Roman" w:cs="Arial"/>
                <w:b/>
                <w:sz w:val="16"/>
                <w:szCs w:val="16"/>
              </w:rPr>
              <w:t>)</w:t>
            </w:r>
            <w:r w:rsidR="00B22599">
              <w:rPr>
                <w:rFonts w:eastAsia="Times New Roman" w:cs="Arial"/>
                <w:b/>
                <w:sz w:val="16"/>
                <w:szCs w:val="16"/>
              </w:rPr>
              <w:t>.</w:t>
            </w:r>
          </w:p>
        </w:tc>
        <w:tc>
          <w:tcPr>
            <w:tcW w:w="3470" w:type="dxa"/>
          </w:tcPr>
          <w:p w14:paraId="0CC49743" w14:textId="69F6C61E" w:rsidR="001213EB" w:rsidRDefault="00DC3E29" w:rsidP="00CD1CA1">
            <w:pPr>
              <w:spacing w:after="0" w:line="260" w:lineRule="exact"/>
              <w:rPr>
                <w:rFonts w:eastAsia="Times New Roman" w:cs="Arial"/>
                <w:i/>
                <w:sz w:val="16"/>
                <w:szCs w:val="16"/>
              </w:rPr>
            </w:pPr>
            <w:commentRangeStart w:id="21"/>
            <w:r w:rsidRPr="006C6570">
              <w:rPr>
                <w:rFonts w:eastAsia="Times New Roman" w:cs="Arial"/>
                <w:i/>
                <w:sz w:val="16"/>
                <w:szCs w:val="16"/>
              </w:rPr>
              <w:t>Število</w:t>
            </w:r>
            <w:r>
              <w:rPr>
                <w:rFonts w:eastAsia="Times New Roman" w:cs="Arial"/>
                <w:i/>
                <w:sz w:val="16"/>
                <w:szCs w:val="16"/>
              </w:rPr>
              <w:t xml:space="preserve"> predvidenih mobilnosti po letih (upravičenem mora na seznamu prijaviti vse študente iz socialno šibkejših okolij, ki gredo na </w:t>
            </w:r>
            <w:r w:rsidRPr="007E23E2">
              <w:rPr>
                <w:rFonts w:eastAsia="Times New Roman"/>
                <w:i/>
                <w:sz w:val="16"/>
                <w:szCs w:val="16"/>
              </w:rPr>
              <w:t xml:space="preserve">mobilnost študentov med </w:t>
            </w:r>
            <w:proofErr w:type="spellStart"/>
            <w:r w:rsidRPr="007E23E2">
              <w:rPr>
                <w:rFonts w:eastAsia="Times New Roman"/>
                <w:i/>
                <w:sz w:val="16"/>
                <w:szCs w:val="16"/>
              </w:rPr>
              <w:t>Erasmus</w:t>
            </w:r>
            <w:proofErr w:type="spellEnd"/>
            <w:r w:rsidRPr="007E23E2">
              <w:rPr>
                <w:rFonts w:eastAsia="Times New Roman"/>
                <w:i/>
                <w:sz w:val="16"/>
                <w:szCs w:val="16"/>
              </w:rPr>
              <w:t>+ programskimi državami</w:t>
            </w:r>
            <w:r w:rsidR="0053105C">
              <w:rPr>
                <w:rFonts w:eastAsia="Times New Roman"/>
                <w:i/>
                <w:sz w:val="16"/>
                <w:szCs w:val="16"/>
              </w:rPr>
              <w:t xml:space="preserve"> (mednarodna mobilnost):</w:t>
            </w:r>
          </w:p>
          <w:p w14:paraId="50BB0FDA" w14:textId="070C7F0B" w:rsidR="00187FA5" w:rsidRDefault="006B1987" w:rsidP="001213EB">
            <w:pPr>
              <w:pStyle w:val="Odstavekseznama"/>
              <w:numPr>
                <w:ilvl w:val="0"/>
                <w:numId w:val="3"/>
              </w:numPr>
              <w:spacing w:after="0" w:line="260" w:lineRule="exact"/>
              <w:rPr>
                <w:rFonts w:eastAsia="Times New Roman" w:cs="Arial"/>
                <w:i/>
                <w:sz w:val="16"/>
                <w:szCs w:val="16"/>
              </w:rPr>
            </w:pPr>
            <w:r>
              <w:rPr>
                <w:rFonts w:eastAsia="Times New Roman" w:cs="Arial"/>
                <w:i/>
                <w:sz w:val="16"/>
                <w:szCs w:val="16"/>
              </w:rPr>
              <w:t>Leto 2019</w:t>
            </w:r>
          </w:p>
          <w:p w14:paraId="79D06B9B" w14:textId="13EA41F6" w:rsidR="00DC3E29" w:rsidRPr="001213EB" w:rsidRDefault="006B1987" w:rsidP="001213EB">
            <w:pPr>
              <w:pStyle w:val="Odstavekseznama"/>
              <w:numPr>
                <w:ilvl w:val="0"/>
                <w:numId w:val="3"/>
              </w:numPr>
              <w:spacing w:after="0" w:line="260" w:lineRule="exact"/>
              <w:rPr>
                <w:rFonts w:eastAsia="Times New Roman" w:cs="Arial"/>
                <w:i/>
                <w:sz w:val="16"/>
                <w:szCs w:val="16"/>
              </w:rPr>
            </w:pPr>
            <w:r>
              <w:rPr>
                <w:rFonts w:eastAsia="Times New Roman" w:cs="Arial"/>
                <w:i/>
                <w:sz w:val="16"/>
                <w:szCs w:val="16"/>
              </w:rPr>
              <w:t>Leto 2020</w:t>
            </w:r>
            <w:r w:rsidR="001213EB">
              <w:rPr>
                <w:rFonts w:eastAsia="Times New Roman" w:cs="Arial"/>
                <w:i/>
                <w:sz w:val="16"/>
                <w:szCs w:val="16"/>
              </w:rPr>
              <w:t>…</w:t>
            </w:r>
            <w:r w:rsidR="00DC3E29" w:rsidRPr="001213EB">
              <w:rPr>
                <w:rFonts w:eastAsia="Times New Roman" w:cs="Arial"/>
                <w:i/>
                <w:sz w:val="16"/>
                <w:szCs w:val="16"/>
              </w:rPr>
              <w:t xml:space="preserve"> </w:t>
            </w:r>
            <w:commentRangeEnd w:id="21"/>
            <w:r w:rsidR="001213EB">
              <w:rPr>
                <w:rStyle w:val="Pripombasklic"/>
              </w:rPr>
              <w:commentReference w:id="21"/>
            </w:r>
          </w:p>
        </w:tc>
        <w:tc>
          <w:tcPr>
            <w:tcW w:w="2977" w:type="dxa"/>
          </w:tcPr>
          <w:p w14:paraId="1E658916" w14:textId="77777777" w:rsidR="00374A12" w:rsidRDefault="00DC3E29" w:rsidP="0053105C">
            <w:pPr>
              <w:spacing w:after="0" w:line="260" w:lineRule="exact"/>
              <w:rPr>
                <w:rFonts w:eastAsia="Times New Roman" w:cs="Arial"/>
                <w:i/>
                <w:sz w:val="16"/>
                <w:szCs w:val="16"/>
              </w:rPr>
            </w:pPr>
            <w:commentRangeStart w:id="22"/>
            <w:r>
              <w:rPr>
                <w:rFonts w:eastAsia="Times New Roman" w:cs="Arial"/>
                <w:i/>
                <w:sz w:val="16"/>
                <w:szCs w:val="16"/>
              </w:rPr>
              <w:t xml:space="preserve">V obdobju določenem </w:t>
            </w:r>
            <w:r w:rsidR="0053105C">
              <w:rPr>
                <w:rFonts w:eastAsia="Times New Roman" w:cs="Arial"/>
                <w:i/>
                <w:sz w:val="16"/>
                <w:szCs w:val="16"/>
              </w:rPr>
              <w:t>v</w:t>
            </w:r>
            <w:r w:rsidR="0053105C" w:rsidRPr="0053105C">
              <w:rPr>
                <w:rFonts w:eastAsia="Times New Roman" w:cs="Arial"/>
                <w:i/>
                <w:sz w:val="16"/>
                <w:szCs w:val="16"/>
              </w:rPr>
              <w:t xml:space="preserve"> vlogi za dotacijo in sklepu ter posledično v izdanem Sporazumu o dodelitvi dotacije za projekt v okviru akcije KA103 programa </w:t>
            </w:r>
            <w:proofErr w:type="spellStart"/>
            <w:r w:rsidR="0053105C" w:rsidRPr="0053105C">
              <w:rPr>
                <w:rFonts w:eastAsia="Times New Roman" w:cs="Arial"/>
                <w:i/>
                <w:sz w:val="16"/>
                <w:szCs w:val="16"/>
              </w:rPr>
              <w:t>Erasmus</w:t>
            </w:r>
            <w:proofErr w:type="spellEnd"/>
            <w:r w:rsidR="0053105C" w:rsidRPr="0053105C">
              <w:rPr>
                <w:rFonts w:eastAsia="Times New Roman" w:cs="Arial"/>
                <w:i/>
                <w:sz w:val="16"/>
                <w:szCs w:val="16"/>
              </w:rPr>
              <w:t>+.</w:t>
            </w:r>
            <w:commentRangeEnd w:id="22"/>
          </w:p>
          <w:p w14:paraId="32A481C0" w14:textId="77777777" w:rsidR="00374A12" w:rsidRDefault="00374A12" w:rsidP="0053105C">
            <w:pPr>
              <w:spacing w:after="0" w:line="260" w:lineRule="exact"/>
              <w:rPr>
                <w:rFonts w:eastAsia="Times New Roman" w:cs="Arial"/>
                <w:i/>
                <w:sz w:val="16"/>
                <w:szCs w:val="16"/>
              </w:rPr>
            </w:pPr>
          </w:p>
          <w:p w14:paraId="4BBD1FA8" w14:textId="560CCEF4" w:rsidR="00DC3E29" w:rsidRPr="006C6570" w:rsidRDefault="00374A12" w:rsidP="0053105C">
            <w:pPr>
              <w:spacing w:after="0" w:line="260" w:lineRule="exact"/>
              <w:rPr>
                <w:rFonts w:eastAsia="Times New Roman" w:cs="Arial"/>
                <w:i/>
                <w:sz w:val="16"/>
                <w:szCs w:val="16"/>
              </w:rPr>
            </w:pPr>
            <w:r w:rsidRPr="00374A12">
              <w:rPr>
                <w:rFonts w:eastAsia="Times New Roman" w:cs="Arial"/>
                <w:b/>
                <w:sz w:val="16"/>
                <w:szCs w:val="16"/>
              </w:rPr>
              <w:t xml:space="preserve">Obdobje izvajanja programa </w:t>
            </w:r>
            <w:proofErr w:type="spellStart"/>
            <w:r w:rsidRPr="00374A12">
              <w:rPr>
                <w:rFonts w:eastAsia="Times New Roman" w:cs="Arial"/>
                <w:b/>
                <w:sz w:val="16"/>
                <w:szCs w:val="16"/>
              </w:rPr>
              <w:t>Erasmus</w:t>
            </w:r>
            <w:proofErr w:type="spellEnd"/>
            <w:r w:rsidRPr="00374A12">
              <w:rPr>
                <w:rFonts w:eastAsia="Times New Roman" w:cs="Arial"/>
                <w:b/>
                <w:sz w:val="16"/>
                <w:szCs w:val="16"/>
              </w:rPr>
              <w:t>+:</w:t>
            </w:r>
            <w:r w:rsidR="00402EE4" w:rsidRPr="00374A12">
              <w:rPr>
                <w:rFonts w:eastAsia="Times New Roman" w:cs="Arial"/>
                <w:b/>
              </w:rPr>
              <w:commentReference w:id="22"/>
            </w:r>
          </w:p>
        </w:tc>
      </w:tr>
    </w:tbl>
    <w:p w14:paraId="190507CA" w14:textId="6CEBA6D3" w:rsidR="00DC3E29" w:rsidRDefault="00DC3E29" w:rsidP="00DC3E29">
      <w:pPr>
        <w:overflowPunct w:val="0"/>
        <w:autoSpaceDE w:val="0"/>
        <w:autoSpaceDN w:val="0"/>
        <w:adjustRightInd w:val="0"/>
        <w:spacing w:after="0" w:line="240" w:lineRule="auto"/>
        <w:jc w:val="both"/>
        <w:textAlignment w:val="baseline"/>
        <w:rPr>
          <w:b/>
        </w:rPr>
      </w:pPr>
    </w:p>
    <w:p w14:paraId="71087C70" w14:textId="77777777" w:rsidR="00DC3E29" w:rsidRDefault="00DC3E29" w:rsidP="00DC3E29">
      <w:pPr>
        <w:overflowPunct w:val="0"/>
        <w:autoSpaceDE w:val="0"/>
        <w:autoSpaceDN w:val="0"/>
        <w:adjustRightInd w:val="0"/>
        <w:spacing w:after="0" w:line="240" w:lineRule="auto"/>
        <w:jc w:val="both"/>
        <w:textAlignment w:val="baseline"/>
        <w:rPr>
          <w:b/>
        </w:rPr>
      </w:pPr>
    </w:p>
    <w:p w14:paraId="29104CE6" w14:textId="77777777" w:rsidR="00F51CE5" w:rsidRPr="0067086B" w:rsidRDefault="00F51CE5" w:rsidP="00F51CE5">
      <w:pPr>
        <w:spacing w:after="0" w:line="260" w:lineRule="exact"/>
        <w:rPr>
          <w:rFonts w:eastAsia="Times New Roman" w:cs="Arial"/>
          <w:b/>
        </w:rPr>
        <w:sectPr w:rsidR="00F51CE5" w:rsidRPr="0067086B" w:rsidSect="00DB50E9">
          <w:pgSz w:w="15840" w:h="12240" w:orient="landscape"/>
          <w:pgMar w:top="1276" w:right="1440" w:bottom="1797" w:left="1440" w:header="709" w:footer="709" w:gutter="0"/>
          <w:cols w:space="708"/>
          <w:docGrid w:linePitch="360"/>
        </w:sectPr>
      </w:pPr>
    </w:p>
    <w:p w14:paraId="7162E766" w14:textId="77777777" w:rsidR="00F51CE5" w:rsidRPr="0067086B" w:rsidRDefault="00F51CE5" w:rsidP="00F51CE5">
      <w:pPr>
        <w:spacing w:after="0" w:line="260" w:lineRule="exact"/>
        <w:rPr>
          <w:rFonts w:eastAsia="Times New Roman"/>
          <w:b/>
          <w:sz w:val="18"/>
          <w:szCs w:val="18"/>
        </w:rPr>
      </w:pPr>
    </w:p>
    <w:p w14:paraId="7A5417B5" w14:textId="77777777" w:rsidR="00F51CE5" w:rsidRPr="0067086B" w:rsidRDefault="00F51CE5" w:rsidP="00F51CE5">
      <w:pPr>
        <w:numPr>
          <w:ilvl w:val="1"/>
          <w:numId w:val="2"/>
        </w:numPr>
        <w:overflowPunct w:val="0"/>
        <w:autoSpaceDE w:val="0"/>
        <w:autoSpaceDN w:val="0"/>
        <w:adjustRightInd w:val="0"/>
        <w:spacing w:after="0" w:line="240" w:lineRule="auto"/>
        <w:jc w:val="both"/>
        <w:textAlignment w:val="baseline"/>
        <w:rPr>
          <w:b/>
        </w:rPr>
      </w:pPr>
      <w:r w:rsidRPr="0067086B">
        <w:rPr>
          <w:b/>
        </w:rPr>
        <w:t>Finančni načrt izvajanja operacije na ravni upravičenca</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
        <w:gridCol w:w="4216"/>
        <w:gridCol w:w="4212"/>
      </w:tblGrid>
      <w:tr w:rsidR="00F51CE5" w:rsidRPr="0067086B" w14:paraId="0AE939B2" w14:textId="77777777" w:rsidTr="007F0306">
        <w:tc>
          <w:tcPr>
            <w:tcW w:w="928" w:type="dxa"/>
          </w:tcPr>
          <w:p w14:paraId="071E6B13" w14:textId="4D78B8EB" w:rsidR="00F51CE5" w:rsidRPr="0067086B" w:rsidRDefault="00436359" w:rsidP="007F0306">
            <w:pPr>
              <w:spacing w:after="0" w:line="260" w:lineRule="exact"/>
              <w:rPr>
                <w:rFonts w:eastAsia="Times New Roman"/>
                <w:b/>
                <w:sz w:val="16"/>
                <w:szCs w:val="16"/>
              </w:rPr>
            </w:pPr>
            <w:r>
              <w:rPr>
                <w:rFonts w:eastAsia="Times New Roman"/>
                <w:b/>
                <w:sz w:val="16"/>
                <w:szCs w:val="16"/>
              </w:rPr>
              <w:t>8</w:t>
            </w:r>
            <w:r w:rsidR="00F51CE5" w:rsidRPr="0067086B">
              <w:rPr>
                <w:rFonts w:eastAsia="Times New Roman"/>
                <w:b/>
                <w:sz w:val="16"/>
                <w:szCs w:val="16"/>
              </w:rPr>
              <w:t>.1</w:t>
            </w:r>
          </w:p>
        </w:tc>
        <w:tc>
          <w:tcPr>
            <w:tcW w:w="4216" w:type="dxa"/>
          </w:tcPr>
          <w:p w14:paraId="34FE762B" w14:textId="77777777" w:rsidR="00F51CE5" w:rsidRPr="0067086B" w:rsidRDefault="00F51CE5" w:rsidP="007F0306">
            <w:pPr>
              <w:spacing w:after="0" w:line="260" w:lineRule="exact"/>
              <w:rPr>
                <w:rFonts w:eastAsia="Times New Roman"/>
                <w:sz w:val="16"/>
                <w:szCs w:val="16"/>
              </w:rPr>
            </w:pPr>
            <w:r w:rsidRPr="0067086B">
              <w:rPr>
                <w:rFonts w:eastAsia="Times New Roman"/>
                <w:b/>
                <w:sz w:val="16"/>
                <w:szCs w:val="16"/>
              </w:rPr>
              <w:t>Finančni načrt</w:t>
            </w:r>
          </w:p>
          <w:p w14:paraId="2108274A" w14:textId="77777777" w:rsidR="00F51CE5" w:rsidRPr="0067086B" w:rsidRDefault="00F51CE5" w:rsidP="007F0306">
            <w:pPr>
              <w:spacing w:after="0" w:line="260" w:lineRule="exact"/>
              <w:rPr>
                <w:rFonts w:eastAsia="Times New Roman"/>
                <w:sz w:val="16"/>
                <w:szCs w:val="16"/>
              </w:rPr>
            </w:pPr>
            <w:r w:rsidRPr="0067086B">
              <w:rPr>
                <w:rFonts w:eastAsia="Times New Roman"/>
                <w:sz w:val="16"/>
                <w:szCs w:val="16"/>
              </w:rPr>
              <w:t>V priloženi Excelovi tabeli se izpolni finančni načrt po vrstah stroškov in po posameznih letih. Posamezne vrste stroškov morajo biti razvidne iz točke 5.3, stolpca C. Poraba se načrtuje po letih tako, kot se predvideva oddaja zahtevka za izplačilo upravičenca na posredniški organ. Izkušnje na relevantnem področju v zadnjih 3 letih.</w:t>
            </w:r>
          </w:p>
        </w:tc>
        <w:tc>
          <w:tcPr>
            <w:tcW w:w="4212" w:type="dxa"/>
          </w:tcPr>
          <w:p w14:paraId="50D8094A" w14:textId="5D719595" w:rsidR="00F51CE5" w:rsidRPr="0067086B" w:rsidRDefault="00F51CE5" w:rsidP="004A3864">
            <w:pPr>
              <w:spacing w:after="0" w:line="260" w:lineRule="exact"/>
              <w:rPr>
                <w:rFonts w:eastAsia="Times New Roman"/>
                <w:i/>
                <w:sz w:val="16"/>
                <w:szCs w:val="16"/>
              </w:rPr>
            </w:pPr>
            <w:r w:rsidRPr="0067086B">
              <w:rPr>
                <w:rFonts w:eastAsia="Times New Roman"/>
                <w:i/>
                <w:sz w:val="16"/>
                <w:szCs w:val="16"/>
              </w:rPr>
              <w:t xml:space="preserve">Excelova tabela je sicer fizično ločena od tega obrazca zaradi oblike datoteke, a je v vsebinskem smislu sestavni del </w:t>
            </w:r>
            <w:r w:rsidR="004A3864" w:rsidRPr="004A3864">
              <w:rPr>
                <w:rFonts w:eastAsia="Times New Roman"/>
                <w:i/>
                <w:sz w:val="16"/>
                <w:szCs w:val="16"/>
              </w:rPr>
              <w:t>tega obrazca v obliki priloge.</w:t>
            </w:r>
          </w:p>
        </w:tc>
      </w:tr>
      <w:tr w:rsidR="00F51CE5" w:rsidRPr="0067086B" w14:paraId="2843304B" w14:textId="77777777" w:rsidTr="007F0306">
        <w:tc>
          <w:tcPr>
            <w:tcW w:w="928" w:type="dxa"/>
          </w:tcPr>
          <w:p w14:paraId="30572507" w14:textId="59AEAE6B" w:rsidR="00F51CE5" w:rsidRPr="0067086B" w:rsidRDefault="00436359" w:rsidP="007F0306">
            <w:pPr>
              <w:spacing w:after="0" w:line="260" w:lineRule="exact"/>
              <w:rPr>
                <w:rFonts w:eastAsia="Times New Roman"/>
                <w:b/>
                <w:sz w:val="16"/>
                <w:szCs w:val="16"/>
              </w:rPr>
            </w:pPr>
            <w:r>
              <w:rPr>
                <w:rFonts w:eastAsia="Times New Roman"/>
                <w:b/>
                <w:sz w:val="16"/>
                <w:szCs w:val="16"/>
              </w:rPr>
              <w:t>8</w:t>
            </w:r>
            <w:r w:rsidR="00F51CE5" w:rsidRPr="0067086B">
              <w:rPr>
                <w:rFonts w:eastAsia="Times New Roman"/>
                <w:b/>
                <w:sz w:val="16"/>
                <w:szCs w:val="16"/>
              </w:rPr>
              <w:t>.2</w:t>
            </w:r>
          </w:p>
        </w:tc>
        <w:tc>
          <w:tcPr>
            <w:tcW w:w="8428" w:type="dxa"/>
            <w:gridSpan w:val="2"/>
          </w:tcPr>
          <w:p w14:paraId="1A343C56" w14:textId="77777777" w:rsidR="00F51CE5" w:rsidRPr="0067086B" w:rsidRDefault="00F51CE5" w:rsidP="007F0306">
            <w:pPr>
              <w:spacing w:after="0" w:line="260" w:lineRule="exact"/>
              <w:rPr>
                <w:rFonts w:eastAsia="Times New Roman"/>
                <w:b/>
                <w:sz w:val="16"/>
                <w:szCs w:val="16"/>
              </w:rPr>
            </w:pPr>
            <w:r w:rsidRPr="0067086B">
              <w:rPr>
                <w:rFonts w:eastAsia="Times New Roman"/>
                <w:b/>
                <w:sz w:val="16"/>
                <w:szCs w:val="16"/>
              </w:rPr>
              <w:t>Utemeljitev predlagane višine posamezne vrste stroškov</w:t>
            </w:r>
          </w:p>
          <w:p w14:paraId="60FB6AF5" w14:textId="77777777" w:rsidR="00F51CE5" w:rsidRPr="0067086B" w:rsidRDefault="00F51CE5" w:rsidP="007F0306">
            <w:pPr>
              <w:spacing w:after="0" w:line="260" w:lineRule="exact"/>
              <w:rPr>
                <w:rFonts w:eastAsia="Times New Roman"/>
                <w:b/>
                <w:sz w:val="16"/>
                <w:szCs w:val="16"/>
              </w:rPr>
            </w:pPr>
            <w:r w:rsidRPr="0067086B">
              <w:rPr>
                <w:rFonts w:eastAsia="Times New Roman"/>
                <w:sz w:val="16"/>
                <w:szCs w:val="16"/>
              </w:rPr>
              <w:t>Pri načrtovanju višine posamezne vrste stroškov se navede kalkulacija vrednosti posamezne vrste stroška oziroma posamezne enote. Kalkulacija je lahko narejena na osnovi izkušenj v preteklosti, veljavnih cenikov, metodološkega lista, ki je bil podlaga za pripravo OP ipd.). Ko je vrsta stroška standardni strošek na enoto, se kalkulacija višine SSE priloži posebej.</w:t>
            </w:r>
          </w:p>
        </w:tc>
      </w:tr>
      <w:tr w:rsidR="00F51CE5" w:rsidRPr="0067086B" w14:paraId="2F96390F" w14:textId="77777777" w:rsidTr="007F0306">
        <w:tc>
          <w:tcPr>
            <w:tcW w:w="928" w:type="dxa"/>
            <w:shd w:val="clear" w:color="auto" w:fill="99CCFF"/>
          </w:tcPr>
          <w:p w14:paraId="34A06751" w14:textId="77777777" w:rsidR="00F51CE5" w:rsidRPr="0067086B" w:rsidRDefault="00F51CE5" w:rsidP="007F0306">
            <w:pPr>
              <w:spacing w:after="0" w:line="260" w:lineRule="exact"/>
              <w:jc w:val="center"/>
              <w:rPr>
                <w:rFonts w:eastAsia="Times New Roman" w:cs="Arial"/>
                <w:b/>
                <w:sz w:val="16"/>
                <w:szCs w:val="16"/>
              </w:rPr>
            </w:pPr>
            <w:r w:rsidRPr="0067086B">
              <w:rPr>
                <w:rFonts w:eastAsia="Times New Roman" w:cs="Arial"/>
                <w:b/>
                <w:sz w:val="16"/>
                <w:szCs w:val="16"/>
              </w:rPr>
              <w:t>Šifra stroška</w:t>
            </w:r>
          </w:p>
        </w:tc>
        <w:tc>
          <w:tcPr>
            <w:tcW w:w="4216" w:type="dxa"/>
            <w:shd w:val="clear" w:color="auto" w:fill="99CCFF"/>
          </w:tcPr>
          <w:p w14:paraId="08A85F80" w14:textId="77777777" w:rsidR="00F51CE5" w:rsidRPr="0067086B" w:rsidRDefault="00F51CE5" w:rsidP="007F0306">
            <w:pPr>
              <w:spacing w:after="0" w:line="260" w:lineRule="exact"/>
              <w:jc w:val="center"/>
              <w:rPr>
                <w:rFonts w:eastAsia="Times New Roman" w:cs="Arial"/>
                <w:b/>
                <w:sz w:val="16"/>
                <w:szCs w:val="16"/>
              </w:rPr>
            </w:pPr>
            <w:r w:rsidRPr="0067086B">
              <w:rPr>
                <w:rFonts w:eastAsia="Times New Roman" w:cs="Arial"/>
                <w:b/>
                <w:sz w:val="16"/>
                <w:szCs w:val="16"/>
              </w:rPr>
              <w:t>Vrsta stroška</w:t>
            </w:r>
          </w:p>
        </w:tc>
        <w:tc>
          <w:tcPr>
            <w:tcW w:w="4212" w:type="dxa"/>
            <w:shd w:val="clear" w:color="auto" w:fill="99CCFF"/>
          </w:tcPr>
          <w:p w14:paraId="3E647982" w14:textId="77777777" w:rsidR="00F51CE5" w:rsidRPr="0067086B" w:rsidRDefault="00F51CE5" w:rsidP="007F0306">
            <w:pPr>
              <w:spacing w:after="0" w:line="260" w:lineRule="exact"/>
              <w:jc w:val="center"/>
              <w:rPr>
                <w:rFonts w:eastAsia="Times New Roman" w:cs="Arial"/>
                <w:b/>
                <w:sz w:val="16"/>
                <w:szCs w:val="16"/>
              </w:rPr>
            </w:pPr>
            <w:r w:rsidRPr="0067086B">
              <w:rPr>
                <w:rFonts w:eastAsia="Times New Roman" w:cs="Arial"/>
                <w:b/>
                <w:sz w:val="16"/>
                <w:szCs w:val="16"/>
              </w:rPr>
              <w:t>Utemeljitev izračuna višine stroška za celotno obdobje izvajanja operacije</w:t>
            </w:r>
          </w:p>
        </w:tc>
      </w:tr>
      <w:tr w:rsidR="00F51CE5" w:rsidRPr="0067086B" w14:paraId="633AA291" w14:textId="77777777" w:rsidTr="007F0306">
        <w:tc>
          <w:tcPr>
            <w:tcW w:w="928" w:type="dxa"/>
          </w:tcPr>
          <w:p w14:paraId="3117BD35" w14:textId="3A078D6A" w:rsidR="00F51CE5" w:rsidRPr="0067086B" w:rsidRDefault="0071230A" w:rsidP="007F0306">
            <w:pPr>
              <w:spacing w:after="0" w:line="260" w:lineRule="exact"/>
              <w:rPr>
                <w:rFonts w:eastAsia="Times New Roman" w:cs="Arial"/>
                <w:i/>
                <w:sz w:val="16"/>
                <w:szCs w:val="16"/>
              </w:rPr>
            </w:pPr>
            <w:r>
              <w:rPr>
                <w:rFonts w:eastAsia="Times New Roman" w:cs="Arial"/>
                <w:i/>
                <w:sz w:val="16"/>
                <w:szCs w:val="16"/>
              </w:rPr>
              <w:t>8.2</w:t>
            </w:r>
            <w:r w:rsidR="00DB7D63">
              <w:rPr>
                <w:rFonts w:eastAsia="Times New Roman" w:cs="Arial"/>
                <w:i/>
                <w:sz w:val="16"/>
                <w:szCs w:val="16"/>
              </w:rPr>
              <w:t>.1</w:t>
            </w:r>
          </w:p>
        </w:tc>
        <w:tc>
          <w:tcPr>
            <w:tcW w:w="4216" w:type="dxa"/>
          </w:tcPr>
          <w:p w14:paraId="76C25C0A" w14:textId="11D78398" w:rsidR="00F51CE5" w:rsidRPr="0067086B" w:rsidRDefault="0071230A" w:rsidP="007F0306">
            <w:pPr>
              <w:spacing w:after="0" w:line="260" w:lineRule="exact"/>
              <w:rPr>
                <w:rFonts w:eastAsia="Times New Roman" w:cs="Arial"/>
                <w:i/>
                <w:sz w:val="16"/>
                <w:szCs w:val="16"/>
              </w:rPr>
            </w:pPr>
            <w:r>
              <w:rPr>
                <w:rFonts w:eastAsia="Times New Roman" w:cs="Arial"/>
                <w:i/>
                <w:sz w:val="16"/>
                <w:szCs w:val="16"/>
              </w:rPr>
              <w:t>Standardne lestvice stroškov na enoto</w:t>
            </w:r>
          </w:p>
        </w:tc>
        <w:tc>
          <w:tcPr>
            <w:tcW w:w="4212" w:type="dxa"/>
          </w:tcPr>
          <w:p w14:paraId="09B42C4F" w14:textId="77777777" w:rsidR="00E435E6" w:rsidRDefault="00E435E6" w:rsidP="00E435E6">
            <w:pPr>
              <w:spacing w:after="0" w:line="260" w:lineRule="exact"/>
              <w:rPr>
                <w:rFonts w:eastAsia="Times New Roman"/>
                <w:i/>
                <w:sz w:val="16"/>
                <w:szCs w:val="16"/>
              </w:rPr>
            </w:pPr>
            <w:commentRangeStart w:id="23"/>
            <w:r>
              <w:rPr>
                <w:rFonts w:eastAsia="Times New Roman"/>
                <w:i/>
                <w:sz w:val="16"/>
                <w:szCs w:val="16"/>
              </w:rPr>
              <w:t xml:space="preserve">Spodbuda </w:t>
            </w:r>
            <w:r w:rsidRPr="004A094D">
              <w:rPr>
                <w:rFonts w:eastAsia="Times New Roman"/>
                <w:i/>
                <w:sz w:val="16"/>
                <w:szCs w:val="16"/>
              </w:rPr>
              <w:t>za socialno šibkejše</w:t>
            </w:r>
            <w:r>
              <w:rPr>
                <w:rFonts w:eastAsia="Times New Roman"/>
                <w:i/>
                <w:sz w:val="16"/>
                <w:szCs w:val="16"/>
              </w:rPr>
              <w:t xml:space="preserve"> se izplača študentu 100% pred odhodom na mednarodno mobilnost in se jo izračuna:</w:t>
            </w:r>
          </w:p>
          <w:p w14:paraId="60148905" w14:textId="74BA1AC7" w:rsidR="00E435E6" w:rsidRDefault="00F84934" w:rsidP="00E435E6">
            <w:pPr>
              <w:spacing w:after="0" w:line="260" w:lineRule="exact"/>
              <w:jc w:val="center"/>
              <w:rPr>
                <w:rFonts w:eastAsia="Times New Roman"/>
                <w:i/>
                <w:sz w:val="16"/>
                <w:szCs w:val="16"/>
              </w:rPr>
            </w:pPr>
            <w:r>
              <w:rPr>
                <w:rFonts w:eastAsia="Times New Roman"/>
                <w:i/>
                <w:sz w:val="16"/>
                <w:szCs w:val="16"/>
              </w:rPr>
              <w:t>2</w:t>
            </w:r>
            <w:r w:rsidR="00CC7FE7">
              <w:rPr>
                <w:rFonts w:eastAsia="Times New Roman"/>
                <w:i/>
                <w:sz w:val="16"/>
                <w:szCs w:val="16"/>
              </w:rPr>
              <w:t>00</w:t>
            </w:r>
            <w:r w:rsidR="00E435E6">
              <w:rPr>
                <w:rFonts w:eastAsia="Times New Roman"/>
                <w:i/>
                <w:sz w:val="16"/>
                <w:szCs w:val="16"/>
              </w:rPr>
              <w:t xml:space="preserve"> EUR * število mesecev mednarodne mobilnosti = </w:t>
            </w:r>
          </w:p>
          <w:p w14:paraId="277589F7" w14:textId="1361BFD4" w:rsidR="00CC7FE7" w:rsidRPr="00E5770B" w:rsidRDefault="00E435E6" w:rsidP="00CC7FE7">
            <w:pPr>
              <w:spacing w:after="0" w:line="260" w:lineRule="exact"/>
              <w:rPr>
                <w:rFonts w:ascii="Times New Roman" w:eastAsia="Times New Roman" w:hAnsi="Times New Roman"/>
                <w:sz w:val="16"/>
                <w:szCs w:val="16"/>
              </w:rPr>
            </w:pPr>
            <w:r>
              <w:rPr>
                <w:rFonts w:eastAsia="Times New Roman"/>
                <w:i/>
                <w:sz w:val="16"/>
                <w:szCs w:val="16"/>
              </w:rPr>
              <w:t xml:space="preserve">višina spodbude </w:t>
            </w:r>
            <w:r w:rsidRPr="00975DA7">
              <w:rPr>
                <w:rFonts w:eastAsia="Times New Roman"/>
                <w:i/>
                <w:sz w:val="16"/>
                <w:szCs w:val="16"/>
              </w:rPr>
              <w:t>za socialno šibkejše</w:t>
            </w:r>
            <w:r>
              <w:rPr>
                <w:rStyle w:val="Pripombasklic"/>
                <w:rFonts w:ascii="Times New Roman" w:eastAsia="Times New Roman" w:hAnsi="Times New Roman"/>
              </w:rPr>
              <w:t xml:space="preserve"> </w:t>
            </w:r>
            <w:r w:rsidR="00CC7FE7">
              <w:rPr>
                <w:rStyle w:val="Pripombasklic"/>
                <w:rFonts w:ascii="Times New Roman" w:eastAsia="Times New Roman" w:hAnsi="Times New Roman"/>
              </w:rPr>
              <w:t xml:space="preserve"> </w:t>
            </w:r>
            <w:commentRangeEnd w:id="23"/>
            <w:r w:rsidR="008D47BF">
              <w:rPr>
                <w:rStyle w:val="Pripombasklic"/>
              </w:rPr>
              <w:commentReference w:id="23"/>
            </w:r>
          </w:p>
        </w:tc>
      </w:tr>
    </w:tbl>
    <w:p w14:paraId="372BBD8E" w14:textId="6F212710" w:rsidR="00115A43" w:rsidRDefault="00115A43"/>
    <w:p w14:paraId="269CFCEC" w14:textId="77777777" w:rsidR="001B3DB0" w:rsidRPr="006C6570" w:rsidRDefault="001B3DB0" w:rsidP="001B3DB0">
      <w:pPr>
        <w:spacing w:after="0" w:line="240" w:lineRule="auto"/>
        <w:rPr>
          <w:rFonts w:eastAsia="Times New Roman"/>
          <w:b/>
          <w:sz w:val="20"/>
          <w:szCs w:val="24"/>
        </w:rPr>
      </w:pPr>
    </w:p>
    <w:p w14:paraId="6F9FAC31" w14:textId="77777777" w:rsidR="001B3DB0" w:rsidRPr="006C6570" w:rsidRDefault="001B3DB0" w:rsidP="001B3DB0">
      <w:pPr>
        <w:numPr>
          <w:ilvl w:val="1"/>
          <w:numId w:val="2"/>
        </w:numPr>
        <w:overflowPunct w:val="0"/>
        <w:autoSpaceDE w:val="0"/>
        <w:autoSpaceDN w:val="0"/>
        <w:adjustRightInd w:val="0"/>
        <w:spacing w:after="0" w:line="240" w:lineRule="auto"/>
        <w:jc w:val="both"/>
        <w:textAlignment w:val="baseline"/>
        <w:rPr>
          <w:b/>
        </w:rPr>
      </w:pPr>
      <w:r w:rsidRPr="006C6570">
        <w:rPr>
          <w:b/>
        </w:rPr>
        <w:t>Potrditev vloge prijavitelja</w:t>
      </w:r>
    </w:p>
    <w:p w14:paraId="5B9DD86C" w14:textId="77777777" w:rsidR="001B3DB0" w:rsidRPr="006C6570" w:rsidRDefault="001B3DB0" w:rsidP="001B3DB0">
      <w:pPr>
        <w:overflowPunct w:val="0"/>
        <w:autoSpaceDE w:val="0"/>
        <w:autoSpaceDN w:val="0"/>
        <w:adjustRightInd w:val="0"/>
        <w:spacing w:after="0" w:line="240" w:lineRule="auto"/>
        <w:jc w:val="both"/>
        <w:textAlignment w:val="baseline"/>
        <w:rPr>
          <w:b/>
        </w:rPr>
      </w:pPr>
    </w:p>
    <w:p w14:paraId="5184948E" w14:textId="77777777" w:rsidR="001B3DB0" w:rsidRPr="006C6570" w:rsidRDefault="001B3DB0" w:rsidP="001B3DB0">
      <w:pPr>
        <w:overflowPunct w:val="0"/>
        <w:autoSpaceDE w:val="0"/>
        <w:autoSpaceDN w:val="0"/>
        <w:adjustRightInd w:val="0"/>
        <w:spacing w:after="0" w:line="240" w:lineRule="auto"/>
        <w:jc w:val="both"/>
        <w:textAlignment w:val="baseline"/>
      </w:pPr>
      <w:r w:rsidRPr="006C6570">
        <w:t>Potrjujemo, da so informacije na tem obrazcu in pripadajočih prilogah točne in pravilne.</w:t>
      </w:r>
    </w:p>
    <w:p w14:paraId="6643E5F3" w14:textId="77777777" w:rsidR="001B3DB0" w:rsidRPr="006C6570" w:rsidRDefault="001B3DB0" w:rsidP="001B3DB0">
      <w:pPr>
        <w:overflowPunct w:val="0"/>
        <w:autoSpaceDE w:val="0"/>
        <w:autoSpaceDN w:val="0"/>
        <w:adjustRightInd w:val="0"/>
        <w:spacing w:after="0" w:line="240" w:lineRule="auto"/>
        <w:jc w:val="both"/>
        <w:textAlignment w:val="baseline"/>
        <w:rPr>
          <w:b/>
        </w:rPr>
      </w:pPr>
    </w:p>
    <w:p w14:paraId="55D9775D" w14:textId="77777777" w:rsidR="001B3DB0" w:rsidRPr="006C6570" w:rsidRDefault="001B3DB0" w:rsidP="001B3DB0">
      <w:pPr>
        <w:overflowPunct w:val="0"/>
        <w:autoSpaceDE w:val="0"/>
        <w:autoSpaceDN w:val="0"/>
        <w:adjustRightInd w:val="0"/>
        <w:spacing w:after="0" w:line="240" w:lineRule="auto"/>
        <w:jc w:val="both"/>
        <w:textAlignment w:val="baseline"/>
      </w:pPr>
      <w:r w:rsidRPr="006C6570">
        <w:t>Ime in priimek:</w:t>
      </w:r>
    </w:p>
    <w:p w14:paraId="12C50DB2" w14:textId="77777777" w:rsidR="001B3DB0" w:rsidRPr="006C6570" w:rsidRDefault="001B3DB0" w:rsidP="001B3DB0">
      <w:pPr>
        <w:overflowPunct w:val="0"/>
        <w:autoSpaceDE w:val="0"/>
        <w:autoSpaceDN w:val="0"/>
        <w:adjustRightInd w:val="0"/>
        <w:spacing w:after="0" w:line="240" w:lineRule="auto"/>
        <w:jc w:val="both"/>
        <w:textAlignment w:val="baseline"/>
      </w:pPr>
    </w:p>
    <w:p w14:paraId="2CAB1026" w14:textId="77777777" w:rsidR="001B3DB0" w:rsidRPr="006C6570" w:rsidRDefault="001B3DB0" w:rsidP="001B3DB0">
      <w:pPr>
        <w:overflowPunct w:val="0"/>
        <w:autoSpaceDE w:val="0"/>
        <w:autoSpaceDN w:val="0"/>
        <w:adjustRightInd w:val="0"/>
        <w:spacing w:after="0" w:line="240" w:lineRule="auto"/>
        <w:jc w:val="both"/>
        <w:textAlignment w:val="baseline"/>
      </w:pPr>
      <w:r w:rsidRPr="006C6570">
        <w:t>Organizacija:</w:t>
      </w:r>
    </w:p>
    <w:p w14:paraId="39975B45" w14:textId="25CBE6BF" w:rsidR="001B3DB0" w:rsidRDefault="00C91A3F" w:rsidP="001B3DB0">
      <w:pPr>
        <w:overflowPunct w:val="0"/>
        <w:autoSpaceDE w:val="0"/>
        <w:autoSpaceDN w:val="0"/>
        <w:adjustRightInd w:val="0"/>
        <w:spacing w:after="0" w:line="240" w:lineRule="auto"/>
        <w:jc w:val="both"/>
        <w:textAlignment w:val="baseline"/>
      </w:pPr>
      <w:r>
        <w:t xml:space="preserve"> </w:t>
      </w:r>
    </w:p>
    <w:p w14:paraId="1A5FFD6A" w14:textId="77777777" w:rsidR="00C91A3F" w:rsidRDefault="00C91A3F" w:rsidP="00C91A3F">
      <w:pPr>
        <w:overflowPunct w:val="0"/>
        <w:autoSpaceDE w:val="0"/>
        <w:autoSpaceDN w:val="0"/>
        <w:adjustRightInd w:val="0"/>
        <w:spacing w:after="0" w:line="240" w:lineRule="auto"/>
        <w:jc w:val="both"/>
        <w:textAlignment w:val="baseline"/>
      </w:pPr>
      <w:r>
        <w:t xml:space="preserve">Številka zadeve: </w:t>
      </w:r>
    </w:p>
    <w:p w14:paraId="4148ED7F" w14:textId="77777777" w:rsidR="00C91A3F" w:rsidRPr="006C6570" w:rsidRDefault="00C91A3F" w:rsidP="001B3DB0">
      <w:pPr>
        <w:overflowPunct w:val="0"/>
        <w:autoSpaceDE w:val="0"/>
        <w:autoSpaceDN w:val="0"/>
        <w:adjustRightInd w:val="0"/>
        <w:spacing w:after="0" w:line="240" w:lineRule="auto"/>
        <w:jc w:val="both"/>
        <w:textAlignment w:val="baseline"/>
      </w:pPr>
    </w:p>
    <w:p w14:paraId="7E953B42" w14:textId="77777777" w:rsidR="001B3DB0" w:rsidRPr="006C6570" w:rsidRDefault="001B3DB0" w:rsidP="001B3DB0">
      <w:pPr>
        <w:overflowPunct w:val="0"/>
        <w:autoSpaceDE w:val="0"/>
        <w:autoSpaceDN w:val="0"/>
        <w:adjustRightInd w:val="0"/>
        <w:spacing w:after="0" w:line="240" w:lineRule="auto"/>
        <w:jc w:val="both"/>
        <w:textAlignment w:val="baseline"/>
      </w:pPr>
      <w:r w:rsidRPr="006C6570">
        <w:t>Datum:</w:t>
      </w:r>
    </w:p>
    <w:p w14:paraId="3E0F40F9" w14:textId="77777777" w:rsidR="001B3DB0" w:rsidRDefault="001B3DB0" w:rsidP="001B3DB0">
      <w:pPr>
        <w:overflowPunct w:val="0"/>
        <w:autoSpaceDE w:val="0"/>
        <w:autoSpaceDN w:val="0"/>
        <w:adjustRightInd w:val="0"/>
        <w:spacing w:after="0" w:line="240" w:lineRule="auto"/>
        <w:jc w:val="both"/>
        <w:textAlignment w:val="baseline"/>
      </w:pPr>
    </w:p>
    <w:p w14:paraId="6A3C5CCF" w14:textId="77777777" w:rsidR="001B3DB0" w:rsidRPr="006C6570" w:rsidRDefault="001B3DB0" w:rsidP="001B3DB0">
      <w:pPr>
        <w:overflowPunct w:val="0"/>
        <w:autoSpaceDE w:val="0"/>
        <w:autoSpaceDN w:val="0"/>
        <w:adjustRightInd w:val="0"/>
        <w:spacing w:after="0" w:line="240" w:lineRule="auto"/>
        <w:jc w:val="both"/>
        <w:textAlignment w:val="baseline"/>
      </w:pPr>
      <w:r w:rsidRPr="006C6570">
        <w:t>Podpis:</w:t>
      </w:r>
    </w:p>
    <w:p w14:paraId="28C14E90" w14:textId="77777777" w:rsidR="001B3DB0" w:rsidRPr="006C6570" w:rsidRDefault="001B3DB0" w:rsidP="001B3DB0">
      <w:pPr>
        <w:overflowPunct w:val="0"/>
        <w:autoSpaceDE w:val="0"/>
        <w:autoSpaceDN w:val="0"/>
        <w:adjustRightInd w:val="0"/>
        <w:spacing w:after="0" w:line="240" w:lineRule="auto"/>
        <w:jc w:val="both"/>
        <w:textAlignment w:val="baseline"/>
      </w:pPr>
    </w:p>
    <w:p w14:paraId="1AEFAA3B" w14:textId="77777777" w:rsidR="001B3DB0" w:rsidRPr="006C6570" w:rsidRDefault="001B3DB0" w:rsidP="001B3DB0">
      <w:pPr>
        <w:overflowPunct w:val="0"/>
        <w:autoSpaceDE w:val="0"/>
        <w:autoSpaceDN w:val="0"/>
        <w:adjustRightInd w:val="0"/>
        <w:spacing w:after="0" w:line="240" w:lineRule="auto"/>
        <w:jc w:val="both"/>
        <w:textAlignment w:val="baseline"/>
      </w:pPr>
      <w:r w:rsidRPr="006C6570">
        <w:t>Žig:</w:t>
      </w:r>
    </w:p>
    <w:p w14:paraId="7B19C4BA" w14:textId="77777777" w:rsidR="001B3DB0" w:rsidRDefault="001B3DB0"/>
    <w:p w14:paraId="3C18279C" w14:textId="77777777" w:rsidR="00692841" w:rsidRDefault="00692841"/>
    <w:p w14:paraId="05B467D6" w14:textId="25ADCA57" w:rsidR="00692841" w:rsidRDefault="00692841">
      <w:r>
        <w:t>Priloga:</w:t>
      </w:r>
    </w:p>
    <w:p w14:paraId="081AE25D" w14:textId="77777777" w:rsidR="009730B2" w:rsidRDefault="00692841" w:rsidP="009730B2">
      <w:pPr>
        <w:pStyle w:val="Odstavekseznama"/>
        <w:numPr>
          <w:ilvl w:val="0"/>
          <w:numId w:val="3"/>
        </w:numPr>
      </w:pPr>
      <w:r>
        <w:t>Finančni načrt.</w:t>
      </w:r>
    </w:p>
    <w:p w14:paraId="5057F087" w14:textId="3C78C85C" w:rsidR="009730B2" w:rsidRDefault="009730B2" w:rsidP="009730B2">
      <w:pPr>
        <w:pStyle w:val="Odstavekseznama"/>
        <w:numPr>
          <w:ilvl w:val="0"/>
          <w:numId w:val="3"/>
        </w:numPr>
      </w:pPr>
      <w:commentRangeStart w:id="24"/>
      <w:r>
        <w:t>Seznam študentov iz socialno šibkejših okolij.</w:t>
      </w:r>
      <w:commentRangeEnd w:id="24"/>
      <w:r w:rsidR="008D47BF">
        <w:rPr>
          <w:rStyle w:val="Pripombasklic"/>
        </w:rPr>
        <w:commentReference w:id="24"/>
      </w:r>
    </w:p>
    <w:sectPr w:rsidR="009730B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teja Berčan" w:date="2017-05-31T10:22:00Z" w:initials="MB">
    <w:p w14:paraId="65CF300D" w14:textId="59F314F0" w:rsidR="00D604DB" w:rsidRDefault="005677B0">
      <w:pPr>
        <w:pStyle w:val="Pripombabesedilo"/>
      </w:pPr>
      <w:r>
        <w:rPr>
          <w:rStyle w:val="Pripombasklic"/>
        </w:rPr>
        <w:annotationRef/>
      </w:r>
      <w:r w:rsidRPr="00023078">
        <w:t>Izkušnje na vsebinsko podobnih operacijah; tudi ESS operacijah</w:t>
      </w:r>
      <w:r w:rsidR="00A56986" w:rsidRPr="00023078">
        <w:t xml:space="preserve"> (npr. poziv Mobilnost študentov iz socialno šibkejših okolij, leto 2016</w:t>
      </w:r>
      <w:r w:rsidR="00023078" w:rsidRPr="00023078">
        <w:t>, leto 2017</w:t>
      </w:r>
      <w:r w:rsidR="00C20051">
        <w:t>, leto 2018</w:t>
      </w:r>
      <w:r w:rsidRPr="00023078">
        <w:t>).</w:t>
      </w:r>
      <w:r w:rsidR="00D604DB">
        <w:t xml:space="preserve"> </w:t>
      </w:r>
    </w:p>
    <w:p w14:paraId="592EE33D" w14:textId="77777777" w:rsidR="00D604DB" w:rsidRDefault="00D604DB">
      <w:pPr>
        <w:pStyle w:val="Pripombabesedilo"/>
      </w:pPr>
    </w:p>
    <w:p w14:paraId="6F2E3B11" w14:textId="5D772BF4" w:rsidR="005677B0" w:rsidRDefault="00D604DB">
      <w:pPr>
        <w:pStyle w:val="Pripombabesedilo"/>
      </w:pPr>
      <w:r w:rsidRPr="00023078">
        <w:t>Izpostavijo naj se tudi rezultati mobilnosti študentov iz zadnjega zaključenega obdobja razpisa E+</w:t>
      </w:r>
      <w:r w:rsidR="00A56986" w:rsidRPr="00023078">
        <w:t xml:space="preserve"> in morebiti poziva Mobilnost študentov iz socia</w:t>
      </w:r>
      <w:r w:rsidR="00AD1A0A" w:rsidRPr="00023078">
        <w:t>lno šibkejših okolij, leto 2016</w:t>
      </w:r>
      <w:r w:rsidR="00023078" w:rsidRPr="00023078">
        <w:t xml:space="preserve"> in leto 2017</w:t>
      </w:r>
      <w:r w:rsidR="00C20051">
        <w:t>, leto 2018</w:t>
      </w:r>
      <w:r w:rsidR="00023078" w:rsidRPr="00023078">
        <w:t xml:space="preserve"> (v kolikor relevantno)</w:t>
      </w:r>
      <w:r w:rsidRPr="00023078">
        <w:t>.</w:t>
      </w:r>
    </w:p>
  </w:comment>
  <w:comment w:id="1" w:author="Mateja Berčan" w:date="2017-05-31T12:13:00Z" w:initials="MB">
    <w:p w14:paraId="55365AE7" w14:textId="43C5BF07" w:rsidR="00C96ADB" w:rsidRDefault="00C96ADB">
      <w:pPr>
        <w:pStyle w:val="Pripombabesedilo"/>
      </w:pPr>
      <w:r>
        <w:rPr>
          <w:rStyle w:val="Pripombasklic"/>
        </w:rPr>
        <w:annotationRef/>
      </w:r>
      <w:r>
        <w:t xml:space="preserve">Navedejo se tudi splošni podatki potencialnega upravičenca: </w:t>
      </w:r>
      <w:r w:rsidRPr="006C6570">
        <w:rPr>
          <w:rFonts w:eastAsia="Times New Roman"/>
          <w:sz w:val="16"/>
          <w:szCs w:val="16"/>
        </w:rPr>
        <w:t xml:space="preserve">naziv, naslov, matična številka, </w:t>
      </w:r>
      <w:r>
        <w:rPr>
          <w:rFonts w:eastAsia="Times New Roman"/>
          <w:sz w:val="16"/>
          <w:szCs w:val="16"/>
        </w:rPr>
        <w:t xml:space="preserve">davčna številka, </w:t>
      </w:r>
      <w:r w:rsidR="00240A5E">
        <w:rPr>
          <w:rFonts w:eastAsia="Times New Roman"/>
          <w:sz w:val="16"/>
          <w:szCs w:val="16"/>
        </w:rPr>
        <w:t xml:space="preserve">TRR, </w:t>
      </w:r>
      <w:r w:rsidRPr="006C6570">
        <w:rPr>
          <w:rFonts w:eastAsia="Times New Roman"/>
          <w:sz w:val="16"/>
          <w:szCs w:val="16"/>
        </w:rPr>
        <w:t>telefon, e-naslov, spletna stran</w:t>
      </w:r>
      <w:r>
        <w:rPr>
          <w:rFonts w:eastAsia="Times New Roman"/>
          <w:sz w:val="16"/>
          <w:szCs w:val="16"/>
        </w:rPr>
        <w:t xml:space="preserve">, </w:t>
      </w:r>
      <w:r w:rsidRPr="006C6570">
        <w:rPr>
          <w:rFonts w:eastAsia="Times New Roman"/>
          <w:sz w:val="16"/>
          <w:szCs w:val="16"/>
        </w:rPr>
        <w:t>odgovorna oseba,</w:t>
      </w:r>
      <w:r>
        <w:rPr>
          <w:rFonts w:eastAsia="Times New Roman"/>
          <w:sz w:val="16"/>
          <w:szCs w:val="16"/>
        </w:rPr>
        <w:t xml:space="preserve"> </w:t>
      </w:r>
      <w:r w:rsidRPr="006C6570">
        <w:rPr>
          <w:rFonts w:eastAsia="Times New Roman"/>
          <w:sz w:val="16"/>
          <w:szCs w:val="16"/>
        </w:rPr>
        <w:t>e-naslov</w:t>
      </w:r>
      <w:r>
        <w:rPr>
          <w:rFonts w:eastAsia="Times New Roman"/>
          <w:sz w:val="16"/>
          <w:szCs w:val="16"/>
        </w:rPr>
        <w:t xml:space="preserve"> odgovorne osebe, kontaktna oseba, e-naslov kontaktne osebe.</w:t>
      </w:r>
    </w:p>
  </w:comment>
  <w:comment w:id="2" w:author="Mateja Berčan" w:date="2017-05-31T10:18:00Z" w:initials="MB">
    <w:p w14:paraId="29A3FBDB" w14:textId="19D7FF00" w:rsidR="00FD005D" w:rsidRDefault="005677B0">
      <w:pPr>
        <w:pStyle w:val="Pripombabesedilo"/>
      </w:pPr>
      <w:r>
        <w:rPr>
          <w:rStyle w:val="Pripombasklic"/>
        </w:rPr>
        <w:annotationRef/>
      </w:r>
      <w:r>
        <w:t xml:space="preserve">Se izpostavi, da je potencialni upravičenec finančno zmogljiv za izplačilo 100% spodbude za socialno šibkejše študentu </w:t>
      </w:r>
      <w:r w:rsidR="00023078">
        <w:t>v datumu, ki nastopi prej, in sicer:</w:t>
      </w:r>
    </w:p>
    <w:p w14:paraId="129E133D" w14:textId="52D2F44B" w:rsidR="00023078" w:rsidRPr="00023078" w:rsidRDefault="00023078" w:rsidP="00023078">
      <w:pPr>
        <w:numPr>
          <w:ilvl w:val="0"/>
          <w:numId w:val="4"/>
        </w:numPr>
        <w:spacing w:after="0" w:line="240" w:lineRule="auto"/>
        <w:jc w:val="both"/>
        <w:rPr>
          <w:sz w:val="20"/>
          <w:szCs w:val="20"/>
        </w:rPr>
      </w:pPr>
      <w:r w:rsidRPr="00023078">
        <w:rPr>
          <w:sz w:val="20"/>
          <w:szCs w:val="20"/>
        </w:rPr>
        <w:t xml:space="preserve">najkasneje v 30 koledarskih dneh po dvostransko sklenjenem pravnem aktu med upravičencem in prejemnikom spodbude za socialno šibkejše, ki izkazuje podlago za prejem spodbude za socialno šibkejše ali </w:t>
      </w:r>
    </w:p>
    <w:p w14:paraId="7BDAC3FF" w14:textId="198EE204" w:rsidR="00023078" w:rsidRPr="00023078" w:rsidRDefault="00023078" w:rsidP="00023078">
      <w:pPr>
        <w:numPr>
          <w:ilvl w:val="0"/>
          <w:numId w:val="4"/>
        </w:numPr>
        <w:spacing w:after="0" w:line="240" w:lineRule="auto"/>
        <w:ind w:left="1418"/>
        <w:jc w:val="both"/>
        <w:rPr>
          <w:rFonts w:ascii="Arial" w:hAnsi="Arial" w:cs="Arial"/>
        </w:rPr>
      </w:pPr>
      <w:r w:rsidRPr="00023078">
        <w:rPr>
          <w:sz w:val="20"/>
          <w:szCs w:val="20"/>
        </w:rPr>
        <w:t>najkasneje do datuma začetka obdobja mednarodne mobilnosti (kot prvi dan mobilnosti se šteje prvi dan, ko mora biti študent prisoten na organizaciji gostiteljici kot npr. dan začetka predavanja, prvi dan pozdravne prireditve, prvi dan jezikovnega oziroma medkulturnega tečaja).</w:t>
      </w:r>
    </w:p>
  </w:comment>
  <w:comment w:id="3" w:author="Mateja Berčan" w:date="2019-03-19T11:58:00Z" w:initials="MB">
    <w:p w14:paraId="4D5552E8" w14:textId="0F1E093E" w:rsidR="007359B9" w:rsidRDefault="007359B9">
      <w:pPr>
        <w:pStyle w:val="Pripombabesedilo"/>
      </w:pPr>
      <w:r>
        <w:rPr>
          <w:rStyle w:val="Pripombasklic"/>
        </w:rPr>
        <w:annotationRef/>
      </w:r>
      <w:r>
        <w:t xml:space="preserve">V </w:t>
      </w:r>
      <w:r w:rsidR="00D20B52">
        <w:t>okvir</w:t>
      </w:r>
      <w:r>
        <w:t>u institucionalnih zmogljivosti se omeni tudi kadrovsko podporo (kdo bo sodeloval na programu, izkušnje, izobraževanja).</w:t>
      </w:r>
    </w:p>
  </w:comment>
  <w:comment w:id="4" w:author="Mateja Berčan" w:date="2017-05-31T12:13:00Z" w:initials="MB">
    <w:p w14:paraId="6DE054C1" w14:textId="2FA590A5" w:rsidR="00C96ADB" w:rsidRDefault="00C96ADB">
      <w:pPr>
        <w:pStyle w:val="Pripombabesedilo"/>
      </w:pPr>
      <w:r>
        <w:rPr>
          <w:rStyle w:val="Pripombasklic"/>
        </w:rPr>
        <w:annotationRef/>
      </w:r>
      <w:r w:rsidR="00A411B5">
        <w:t>V kolikor je točka relevantna se n</w:t>
      </w:r>
      <w:r>
        <w:t xml:space="preserve">avedejo tudi splošni podatki partnerja: </w:t>
      </w:r>
      <w:r w:rsidR="00360625" w:rsidRPr="006C6570">
        <w:rPr>
          <w:rFonts w:eastAsia="Times New Roman"/>
          <w:sz w:val="16"/>
          <w:szCs w:val="16"/>
        </w:rPr>
        <w:t xml:space="preserve">naziv, naslov, matična številka, </w:t>
      </w:r>
      <w:r w:rsidR="00360625">
        <w:rPr>
          <w:rFonts w:eastAsia="Times New Roman"/>
          <w:sz w:val="16"/>
          <w:szCs w:val="16"/>
        </w:rPr>
        <w:t xml:space="preserve">davčna številka, TRR, </w:t>
      </w:r>
      <w:r w:rsidR="00360625" w:rsidRPr="006C6570">
        <w:rPr>
          <w:rFonts w:eastAsia="Times New Roman"/>
          <w:sz w:val="16"/>
          <w:szCs w:val="16"/>
        </w:rPr>
        <w:t>telefon, e-naslov, spletna stran</w:t>
      </w:r>
      <w:r w:rsidR="00360625">
        <w:rPr>
          <w:rFonts w:eastAsia="Times New Roman"/>
          <w:sz w:val="16"/>
          <w:szCs w:val="16"/>
        </w:rPr>
        <w:t xml:space="preserve">, </w:t>
      </w:r>
      <w:r w:rsidR="00360625" w:rsidRPr="006C6570">
        <w:rPr>
          <w:rFonts w:eastAsia="Times New Roman"/>
          <w:sz w:val="16"/>
          <w:szCs w:val="16"/>
        </w:rPr>
        <w:t>odgovorna oseba,</w:t>
      </w:r>
      <w:r w:rsidR="00360625">
        <w:rPr>
          <w:rFonts w:eastAsia="Times New Roman"/>
          <w:sz w:val="16"/>
          <w:szCs w:val="16"/>
        </w:rPr>
        <w:t xml:space="preserve"> </w:t>
      </w:r>
      <w:r w:rsidR="00360625" w:rsidRPr="006C6570">
        <w:rPr>
          <w:rFonts w:eastAsia="Times New Roman"/>
          <w:sz w:val="16"/>
          <w:szCs w:val="16"/>
        </w:rPr>
        <w:t>e-naslov</w:t>
      </w:r>
      <w:r w:rsidR="00360625">
        <w:rPr>
          <w:rFonts w:eastAsia="Times New Roman"/>
          <w:sz w:val="16"/>
          <w:szCs w:val="16"/>
        </w:rPr>
        <w:t xml:space="preserve"> odgovorne osebe, kontaktna oseba.</w:t>
      </w:r>
    </w:p>
  </w:comment>
  <w:comment w:id="5" w:author="Mateja Berčan" w:date="2017-07-07T12:28:00Z" w:initials="MB">
    <w:p w14:paraId="534E411D" w14:textId="1932F03A" w:rsidR="004F6DB7" w:rsidRDefault="004F6DB7">
      <w:pPr>
        <w:pStyle w:val="Pripombabesedilo"/>
      </w:pPr>
      <w:r>
        <w:rPr>
          <w:rStyle w:val="Pripombasklic"/>
        </w:rPr>
        <w:annotationRef/>
      </w:r>
      <w:r w:rsidR="00E254E2">
        <w:t xml:space="preserve">V kolikor je točka relevantna se navedejo </w:t>
      </w:r>
      <w:r w:rsidR="00C70D88">
        <w:t xml:space="preserve">tudi </w:t>
      </w:r>
      <w:r>
        <w:t>reference kadrov, ki bodo delali na programu.</w:t>
      </w:r>
    </w:p>
  </w:comment>
  <w:comment w:id="6" w:author="Mateja Berčan" w:date="2017-05-31T11:15:00Z" w:initials="MB">
    <w:p w14:paraId="65E0A262" w14:textId="1517F116" w:rsidR="00B76210" w:rsidRDefault="00B76210">
      <w:pPr>
        <w:pStyle w:val="Pripombabesedilo"/>
        <w:rPr>
          <w:rFonts w:eastAsia="Times New Roman"/>
          <w:i/>
          <w:sz w:val="14"/>
          <w:szCs w:val="16"/>
        </w:rPr>
      </w:pPr>
      <w:r>
        <w:rPr>
          <w:rStyle w:val="Pripombasklic"/>
        </w:rPr>
        <w:annotationRef/>
      </w:r>
      <w:hyperlink r:id="rId1" w:history="1">
        <w:r w:rsidRPr="00312515">
          <w:rPr>
            <w:rStyle w:val="Hiperpovezava"/>
            <w:rFonts w:eastAsia="Times New Roman"/>
            <w:i/>
            <w:sz w:val="14"/>
            <w:szCs w:val="16"/>
          </w:rPr>
          <w:t>http://www.eu-skladi.si/kohezija-do-2013/ostalo/operativni-programi/op-2014-2020-december-konni</w:t>
        </w:r>
      </w:hyperlink>
      <w:r>
        <w:rPr>
          <w:rFonts w:eastAsia="Times New Roman"/>
          <w:i/>
          <w:sz w:val="14"/>
          <w:szCs w:val="16"/>
        </w:rPr>
        <w:t>, stran 186 – 197</w:t>
      </w:r>
    </w:p>
    <w:p w14:paraId="40017A71" w14:textId="77777777" w:rsidR="00B76210" w:rsidRDefault="00B76210">
      <w:pPr>
        <w:pStyle w:val="Pripombabesedilo"/>
        <w:rPr>
          <w:rFonts w:eastAsia="Times New Roman"/>
          <w:i/>
          <w:sz w:val="14"/>
          <w:szCs w:val="16"/>
        </w:rPr>
      </w:pPr>
    </w:p>
    <w:p w14:paraId="08F0B4AF" w14:textId="2CA88D04" w:rsidR="00B76210" w:rsidRDefault="00B76210">
      <w:pPr>
        <w:pStyle w:val="Pripombabesedilo"/>
        <w:rPr>
          <w:rFonts w:eastAsia="Times New Roman"/>
          <w:sz w:val="16"/>
          <w:szCs w:val="16"/>
        </w:rPr>
      </w:pPr>
      <w:r w:rsidRPr="00D14E3A">
        <w:rPr>
          <w:rFonts w:eastAsia="Times New Roman"/>
          <w:sz w:val="16"/>
          <w:szCs w:val="16"/>
        </w:rPr>
        <w:t>10: Znanje, spretnosti in vseživljenjsko učenje za boljšo zaposljivost; prednostna naložba</w:t>
      </w:r>
    </w:p>
    <w:p w14:paraId="485B8DB3" w14:textId="77777777" w:rsidR="00B76210" w:rsidRDefault="00B76210">
      <w:pPr>
        <w:pStyle w:val="Pripombabesedilo"/>
        <w:rPr>
          <w:rFonts w:eastAsia="Times New Roman"/>
          <w:i/>
          <w:sz w:val="14"/>
          <w:szCs w:val="16"/>
        </w:rPr>
      </w:pPr>
    </w:p>
    <w:p w14:paraId="06A69E86" w14:textId="5B5A0B4B" w:rsidR="00805FEC" w:rsidRDefault="00B76210">
      <w:pPr>
        <w:pStyle w:val="Pripombabesedilo"/>
        <w:rPr>
          <w:rFonts w:eastAsia="Times New Roman"/>
          <w:i/>
          <w:sz w:val="14"/>
          <w:szCs w:val="16"/>
        </w:rPr>
      </w:pPr>
      <w:r>
        <w:rPr>
          <w:rFonts w:eastAsia="Times New Roman"/>
          <w:i/>
          <w:sz w:val="14"/>
          <w:szCs w:val="16"/>
        </w:rPr>
        <w:t>Opredeliti je potrebno t</w:t>
      </w:r>
      <w:r w:rsidR="00626AB9">
        <w:rPr>
          <w:rFonts w:eastAsia="Times New Roman"/>
          <w:i/>
          <w:sz w:val="14"/>
          <w:szCs w:val="16"/>
        </w:rPr>
        <w:t>udi vpetost v mednarodno okolje, v kolikor je relevantno tudi</w:t>
      </w:r>
      <w:r>
        <w:rPr>
          <w:rFonts w:eastAsia="Times New Roman"/>
          <w:i/>
          <w:sz w:val="14"/>
          <w:szCs w:val="16"/>
        </w:rPr>
        <w:t xml:space="preserve"> mednarodno primerljivost.</w:t>
      </w:r>
    </w:p>
    <w:p w14:paraId="2870345C" w14:textId="77777777" w:rsidR="00805FEC" w:rsidRDefault="00805FEC">
      <w:pPr>
        <w:pStyle w:val="Pripombabesedilo"/>
        <w:rPr>
          <w:rFonts w:eastAsia="Times New Roman"/>
          <w:i/>
          <w:sz w:val="14"/>
          <w:szCs w:val="16"/>
        </w:rPr>
      </w:pPr>
    </w:p>
    <w:p w14:paraId="4D2E6BD6" w14:textId="09543D46" w:rsidR="00805FEC" w:rsidRDefault="00805FEC">
      <w:pPr>
        <w:pStyle w:val="Pripombabesedilo"/>
        <w:rPr>
          <w:rFonts w:eastAsia="Times New Roman"/>
          <w:i/>
          <w:sz w:val="14"/>
          <w:szCs w:val="16"/>
        </w:rPr>
      </w:pPr>
      <w:r w:rsidRPr="00FF489B">
        <w:rPr>
          <w:rFonts w:eastAsia="Times New Roman"/>
          <w:i/>
          <w:sz w:val="14"/>
          <w:szCs w:val="16"/>
        </w:rPr>
        <w:t>Opredeli naj se tudi:</w:t>
      </w:r>
    </w:p>
    <w:p w14:paraId="5BC70545" w14:textId="77777777" w:rsidR="00805FEC" w:rsidRPr="000166C4" w:rsidRDefault="00805FEC" w:rsidP="00805FEC">
      <w:pPr>
        <w:pStyle w:val="podpisi"/>
        <w:jc w:val="both"/>
        <w:rPr>
          <w:rFonts w:ascii="Calibri" w:hAnsi="Calibri"/>
          <w:sz w:val="14"/>
          <w:szCs w:val="16"/>
          <w:lang w:val="sl-SI"/>
        </w:rPr>
      </w:pPr>
      <w:r>
        <w:rPr>
          <w:rFonts w:ascii="Calibri" w:hAnsi="Calibri"/>
          <w:sz w:val="14"/>
          <w:szCs w:val="16"/>
          <w:lang w:val="sl-SI"/>
        </w:rPr>
        <w:t>Stanje, če se tovrstnega programa ne bi podpiralo:</w:t>
      </w:r>
    </w:p>
    <w:p w14:paraId="7D220DAA" w14:textId="77777777" w:rsidR="00805FEC" w:rsidRDefault="00805FEC" w:rsidP="00805FEC">
      <w:pPr>
        <w:spacing w:after="0" w:line="260" w:lineRule="exact"/>
        <w:contextualSpacing/>
        <w:jc w:val="both"/>
        <w:rPr>
          <w:rFonts w:eastAsia="Times New Roman"/>
          <w:sz w:val="14"/>
          <w:szCs w:val="16"/>
        </w:rPr>
      </w:pPr>
      <w:r>
        <w:rPr>
          <w:rFonts w:eastAsia="Times New Roman"/>
          <w:sz w:val="14"/>
          <w:szCs w:val="16"/>
        </w:rPr>
        <w:t>Navede se na primer glede na namen in cilj programa:</w:t>
      </w:r>
    </w:p>
    <w:p w14:paraId="1E733EA7" w14:textId="77777777" w:rsidR="00805FEC" w:rsidRPr="000166C4" w:rsidRDefault="00805FEC" w:rsidP="00805FEC">
      <w:pPr>
        <w:spacing w:after="0" w:line="260" w:lineRule="exact"/>
        <w:contextualSpacing/>
        <w:jc w:val="both"/>
        <w:rPr>
          <w:rFonts w:eastAsia="Times New Roman"/>
          <w:sz w:val="14"/>
          <w:szCs w:val="16"/>
        </w:rPr>
      </w:pPr>
      <w:r w:rsidRPr="000166C4">
        <w:rPr>
          <w:rFonts w:eastAsia="Times New Roman"/>
          <w:sz w:val="14"/>
          <w:szCs w:val="16"/>
        </w:rPr>
        <w:t>-</w:t>
      </w:r>
      <w:r>
        <w:rPr>
          <w:rFonts w:eastAsia="Times New Roman"/>
          <w:sz w:val="14"/>
          <w:szCs w:val="16"/>
        </w:rPr>
        <w:t xml:space="preserve"> manjše možnosti za vključitev na mednarodnih mobilnosti in s tem izpuščena priložnost za pridobitev različnih/novih kompetenc, tudi tistih, ki so </w:t>
      </w:r>
      <w:proofErr w:type="spellStart"/>
      <w:r>
        <w:rPr>
          <w:rFonts w:eastAsia="Times New Roman"/>
          <w:sz w:val="14"/>
          <w:szCs w:val="16"/>
        </w:rPr>
        <w:t>zaželjene</w:t>
      </w:r>
      <w:proofErr w:type="spellEnd"/>
      <w:r>
        <w:rPr>
          <w:rFonts w:eastAsia="Times New Roman"/>
          <w:sz w:val="14"/>
          <w:szCs w:val="16"/>
        </w:rPr>
        <w:t xml:space="preserve"> na trgu dela….</w:t>
      </w:r>
    </w:p>
    <w:p w14:paraId="515C94D6" w14:textId="77777777" w:rsidR="00805FEC" w:rsidRDefault="00805FEC" w:rsidP="00805FEC">
      <w:pPr>
        <w:pStyle w:val="podpisi"/>
        <w:jc w:val="both"/>
        <w:rPr>
          <w:rFonts w:ascii="Calibri" w:hAnsi="Calibri"/>
          <w:sz w:val="14"/>
          <w:szCs w:val="16"/>
          <w:lang w:val="sl-SI"/>
        </w:rPr>
      </w:pPr>
      <w:r>
        <w:rPr>
          <w:rFonts w:ascii="Calibri" w:hAnsi="Calibri"/>
          <w:sz w:val="14"/>
          <w:szCs w:val="16"/>
          <w:lang w:val="sl-SI"/>
        </w:rPr>
        <w:t>Stanje, če se tovrstni program podpira:</w:t>
      </w:r>
    </w:p>
    <w:p w14:paraId="08EBDE97" w14:textId="6CAF1684" w:rsidR="00805FEC" w:rsidRPr="00805FEC" w:rsidRDefault="00805FEC" w:rsidP="00805FEC">
      <w:pPr>
        <w:pStyle w:val="podpisi"/>
        <w:jc w:val="both"/>
        <w:rPr>
          <w:rFonts w:ascii="Calibri" w:hAnsi="Calibri"/>
          <w:sz w:val="14"/>
          <w:szCs w:val="16"/>
          <w:lang w:val="sl-SI"/>
        </w:rPr>
      </w:pPr>
      <w:r w:rsidRPr="00E763FE">
        <w:rPr>
          <w:rFonts w:ascii="Calibri" w:hAnsi="Calibri"/>
          <w:sz w:val="14"/>
          <w:szCs w:val="16"/>
          <w:lang w:val="sl-SI"/>
        </w:rPr>
        <w:t>-</w:t>
      </w:r>
      <w:r>
        <w:rPr>
          <w:rFonts w:ascii="Calibri" w:hAnsi="Calibri"/>
          <w:sz w:val="14"/>
          <w:szCs w:val="16"/>
          <w:lang w:val="sl-SI"/>
        </w:rPr>
        <w:t xml:space="preserve"> priložnost, da se spodbudi študente, ki prihajajo iz socialno šibkejših okolij, da se udeležijo mednarodnih mobilnosti; večje število izvedenih mobilnosti…če se lahko opredeli širše: kakšen je to tudi doprinos za institucijo in na splošno družbo, trg dela.</w:t>
      </w:r>
    </w:p>
  </w:comment>
  <w:comment w:id="7" w:author="Mateja Berčan" w:date="2017-05-31T11:15:00Z" w:initials="MB">
    <w:p w14:paraId="5DEE8D54" w14:textId="21246154" w:rsidR="00B76210" w:rsidRDefault="00B76210">
      <w:pPr>
        <w:pStyle w:val="Pripombabesedilo"/>
        <w:rPr>
          <w:rFonts w:eastAsia="Times New Roman"/>
          <w:i/>
          <w:sz w:val="14"/>
          <w:szCs w:val="16"/>
        </w:rPr>
      </w:pPr>
      <w:r>
        <w:rPr>
          <w:rStyle w:val="Pripombasklic"/>
        </w:rPr>
        <w:annotationRef/>
      </w:r>
      <w:hyperlink r:id="rId2" w:history="1">
        <w:r w:rsidRPr="00312515">
          <w:rPr>
            <w:rStyle w:val="Hiperpovezava"/>
            <w:rFonts w:eastAsia="Times New Roman"/>
            <w:i/>
            <w:sz w:val="14"/>
            <w:szCs w:val="16"/>
          </w:rPr>
          <w:t>http://www.eu-skladi.si/kohezija-do-2013/ostalo/operativni-programi/op-2014-2020-december-konni</w:t>
        </w:r>
      </w:hyperlink>
      <w:r>
        <w:rPr>
          <w:rFonts w:eastAsia="Times New Roman"/>
          <w:i/>
          <w:sz w:val="14"/>
          <w:szCs w:val="16"/>
        </w:rPr>
        <w:t>, stran 186 – 197</w:t>
      </w:r>
    </w:p>
    <w:p w14:paraId="4DFE18C5" w14:textId="77777777" w:rsidR="00B76210" w:rsidRDefault="00B76210">
      <w:pPr>
        <w:pStyle w:val="Pripombabesedilo"/>
        <w:rPr>
          <w:rFonts w:eastAsia="Times New Roman"/>
          <w:i/>
          <w:sz w:val="14"/>
          <w:szCs w:val="16"/>
        </w:rPr>
      </w:pPr>
    </w:p>
    <w:p w14:paraId="28091CF4" w14:textId="00A878E3" w:rsidR="00B76210" w:rsidRDefault="00B76210">
      <w:pPr>
        <w:pStyle w:val="Pripombabesedilo"/>
      </w:pPr>
      <w:r w:rsidRPr="00D14E3A">
        <w:rPr>
          <w:rFonts w:eastAsia="Times New Roman"/>
          <w:sz w:val="16"/>
          <w:szCs w:val="16"/>
        </w:rPr>
        <w:t xml:space="preserve">10.1: </w:t>
      </w:r>
      <w:r w:rsidRPr="00915033">
        <w:rPr>
          <w:rFonts w:eastAsia="Times New Roman"/>
          <w:sz w:val="16"/>
          <w:szCs w:val="16"/>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w:t>
      </w:r>
      <w:r>
        <w:rPr>
          <w:rFonts w:eastAsia="Times New Roman"/>
          <w:sz w:val="16"/>
          <w:szCs w:val="16"/>
        </w:rPr>
        <w:t>jevanjem pridobljenih kompetenc</w:t>
      </w:r>
    </w:p>
  </w:comment>
  <w:comment w:id="8" w:author="Mateja Berčan" w:date="2017-05-31T11:15:00Z" w:initials="MB">
    <w:p w14:paraId="788A4039" w14:textId="168DE989" w:rsidR="00B76210" w:rsidRDefault="00B76210">
      <w:pPr>
        <w:pStyle w:val="Pripombabesedilo"/>
        <w:rPr>
          <w:rFonts w:eastAsia="Times New Roman"/>
          <w:i/>
          <w:sz w:val="14"/>
          <w:szCs w:val="16"/>
        </w:rPr>
      </w:pPr>
      <w:r>
        <w:rPr>
          <w:rStyle w:val="Pripombasklic"/>
        </w:rPr>
        <w:annotationRef/>
      </w:r>
      <w:hyperlink r:id="rId3" w:history="1">
        <w:r w:rsidRPr="00312515">
          <w:rPr>
            <w:rStyle w:val="Hiperpovezava"/>
            <w:rFonts w:eastAsia="Times New Roman"/>
            <w:i/>
            <w:sz w:val="14"/>
            <w:szCs w:val="16"/>
          </w:rPr>
          <w:t>http://www.eu-skladi.si/kohezija-do-2013/ostalo/operativni-programi/op-2014-2020-december-konni</w:t>
        </w:r>
      </w:hyperlink>
      <w:r>
        <w:rPr>
          <w:rFonts w:eastAsia="Times New Roman"/>
          <w:i/>
          <w:sz w:val="14"/>
          <w:szCs w:val="16"/>
        </w:rPr>
        <w:t>, stran 186 – 197</w:t>
      </w:r>
    </w:p>
    <w:p w14:paraId="0F37AB8F" w14:textId="77777777" w:rsidR="00B76210" w:rsidRDefault="00B76210">
      <w:pPr>
        <w:pStyle w:val="Pripombabesedilo"/>
        <w:rPr>
          <w:rFonts w:eastAsia="Times New Roman"/>
          <w:i/>
          <w:sz w:val="14"/>
          <w:szCs w:val="16"/>
        </w:rPr>
      </w:pPr>
    </w:p>
    <w:p w14:paraId="65BD36AF" w14:textId="26E7B815" w:rsidR="00B76210" w:rsidRDefault="00B76210">
      <w:pPr>
        <w:pStyle w:val="Pripombabesedilo"/>
      </w:pPr>
      <w:r w:rsidRPr="00D14E3A">
        <w:rPr>
          <w:rFonts w:eastAsia="Times New Roman"/>
          <w:sz w:val="16"/>
          <w:szCs w:val="16"/>
        </w:rPr>
        <w:t>Specifični cilj 3: Spodbujanje prožnih oblik učenja ter podpora kakovostni karierni orientaciji za šolajočo se mladino na vseh ravneh izobraževalnega sistema</w:t>
      </w:r>
    </w:p>
  </w:comment>
  <w:comment w:id="9" w:author="Mateja Berčan" w:date="2017-08-09T12:46:00Z" w:initials="MB">
    <w:p w14:paraId="73D868AC" w14:textId="58E0E1AB" w:rsidR="00FF2E00" w:rsidRDefault="00FF2E00" w:rsidP="00FF2E00">
      <w:pPr>
        <w:pStyle w:val="Pripombabesedilo"/>
      </w:pPr>
      <w:r>
        <w:rPr>
          <w:rStyle w:val="Pripombasklic"/>
        </w:rPr>
        <w:annotationRef/>
      </w:r>
      <w:r w:rsidR="004C0B02">
        <w:t>V kolikor gre za visokošolski zavod se v</w:t>
      </w:r>
      <w:r>
        <w:t xml:space="preserve">piše kazalnik, glede na kohezijsko regijo, ki ji upravičenec pripada. </w:t>
      </w:r>
    </w:p>
    <w:p w14:paraId="0317680D" w14:textId="77777777" w:rsidR="008E43D8" w:rsidRDefault="008E43D8" w:rsidP="00FF2E00">
      <w:pPr>
        <w:pStyle w:val="Pripombabesedilo"/>
      </w:pPr>
    </w:p>
    <w:p w14:paraId="53940F1C" w14:textId="5203F881" w:rsidR="00FF2E00" w:rsidRDefault="008E43D8" w:rsidP="00FF2E00">
      <w:pPr>
        <w:pStyle w:val="Pripombabesedilo"/>
      </w:pPr>
      <w:r>
        <w:t>Spodnja tabela – kjer kazalnik vpisujejo višješolske organizacije – se izbriše.</w:t>
      </w:r>
    </w:p>
  </w:comment>
  <w:comment w:id="10" w:author="Mateja Berčan" w:date="2019-03-12T08:21:00Z" w:initials="MB">
    <w:p w14:paraId="6E21DEDD" w14:textId="0B37E06F" w:rsidR="008E43D8" w:rsidRDefault="008E43D8">
      <w:pPr>
        <w:pStyle w:val="Pripombabesedilo"/>
        <w:rPr>
          <w:b/>
          <w:sz w:val="16"/>
          <w:szCs w:val="16"/>
        </w:rPr>
      </w:pPr>
      <w:r>
        <w:rPr>
          <w:rStyle w:val="Pripombasklic"/>
        </w:rPr>
        <w:annotationRef/>
      </w:r>
      <w:r>
        <w:t xml:space="preserve">V kolikor gre za višješolski zavod se vpiše kazalnik, glede na kohezijsko regijo, ki ji upravičenec pripada in se zapiše: </w:t>
      </w:r>
      <w:r w:rsidRPr="00E076D4">
        <w:rPr>
          <w:b/>
          <w:sz w:val="16"/>
          <w:szCs w:val="16"/>
        </w:rPr>
        <w:t xml:space="preserve">Operacija ne prispeva h kazalniku učinka 10.12 Število visokošolskih zavodov, vključenih v projekte po Operativnem programu za izvajanje Evropske kohezijske politike v obdobju 2014 - 2020, </w:t>
      </w:r>
      <w:r w:rsidRPr="000D2D20">
        <w:rPr>
          <w:b/>
          <w:sz w:val="16"/>
          <w:szCs w:val="16"/>
        </w:rPr>
        <w:t>zasleduje</w:t>
      </w:r>
      <w:r w:rsidRPr="00E076D4">
        <w:rPr>
          <w:b/>
          <w:sz w:val="16"/>
          <w:szCs w:val="16"/>
        </w:rPr>
        <w:t xml:space="preserve"> pa</w:t>
      </w:r>
      <w:r>
        <w:rPr>
          <w:b/>
          <w:sz w:val="16"/>
          <w:szCs w:val="16"/>
        </w:rPr>
        <w:t xml:space="preserve"> se</w:t>
      </w:r>
      <w:r w:rsidRPr="00E076D4">
        <w:rPr>
          <w:b/>
          <w:sz w:val="16"/>
          <w:szCs w:val="16"/>
        </w:rPr>
        <w:t xml:space="preserve"> specifični kazalnik učinka</w:t>
      </w:r>
      <w:r>
        <w:rPr>
          <w:b/>
          <w:sz w:val="16"/>
          <w:szCs w:val="16"/>
        </w:rPr>
        <w:t xml:space="preserve"> na nivoju operacije</w:t>
      </w:r>
      <w:r w:rsidRPr="00E076D4">
        <w:rPr>
          <w:b/>
          <w:sz w:val="16"/>
          <w:szCs w:val="16"/>
        </w:rPr>
        <w:t xml:space="preserve">: </w:t>
      </w:r>
      <w:r w:rsidRPr="000D2D20">
        <w:rPr>
          <w:b/>
          <w:sz w:val="16"/>
          <w:szCs w:val="16"/>
        </w:rPr>
        <w:t>Š</w:t>
      </w:r>
      <w:r w:rsidRPr="00E076D4">
        <w:rPr>
          <w:b/>
          <w:sz w:val="16"/>
          <w:szCs w:val="16"/>
        </w:rPr>
        <w:t>tevilo višješolskih zavodov, vključenih v izvajanju programa Mobilnost študentov iz socialno šibkejših okolij.</w:t>
      </w:r>
    </w:p>
    <w:p w14:paraId="5B7A89F4" w14:textId="77777777" w:rsidR="008E43D8" w:rsidRDefault="008E43D8">
      <w:pPr>
        <w:pStyle w:val="Pripombabesedilo"/>
        <w:rPr>
          <w:b/>
          <w:sz w:val="16"/>
          <w:szCs w:val="16"/>
        </w:rPr>
      </w:pPr>
    </w:p>
    <w:p w14:paraId="570B2DC5" w14:textId="47713266" w:rsidR="008E43D8" w:rsidRDefault="008E43D8">
      <w:pPr>
        <w:pStyle w:val="Pripombabesedilo"/>
      </w:pPr>
      <w:r>
        <w:t>Zgornja tabela – kjer kazalnik vpisujejo visokošolske organizacije – se izbriše.</w:t>
      </w:r>
    </w:p>
  </w:comment>
  <w:comment w:id="11" w:author="Mateja Berčan" w:date="2017-08-09T12:47:00Z" w:initials="MB">
    <w:p w14:paraId="74D2FD35" w14:textId="77777777" w:rsidR="00FF2E00" w:rsidRDefault="00FF2E00" w:rsidP="00FF2E00">
      <w:pPr>
        <w:pStyle w:val="Pripombabesedilo"/>
      </w:pPr>
      <w:r>
        <w:rPr>
          <w:rStyle w:val="Pripombasklic"/>
        </w:rPr>
        <w:annotationRef/>
      </w:r>
      <w:r>
        <w:t>Ohrani se vrstica, ki opredeljuje kohezijsko regijo, ki ji upravičenec pripada.</w:t>
      </w:r>
    </w:p>
    <w:p w14:paraId="5D48CA32" w14:textId="77777777" w:rsidR="00FF2E00" w:rsidRDefault="00FF2E00" w:rsidP="00FF2E00">
      <w:pPr>
        <w:pStyle w:val="Pripombabesedilo"/>
      </w:pPr>
    </w:p>
    <w:p w14:paraId="6D482D14" w14:textId="27FDA755" w:rsidR="00FF2E00" w:rsidRDefault="00FF2E00" w:rsidP="00FF2E00">
      <w:pPr>
        <w:pStyle w:val="Pripombabesedilo"/>
      </w:pPr>
      <w:r>
        <w:t xml:space="preserve">V kolikor se prijavi višješolski </w:t>
      </w:r>
      <w:r w:rsidR="009E7A8E">
        <w:t xml:space="preserve">zavod se te </w:t>
      </w:r>
      <w:r w:rsidR="008E43D8">
        <w:t>tabele</w:t>
      </w:r>
      <w:r w:rsidR="009E7A8E">
        <w:t xml:space="preserve"> ne izpolnjuje, ampak se zapiše: </w:t>
      </w:r>
      <w:r w:rsidRPr="00BB08B0">
        <w:rPr>
          <w:b/>
          <w:sz w:val="16"/>
          <w:szCs w:val="16"/>
        </w:rPr>
        <w:t>Operacija ne prispeva h kazalniku</w:t>
      </w:r>
      <w:r>
        <w:rPr>
          <w:b/>
          <w:sz w:val="16"/>
          <w:szCs w:val="16"/>
        </w:rPr>
        <w:t xml:space="preserve"> rezultata 10.6 Delež</w:t>
      </w:r>
      <w:r w:rsidRPr="00BB08B0">
        <w:rPr>
          <w:b/>
          <w:sz w:val="16"/>
          <w:szCs w:val="16"/>
        </w:rPr>
        <w:t xml:space="preserve"> visokošolskih zavodov, </w:t>
      </w:r>
      <w:r>
        <w:rPr>
          <w:b/>
          <w:sz w:val="16"/>
          <w:szCs w:val="16"/>
        </w:rPr>
        <w:t>ki so uspešno izvedli strategije prožnih oblik učenja</w:t>
      </w:r>
      <w:r w:rsidRPr="00BB08B0">
        <w:rPr>
          <w:b/>
          <w:sz w:val="16"/>
          <w:szCs w:val="16"/>
        </w:rPr>
        <w:t xml:space="preserve"> po Operativnem programu za izvajanje Evropske kohezijske politike v obdobju 2014 </w:t>
      </w:r>
      <w:r>
        <w:rPr>
          <w:b/>
          <w:sz w:val="16"/>
          <w:szCs w:val="16"/>
        </w:rPr>
        <w:t>–</w:t>
      </w:r>
      <w:r w:rsidRPr="00BB08B0">
        <w:rPr>
          <w:b/>
          <w:sz w:val="16"/>
          <w:szCs w:val="16"/>
        </w:rPr>
        <w:t xml:space="preserve"> 2020</w:t>
      </w:r>
      <w:r>
        <w:rPr>
          <w:b/>
          <w:sz w:val="16"/>
          <w:szCs w:val="16"/>
        </w:rPr>
        <w:t>. Tako načrtovana, kot tudi ciljna vrednost je 100%.</w:t>
      </w:r>
    </w:p>
  </w:comment>
  <w:comment w:id="12" w:author="Mateja Berčan" w:date="2017-05-31T11:01:00Z" w:initials="MB">
    <w:p w14:paraId="334D3BBE" w14:textId="4B3884C0" w:rsidR="00B76210" w:rsidRPr="005529A9" w:rsidRDefault="00B76210">
      <w:pPr>
        <w:pStyle w:val="Pripombabesedilo"/>
        <w:rPr>
          <w:rFonts w:eastAsia="Times New Roman"/>
          <w:sz w:val="14"/>
          <w:szCs w:val="16"/>
        </w:rPr>
      </w:pPr>
      <w:r>
        <w:rPr>
          <w:rStyle w:val="Pripombasklic"/>
        </w:rPr>
        <w:annotationRef/>
      </w:r>
      <w:r w:rsidR="005529A9">
        <w:rPr>
          <w:rFonts w:eastAsia="Times New Roman"/>
          <w:sz w:val="14"/>
          <w:szCs w:val="16"/>
        </w:rPr>
        <w:t>Aktualen Nacionalni reformi program.</w:t>
      </w:r>
    </w:p>
    <w:p w14:paraId="57D2CDF4" w14:textId="77777777" w:rsidR="00B76210" w:rsidRDefault="00B76210">
      <w:pPr>
        <w:pStyle w:val="Pripombabesedilo"/>
        <w:rPr>
          <w:rFonts w:eastAsia="Times New Roman"/>
          <w:i/>
          <w:sz w:val="14"/>
          <w:szCs w:val="16"/>
        </w:rPr>
      </w:pPr>
    </w:p>
    <w:p w14:paraId="4D33FCA8" w14:textId="4DF0DDE8" w:rsidR="00B76210" w:rsidRDefault="00F43BD8">
      <w:pPr>
        <w:pStyle w:val="Pripombabesedilo"/>
      </w:pPr>
      <w:r>
        <w:t>N</w:t>
      </w:r>
      <w:r w:rsidR="00B76210">
        <w:t>avezati</w:t>
      </w:r>
      <w:r>
        <w:t xml:space="preserve"> se je potrebno tudi</w:t>
      </w:r>
      <w:r w:rsidR="00B76210">
        <w:t xml:space="preserve"> na Strategijo pametne specializacije.</w:t>
      </w:r>
    </w:p>
  </w:comment>
  <w:comment w:id="13" w:author="Mateja Berčan" w:date="2017-05-31T11:00:00Z" w:initials="MB">
    <w:p w14:paraId="3DAD53C9" w14:textId="77777777" w:rsidR="00FB570C" w:rsidRDefault="00B76210">
      <w:pPr>
        <w:pStyle w:val="Pripombabesedilo"/>
      </w:pPr>
      <w:r>
        <w:rPr>
          <w:rStyle w:val="Pripombasklic"/>
        </w:rPr>
        <w:annotationRef/>
      </w:r>
      <w:r>
        <w:t xml:space="preserve">Tukaj se na kratko opredeli prispevek k uresničevanjem ciljev npr.: </w:t>
      </w:r>
    </w:p>
    <w:p w14:paraId="3C4A588F" w14:textId="3D740C74" w:rsidR="00B76210" w:rsidRDefault="0039427B">
      <w:pPr>
        <w:pStyle w:val="Pripombabesedilo"/>
      </w:pPr>
      <w:r>
        <w:t>N</w:t>
      </w:r>
      <w:r w:rsidR="00B76210">
        <w:t>acionalnega programa visokega šolstva 2011-2020, Strategije Internacionalizacije visokega šolstva 2016 – 2020…</w:t>
      </w:r>
    </w:p>
  </w:comment>
  <w:comment w:id="14" w:author="Mateja Berčan" w:date="2017-06-01T09:42:00Z" w:initials="MB">
    <w:p w14:paraId="5FED4BC0" w14:textId="72EBAC09" w:rsidR="004E760F" w:rsidRDefault="00B76210" w:rsidP="004E760F">
      <w:pPr>
        <w:pStyle w:val="Pripombabesedilo"/>
      </w:pPr>
      <w:r>
        <w:rPr>
          <w:rStyle w:val="Pripombasklic"/>
        </w:rPr>
        <w:annotationRef/>
      </w:r>
      <w:r w:rsidR="004637C1">
        <w:t>Opredeli se</w:t>
      </w:r>
      <w:r w:rsidRPr="00761DF7">
        <w:t>, kje se informacije nahajajo (npr.: spletna stran, informativni dnevi…).</w:t>
      </w:r>
      <w:r w:rsidR="000C0AFA">
        <w:rPr>
          <w:noProof/>
        </w:rPr>
        <w:t xml:space="preserve"> </w:t>
      </w:r>
      <w:r w:rsidR="004E760F">
        <w:rPr>
          <w:noProof/>
        </w:rPr>
        <w:t>Navesti spletno povezavo na vašo spletno stran, kjer se informacija o spodbudi za socilano šibkejše nahaja.</w:t>
      </w:r>
    </w:p>
    <w:p w14:paraId="055E3D39" w14:textId="77777777" w:rsidR="004E760F" w:rsidRDefault="004E760F" w:rsidP="004E760F">
      <w:pPr>
        <w:pStyle w:val="Pripombabesedilo"/>
        <w:rPr>
          <w:noProof/>
        </w:rPr>
      </w:pPr>
    </w:p>
    <w:p w14:paraId="1D8278EB" w14:textId="186C1494" w:rsidR="004E760F" w:rsidRDefault="004E760F" w:rsidP="004E760F">
      <w:pPr>
        <w:pStyle w:val="Pripombabesedilo"/>
      </w:pPr>
      <w:r>
        <w:t>Spomnili bi, da je potrebno ob objavi informacije upoštevati zahteve glede obve</w:t>
      </w:r>
      <w:r>
        <w:rPr>
          <w:noProof/>
        </w:rPr>
        <w:t>ščanja in informiranja javnosti.</w:t>
      </w:r>
      <w:r>
        <w:t xml:space="preserve"> Torej upoštevajte:</w:t>
      </w:r>
    </w:p>
    <w:p w14:paraId="31658EC3" w14:textId="77777777" w:rsidR="004E760F" w:rsidRPr="00306AA4" w:rsidRDefault="004E760F" w:rsidP="004E760F">
      <w:pPr>
        <w:spacing w:line="240" w:lineRule="auto"/>
        <w:jc w:val="both"/>
        <w:rPr>
          <w:rFonts w:cs="Arial"/>
          <w:b/>
          <w:bCs/>
        </w:rPr>
      </w:pPr>
      <w:r w:rsidRPr="00306AA4">
        <w:rPr>
          <w:rFonts w:cs="Arial"/>
          <w:b/>
          <w:bCs/>
        </w:rPr>
        <w:t>Spletna stran upravičenca mora vsebovati naslednje elemente:</w:t>
      </w:r>
    </w:p>
    <w:p w14:paraId="20229BF1" w14:textId="77777777" w:rsidR="004E760F" w:rsidRPr="00306AA4" w:rsidRDefault="004E760F" w:rsidP="004E760F">
      <w:pPr>
        <w:spacing w:line="240" w:lineRule="auto"/>
        <w:jc w:val="both"/>
        <w:rPr>
          <w:rFonts w:cs="Arial"/>
          <w:b/>
          <w:bCs/>
        </w:rPr>
      </w:pPr>
    </w:p>
    <w:p w14:paraId="6AC542DE" w14:textId="77777777" w:rsidR="004E760F" w:rsidRPr="00306AA4" w:rsidRDefault="004E760F" w:rsidP="004E760F">
      <w:pPr>
        <w:numPr>
          <w:ilvl w:val="0"/>
          <w:numId w:val="5"/>
        </w:numPr>
        <w:tabs>
          <w:tab w:val="clear" w:pos="360"/>
          <w:tab w:val="num" w:pos="567"/>
        </w:tabs>
        <w:spacing w:after="0" w:line="240" w:lineRule="auto"/>
        <w:ind w:left="567" w:hanging="567"/>
        <w:jc w:val="both"/>
        <w:rPr>
          <w:rFonts w:cs="Arial"/>
        </w:rPr>
      </w:pPr>
      <w:r w:rsidRPr="00306AA4">
        <w:rPr>
          <w:rFonts w:cs="Arial"/>
        </w:rPr>
        <w:t>kratek opis operacije, iz katerega je razviden namen operacije in finančna podpora, vključno z njenimi cilji in rezultati;</w:t>
      </w:r>
    </w:p>
    <w:p w14:paraId="2CA32214" w14:textId="77777777" w:rsidR="004E760F" w:rsidRPr="00306AA4" w:rsidRDefault="004E760F" w:rsidP="004E760F">
      <w:pPr>
        <w:numPr>
          <w:ilvl w:val="0"/>
          <w:numId w:val="5"/>
        </w:numPr>
        <w:tabs>
          <w:tab w:val="clear" w:pos="360"/>
          <w:tab w:val="num" w:pos="567"/>
        </w:tabs>
        <w:spacing w:after="0" w:line="240" w:lineRule="auto"/>
        <w:ind w:left="567" w:hanging="567"/>
        <w:jc w:val="both"/>
        <w:rPr>
          <w:rFonts w:cs="Arial"/>
        </w:rPr>
      </w:pPr>
      <w:r w:rsidRPr="00306AA4">
        <w:rPr>
          <w:rFonts w:cs="Arial"/>
        </w:rPr>
        <w:t>ustrezen logotip EKP 2014–2020;</w:t>
      </w:r>
    </w:p>
    <w:p w14:paraId="095F349B" w14:textId="77777777" w:rsidR="004E760F" w:rsidRPr="00306AA4" w:rsidRDefault="004E760F" w:rsidP="004E760F">
      <w:pPr>
        <w:numPr>
          <w:ilvl w:val="0"/>
          <w:numId w:val="5"/>
        </w:numPr>
        <w:tabs>
          <w:tab w:val="clear" w:pos="360"/>
          <w:tab w:val="num" w:pos="567"/>
        </w:tabs>
        <w:spacing w:after="0" w:line="240" w:lineRule="auto"/>
        <w:ind w:left="567" w:hanging="567"/>
        <w:jc w:val="both"/>
        <w:rPr>
          <w:rFonts w:cs="Arial"/>
        </w:rPr>
      </w:pPr>
      <w:r w:rsidRPr="00306AA4">
        <w:rPr>
          <w:rFonts w:cs="Arial"/>
        </w:rPr>
        <w:t>povezavo na spletno stran evropske kohezijske politike v Sloveniji (</w:t>
      </w:r>
      <w:hyperlink r:id="rId4" w:history="1">
        <w:r w:rsidRPr="00306AA4">
          <w:rPr>
            <w:rStyle w:val="Hiperpovezava"/>
            <w:rFonts w:cs="Arial"/>
          </w:rPr>
          <w:t>www.eu-skladi.si</w:t>
        </w:r>
      </w:hyperlink>
      <w:r w:rsidRPr="00306AA4">
        <w:rPr>
          <w:rFonts w:cs="Arial"/>
        </w:rPr>
        <w:t>),</w:t>
      </w:r>
    </w:p>
    <w:p w14:paraId="2471E1E5" w14:textId="77777777" w:rsidR="004E760F" w:rsidRPr="00306AA4" w:rsidRDefault="004E760F" w:rsidP="004E760F">
      <w:pPr>
        <w:numPr>
          <w:ilvl w:val="0"/>
          <w:numId w:val="5"/>
        </w:numPr>
        <w:tabs>
          <w:tab w:val="clear" w:pos="360"/>
          <w:tab w:val="num" w:pos="567"/>
        </w:tabs>
        <w:spacing w:after="0" w:line="240" w:lineRule="auto"/>
        <w:ind w:left="567" w:hanging="567"/>
        <w:jc w:val="both"/>
        <w:rPr>
          <w:rFonts w:cs="Arial"/>
        </w:rPr>
      </w:pPr>
      <w:r w:rsidRPr="00306AA4">
        <w:rPr>
          <w:rFonts w:cs="Arial"/>
        </w:rPr>
        <w:t xml:space="preserve">po lastni presoji obrazložitev vloge Evropske unije z naslednjo navedbo, v kolikor ni ta informacija zajeta že v kratkem opisu operacije: Naložbo sofinancirata Republika Slovenija </w:t>
      </w:r>
      <w:r>
        <w:rPr>
          <w:rFonts w:cs="Arial"/>
        </w:rPr>
        <w:t xml:space="preserve">in </w:t>
      </w:r>
      <w:r w:rsidRPr="00306AA4">
        <w:rPr>
          <w:rFonts w:cs="Arial"/>
        </w:rPr>
        <w:t>Evropska</w:t>
      </w:r>
      <w:r>
        <w:rPr>
          <w:rFonts w:cs="Arial"/>
        </w:rPr>
        <w:t xml:space="preserve"> </w:t>
      </w:r>
      <w:r w:rsidRPr="00306AA4">
        <w:rPr>
          <w:rFonts w:cs="Arial"/>
        </w:rPr>
        <w:t>unija iz Kohezijskega sklada/Evropskega sklada za regionalni razvoj/Evropskega socialnega sklada oziroma v primeru dveh ali več skladov iz Evropskih strukturnih in investicijskih skladov</w:t>
      </w:r>
      <w:r>
        <w:rPr>
          <w:rFonts w:cs="Arial"/>
        </w:rPr>
        <w:t>.</w:t>
      </w:r>
    </w:p>
    <w:p w14:paraId="3FF3E1E3" w14:textId="77777777" w:rsidR="004E760F" w:rsidRPr="00306AA4" w:rsidRDefault="004E760F" w:rsidP="004E760F">
      <w:pPr>
        <w:spacing w:line="240" w:lineRule="auto"/>
        <w:ind w:left="567"/>
        <w:jc w:val="both"/>
        <w:rPr>
          <w:rFonts w:cs="Arial"/>
        </w:rPr>
      </w:pPr>
    </w:p>
    <w:tbl>
      <w:tblPr>
        <w:tblW w:w="0" w:type="auto"/>
        <w:tblInd w:w="56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BFBFBF"/>
        <w:tblLook w:val="04A0" w:firstRow="1" w:lastRow="0" w:firstColumn="1" w:lastColumn="0" w:noHBand="0" w:noVBand="1"/>
      </w:tblPr>
      <w:tblGrid>
        <w:gridCol w:w="8147"/>
      </w:tblGrid>
      <w:tr w:rsidR="004E760F" w:rsidRPr="007C4C75" w14:paraId="1E4AF8F9" w14:textId="77777777" w:rsidTr="00BC0733">
        <w:tc>
          <w:tcPr>
            <w:tcW w:w="8638" w:type="dxa"/>
            <w:shd w:val="clear" w:color="auto" w:fill="BFBFBF"/>
          </w:tcPr>
          <w:p w14:paraId="0A2D9730" w14:textId="77777777" w:rsidR="004E760F" w:rsidRPr="005B7E02" w:rsidRDefault="004E760F" w:rsidP="004E760F">
            <w:pPr>
              <w:tabs>
                <w:tab w:val="left" w:pos="0"/>
              </w:tabs>
              <w:spacing w:line="240" w:lineRule="auto"/>
              <w:jc w:val="both"/>
              <w:rPr>
                <w:szCs w:val="20"/>
              </w:rPr>
            </w:pPr>
            <w:r w:rsidRPr="005B7E02">
              <w:rPr>
                <w:szCs w:val="20"/>
              </w:rPr>
              <w:t>Če so simbol Unije ter navedbi Unije in zadevnega sklada oziroma ustrezen logotip prikazani na spletni strani:</w:t>
            </w:r>
          </w:p>
          <w:p w14:paraId="120DB820" w14:textId="77777777" w:rsidR="004E760F" w:rsidRPr="005B7E02" w:rsidRDefault="004E760F" w:rsidP="004E760F">
            <w:pPr>
              <w:tabs>
                <w:tab w:val="left" w:pos="0"/>
              </w:tabs>
              <w:spacing w:line="240" w:lineRule="auto"/>
              <w:jc w:val="both"/>
              <w:rPr>
                <w:szCs w:val="20"/>
              </w:rPr>
            </w:pPr>
            <w:r w:rsidRPr="005B7E02">
              <w:rPr>
                <w:szCs w:val="20"/>
              </w:rPr>
              <w:t xml:space="preserve">(a) sta ob odprtju spletne strani simbol Unije in navedba Unije oziroma ustrezen logotip vidna znotraj vidne površine digitalne naprave, </w:t>
            </w:r>
            <w:r>
              <w:rPr>
                <w:szCs w:val="20"/>
              </w:rPr>
              <w:t xml:space="preserve">ne </w:t>
            </w:r>
            <w:r w:rsidRPr="005B7E02">
              <w:rPr>
                <w:szCs w:val="20"/>
              </w:rPr>
              <w:t>da bi se moral uporabnik pomakniti po strani navzdol;</w:t>
            </w:r>
          </w:p>
          <w:p w14:paraId="335D5321" w14:textId="77777777" w:rsidR="004E760F" w:rsidRPr="005B7E02" w:rsidRDefault="004E760F" w:rsidP="004E760F">
            <w:pPr>
              <w:tabs>
                <w:tab w:val="left" w:pos="0"/>
              </w:tabs>
              <w:spacing w:line="240" w:lineRule="auto"/>
              <w:jc w:val="both"/>
              <w:rPr>
                <w:szCs w:val="20"/>
              </w:rPr>
            </w:pPr>
            <w:r w:rsidRPr="005B7E02">
              <w:rPr>
                <w:szCs w:val="20"/>
              </w:rPr>
              <w:t>(b) je sklic na zadevni sklad oziroma ustrezen logotip viden na isti spletni strani.</w:t>
            </w:r>
          </w:p>
        </w:tc>
      </w:tr>
    </w:tbl>
    <w:p w14:paraId="6549EBF0" w14:textId="77777777" w:rsidR="004E760F" w:rsidRDefault="004E760F">
      <w:pPr>
        <w:pStyle w:val="Pripombabesedilo"/>
      </w:pPr>
    </w:p>
    <w:p w14:paraId="35F91BCC" w14:textId="77777777" w:rsidR="00805FEC" w:rsidRDefault="00805FEC">
      <w:pPr>
        <w:pStyle w:val="Pripombabesedilo"/>
      </w:pPr>
    </w:p>
    <w:p w14:paraId="30AC1FD3" w14:textId="77777777" w:rsidR="00805FEC" w:rsidRDefault="00805FEC">
      <w:pPr>
        <w:pStyle w:val="Pripombabesedilo"/>
      </w:pPr>
    </w:p>
  </w:comment>
  <w:comment w:id="15" w:author="Mateja Berčan" w:date="2017-07-17T15:58:00Z" w:initials="MB">
    <w:p w14:paraId="17B3FF59" w14:textId="29535A0A" w:rsidR="0028533C" w:rsidRPr="004802D6" w:rsidRDefault="0028533C" w:rsidP="0028533C">
      <w:pPr>
        <w:spacing w:line="240" w:lineRule="auto"/>
        <w:jc w:val="both"/>
        <w:rPr>
          <w:rFonts w:asciiTheme="minorHAnsi" w:hAnsiTheme="minorHAnsi" w:cstheme="minorHAnsi"/>
          <w:sz w:val="20"/>
          <w:szCs w:val="20"/>
        </w:rPr>
      </w:pPr>
      <w:r>
        <w:rPr>
          <w:rStyle w:val="Pripombasklic"/>
        </w:rPr>
        <w:annotationRef/>
      </w:r>
      <w:r w:rsidRPr="00F1130E">
        <w:rPr>
          <w:rFonts w:asciiTheme="minorHAnsi" w:hAnsiTheme="minorHAnsi" w:cstheme="minorHAnsi"/>
          <w:sz w:val="20"/>
          <w:szCs w:val="20"/>
        </w:rPr>
        <w:t>Ciljna skupina operacije so študentje na dodiplomski in podiplomski stopnji študija</w:t>
      </w:r>
      <w:r w:rsidR="00F1130E" w:rsidRPr="00F1130E">
        <w:rPr>
          <w:rFonts w:asciiTheme="minorHAnsi" w:hAnsiTheme="minorHAnsi" w:cstheme="minorHAnsi"/>
          <w:sz w:val="20"/>
          <w:szCs w:val="20"/>
        </w:rPr>
        <w:t xml:space="preserve"> ter diplomanti</w:t>
      </w:r>
      <w:r w:rsidRPr="00F1130E">
        <w:rPr>
          <w:rFonts w:asciiTheme="minorHAnsi" w:hAnsiTheme="minorHAnsi" w:cstheme="minorHAnsi"/>
          <w:sz w:val="20"/>
          <w:szCs w:val="20"/>
        </w:rPr>
        <w:t xml:space="preserve"> iz socialno šibkejših okolij.</w:t>
      </w:r>
      <w:r w:rsidRPr="004802D6">
        <w:rPr>
          <w:rFonts w:asciiTheme="minorHAnsi" w:hAnsiTheme="minorHAnsi" w:cstheme="minorHAnsi"/>
          <w:sz w:val="20"/>
          <w:szCs w:val="20"/>
        </w:rPr>
        <w:t xml:space="preserve"> </w:t>
      </w:r>
    </w:p>
    <w:p w14:paraId="10E9D083" w14:textId="77777777" w:rsidR="004802D6" w:rsidRPr="004802D6" w:rsidRDefault="004802D6" w:rsidP="0028533C">
      <w:pPr>
        <w:spacing w:line="240" w:lineRule="auto"/>
        <w:jc w:val="both"/>
        <w:rPr>
          <w:rFonts w:asciiTheme="minorHAnsi" w:hAnsiTheme="minorHAnsi" w:cstheme="minorHAnsi"/>
          <w:sz w:val="20"/>
          <w:szCs w:val="20"/>
        </w:rPr>
      </w:pPr>
    </w:p>
    <w:p w14:paraId="11393A10" w14:textId="20684A9D" w:rsidR="004802D6" w:rsidRPr="0028533C" w:rsidRDefault="004802D6" w:rsidP="0028533C">
      <w:pPr>
        <w:spacing w:line="240" w:lineRule="auto"/>
        <w:jc w:val="both"/>
        <w:rPr>
          <w:rFonts w:ascii="Arial" w:hAnsi="Arial" w:cs="Arial"/>
        </w:rPr>
      </w:pPr>
      <w:r w:rsidRPr="004802D6">
        <w:rPr>
          <w:rFonts w:asciiTheme="minorHAnsi" w:hAnsiTheme="minorHAnsi" w:cstheme="minorHAnsi"/>
          <w:sz w:val="20"/>
          <w:szCs w:val="20"/>
        </w:rPr>
        <w:t>Navede se tudi, da bo/je bil s študentom iz socialno šibkejših okolij sklenjen dvostranski pravni akt.</w:t>
      </w:r>
    </w:p>
  </w:comment>
  <w:comment w:id="16" w:author="Mateja Berčan" w:date="2017-05-31T11:07:00Z" w:initials="MB">
    <w:p w14:paraId="5215C80F" w14:textId="29BB8CC8" w:rsidR="00451C1E" w:rsidRDefault="00451C1E">
      <w:pPr>
        <w:pStyle w:val="Pripombabesedilo"/>
      </w:pPr>
      <w:r>
        <w:rPr>
          <w:rStyle w:val="Pripombasklic"/>
        </w:rPr>
        <w:annotationRef/>
      </w:r>
      <w:r>
        <w:t xml:space="preserve">Skladno z odobrenimi sredstvi na programu </w:t>
      </w:r>
      <w:proofErr w:type="spellStart"/>
      <w:r>
        <w:t>E</w:t>
      </w:r>
      <w:r w:rsidR="005344F1">
        <w:t>rasmus</w:t>
      </w:r>
      <w:proofErr w:type="spellEnd"/>
      <w:r>
        <w:t xml:space="preserve">+ in na osnovi Seznama študentov iz socialno šibkejših okolij se navede skupno število študentov iz socialno šibkejših okolij in število </w:t>
      </w:r>
      <w:r w:rsidR="0031118A">
        <w:t xml:space="preserve">študentov iz socialno šibkejših okolij </w:t>
      </w:r>
      <w:r>
        <w:t>po letih</w:t>
      </w:r>
      <w:r w:rsidR="0031118A">
        <w:t>.</w:t>
      </w:r>
    </w:p>
  </w:comment>
  <w:comment w:id="17" w:author="Mateja Berčan" w:date="2017-05-31T11:13:00Z" w:initials="MB">
    <w:p w14:paraId="338FD891" w14:textId="59C84DD6" w:rsidR="005344F1" w:rsidRDefault="005344F1">
      <w:pPr>
        <w:pStyle w:val="Pripombabesedilo"/>
      </w:pPr>
      <w:r>
        <w:rPr>
          <w:rStyle w:val="Pripombasklic"/>
        </w:rPr>
        <w:annotationRef/>
      </w:r>
      <w:r w:rsidR="00353421">
        <w:t xml:space="preserve">Izpostavijo se </w:t>
      </w:r>
      <w:r>
        <w:t xml:space="preserve">tudi pravila </w:t>
      </w:r>
      <w:proofErr w:type="spellStart"/>
      <w:r>
        <w:t>Erasmus</w:t>
      </w:r>
      <w:proofErr w:type="spellEnd"/>
      <w:r>
        <w:t>+ programa, ki izhajajo iz ECHE listine.</w:t>
      </w:r>
    </w:p>
  </w:comment>
  <w:comment w:id="18" w:author="Mateja Berčan" w:date="2018-08-17T08:42:00Z" w:initials="MB">
    <w:p w14:paraId="3E0D6F35" w14:textId="0E79981F" w:rsidR="00E35193" w:rsidRDefault="00E35193">
      <w:pPr>
        <w:pStyle w:val="Pripombabesedilo"/>
      </w:pPr>
      <w:r>
        <w:rPr>
          <w:rStyle w:val="Pripombasklic"/>
        </w:rPr>
        <w:annotationRef/>
      </w:r>
      <w:r>
        <w:t>Opredelite tudi, kako še izvajate kontrolo izvajanja (npr.: preverjanje dokazil o socialnih razmerah).</w:t>
      </w:r>
    </w:p>
  </w:comment>
  <w:comment w:id="20" w:author="Mateja Berčan" w:date="2017-06-01T09:47:00Z" w:initials="MB">
    <w:p w14:paraId="7AE5DB00" w14:textId="3E31C327" w:rsidR="00F57578" w:rsidRPr="00EB2D6B" w:rsidRDefault="00F57578" w:rsidP="00F5757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Cs/>
        </w:rPr>
      </w:pPr>
      <w:r>
        <w:rPr>
          <w:rStyle w:val="Pripombasklic"/>
        </w:rPr>
        <w:annotationRef/>
      </w:r>
      <w:r w:rsidRPr="00EB2D6B">
        <w:rPr>
          <w:rFonts w:cs="Arial"/>
          <w:bCs/>
        </w:rPr>
        <w:t>Minimalna izhodišča</w:t>
      </w:r>
      <w:r w:rsidR="00EB2D6B" w:rsidRPr="00EB2D6B">
        <w:rPr>
          <w:rFonts w:cs="Arial"/>
          <w:bCs/>
        </w:rPr>
        <w:t xml:space="preserve"> za pripravo </w:t>
      </w:r>
      <w:r w:rsidR="00EB2D6B">
        <w:rPr>
          <w:rFonts w:cs="Arial"/>
          <w:bCs/>
        </w:rPr>
        <w:t>dvostranskega pravnega</w:t>
      </w:r>
      <w:r w:rsidR="00EB2D6B" w:rsidRPr="000C7034">
        <w:rPr>
          <w:rFonts w:cs="Arial"/>
          <w:bCs/>
        </w:rPr>
        <w:t xml:space="preserve"> akt</w:t>
      </w:r>
      <w:r w:rsidR="00EB2D6B">
        <w:rPr>
          <w:rFonts w:cs="Arial"/>
          <w:bCs/>
        </w:rPr>
        <w:t>a</w:t>
      </w:r>
      <w:r w:rsidR="00EB2D6B" w:rsidRPr="000C7034">
        <w:rPr>
          <w:rFonts w:cs="Arial"/>
          <w:bCs/>
        </w:rPr>
        <w:t>, sklenjen</w:t>
      </w:r>
      <w:r w:rsidR="00EB2D6B">
        <w:rPr>
          <w:rFonts w:cs="Arial"/>
          <w:bCs/>
        </w:rPr>
        <w:t>ega</w:t>
      </w:r>
      <w:r w:rsidR="00EB2D6B" w:rsidRPr="000C7034">
        <w:rPr>
          <w:rFonts w:cs="Arial"/>
          <w:bCs/>
        </w:rPr>
        <w:t xml:space="preserve"> med upravičencem in prejemnikom spodbude za socialno šibkejše, ki izkazuje podlago za prejem spodbude za socialno šibkejše</w:t>
      </w:r>
      <w:r w:rsidR="00EB2D6B" w:rsidRPr="00EB2D6B">
        <w:rPr>
          <w:rFonts w:cs="Arial"/>
          <w:bCs/>
        </w:rPr>
        <w:t xml:space="preserve"> </w:t>
      </w:r>
      <w:r w:rsidRPr="00EB2D6B">
        <w:rPr>
          <w:rFonts w:cs="Arial"/>
          <w:bCs/>
        </w:rPr>
        <w:t>so:</w:t>
      </w:r>
    </w:p>
    <w:p w14:paraId="5F0F82D6" w14:textId="77777777" w:rsidR="00F57578" w:rsidRPr="00EB2D6B" w:rsidRDefault="00F57578" w:rsidP="00F5757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Cs/>
        </w:rPr>
      </w:pPr>
    </w:p>
    <w:p w14:paraId="711B450C" w14:textId="77777777" w:rsidR="00F57578" w:rsidRPr="00EB2D6B" w:rsidRDefault="00F57578" w:rsidP="00F5757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Cs/>
        </w:rPr>
      </w:pPr>
      <w:r w:rsidRPr="00EB2D6B">
        <w:rPr>
          <w:rFonts w:cs="Arial"/>
          <w:bCs/>
        </w:rPr>
        <w:t>1. Uporaba logotipov Evropskega socialnega sklada ter Ministrstva za izobraževanje, znanost in šport.</w:t>
      </w:r>
    </w:p>
    <w:p w14:paraId="3E34E07C" w14:textId="77777777" w:rsidR="00F57578" w:rsidRPr="00EB2D6B" w:rsidRDefault="00F57578" w:rsidP="00F5757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Cs/>
        </w:rPr>
      </w:pPr>
    </w:p>
    <w:p w14:paraId="0D94CA18" w14:textId="77777777" w:rsidR="00F57578" w:rsidRPr="00EB2D6B" w:rsidRDefault="00F57578" w:rsidP="00F5757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Cs/>
        </w:rPr>
      </w:pPr>
      <w:r w:rsidRPr="00EB2D6B">
        <w:rPr>
          <w:rFonts w:cs="Arial"/>
          <w:bCs/>
        </w:rPr>
        <w:t>2. Opredelitev vira financiranja: "UPRAVIČENEC" je bila na podlagi načina izbora operacije - neposredna potrditev operacije izbrana za izvajanje programa Mobilnost študentov iz socialno šibkejših okolij, s sklepom o izbiri št. …, z dne …. Navedeno operacijo delno financira Evropska unija iz Evropskega socialnega sklada ter Republika Slovenija, Ministrstvo za izobraževanje, znanost in šport, in sicer se izvaja v okviru Operativnega programa 2014–2020, prednostne osi 10: »Znanje, spretnosti in vseživljenjsko učenje za boljšo zaposljivost«, prednostne naložbe 10.1: »Izboljšanje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 specifičnega cilja 10.1.3 »Spodbujanje prožnih oblik učenja ter podpora kakovostni karierni orientaciji za šolajočo se mladino na vseh ravneh izobraževalnega sistema«".</w:t>
      </w:r>
    </w:p>
    <w:p w14:paraId="2019B46A" w14:textId="77777777" w:rsidR="00F57578" w:rsidRPr="00EB2D6B" w:rsidRDefault="00F57578" w:rsidP="00F5757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Cs/>
        </w:rPr>
      </w:pPr>
    </w:p>
    <w:p w14:paraId="152B1B1B" w14:textId="77777777" w:rsidR="00F57578" w:rsidRPr="00EB2D6B" w:rsidRDefault="00F57578" w:rsidP="00F5757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Cs/>
        </w:rPr>
      </w:pPr>
      <w:r w:rsidRPr="00EB2D6B">
        <w:rPr>
          <w:rFonts w:cs="Arial"/>
          <w:bCs/>
        </w:rPr>
        <w:t xml:space="preserve">3. Navedba, da gre za komplementarno financiranje mobilnosti v okviru Operativnega programa 2014-2020 prek programa </w:t>
      </w:r>
      <w:proofErr w:type="spellStart"/>
      <w:r w:rsidRPr="00EB2D6B">
        <w:rPr>
          <w:rFonts w:cs="Arial"/>
          <w:bCs/>
        </w:rPr>
        <w:t>Erasmus</w:t>
      </w:r>
      <w:proofErr w:type="spellEnd"/>
      <w:r w:rsidRPr="00EB2D6B">
        <w:rPr>
          <w:rFonts w:cs="Arial"/>
          <w:bCs/>
        </w:rPr>
        <w:t>+; Ključni ukrep 1 Učna mobilnost posameznikov, Mobilnost v visokošolskem sektorju, Mobilnost študentov, ki ga izvaja nacionalna agencija CMEPIUS.</w:t>
      </w:r>
    </w:p>
    <w:p w14:paraId="31BB910F" w14:textId="77777777" w:rsidR="00F57578" w:rsidRPr="00EB2D6B" w:rsidRDefault="00F57578" w:rsidP="00F5757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Cs/>
        </w:rPr>
      </w:pPr>
    </w:p>
    <w:p w14:paraId="03B8B369" w14:textId="77777777" w:rsidR="00F57578" w:rsidRPr="00EB2D6B" w:rsidRDefault="00F57578" w:rsidP="00F5757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Cs/>
        </w:rPr>
      </w:pPr>
      <w:r w:rsidRPr="00EB2D6B">
        <w:rPr>
          <w:rFonts w:cs="Arial"/>
          <w:bCs/>
        </w:rPr>
        <w:t xml:space="preserve">4. Opredelitev obveznosti prejemnika (1. v okviru poročanja naj se naveže na Sporazum o dodelitvi dotacije v okviru akcije KA103 programa </w:t>
      </w:r>
      <w:proofErr w:type="spellStart"/>
      <w:r w:rsidRPr="00EB2D6B">
        <w:rPr>
          <w:rFonts w:cs="Arial"/>
          <w:bCs/>
        </w:rPr>
        <w:t>Erasmus</w:t>
      </w:r>
      <w:proofErr w:type="spellEnd"/>
      <w:r w:rsidRPr="00EB2D6B">
        <w:rPr>
          <w:rFonts w:cs="Arial"/>
          <w:bCs/>
        </w:rPr>
        <w:t>+; 2. pred odhodom na mednarodno mobilnost mora priložili dokazilo, iz katerega bo izhajalo, da prejema ali prejemnik sam ali član skupnega gospodinjstva državno štipendijo, varstveni dodatek, otroški dodatek, denarno socialno pomoč ali je upravičen do dodatka za velike družine (veljavna odločba Centra za socialno delo; v kolikor se odločba Centra za socialno delo ne glasi na ime prejemnika, je potrebno predložiti tudi potrdilo iz gospodinjske evidence, ki izkazuje, da prejemnik živi v skupnem gospodinjstvu z osebo, ki je upravičena do ene od socialnih pravic).</w:t>
      </w:r>
    </w:p>
    <w:p w14:paraId="5FC77725" w14:textId="77777777" w:rsidR="00F57578" w:rsidRPr="00EB2D6B" w:rsidRDefault="00F57578" w:rsidP="00F5757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Cs/>
        </w:rPr>
      </w:pPr>
      <w:r w:rsidRPr="00EB2D6B">
        <w:rPr>
          <w:rFonts w:cs="Arial"/>
          <w:bCs/>
        </w:rPr>
        <w:t xml:space="preserve"> </w:t>
      </w:r>
    </w:p>
    <w:p w14:paraId="0232A288" w14:textId="48676335" w:rsidR="00F57578" w:rsidRPr="00EB2D6B" w:rsidRDefault="00F57578" w:rsidP="00F5757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Cs/>
        </w:rPr>
      </w:pPr>
      <w:r w:rsidRPr="00EB2D6B">
        <w:rPr>
          <w:rFonts w:cs="Arial"/>
          <w:bCs/>
        </w:rPr>
        <w:t xml:space="preserve">5. Opredelitev upravičenega stroška in opredelitev pogodbene vrednosti, ki je predmet aneksa ter opredelitev načina izplačila: "Upravičen strošek programa je spodbuda </w:t>
      </w:r>
      <w:r w:rsidR="001B6890" w:rsidRPr="00EB2D6B">
        <w:rPr>
          <w:rFonts w:cs="Arial"/>
          <w:bCs/>
        </w:rPr>
        <w:t>za socialno šibkejše v višini 25</w:t>
      </w:r>
      <w:r w:rsidRPr="00EB2D6B">
        <w:rPr>
          <w:rFonts w:cs="Arial"/>
          <w:bCs/>
        </w:rPr>
        <w:t>0 EUR na mesec, kar znaša ... EUR za obdobje trajanja mobilnosti prejemnika, to je od ... do ..., kot strošek na enoto, ki se izplača prejemniku ... (opredelitev kdaj) za celotno obdobje mednarodne mobilnosti."</w:t>
      </w:r>
    </w:p>
    <w:p w14:paraId="6B91F7F2" w14:textId="77777777" w:rsidR="00F57578" w:rsidRPr="00EB2D6B" w:rsidRDefault="00F57578" w:rsidP="00F5757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Cs/>
        </w:rPr>
      </w:pPr>
    </w:p>
    <w:p w14:paraId="59E1F620" w14:textId="77777777" w:rsidR="00F57578" w:rsidRPr="00EB2D6B" w:rsidRDefault="00F57578" w:rsidP="00F5757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Cs/>
        </w:rPr>
      </w:pPr>
      <w:r w:rsidRPr="00EB2D6B">
        <w:rPr>
          <w:rFonts w:cs="Arial"/>
          <w:bCs/>
        </w:rPr>
        <w:t xml:space="preserve">6. Opredelitev vračila: "Smiselno veljajo določbe .....(navede se relevantne člene, ki veljajo glede vračila na programu </w:t>
      </w:r>
      <w:proofErr w:type="spellStart"/>
      <w:r w:rsidRPr="00EB2D6B">
        <w:rPr>
          <w:rFonts w:cs="Arial"/>
          <w:bCs/>
        </w:rPr>
        <w:t>Erasmus</w:t>
      </w:r>
      <w:proofErr w:type="spellEnd"/>
      <w:r w:rsidRPr="00EB2D6B">
        <w:rPr>
          <w:rFonts w:cs="Arial"/>
          <w:bCs/>
        </w:rPr>
        <w:t xml:space="preserve">+)...člena Sporazuma o dotaciji za študij in/ali prakso </w:t>
      </w:r>
      <w:proofErr w:type="spellStart"/>
      <w:r w:rsidRPr="00EB2D6B">
        <w:rPr>
          <w:rFonts w:cs="Arial"/>
          <w:bCs/>
        </w:rPr>
        <w:t>Erasmus</w:t>
      </w:r>
      <w:proofErr w:type="spellEnd"/>
      <w:r w:rsidRPr="00EB2D6B">
        <w:rPr>
          <w:rFonts w:cs="Arial"/>
          <w:bCs/>
        </w:rPr>
        <w:t>+ med državami programa.".</w:t>
      </w:r>
    </w:p>
    <w:p w14:paraId="4CAC1A18" w14:textId="77777777" w:rsidR="00F57578" w:rsidRPr="00EB2D6B" w:rsidRDefault="00F57578" w:rsidP="00F5757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Cs/>
        </w:rPr>
      </w:pPr>
      <w:r w:rsidRPr="00EB2D6B">
        <w:rPr>
          <w:rFonts w:cs="Arial"/>
          <w:bCs/>
        </w:rPr>
        <w:t xml:space="preserve"> </w:t>
      </w:r>
    </w:p>
    <w:p w14:paraId="0171D6DA" w14:textId="2C4AD84F" w:rsidR="00F57578" w:rsidRPr="00EB2D6B" w:rsidRDefault="00F57578" w:rsidP="00F5757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Cs/>
        </w:rPr>
      </w:pPr>
      <w:r w:rsidRPr="00EB2D6B">
        <w:rPr>
          <w:rFonts w:cs="Arial"/>
          <w:bCs/>
        </w:rPr>
        <w:t>7. Obveznost spremljanja po Prilogi I: "Prejemnik mora za namen spremljanja in vrednotenja operacije skladno s 27., 54., 96. in 125. členom Uredbe 1303/2013/EU, 5. in 19. členom ter Prilogo I Uredbe 1304/2013/EU ob sklenitvi tega aneksa posredovati izpolnjen Vprašalnik za spremljanje podatkov o udeleženci</w:t>
      </w:r>
      <w:r w:rsidR="00EB2D6B">
        <w:rPr>
          <w:rFonts w:cs="Arial"/>
          <w:bCs/>
        </w:rPr>
        <w:t>h na operacijah, ki je Priloga 7</w:t>
      </w:r>
      <w:r w:rsidRPr="00EB2D6B">
        <w:rPr>
          <w:rFonts w:cs="Arial"/>
          <w:bCs/>
        </w:rPr>
        <w:t xml:space="preserve"> Navodil Ministrstva za izobraževanje, znanost in šport za izvajanje operacij evropske kohezijske politike v programskem obdobju 2014–-2020.".</w:t>
      </w:r>
    </w:p>
    <w:p w14:paraId="074C0B4B" w14:textId="77777777" w:rsidR="00F57578" w:rsidRPr="00EB2D6B" w:rsidRDefault="00F57578" w:rsidP="00F5757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Cs/>
        </w:rPr>
      </w:pPr>
    </w:p>
    <w:p w14:paraId="1891592A" w14:textId="5EA992FB" w:rsidR="00F57578" w:rsidRPr="00EB2D6B" w:rsidRDefault="00F57578" w:rsidP="00EB2D6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Arial"/>
          <w:bCs/>
        </w:rPr>
      </w:pPr>
      <w:r w:rsidRPr="00EB2D6B">
        <w:rPr>
          <w:rFonts w:cs="Arial"/>
          <w:bCs/>
        </w:rPr>
        <w:t xml:space="preserve">V besedilu smo navedli izraz "prejemnik", ki ga po potrebi spremenite skladno s poimenovanjem v Sporazumu o dotaciji za študij in/ali prakso </w:t>
      </w:r>
      <w:proofErr w:type="spellStart"/>
      <w:r w:rsidRPr="00EB2D6B">
        <w:rPr>
          <w:rFonts w:cs="Arial"/>
          <w:bCs/>
        </w:rPr>
        <w:t>Erasmus</w:t>
      </w:r>
      <w:proofErr w:type="spellEnd"/>
      <w:r w:rsidRPr="00EB2D6B">
        <w:rPr>
          <w:rFonts w:cs="Arial"/>
          <w:bCs/>
        </w:rPr>
        <w:t>+ med državami programa</w:t>
      </w:r>
      <w:r w:rsidR="00EB2D6B">
        <w:rPr>
          <w:rFonts w:cs="Arial"/>
          <w:bCs/>
        </w:rPr>
        <w:t>.</w:t>
      </w:r>
    </w:p>
  </w:comment>
  <w:comment w:id="21" w:author="Mateja Berčan" w:date="2017-06-01T09:56:00Z" w:initials="MB">
    <w:p w14:paraId="7CD8A14E" w14:textId="5A3D06DB" w:rsidR="001213EB" w:rsidRDefault="001213EB">
      <w:pPr>
        <w:pStyle w:val="Pripombabesedilo"/>
      </w:pPr>
      <w:r w:rsidRPr="00EB2D6B">
        <w:rPr>
          <w:rFonts w:cs="Arial"/>
          <w:bCs/>
          <w:sz w:val="22"/>
          <w:szCs w:val="22"/>
        </w:rPr>
        <w:annotationRef/>
      </w:r>
      <w:r>
        <w:t>Se tudi navede število</w:t>
      </w:r>
      <w:r w:rsidR="0053105C">
        <w:t xml:space="preserve"> predvidenih mobilnosti</w:t>
      </w:r>
      <w:r>
        <w:t xml:space="preserve"> po letih (ostali tekst se ohrani).</w:t>
      </w:r>
    </w:p>
  </w:comment>
  <w:comment w:id="22" w:author="Mateja Berčan" w:date="2019-03-12T08:28:00Z" w:initials="MB">
    <w:p w14:paraId="1B166E43" w14:textId="37CF58C9" w:rsidR="00402EE4" w:rsidRDefault="00402EE4">
      <w:pPr>
        <w:pStyle w:val="Pripombabesedilo"/>
      </w:pPr>
      <w:r>
        <w:rPr>
          <w:rStyle w:val="Pripombasklic"/>
        </w:rPr>
        <w:annotationRef/>
      </w:r>
      <w:r>
        <w:t xml:space="preserve">Se navede obdobje izvajanja programa </w:t>
      </w:r>
      <w:proofErr w:type="spellStart"/>
      <w:r>
        <w:t>Erasmus</w:t>
      </w:r>
      <w:proofErr w:type="spellEnd"/>
      <w:r>
        <w:t xml:space="preserve">+ (iz vloge za dotacijo oziroma Sporazuma o dodelitvi dotacije za projekt v okviru </w:t>
      </w:r>
      <w:r w:rsidR="00E43A3F">
        <w:t>akcije KA103 program</w:t>
      </w:r>
      <w:r w:rsidR="006B1987">
        <w:t xml:space="preserve">a </w:t>
      </w:r>
      <w:proofErr w:type="spellStart"/>
      <w:r w:rsidR="006B1987">
        <w:t>Erasmus</w:t>
      </w:r>
      <w:proofErr w:type="spellEnd"/>
      <w:r w:rsidR="006B1987">
        <w:t xml:space="preserve">+), npr.: od 1. 6. </w:t>
      </w:r>
      <w:r w:rsidR="006B1987">
        <w:t>2019 do 31. 5. 2021</w:t>
      </w:r>
      <w:r w:rsidR="00E43A3F">
        <w:t>.</w:t>
      </w:r>
    </w:p>
  </w:comment>
  <w:comment w:id="23" w:author="Mateja Berčan" w:date="2018-08-17T08:51:00Z" w:initials="MB">
    <w:p w14:paraId="6223BFA1" w14:textId="09243E83" w:rsidR="008D47BF" w:rsidRDefault="008D47BF">
      <w:pPr>
        <w:pStyle w:val="Pripombabesedilo"/>
      </w:pPr>
      <w:r>
        <w:rPr>
          <w:rStyle w:val="Pripombasklic"/>
        </w:rPr>
        <w:annotationRef/>
      </w:r>
      <w:r>
        <w:t>Naj se v nadaljevanju besedila navede skupno vrednost tudi za celotno obdobje izvajanja aktivnosti in kalkulacijo skupnega zneska (pojasnilo izračuna skupne vrednosti).</w:t>
      </w:r>
    </w:p>
  </w:comment>
  <w:comment w:id="24" w:author="Mateja Berčan" w:date="2018-08-17T08:51:00Z" w:initials="MB">
    <w:p w14:paraId="63106F11" w14:textId="77777777" w:rsidR="008D47BF" w:rsidRDefault="008D47BF">
      <w:pPr>
        <w:pStyle w:val="Pripombabesedilo"/>
      </w:pPr>
      <w:r>
        <w:rPr>
          <w:rStyle w:val="Pripombasklic"/>
        </w:rPr>
        <w:annotationRef/>
      </w:r>
      <w:r>
        <w:t>Seznam študentov mora zajemati:</w:t>
      </w:r>
    </w:p>
    <w:p w14:paraId="59AA683F" w14:textId="77777777" w:rsidR="008D47BF" w:rsidRDefault="008D47BF">
      <w:pPr>
        <w:pStyle w:val="Pripombabesedilo"/>
      </w:pPr>
      <w:r>
        <w:t>Ime in priimek študenta.</w:t>
      </w:r>
    </w:p>
    <w:p w14:paraId="7EDC8FCE" w14:textId="77777777" w:rsidR="008D47BF" w:rsidRDefault="008D47BF">
      <w:pPr>
        <w:pStyle w:val="Pripombabesedilo"/>
      </w:pPr>
      <w:r>
        <w:t>Število mesecev mednarodne mobilnosti.</w:t>
      </w:r>
    </w:p>
    <w:p w14:paraId="05537C28" w14:textId="42D54B3B" w:rsidR="008D47BF" w:rsidRDefault="008D47BF">
      <w:pPr>
        <w:pStyle w:val="Pripombabesedilo"/>
      </w:pPr>
      <w:r>
        <w:t>Višino spodbude za socialno šibke</w:t>
      </w:r>
      <w:r w:rsidR="00833049">
        <w:t>jše do katere je upravičen</w:t>
      </w:r>
      <w:r>
        <w:t>.</w:t>
      </w:r>
    </w:p>
    <w:p w14:paraId="04853700" w14:textId="3B789821" w:rsidR="008D47BF" w:rsidRDefault="008D47BF">
      <w:pPr>
        <w:pStyle w:val="Pripombabesedilo"/>
      </w:pPr>
      <w:r>
        <w:t>Skupno višino spodbude za socialno šibkejše.</w:t>
      </w:r>
    </w:p>
    <w:p w14:paraId="5645B585" w14:textId="77777777" w:rsidR="008D47BF" w:rsidRDefault="008D47BF">
      <w:pPr>
        <w:pStyle w:val="Pripombabesedilo"/>
      </w:pPr>
      <w:r>
        <w:t>Leto odhoda.</w:t>
      </w:r>
    </w:p>
    <w:p w14:paraId="2E70C8A8" w14:textId="77777777" w:rsidR="008D47BF" w:rsidRDefault="008D47BF">
      <w:pPr>
        <w:pStyle w:val="Pripombabesedilo"/>
      </w:pPr>
    </w:p>
    <w:p w14:paraId="56383144" w14:textId="3CC2AF77" w:rsidR="008D47BF" w:rsidRDefault="008D47BF">
      <w:pPr>
        <w:pStyle w:val="Pripombabesedilo"/>
      </w:pPr>
      <w:r>
        <w:t>V kolikor relevantno:</w:t>
      </w:r>
    </w:p>
    <w:p w14:paraId="73F2E2B7" w14:textId="51FA61E5" w:rsidR="008D47BF" w:rsidRDefault="008D47BF">
      <w:pPr>
        <w:pStyle w:val="Pripombabesedilo"/>
      </w:pPr>
      <w:r>
        <w:t xml:space="preserve">Iz </w:t>
      </w:r>
      <w:r w:rsidR="00FF5486">
        <w:t xml:space="preserve">katere članice univerze prihaja oziroma </w:t>
      </w:r>
      <w:proofErr w:type="spellStart"/>
      <w:r w:rsidR="00FF5486">
        <w:t>konzorcijskega</w:t>
      </w:r>
      <w:proofErr w:type="spellEnd"/>
      <w:r w:rsidR="00FF5486">
        <w:t xml:space="preserve"> partnerja. </w:t>
      </w:r>
    </w:p>
    <w:p w14:paraId="18CE32A1" w14:textId="77777777" w:rsidR="00E8160C" w:rsidRDefault="00E8160C">
      <w:pPr>
        <w:pStyle w:val="Pripombabesedilo"/>
      </w:pPr>
    </w:p>
    <w:p w14:paraId="5A574AD4" w14:textId="648A4B83" w:rsidR="00E8160C" w:rsidRDefault="00E8160C">
      <w:pPr>
        <w:pStyle w:val="Pripombabesedilo"/>
      </w:pPr>
      <w:r>
        <w:t>Seznam študentov iz socialno šibkejših okolij mora biti opremljen z ustreznimi logotipi</w:t>
      </w:r>
      <w:r w:rsidR="00672C65">
        <w:t xml:space="preserve"> (</w:t>
      </w:r>
      <w:r>
        <w:t>ministrski, logotip upravičenca, Evropskega socialnega sklada).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2E3B11" w15:done="0"/>
  <w15:commentEx w15:paraId="55365AE7" w15:done="0"/>
  <w15:commentEx w15:paraId="7BDAC3FF" w15:done="0"/>
  <w15:commentEx w15:paraId="4D5552E8" w15:done="0"/>
  <w15:commentEx w15:paraId="6DE054C1" w15:done="0"/>
  <w15:commentEx w15:paraId="534E411D" w15:done="0"/>
  <w15:commentEx w15:paraId="08EBDE97" w15:done="0"/>
  <w15:commentEx w15:paraId="28091CF4" w15:done="0"/>
  <w15:commentEx w15:paraId="65BD36AF" w15:done="0"/>
  <w15:commentEx w15:paraId="53940F1C" w15:done="0"/>
  <w15:commentEx w15:paraId="570B2DC5" w15:done="0"/>
  <w15:commentEx w15:paraId="6D482D14" w15:done="0"/>
  <w15:commentEx w15:paraId="4D33FCA8" w15:done="0"/>
  <w15:commentEx w15:paraId="3C4A588F" w15:done="0"/>
  <w15:commentEx w15:paraId="30AC1FD3" w15:done="0"/>
  <w15:commentEx w15:paraId="11393A10" w15:done="0"/>
  <w15:commentEx w15:paraId="5215C80F" w15:done="0"/>
  <w15:commentEx w15:paraId="338FD891" w15:done="0"/>
  <w15:commentEx w15:paraId="3E0D6F35" w15:done="0"/>
  <w15:commentEx w15:paraId="1891592A" w15:done="0"/>
  <w15:commentEx w15:paraId="7CD8A14E" w15:done="0"/>
  <w15:commentEx w15:paraId="1B166E43" w15:done="0"/>
  <w15:commentEx w15:paraId="6223BFA1" w15:done="0"/>
  <w15:commentEx w15:paraId="5A574A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577AF" w14:textId="77777777" w:rsidR="00EE0D50" w:rsidRDefault="00EE0D50" w:rsidP="00F51CE5">
      <w:pPr>
        <w:spacing w:after="0" w:line="240" w:lineRule="auto"/>
      </w:pPr>
      <w:r>
        <w:separator/>
      </w:r>
    </w:p>
  </w:endnote>
  <w:endnote w:type="continuationSeparator" w:id="0">
    <w:p w14:paraId="2D1313AE" w14:textId="77777777" w:rsidR="00EE0D50" w:rsidRDefault="00EE0D50" w:rsidP="00F51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47587" w14:textId="77777777" w:rsidR="00EE0D50" w:rsidRDefault="00EE0D50" w:rsidP="00F51CE5">
      <w:pPr>
        <w:spacing w:after="0" w:line="240" w:lineRule="auto"/>
      </w:pPr>
      <w:r>
        <w:separator/>
      </w:r>
    </w:p>
  </w:footnote>
  <w:footnote w:type="continuationSeparator" w:id="0">
    <w:p w14:paraId="540DA755" w14:textId="77777777" w:rsidR="00EE0D50" w:rsidRDefault="00EE0D50" w:rsidP="00F51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70AB6" w14:textId="77777777" w:rsidR="005677B0" w:rsidRPr="006C6570" w:rsidRDefault="005677B0" w:rsidP="005677B0">
    <w:pPr>
      <w:widowControl w:val="0"/>
      <w:autoSpaceDE w:val="0"/>
      <w:autoSpaceDN w:val="0"/>
      <w:adjustRightInd w:val="0"/>
      <w:spacing w:after="0" w:line="370" w:lineRule="exact"/>
      <w:rPr>
        <w:b/>
        <w:i/>
      </w:rPr>
    </w:pPr>
    <w:r w:rsidRPr="006C6570">
      <w:rPr>
        <w:b/>
        <w:i/>
      </w:rPr>
      <w:t>»logotip upravičenca«</w:t>
    </w:r>
  </w:p>
  <w:p w14:paraId="75D2ED30" w14:textId="77777777" w:rsidR="00F51CE5" w:rsidRPr="00F12C93" w:rsidRDefault="00F51CE5" w:rsidP="00F12C93">
    <w:pPr>
      <w:pStyle w:val="Glava"/>
      <w:tabs>
        <w:tab w:val="left" w:pos="5112"/>
      </w:tabs>
      <w:spacing w:before="120" w:line="240" w:lineRule="exact"/>
      <w:rPr>
        <w:rFonts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B1849"/>
    <w:multiLevelType w:val="multilevel"/>
    <w:tmpl w:val="688C1E08"/>
    <w:lvl w:ilvl="0">
      <w:start w:val="1"/>
      <w:numFmt w:val="decimal"/>
      <w:lvlText w:val="(%1."/>
      <w:lvlJc w:val="left"/>
      <w:pPr>
        <w:ind w:left="420" w:hanging="420"/>
      </w:pPr>
      <w:rPr>
        <w:rFonts w:hint="default"/>
      </w:rPr>
    </w:lvl>
    <w:lvl w:ilvl="1">
      <w:start w:val="1"/>
      <w:numFmt w:val="upperRoman"/>
      <w:lvlText w:val="%2."/>
      <w:lvlJc w:val="righ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2E378B"/>
    <w:multiLevelType w:val="hybridMultilevel"/>
    <w:tmpl w:val="E678129A"/>
    <w:lvl w:ilvl="0" w:tplc="F788DB7C">
      <w:start w:val="27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93016D4"/>
    <w:multiLevelType w:val="hybridMultilevel"/>
    <w:tmpl w:val="E4F8AD8A"/>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7E8630D3"/>
    <w:multiLevelType w:val="hybridMultilevel"/>
    <w:tmpl w:val="A5A423D8"/>
    <w:lvl w:ilvl="0" w:tplc="855EF910">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B36D4D"/>
    <w:multiLevelType w:val="hybridMultilevel"/>
    <w:tmpl w:val="D4183E5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eja Berčan">
    <w15:presenceInfo w15:providerId="AD" w15:userId="S-1-5-21-3295390372-4061547811-2898398474-5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E5"/>
    <w:rsid w:val="000051E5"/>
    <w:rsid w:val="00023078"/>
    <w:rsid w:val="00060A91"/>
    <w:rsid w:val="000C0AFA"/>
    <w:rsid w:val="00115A43"/>
    <w:rsid w:val="001213EB"/>
    <w:rsid w:val="00122288"/>
    <w:rsid w:val="001476AD"/>
    <w:rsid w:val="00155958"/>
    <w:rsid w:val="001666E7"/>
    <w:rsid w:val="00187FA5"/>
    <w:rsid w:val="001B3DB0"/>
    <w:rsid w:val="001B6890"/>
    <w:rsid w:val="001C364E"/>
    <w:rsid w:val="001D1000"/>
    <w:rsid w:val="001E1EA0"/>
    <w:rsid w:val="00222194"/>
    <w:rsid w:val="00240A5E"/>
    <w:rsid w:val="0028533C"/>
    <w:rsid w:val="002A3D1D"/>
    <w:rsid w:val="002A6AE2"/>
    <w:rsid w:val="002C00FF"/>
    <w:rsid w:val="002E51B5"/>
    <w:rsid w:val="003073E0"/>
    <w:rsid w:val="0031118A"/>
    <w:rsid w:val="00322805"/>
    <w:rsid w:val="00346011"/>
    <w:rsid w:val="00353421"/>
    <w:rsid w:val="00355C4E"/>
    <w:rsid w:val="00360625"/>
    <w:rsid w:val="00374A12"/>
    <w:rsid w:val="00381EED"/>
    <w:rsid w:val="0038714F"/>
    <w:rsid w:val="0039427B"/>
    <w:rsid w:val="003A62E9"/>
    <w:rsid w:val="003E1D0F"/>
    <w:rsid w:val="003E32F4"/>
    <w:rsid w:val="003E4B2A"/>
    <w:rsid w:val="00402EE4"/>
    <w:rsid w:val="00406DCA"/>
    <w:rsid w:val="00436359"/>
    <w:rsid w:val="00451C1E"/>
    <w:rsid w:val="004637C1"/>
    <w:rsid w:val="004802D6"/>
    <w:rsid w:val="004A3864"/>
    <w:rsid w:val="004B1C19"/>
    <w:rsid w:val="004C0B02"/>
    <w:rsid w:val="004C6442"/>
    <w:rsid w:val="004D1D88"/>
    <w:rsid w:val="004E760F"/>
    <w:rsid w:val="004F6DB7"/>
    <w:rsid w:val="0053105C"/>
    <w:rsid w:val="005344F1"/>
    <w:rsid w:val="005529A9"/>
    <w:rsid w:val="005677B0"/>
    <w:rsid w:val="005E0FB5"/>
    <w:rsid w:val="005E5E37"/>
    <w:rsid w:val="005F0129"/>
    <w:rsid w:val="00626AB9"/>
    <w:rsid w:val="00656B48"/>
    <w:rsid w:val="00672C65"/>
    <w:rsid w:val="00692841"/>
    <w:rsid w:val="006B1987"/>
    <w:rsid w:val="006D2451"/>
    <w:rsid w:val="006D4E26"/>
    <w:rsid w:val="006F0F79"/>
    <w:rsid w:val="006F1BF5"/>
    <w:rsid w:val="00711F58"/>
    <w:rsid w:val="0071230A"/>
    <w:rsid w:val="007359B9"/>
    <w:rsid w:val="00761DF7"/>
    <w:rsid w:val="007B1EAD"/>
    <w:rsid w:val="00805FEC"/>
    <w:rsid w:val="00833049"/>
    <w:rsid w:val="00850537"/>
    <w:rsid w:val="008D47BF"/>
    <w:rsid w:val="008E43D8"/>
    <w:rsid w:val="00915B40"/>
    <w:rsid w:val="00923E4D"/>
    <w:rsid w:val="0093017D"/>
    <w:rsid w:val="00963B69"/>
    <w:rsid w:val="009730B2"/>
    <w:rsid w:val="00981466"/>
    <w:rsid w:val="009E7A8E"/>
    <w:rsid w:val="00A074A6"/>
    <w:rsid w:val="00A21711"/>
    <w:rsid w:val="00A411B5"/>
    <w:rsid w:val="00A41FF7"/>
    <w:rsid w:val="00A56986"/>
    <w:rsid w:val="00A81534"/>
    <w:rsid w:val="00A901F7"/>
    <w:rsid w:val="00A95AA2"/>
    <w:rsid w:val="00AA4C04"/>
    <w:rsid w:val="00AD1A0A"/>
    <w:rsid w:val="00AE1F71"/>
    <w:rsid w:val="00B152C6"/>
    <w:rsid w:val="00B22599"/>
    <w:rsid w:val="00B321AE"/>
    <w:rsid w:val="00B40B6A"/>
    <w:rsid w:val="00B76210"/>
    <w:rsid w:val="00B90470"/>
    <w:rsid w:val="00BA09DF"/>
    <w:rsid w:val="00BA0CDB"/>
    <w:rsid w:val="00BF1765"/>
    <w:rsid w:val="00C20051"/>
    <w:rsid w:val="00C70D88"/>
    <w:rsid w:val="00C7211C"/>
    <w:rsid w:val="00C91A3F"/>
    <w:rsid w:val="00C96ADB"/>
    <w:rsid w:val="00CC7FE7"/>
    <w:rsid w:val="00D20B52"/>
    <w:rsid w:val="00D25A31"/>
    <w:rsid w:val="00D604DB"/>
    <w:rsid w:val="00D61A37"/>
    <w:rsid w:val="00DB7D63"/>
    <w:rsid w:val="00DC335D"/>
    <w:rsid w:val="00DC3E29"/>
    <w:rsid w:val="00DD139D"/>
    <w:rsid w:val="00E05EE2"/>
    <w:rsid w:val="00E254E2"/>
    <w:rsid w:val="00E35193"/>
    <w:rsid w:val="00E435E6"/>
    <w:rsid w:val="00E43A3F"/>
    <w:rsid w:val="00E5770B"/>
    <w:rsid w:val="00E8160C"/>
    <w:rsid w:val="00E87503"/>
    <w:rsid w:val="00EB2D6B"/>
    <w:rsid w:val="00ED2BBB"/>
    <w:rsid w:val="00EE0D50"/>
    <w:rsid w:val="00EE27A0"/>
    <w:rsid w:val="00F1130E"/>
    <w:rsid w:val="00F16D2B"/>
    <w:rsid w:val="00F327BB"/>
    <w:rsid w:val="00F36712"/>
    <w:rsid w:val="00F430B2"/>
    <w:rsid w:val="00F43BD8"/>
    <w:rsid w:val="00F43EE1"/>
    <w:rsid w:val="00F51CE5"/>
    <w:rsid w:val="00F57578"/>
    <w:rsid w:val="00F64FD7"/>
    <w:rsid w:val="00F819FB"/>
    <w:rsid w:val="00F84934"/>
    <w:rsid w:val="00F868B7"/>
    <w:rsid w:val="00FA1D3D"/>
    <w:rsid w:val="00FB3801"/>
    <w:rsid w:val="00FB570C"/>
    <w:rsid w:val="00FD005D"/>
    <w:rsid w:val="00FD6CCE"/>
    <w:rsid w:val="00FF1B74"/>
    <w:rsid w:val="00FF2E00"/>
    <w:rsid w:val="00FF489B"/>
    <w:rsid w:val="00FF54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5E88"/>
  <w15:chartTrackingRefBased/>
  <w15:docId w15:val="{EDAFB521-A761-4343-B40E-8F455803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51CE5"/>
    <w:pPr>
      <w:spacing w:after="200" w:line="276" w:lineRule="auto"/>
    </w:pPr>
    <w:rPr>
      <w:rFonts w:ascii="Calibri" w:eastAsia="Calibri" w:hAnsi="Calibri" w:cs="Times New Roman"/>
    </w:rPr>
  </w:style>
  <w:style w:type="paragraph" w:styleId="Naslov1">
    <w:name w:val="heading 1"/>
    <w:basedOn w:val="Navaden"/>
    <w:next w:val="Navaden"/>
    <w:link w:val="Naslov1Znak"/>
    <w:qFormat/>
    <w:rsid w:val="00F51CE5"/>
    <w:pPr>
      <w:keepNext/>
      <w:spacing w:before="240" w:after="60"/>
      <w:outlineLvl w:val="0"/>
    </w:pPr>
    <w:rPr>
      <w:rFonts w:ascii="Cambria" w:eastAsia="Times New Roman" w:hAnsi="Cambria"/>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51CE5"/>
    <w:rPr>
      <w:rFonts w:ascii="Cambria" w:eastAsia="Times New Roman" w:hAnsi="Cambria" w:cs="Times New Roman"/>
      <w:b/>
      <w:bCs/>
      <w:kern w:val="32"/>
      <w:sz w:val="32"/>
      <w:szCs w:val="32"/>
    </w:rPr>
  </w:style>
  <w:style w:type="paragraph" w:styleId="Glava">
    <w:name w:val="header"/>
    <w:basedOn w:val="Navaden"/>
    <w:link w:val="GlavaZnak"/>
    <w:unhideWhenUsed/>
    <w:rsid w:val="00F51CE5"/>
    <w:pPr>
      <w:tabs>
        <w:tab w:val="center" w:pos="4536"/>
        <w:tab w:val="right" w:pos="9072"/>
      </w:tabs>
    </w:pPr>
  </w:style>
  <w:style w:type="character" w:customStyle="1" w:styleId="GlavaZnak">
    <w:name w:val="Glava Znak"/>
    <w:basedOn w:val="Privzetapisavaodstavka"/>
    <w:link w:val="Glava"/>
    <w:rsid w:val="00F51CE5"/>
    <w:rPr>
      <w:rFonts w:ascii="Calibri" w:eastAsia="Calibri" w:hAnsi="Calibri" w:cs="Times New Roman"/>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F51CE5"/>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F51CE5"/>
    <w:rPr>
      <w:rFonts w:ascii="Calibri" w:eastAsia="Calibri" w:hAnsi="Calibri" w:cs="Times New Roman"/>
      <w:sz w:val="20"/>
      <w:szCs w:val="20"/>
    </w:rPr>
  </w:style>
  <w:style w:type="character" w:styleId="Sprotnaopomba-sklic">
    <w:name w:val="footnote reference"/>
    <w:aliases w:val="Footnote symbol,Footnote,Fussnota"/>
    <w:uiPriority w:val="99"/>
    <w:unhideWhenUsed/>
    <w:rsid w:val="00F51CE5"/>
    <w:rPr>
      <w:vertAlign w:val="superscript"/>
    </w:rPr>
  </w:style>
  <w:style w:type="paragraph" w:styleId="Noga">
    <w:name w:val="footer"/>
    <w:basedOn w:val="Navaden"/>
    <w:link w:val="NogaZnak"/>
    <w:uiPriority w:val="99"/>
    <w:unhideWhenUsed/>
    <w:rsid w:val="005677B0"/>
    <w:pPr>
      <w:tabs>
        <w:tab w:val="center" w:pos="4536"/>
        <w:tab w:val="right" w:pos="9072"/>
      </w:tabs>
      <w:spacing w:after="0" w:line="240" w:lineRule="auto"/>
    </w:pPr>
  </w:style>
  <w:style w:type="character" w:customStyle="1" w:styleId="NogaZnak">
    <w:name w:val="Noga Znak"/>
    <w:basedOn w:val="Privzetapisavaodstavka"/>
    <w:link w:val="Noga"/>
    <w:uiPriority w:val="99"/>
    <w:rsid w:val="005677B0"/>
    <w:rPr>
      <w:rFonts w:ascii="Calibri" w:eastAsia="Calibri" w:hAnsi="Calibri" w:cs="Times New Roman"/>
    </w:rPr>
  </w:style>
  <w:style w:type="character" w:styleId="Pripombasklic">
    <w:name w:val="annotation reference"/>
    <w:basedOn w:val="Privzetapisavaodstavka"/>
    <w:unhideWhenUsed/>
    <w:rsid w:val="005677B0"/>
    <w:rPr>
      <w:sz w:val="16"/>
      <w:szCs w:val="16"/>
    </w:rPr>
  </w:style>
  <w:style w:type="paragraph" w:styleId="Pripombabesedilo">
    <w:name w:val="annotation text"/>
    <w:basedOn w:val="Navaden"/>
    <w:link w:val="PripombabesediloZnak"/>
    <w:unhideWhenUsed/>
    <w:rsid w:val="005677B0"/>
    <w:pPr>
      <w:spacing w:line="240" w:lineRule="auto"/>
    </w:pPr>
    <w:rPr>
      <w:sz w:val="20"/>
      <w:szCs w:val="20"/>
    </w:rPr>
  </w:style>
  <w:style w:type="character" w:customStyle="1" w:styleId="PripombabesediloZnak">
    <w:name w:val="Pripomba – besedilo Znak"/>
    <w:basedOn w:val="Privzetapisavaodstavka"/>
    <w:link w:val="Pripombabesedilo"/>
    <w:uiPriority w:val="99"/>
    <w:rsid w:val="005677B0"/>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5677B0"/>
    <w:rPr>
      <w:b/>
      <w:bCs/>
    </w:rPr>
  </w:style>
  <w:style w:type="character" w:customStyle="1" w:styleId="ZadevapripombeZnak">
    <w:name w:val="Zadeva pripombe Znak"/>
    <w:basedOn w:val="PripombabesediloZnak"/>
    <w:link w:val="Zadevapripombe"/>
    <w:uiPriority w:val="99"/>
    <w:semiHidden/>
    <w:rsid w:val="005677B0"/>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5677B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677B0"/>
    <w:rPr>
      <w:rFonts w:ascii="Segoe UI" w:eastAsia="Calibri" w:hAnsi="Segoe UI" w:cs="Segoe UI"/>
      <w:sz w:val="18"/>
      <w:szCs w:val="18"/>
    </w:rPr>
  </w:style>
  <w:style w:type="character" w:styleId="Hiperpovezava">
    <w:name w:val="Hyperlink"/>
    <w:uiPriority w:val="99"/>
    <w:unhideWhenUsed/>
    <w:rsid w:val="001666E7"/>
    <w:rPr>
      <w:color w:val="0000FF"/>
      <w:u w:val="single"/>
    </w:rPr>
  </w:style>
  <w:style w:type="character" w:styleId="SledenaHiperpovezava">
    <w:name w:val="FollowedHyperlink"/>
    <w:basedOn w:val="Privzetapisavaodstavka"/>
    <w:uiPriority w:val="99"/>
    <w:semiHidden/>
    <w:unhideWhenUsed/>
    <w:rsid w:val="001666E7"/>
    <w:rPr>
      <w:color w:val="954F72" w:themeColor="followedHyperlink"/>
      <w:u w:val="single"/>
    </w:rPr>
  </w:style>
  <w:style w:type="character" w:customStyle="1" w:styleId="PripombabesediloZnak1">
    <w:name w:val="Pripomba – besedilo Znak1"/>
    <w:uiPriority w:val="99"/>
    <w:semiHidden/>
    <w:rsid w:val="007B1EAD"/>
    <w:rPr>
      <w:rFonts w:ascii="Times New Roman" w:eastAsia="Times New Roman" w:hAnsi="Times New Roman"/>
      <w:lang w:eastAsia="en-US"/>
    </w:rPr>
  </w:style>
  <w:style w:type="paragraph" w:styleId="Odstavekseznama">
    <w:name w:val="List Paragraph"/>
    <w:basedOn w:val="Navaden"/>
    <w:uiPriority w:val="34"/>
    <w:qFormat/>
    <w:rsid w:val="001213EB"/>
    <w:pPr>
      <w:ind w:left="720"/>
      <w:contextualSpacing/>
    </w:pPr>
  </w:style>
  <w:style w:type="paragraph" w:customStyle="1" w:styleId="tevilnatoka1">
    <w:name w:val="tevilnatoka1"/>
    <w:basedOn w:val="Navaden"/>
    <w:rsid w:val="00FF2E00"/>
    <w:pPr>
      <w:spacing w:after="0" w:line="240" w:lineRule="auto"/>
      <w:ind w:left="425" w:hanging="425"/>
      <w:jc w:val="both"/>
    </w:pPr>
    <w:rPr>
      <w:rFonts w:ascii="Arial" w:eastAsia="Times New Roman" w:hAnsi="Arial" w:cs="Arial"/>
      <w:lang w:eastAsia="sl-SI"/>
    </w:rPr>
  </w:style>
  <w:style w:type="paragraph" w:customStyle="1" w:styleId="podpisi">
    <w:name w:val="podpisi"/>
    <w:basedOn w:val="Navaden"/>
    <w:qFormat/>
    <w:rsid w:val="00805FEC"/>
    <w:pPr>
      <w:tabs>
        <w:tab w:val="left" w:pos="3402"/>
      </w:tabs>
      <w:spacing w:after="0" w:line="260" w:lineRule="atLeast"/>
    </w:pPr>
    <w:rPr>
      <w:rFonts w:ascii="Arial" w:eastAsia="Times New Roman" w:hAnsi="Arial"/>
      <w:sz w:val="20"/>
      <w:szCs w:val="24"/>
      <w:lang w:val="it-IT"/>
    </w:rPr>
  </w:style>
  <w:style w:type="paragraph" w:styleId="Revizija">
    <w:name w:val="Revision"/>
    <w:hidden/>
    <w:uiPriority w:val="99"/>
    <w:semiHidden/>
    <w:rsid w:val="004E76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eu-skladi.si/kohezija-do-2013/ostalo/operativni-programi/op-2014-2020-december-konni" TargetMode="External"/><Relationship Id="rId2" Type="http://schemas.openxmlformats.org/officeDocument/2006/relationships/hyperlink" Target="http://www.eu-skladi.si/kohezija-do-2013/ostalo/operativni-programi/op-2014-2020-december-konni" TargetMode="External"/><Relationship Id="rId1" Type="http://schemas.openxmlformats.org/officeDocument/2006/relationships/hyperlink" Target="http://www.eu-skladi.si/kohezija-do-2013/ostalo/operativni-programi/op-2014-2020-december-konni" TargetMode="External"/><Relationship Id="rId4" Type="http://schemas.openxmlformats.org/officeDocument/2006/relationships/hyperlink" Target="http://www.eu-skladi.si"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zs.gov.si/fileadmin/mizs.gov.si/pageuploads/PEKP/Dokumenti/Navodila_PEKP/Navodila_MIZS_2014-2020_ver._1.2.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skladi.si/sl/dokumenti/navodila/smernice-ou-enakost.pdf"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4686528-923F-48A5-90AD-9F15FCEB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1836</Words>
  <Characters>10471</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Vrhovec</dc:creator>
  <cp:keywords/>
  <dc:description/>
  <cp:lastModifiedBy>Mateja Berčan</cp:lastModifiedBy>
  <cp:revision>46</cp:revision>
  <cp:lastPrinted>2019-03-19T08:50:00Z</cp:lastPrinted>
  <dcterms:created xsi:type="dcterms:W3CDTF">2019-01-16T13:09:00Z</dcterms:created>
  <dcterms:modified xsi:type="dcterms:W3CDTF">2019-09-09T09:36:00Z</dcterms:modified>
</cp:coreProperties>
</file>