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2E" w:rsidRPr="008F3500" w:rsidRDefault="002D1B2E" w:rsidP="002D1B2E">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1312" behindDoc="1" locked="0" layoutInCell="1" allowOverlap="1" wp14:anchorId="741A279C" wp14:editId="2A6E92C5">
            <wp:simplePos x="0" y="0"/>
            <wp:positionH relativeFrom="column">
              <wp:posOffset>4192905</wp:posOffset>
            </wp:positionH>
            <wp:positionV relativeFrom="paragraph">
              <wp:posOffset>-196850</wp:posOffset>
            </wp:positionV>
            <wp:extent cx="1710055" cy="828040"/>
            <wp:effectExtent l="0" t="0" r="4445"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1" locked="0" layoutInCell="1" allowOverlap="1" wp14:anchorId="6F015639" wp14:editId="2155AD90">
            <wp:simplePos x="0" y="0"/>
            <wp:positionH relativeFrom="column">
              <wp:posOffset>-483870</wp:posOffset>
            </wp:positionH>
            <wp:positionV relativeFrom="paragraph">
              <wp:posOffset>4445</wp:posOffset>
            </wp:positionV>
            <wp:extent cx="2426970" cy="391795"/>
            <wp:effectExtent l="0" t="0" r="0" b="8255"/>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59264" behindDoc="1" locked="0" layoutInCell="0" allowOverlap="1" wp14:anchorId="6EF033AB" wp14:editId="0FFB1678">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77AEF78" id="Line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2D1B2E" w:rsidRPr="0028101B" w:rsidRDefault="002D1B2E" w:rsidP="002D1B2E">
      <w:pPr>
        <w:pStyle w:val="Glava"/>
        <w:tabs>
          <w:tab w:val="clear" w:pos="4320"/>
          <w:tab w:val="clear" w:pos="8640"/>
          <w:tab w:val="left" w:pos="5112"/>
        </w:tabs>
        <w:spacing w:after="120" w:line="240" w:lineRule="exact"/>
        <w:rPr>
          <w:rFonts w:ascii="Republika Bold" w:hAnsi="Republika Bold"/>
          <w:b/>
          <w:caps/>
        </w:rPr>
      </w:pPr>
    </w:p>
    <w:p w:rsidR="002D1B2E" w:rsidRDefault="002D1B2E" w:rsidP="002D1B2E">
      <w:pPr>
        <w:pStyle w:val="Glava"/>
        <w:tabs>
          <w:tab w:val="clear" w:pos="4320"/>
          <w:tab w:val="clear" w:pos="8640"/>
          <w:tab w:val="left" w:pos="5112"/>
        </w:tabs>
        <w:spacing w:before="240" w:line="240" w:lineRule="exact"/>
        <w:rPr>
          <w:rFonts w:cs="Arial"/>
          <w:sz w:val="16"/>
        </w:rPr>
      </w:pPr>
    </w:p>
    <w:p w:rsidR="002D1B2E" w:rsidRPr="008F3500" w:rsidRDefault="002D1B2E" w:rsidP="002D1B2E">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rsidR="002D1B2E" w:rsidRPr="008F3500" w:rsidRDefault="002D1B2E" w:rsidP="002D1B2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rsidR="000C4FA3" w:rsidRDefault="000C4FA3"/>
    <w:p w:rsidR="00153A9D" w:rsidRPr="00411775" w:rsidRDefault="00153A9D" w:rsidP="00153A9D">
      <w:pPr>
        <w:jc w:val="both"/>
        <w:rPr>
          <w:rFonts w:cs="Arial"/>
          <w:b/>
          <w:szCs w:val="20"/>
        </w:rPr>
      </w:pPr>
      <w:r w:rsidRPr="00411775">
        <w:rPr>
          <w:rFonts w:cs="Arial"/>
          <w:b/>
          <w:szCs w:val="20"/>
        </w:rPr>
        <w:t xml:space="preserve">ODGOVORI NA VPRAŠANJA </w:t>
      </w:r>
    </w:p>
    <w:p w:rsidR="00153A9D" w:rsidRPr="00411775" w:rsidRDefault="00153A9D" w:rsidP="00153A9D">
      <w:pPr>
        <w:jc w:val="both"/>
        <w:rPr>
          <w:rFonts w:cs="Arial"/>
          <w:b/>
          <w:szCs w:val="20"/>
        </w:rPr>
      </w:pPr>
    </w:p>
    <w:p w:rsidR="002D1B2E" w:rsidRDefault="00153A9D" w:rsidP="0019336E">
      <w:pPr>
        <w:jc w:val="both"/>
        <w:rPr>
          <w:rFonts w:cs="Arial"/>
          <w:b/>
          <w:szCs w:val="20"/>
        </w:rPr>
      </w:pPr>
      <w:r w:rsidRPr="00411775">
        <w:rPr>
          <w:rFonts w:cs="Arial"/>
          <w:b/>
          <w:bCs/>
          <w:szCs w:val="20"/>
          <w:lang w:eastAsia="sl-SI"/>
        </w:rPr>
        <w:t>Javni razpis:</w:t>
      </w:r>
      <w:r>
        <w:rPr>
          <w:rFonts w:cs="Arial"/>
          <w:b/>
          <w:bCs/>
          <w:szCs w:val="20"/>
          <w:lang w:eastAsia="sl-SI"/>
        </w:rPr>
        <w:t xml:space="preserve"> </w:t>
      </w:r>
      <w:r w:rsidRPr="00186934">
        <w:rPr>
          <w:rFonts w:eastAsiaTheme="minorHAnsi" w:cs="Arial"/>
          <w:b/>
          <w:color w:val="000000"/>
          <w:szCs w:val="20"/>
        </w:rPr>
        <w:t>Projektno delo za pridobitev praktičnih izkušenj in znanj študentov v delovnem okolju 2022/2023</w:t>
      </w:r>
      <w:r>
        <w:rPr>
          <w:rFonts w:eastAsiaTheme="minorHAnsi" w:cs="Arial"/>
          <w:b/>
          <w:color w:val="000000"/>
          <w:szCs w:val="20"/>
        </w:rPr>
        <w:t xml:space="preserve"> </w:t>
      </w:r>
      <w:r w:rsidRPr="00411775">
        <w:rPr>
          <w:rFonts w:cs="Arial"/>
          <w:b/>
          <w:szCs w:val="20"/>
        </w:rPr>
        <w:t>(v nadaljnjem besedilu: javni razpis)</w:t>
      </w:r>
      <w:r w:rsidRPr="00411775">
        <w:rPr>
          <w:rFonts w:cs="Arial"/>
          <w:b/>
          <w:szCs w:val="20"/>
          <w:lang w:eastAsia="sl-SI"/>
        </w:rPr>
        <w:t xml:space="preserve"> objavljen v</w:t>
      </w:r>
      <w:r w:rsidRPr="00411775">
        <w:rPr>
          <w:rFonts w:cs="Arial"/>
          <w:b/>
          <w:szCs w:val="20"/>
        </w:rPr>
        <w:t xml:space="preserve"> Uradnem </w:t>
      </w:r>
      <w:r w:rsidR="0019336E">
        <w:rPr>
          <w:rFonts w:cs="Arial"/>
          <w:b/>
          <w:szCs w:val="20"/>
        </w:rPr>
        <w:t>listu Republike Slovenije št. 89/22 z dne 1. 7. 2022</w:t>
      </w:r>
      <w:r w:rsidRPr="00411775">
        <w:rPr>
          <w:rFonts w:cs="Arial"/>
          <w:b/>
          <w:szCs w:val="20"/>
        </w:rPr>
        <w:t xml:space="preserve"> (Razglasni del, str. </w:t>
      </w:r>
      <w:r w:rsidR="0019336E" w:rsidRPr="00644E15">
        <w:rPr>
          <w:rFonts w:cs="Arial"/>
          <w:b/>
          <w:szCs w:val="20"/>
        </w:rPr>
        <w:t>1747-1761</w:t>
      </w:r>
      <w:r w:rsidRPr="00411775">
        <w:rPr>
          <w:rFonts w:cs="Arial"/>
          <w:b/>
          <w:szCs w:val="20"/>
        </w:rPr>
        <w:t>)</w:t>
      </w:r>
    </w:p>
    <w:p w:rsidR="0019336E" w:rsidRPr="0019336E" w:rsidRDefault="0019336E" w:rsidP="0019336E">
      <w:pPr>
        <w:jc w:val="both"/>
        <w:rPr>
          <w:rFonts w:cs="Arial"/>
          <w:b/>
          <w:szCs w:val="20"/>
        </w:rPr>
      </w:pPr>
    </w:p>
    <w:p w:rsidR="0019336E" w:rsidRPr="0019336E" w:rsidRDefault="0019336E" w:rsidP="0019336E">
      <w:pPr>
        <w:pStyle w:val="Odstavekseznama"/>
        <w:numPr>
          <w:ilvl w:val="0"/>
          <w:numId w:val="1"/>
        </w:numPr>
        <w:jc w:val="both"/>
        <w:rPr>
          <w:rFonts w:cs="Arial"/>
          <w:szCs w:val="20"/>
        </w:rPr>
      </w:pPr>
      <w:r w:rsidRPr="0019336E">
        <w:rPr>
          <w:rFonts w:eastAsiaTheme="minorHAnsi" w:cs="Arial"/>
          <w:szCs w:val="20"/>
        </w:rPr>
        <w:t>Prosimo za posredovanje Metodologije za določitev višine pavšalnega zneska za izvedbo Javnega razpisa Projektno delo za pridobitev praktičnih izkušenj in znanj študentov v delovnem okolju 2022/2023</w:t>
      </w:r>
      <w:r w:rsidR="000C7B58">
        <w:rPr>
          <w:rFonts w:eastAsiaTheme="minorHAnsi" w:cs="Arial"/>
          <w:szCs w:val="20"/>
        </w:rPr>
        <w:t xml:space="preserve"> (v nadaljnjem besedilu: metodologija)</w:t>
      </w:r>
      <w:r w:rsidRPr="0019336E">
        <w:rPr>
          <w:rFonts w:eastAsiaTheme="minorHAnsi" w:cs="Arial"/>
          <w:szCs w:val="20"/>
        </w:rPr>
        <w:t>, št. 303-41/2021-21, na podlagi katere je bil izračunan in opredeljen pavšalni znesek za izvedbo projektnih aktivnosti (Sklop A in Sklop B), ki predstavlja pretežno stroške pedagoškega mentorja, podpornega osebja na visokošolskem zavodu, partnerja iz delovnega okolja, stroške študentskega dela za vključene študente in posredne stroške. Metodologijo potrebujemo za namen zastavitve ustrezne in usklajene finančne strukture prijavnih predlogov, ki so lahko v primeru pozitivnega sklepa predmet preverjanja na kraju samem.</w:t>
      </w:r>
    </w:p>
    <w:p w:rsidR="005E3AC1" w:rsidRDefault="005E3AC1" w:rsidP="005E3AC1">
      <w:pPr>
        <w:jc w:val="both"/>
        <w:rPr>
          <w:rFonts w:cs="Arial"/>
          <w:szCs w:val="20"/>
        </w:rPr>
      </w:pPr>
    </w:p>
    <w:p w:rsidR="005C1835" w:rsidRDefault="005E3AC1" w:rsidP="005E3AC1">
      <w:pPr>
        <w:jc w:val="both"/>
        <w:rPr>
          <w:rFonts w:cs="Arial"/>
          <w:color w:val="0070C0"/>
          <w:szCs w:val="20"/>
        </w:rPr>
      </w:pPr>
      <w:r w:rsidRPr="005E3AC1">
        <w:rPr>
          <w:rFonts w:cs="Arial"/>
          <w:color w:val="0070C0"/>
          <w:szCs w:val="20"/>
        </w:rPr>
        <w:t>Met</w:t>
      </w:r>
      <w:r>
        <w:rPr>
          <w:rFonts w:cs="Arial"/>
          <w:color w:val="0070C0"/>
          <w:szCs w:val="20"/>
        </w:rPr>
        <w:t>odologija je interni dokument Ministrstva za izobraževanje, znanost in šport (v nadaljnjem besedilu: minist</w:t>
      </w:r>
      <w:r w:rsidR="00FD34E7">
        <w:rPr>
          <w:rFonts w:cs="Arial"/>
          <w:color w:val="0070C0"/>
          <w:szCs w:val="20"/>
        </w:rPr>
        <w:t>rstvo</w:t>
      </w:r>
      <w:r>
        <w:rPr>
          <w:rFonts w:cs="Arial"/>
          <w:color w:val="0070C0"/>
          <w:szCs w:val="20"/>
        </w:rPr>
        <w:t>)</w:t>
      </w:r>
      <w:r w:rsidR="00405EE3">
        <w:rPr>
          <w:rFonts w:cs="Arial"/>
          <w:color w:val="0070C0"/>
          <w:szCs w:val="20"/>
        </w:rPr>
        <w:t xml:space="preserve"> in za prijavitelje z vidika dokazovanja stroškov </w:t>
      </w:r>
      <w:proofErr w:type="spellStart"/>
      <w:r w:rsidR="00405EE3">
        <w:rPr>
          <w:rFonts w:cs="Arial"/>
          <w:color w:val="0070C0"/>
          <w:szCs w:val="20"/>
        </w:rPr>
        <w:t>nezavezujoča</w:t>
      </w:r>
      <w:proofErr w:type="spellEnd"/>
      <w:r>
        <w:rPr>
          <w:rFonts w:cs="Arial"/>
          <w:color w:val="0070C0"/>
          <w:szCs w:val="20"/>
        </w:rPr>
        <w:t xml:space="preserve">. </w:t>
      </w:r>
      <w:r w:rsidR="002447B9">
        <w:rPr>
          <w:rFonts w:cs="Arial"/>
          <w:color w:val="0070C0"/>
          <w:szCs w:val="20"/>
        </w:rPr>
        <w:t>V</w:t>
      </w:r>
      <w:r>
        <w:rPr>
          <w:rFonts w:cs="Arial"/>
          <w:color w:val="0070C0"/>
          <w:szCs w:val="20"/>
        </w:rPr>
        <w:t xml:space="preserve"> točki 12 javnega razpisa </w:t>
      </w:r>
      <w:r w:rsidRPr="00366BC3">
        <w:rPr>
          <w:rFonts w:cs="Arial"/>
          <w:i/>
          <w:color w:val="0070C0"/>
          <w:szCs w:val="20"/>
        </w:rPr>
        <w:t>Upravičeni stroški način financiranja in predplačila</w:t>
      </w:r>
      <w:r>
        <w:rPr>
          <w:rFonts w:cs="Arial"/>
          <w:color w:val="0070C0"/>
          <w:szCs w:val="20"/>
        </w:rPr>
        <w:t xml:space="preserve"> </w:t>
      </w:r>
      <w:r w:rsidR="00953C34">
        <w:rPr>
          <w:rFonts w:cs="Arial"/>
          <w:color w:val="0070C0"/>
          <w:szCs w:val="20"/>
        </w:rPr>
        <w:t xml:space="preserve">je </w:t>
      </w:r>
      <w:r>
        <w:rPr>
          <w:rFonts w:cs="Arial"/>
          <w:color w:val="0070C0"/>
          <w:szCs w:val="20"/>
        </w:rPr>
        <w:t>na</w:t>
      </w:r>
      <w:r w:rsidR="00F2625B">
        <w:rPr>
          <w:rFonts w:cs="Arial"/>
          <w:color w:val="0070C0"/>
          <w:szCs w:val="20"/>
        </w:rPr>
        <w:t xml:space="preserve"> strani 15</w:t>
      </w:r>
      <w:r w:rsidR="00743A26">
        <w:rPr>
          <w:rFonts w:cs="Arial"/>
          <w:color w:val="0070C0"/>
          <w:szCs w:val="20"/>
        </w:rPr>
        <w:t xml:space="preserve"> navedena</w:t>
      </w:r>
      <w:r w:rsidR="00F2625B">
        <w:rPr>
          <w:rFonts w:cs="Arial"/>
          <w:color w:val="0070C0"/>
          <w:szCs w:val="20"/>
        </w:rPr>
        <w:t xml:space="preserve"> višina »lump sum« za en izveden projekt</w:t>
      </w:r>
      <w:r w:rsidR="00F8633E">
        <w:rPr>
          <w:rFonts w:cs="Arial"/>
          <w:color w:val="0070C0"/>
          <w:szCs w:val="20"/>
        </w:rPr>
        <w:t xml:space="preserve"> za Sklop A </w:t>
      </w:r>
      <w:r w:rsidR="00743A26">
        <w:rPr>
          <w:rFonts w:cs="Arial"/>
          <w:color w:val="0070C0"/>
          <w:szCs w:val="20"/>
        </w:rPr>
        <w:t xml:space="preserve">in </w:t>
      </w:r>
      <w:r w:rsidR="00092BEE">
        <w:rPr>
          <w:rFonts w:cs="Arial"/>
          <w:color w:val="0070C0"/>
          <w:szCs w:val="20"/>
        </w:rPr>
        <w:t>višina</w:t>
      </w:r>
      <w:r w:rsidR="00F8633E">
        <w:rPr>
          <w:rFonts w:cs="Arial"/>
          <w:color w:val="0070C0"/>
          <w:szCs w:val="20"/>
        </w:rPr>
        <w:t xml:space="preserve"> »lump sum« </w:t>
      </w:r>
      <w:r w:rsidR="00953C34">
        <w:rPr>
          <w:rFonts w:cs="Arial"/>
          <w:color w:val="0070C0"/>
          <w:szCs w:val="20"/>
        </w:rPr>
        <w:t>za</w:t>
      </w:r>
      <w:r w:rsidR="00F8633E">
        <w:rPr>
          <w:rFonts w:cs="Arial"/>
          <w:color w:val="0070C0"/>
          <w:szCs w:val="20"/>
        </w:rPr>
        <w:t xml:space="preserve"> Sklop B</w:t>
      </w:r>
      <w:r w:rsidR="00953C34">
        <w:rPr>
          <w:rFonts w:cs="Arial"/>
          <w:color w:val="0070C0"/>
          <w:szCs w:val="20"/>
        </w:rPr>
        <w:t xml:space="preserve"> </w:t>
      </w:r>
      <w:r w:rsidR="00F8633E">
        <w:rPr>
          <w:rFonts w:cs="Arial"/>
          <w:color w:val="0070C0"/>
          <w:szCs w:val="20"/>
        </w:rPr>
        <w:t xml:space="preserve">za </w:t>
      </w:r>
      <w:r w:rsidR="00953C34">
        <w:rPr>
          <w:rFonts w:cs="Arial"/>
          <w:color w:val="0070C0"/>
          <w:szCs w:val="20"/>
        </w:rPr>
        <w:t>en izveden</w:t>
      </w:r>
      <w:r w:rsidR="008739F4">
        <w:rPr>
          <w:rFonts w:cs="Arial"/>
          <w:color w:val="0070C0"/>
          <w:szCs w:val="20"/>
        </w:rPr>
        <w:t xml:space="preserve"> projekt</w:t>
      </w:r>
      <w:r w:rsidR="00F8633E">
        <w:rPr>
          <w:rFonts w:cs="Arial"/>
          <w:color w:val="0070C0"/>
          <w:szCs w:val="20"/>
        </w:rPr>
        <w:t>.</w:t>
      </w:r>
      <w:r w:rsidR="005C1835">
        <w:rPr>
          <w:rFonts w:cs="Arial"/>
          <w:color w:val="0070C0"/>
          <w:szCs w:val="20"/>
        </w:rPr>
        <w:t xml:space="preserve"> </w:t>
      </w:r>
      <w:r w:rsidR="00F8633E">
        <w:rPr>
          <w:rFonts w:cs="Arial"/>
          <w:color w:val="0070C0"/>
          <w:szCs w:val="20"/>
        </w:rPr>
        <w:t xml:space="preserve"> N</w:t>
      </w:r>
      <w:r w:rsidR="00F2625B">
        <w:rPr>
          <w:rFonts w:cs="Arial"/>
          <w:color w:val="0070C0"/>
          <w:szCs w:val="20"/>
        </w:rPr>
        <w:t>a</w:t>
      </w:r>
      <w:r>
        <w:rPr>
          <w:rFonts w:cs="Arial"/>
          <w:color w:val="0070C0"/>
          <w:szCs w:val="20"/>
        </w:rPr>
        <w:t xml:space="preserve"> strani 16 </w:t>
      </w:r>
      <w:r w:rsidR="00F2625B">
        <w:rPr>
          <w:rFonts w:cs="Arial"/>
          <w:color w:val="0070C0"/>
          <w:szCs w:val="20"/>
        </w:rPr>
        <w:t xml:space="preserve">javnega razpisa so </w:t>
      </w:r>
      <w:r w:rsidR="00F8633E">
        <w:rPr>
          <w:rFonts w:cs="Arial"/>
          <w:color w:val="0070C0"/>
          <w:szCs w:val="20"/>
        </w:rPr>
        <w:t xml:space="preserve">v točki 12 </w:t>
      </w:r>
      <w:r>
        <w:rPr>
          <w:rFonts w:cs="Arial"/>
          <w:color w:val="0070C0"/>
          <w:szCs w:val="20"/>
        </w:rPr>
        <w:t>naved</w:t>
      </w:r>
      <w:r w:rsidR="00F2625B">
        <w:rPr>
          <w:rFonts w:cs="Arial"/>
          <w:color w:val="0070C0"/>
          <w:szCs w:val="20"/>
        </w:rPr>
        <w:t>ene aktivnosti oziroma rezultati</w:t>
      </w:r>
      <w:r>
        <w:rPr>
          <w:rFonts w:cs="Arial"/>
          <w:color w:val="0070C0"/>
          <w:szCs w:val="20"/>
        </w:rPr>
        <w:t>, ki pomenijo usp</w:t>
      </w:r>
      <w:r w:rsidR="00901BE7">
        <w:rPr>
          <w:rFonts w:cs="Arial"/>
          <w:color w:val="0070C0"/>
          <w:szCs w:val="20"/>
        </w:rPr>
        <w:t xml:space="preserve">ešno izveden projekt. </w:t>
      </w:r>
    </w:p>
    <w:p w:rsidR="005C1835" w:rsidRPr="005C1835" w:rsidRDefault="005C1835" w:rsidP="005E3AC1">
      <w:pPr>
        <w:jc w:val="both"/>
        <w:rPr>
          <w:rFonts w:ascii="Helv" w:eastAsiaTheme="minorHAnsi" w:hAnsi="Helv" w:cs="Helv"/>
          <w:color w:val="0070C0"/>
          <w:szCs w:val="20"/>
        </w:rPr>
      </w:pPr>
      <w:r>
        <w:rPr>
          <w:rFonts w:cs="Arial"/>
          <w:color w:val="0070C0"/>
          <w:szCs w:val="20"/>
        </w:rPr>
        <w:t xml:space="preserve">V primeru morebitnih kontrol na kraju samem pri upravičencu, se preverja dokumentacija oziroma dokazila, ki so določena z javnim razpisom (npr. originalni izpolnjeni in podpisani obrazci). V Obrazcu  1 </w:t>
      </w:r>
      <w:r w:rsidRPr="00366BC3">
        <w:rPr>
          <w:rFonts w:cs="Arial"/>
          <w:i/>
          <w:color w:val="0070C0"/>
          <w:szCs w:val="20"/>
        </w:rPr>
        <w:t xml:space="preserve">Poročilo </w:t>
      </w:r>
      <w:r>
        <w:rPr>
          <w:rFonts w:cs="Arial"/>
          <w:i/>
          <w:color w:val="0070C0"/>
          <w:szCs w:val="20"/>
        </w:rPr>
        <w:t xml:space="preserve">upravičenca o izvedenem </w:t>
      </w:r>
      <w:r w:rsidRPr="0037677D">
        <w:rPr>
          <w:rFonts w:cs="Arial"/>
          <w:i/>
          <w:color w:val="0070C0"/>
          <w:szCs w:val="20"/>
        </w:rPr>
        <w:t>projektu</w:t>
      </w:r>
      <w:r>
        <w:rPr>
          <w:rFonts w:cs="Arial"/>
          <w:color w:val="0070C0"/>
          <w:szCs w:val="20"/>
        </w:rPr>
        <w:t xml:space="preserve"> je na strani 3 (sklicna opomba 1) navedeno: </w:t>
      </w:r>
      <w:r w:rsidRPr="005C1835">
        <w:rPr>
          <w:rFonts w:cs="Arial"/>
          <w:i/>
          <w:color w:val="0070C0"/>
          <w:szCs w:val="20"/>
        </w:rPr>
        <w:t>»U</w:t>
      </w:r>
      <w:r w:rsidRPr="005C1835">
        <w:rPr>
          <w:rFonts w:eastAsiaTheme="minorHAnsi" w:cs="Arial"/>
          <w:i/>
          <w:color w:val="0070C0"/>
          <w:szCs w:val="20"/>
        </w:rPr>
        <w:t xml:space="preserve">pravičenec ministrstvu poroča o skupnem številu izvedenih ur vseh vključenih partnerjev na projektu (pedagoški mentor, partner iz delovnega okolja in študenti) in skupnem številu ur za posamezne partnerje. Upravičenec mora zagotoviti, da so izvedene ure vsakega od vključenih partnerjev, o katerih poroča v tem poročilu, ustrezno dokumentirane in pisno potrjene s strani vključenega partnerja ter jih mora pri sebi hraniti kot dokazila, ki so lahko predmet preverjanja na kraju samem«. </w:t>
      </w:r>
      <w:r w:rsidRPr="00390DC3">
        <w:rPr>
          <w:rFonts w:cs="Arial"/>
          <w:color w:val="0070C0"/>
          <w:szCs w:val="20"/>
        </w:rPr>
        <w:t>Posamezni prijavitelj (univerza ali samostojni visokošolski zavod) je dolžan upoštevati veljavno zakonodajo v Republiki Sloveniji, ki je predpisana za posamezna področja in poslovati skladno s predpisanimi računovodskimi standardi, ki veljajo v Republiki Sloveniji ter so v skladu z veljavnimi pravili Evropske unije</w:t>
      </w:r>
      <w:r>
        <w:rPr>
          <w:rFonts w:cs="Arial"/>
          <w:color w:val="0070C0"/>
          <w:szCs w:val="20"/>
        </w:rPr>
        <w:t xml:space="preserve">. </w:t>
      </w:r>
    </w:p>
    <w:p w:rsidR="008D5625" w:rsidRDefault="008D5625" w:rsidP="005E3AC1">
      <w:pPr>
        <w:jc w:val="both"/>
        <w:rPr>
          <w:rFonts w:cs="Arial"/>
          <w:color w:val="0070C0"/>
          <w:szCs w:val="20"/>
        </w:rPr>
      </w:pPr>
    </w:p>
    <w:p w:rsidR="00FD34E7" w:rsidRPr="00FD34E7" w:rsidRDefault="00FD34E7" w:rsidP="00FD34E7">
      <w:pPr>
        <w:pStyle w:val="Odstavekseznama"/>
        <w:numPr>
          <w:ilvl w:val="0"/>
          <w:numId w:val="1"/>
        </w:numPr>
        <w:jc w:val="both"/>
        <w:rPr>
          <w:rFonts w:cs="Arial"/>
          <w:szCs w:val="20"/>
        </w:rPr>
      </w:pPr>
      <w:r w:rsidRPr="00FD34E7">
        <w:rPr>
          <w:rFonts w:eastAsiaTheme="minorHAnsi" w:cs="Arial"/>
          <w:szCs w:val="20"/>
        </w:rPr>
        <w:t>Skladno z opisom Metodologije pri prvem vprašanju, ki predstavlja tudi stroške podpornega osebja, in Obrazcem 1- Poročilo upravičenca o izvedenem</w:t>
      </w:r>
      <w:r w:rsidR="00F6704F">
        <w:rPr>
          <w:rFonts w:eastAsiaTheme="minorHAnsi" w:cs="Arial"/>
          <w:szCs w:val="20"/>
        </w:rPr>
        <w:t xml:space="preserve"> projektu, v katerem v točki 3.</w:t>
      </w:r>
      <w:r w:rsidRPr="00FD34E7">
        <w:rPr>
          <w:rFonts w:eastAsiaTheme="minorHAnsi" w:cs="Arial"/>
          <w:szCs w:val="20"/>
        </w:rPr>
        <w:t>6 predpostavljate sodelovanje podpornega strokovn</w:t>
      </w:r>
      <w:r w:rsidR="00A52DAA">
        <w:rPr>
          <w:rFonts w:eastAsiaTheme="minorHAnsi" w:cs="Arial"/>
          <w:szCs w:val="20"/>
        </w:rPr>
        <w:t>ega osebja, ki pa ga v točki 3.</w:t>
      </w:r>
      <w:r w:rsidRPr="00FD34E7">
        <w:rPr>
          <w:rFonts w:eastAsiaTheme="minorHAnsi" w:cs="Arial"/>
          <w:szCs w:val="20"/>
        </w:rPr>
        <w:t>7 ne vključujete pri opredelitvi števila opravljenih ur na projektu, prosimo za pojasnilo glede oblike in predvidenih stroškov sodelovanja podpornega osebja.</w:t>
      </w:r>
    </w:p>
    <w:p w:rsidR="00FD34E7" w:rsidRDefault="00FD34E7" w:rsidP="00FD34E7">
      <w:pPr>
        <w:jc w:val="both"/>
        <w:rPr>
          <w:rFonts w:cs="Arial"/>
          <w:szCs w:val="20"/>
        </w:rPr>
      </w:pPr>
    </w:p>
    <w:p w:rsidR="00FD34E7" w:rsidRDefault="00FD34E7" w:rsidP="00FD34E7">
      <w:pPr>
        <w:jc w:val="both"/>
        <w:rPr>
          <w:rFonts w:cs="Arial"/>
          <w:color w:val="0070C0"/>
          <w:szCs w:val="20"/>
        </w:rPr>
      </w:pPr>
      <w:r>
        <w:rPr>
          <w:rFonts w:cs="Arial"/>
          <w:color w:val="0070C0"/>
          <w:szCs w:val="20"/>
        </w:rPr>
        <w:t xml:space="preserve">Sodelovanje </w:t>
      </w:r>
      <w:r w:rsidR="007A4047">
        <w:rPr>
          <w:rFonts w:cs="Arial"/>
          <w:color w:val="0070C0"/>
          <w:szCs w:val="20"/>
        </w:rPr>
        <w:t xml:space="preserve">strokovnega </w:t>
      </w:r>
      <w:r>
        <w:rPr>
          <w:rFonts w:cs="Arial"/>
          <w:color w:val="0070C0"/>
          <w:szCs w:val="20"/>
        </w:rPr>
        <w:t xml:space="preserve">podpornega osebja se pričakuje v obliki administrativne in tehnične podpore </w:t>
      </w:r>
      <w:r w:rsidR="007A4047">
        <w:rPr>
          <w:rFonts w:cs="Arial"/>
          <w:color w:val="0070C0"/>
          <w:szCs w:val="20"/>
        </w:rPr>
        <w:t xml:space="preserve">na projektu </w:t>
      </w:r>
      <w:r w:rsidR="00F8633E">
        <w:rPr>
          <w:rFonts w:cs="Arial"/>
          <w:color w:val="0070C0"/>
          <w:szCs w:val="20"/>
        </w:rPr>
        <w:t xml:space="preserve">kot npr. </w:t>
      </w:r>
      <w:r w:rsidR="00064769">
        <w:rPr>
          <w:rFonts w:cs="Arial"/>
          <w:color w:val="0070C0"/>
          <w:szCs w:val="20"/>
        </w:rPr>
        <w:t xml:space="preserve">pridobivanje in </w:t>
      </w:r>
      <w:r w:rsidR="00F6704F">
        <w:rPr>
          <w:rFonts w:cs="Arial"/>
          <w:color w:val="0070C0"/>
          <w:szCs w:val="20"/>
        </w:rPr>
        <w:t>spremljanje</w:t>
      </w:r>
      <w:r>
        <w:rPr>
          <w:rFonts w:cs="Arial"/>
          <w:color w:val="0070C0"/>
          <w:szCs w:val="20"/>
        </w:rPr>
        <w:t xml:space="preserve"> </w:t>
      </w:r>
      <w:r w:rsidR="00F6704F">
        <w:rPr>
          <w:rFonts w:cs="Arial"/>
          <w:color w:val="0070C0"/>
          <w:szCs w:val="20"/>
        </w:rPr>
        <w:t xml:space="preserve">različnih </w:t>
      </w:r>
      <w:r>
        <w:rPr>
          <w:rFonts w:cs="Arial"/>
          <w:color w:val="0070C0"/>
          <w:szCs w:val="20"/>
        </w:rPr>
        <w:t xml:space="preserve">podatkov o vključenih partnerjih, </w:t>
      </w:r>
      <w:r w:rsidR="00152682">
        <w:rPr>
          <w:rFonts w:cs="Arial"/>
          <w:color w:val="0070C0"/>
          <w:szCs w:val="20"/>
        </w:rPr>
        <w:t xml:space="preserve">pregled ustreznosti izpolnjenih podatkov, </w:t>
      </w:r>
      <w:r w:rsidR="001C1706">
        <w:rPr>
          <w:rFonts w:cs="Arial"/>
          <w:color w:val="0070C0"/>
          <w:szCs w:val="20"/>
        </w:rPr>
        <w:t xml:space="preserve">administrativna </w:t>
      </w:r>
      <w:r w:rsidR="00152682">
        <w:rPr>
          <w:rFonts w:cs="Arial"/>
          <w:color w:val="0070C0"/>
          <w:szCs w:val="20"/>
        </w:rPr>
        <w:t>priprava finančnih in vsebinskih poročil</w:t>
      </w:r>
      <w:r w:rsidR="005727EA">
        <w:rPr>
          <w:rFonts w:cs="Arial"/>
          <w:color w:val="0070C0"/>
          <w:szCs w:val="20"/>
        </w:rPr>
        <w:t xml:space="preserve"> ipd</w:t>
      </w:r>
      <w:r w:rsidR="007A4047">
        <w:rPr>
          <w:rFonts w:cs="Arial"/>
          <w:color w:val="0070C0"/>
          <w:szCs w:val="20"/>
        </w:rPr>
        <w:t>.</w:t>
      </w:r>
      <w:r w:rsidR="005727EA">
        <w:rPr>
          <w:rFonts w:cs="Arial"/>
          <w:color w:val="0070C0"/>
          <w:szCs w:val="20"/>
        </w:rPr>
        <w:t xml:space="preserve"> </w:t>
      </w:r>
      <w:r w:rsidR="007A4047">
        <w:rPr>
          <w:rFonts w:cs="Arial"/>
          <w:color w:val="0070C0"/>
          <w:szCs w:val="20"/>
        </w:rPr>
        <w:t>V okviru</w:t>
      </w:r>
      <w:r w:rsidR="000C7B58">
        <w:rPr>
          <w:rFonts w:cs="Arial"/>
          <w:color w:val="0070C0"/>
          <w:szCs w:val="20"/>
        </w:rPr>
        <w:t xml:space="preserve"> sprejete metodologije ministrstva</w:t>
      </w:r>
      <w:r w:rsidR="007A4047">
        <w:rPr>
          <w:rFonts w:cs="Arial"/>
          <w:color w:val="0070C0"/>
          <w:szCs w:val="20"/>
        </w:rPr>
        <w:t xml:space="preserve"> </w:t>
      </w:r>
      <w:r w:rsidR="000C7B58">
        <w:rPr>
          <w:rFonts w:cs="Arial"/>
          <w:color w:val="0070C0"/>
          <w:szCs w:val="20"/>
        </w:rPr>
        <w:t xml:space="preserve">je </w:t>
      </w:r>
      <w:r w:rsidR="007A4047">
        <w:rPr>
          <w:rFonts w:cs="Arial"/>
          <w:color w:val="0070C0"/>
          <w:szCs w:val="20"/>
        </w:rPr>
        <w:t xml:space="preserve">v izračun že vključen tudi strošek </w:t>
      </w:r>
      <w:r w:rsidR="00953C34">
        <w:rPr>
          <w:rFonts w:cs="Arial"/>
          <w:color w:val="0070C0"/>
          <w:szCs w:val="20"/>
        </w:rPr>
        <w:t xml:space="preserve">sodelovanja </w:t>
      </w:r>
      <w:r w:rsidR="007A4047">
        <w:rPr>
          <w:rFonts w:cs="Arial"/>
          <w:color w:val="0070C0"/>
          <w:szCs w:val="20"/>
        </w:rPr>
        <w:t>strokovnega podpornega osebja na visokošolskem zavodu</w:t>
      </w:r>
      <w:r w:rsidR="00D76D6D">
        <w:rPr>
          <w:rFonts w:cs="Arial"/>
          <w:color w:val="0070C0"/>
          <w:szCs w:val="20"/>
        </w:rPr>
        <w:t xml:space="preserve"> kot je opredeljeno tudi v točki 12 javnega razpisa </w:t>
      </w:r>
      <w:r w:rsidR="00D76D6D" w:rsidRPr="00366BC3">
        <w:rPr>
          <w:rFonts w:cs="Arial"/>
          <w:i/>
          <w:color w:val="0070C0"/>
          <w:szCs w:val="20"/>
        </w:rPr>
        <w:t>Upravičeni stroški način financiranja in predplačila</w:t>
      </w:r>
      <w:r w:rsidR="00D76D6D">
        <w:rPr>
          <w:rFonts w:cs="Arial"/>
          <w:i/>
          <w:color w:val="0070C0"/>
          <w:szCs w:val="20"/>
        </w:rPr>
        <w:t xml:space="preserve"> </w:t>
      </w:r>
      <w:r w:rsidR="00D76D6D">
        <w:rPr>
          <w:rFonts w:cs="Arial"/>
          <w:color w:val="0070C0"/>
          <w:szCs w:val="20"/>
        </w:rPr>
        <w:t>na strani 15</w:t>
      </w:r>
      <w:r w:rsidR="001C1706">
        <w:rPr>
          <w:rFonts w:cs="Arial"/>
          <w:color w:val="0070C0"/>
          <w:szCs w:val="20"/>
        </w:rPr>
        <w:t xml:space="preserve"> (prva in druga alineja drugega odstavka)</w:t>
      </w:r>
      <w:r w:rsidR="00D76D6D">
        <w:rPr>
          <w:rFonts w:cs="Arial"/>
          <w:color w:val="0070C0"/>
          <w:szCs w:val="20"/>
        </w:rPr>
        <w:t xml:space="preserve"> in </w:t>
      </w:r>
      <w:r w:rsidR="001C1706">
        <w:rPr>
          <w:rFonts w:cs="Arial"/>
          <w:color w:val="0070C0"/>
          <w:szCs w:val="20"/>
        </w:rPr>
        <w:t xml:space="preserve">na strani </w:t>
      </w:r>
      <w:r w:rsidR="00D76D6D">
        <w:rPr>
          <w:rFonts w:cs="Arial"/>
          <w:color w:val="0070C0"/>
          <w:szCs w:val="20"/>
        </w:rPr>
        <w:t>16</w:t>
      </w:r>
      <w:r w:rsidR="001C1706">
        <w:rPr>
          <w:rFonts w:cs="Arial"/>
          <w:color w:val="0070C0"/>
          <w:szCs w:val="20"/>
        </w:rPr>
        <w:t xml:space="preserve"> (</w:t>
      </w:r>
      <w:r w:rsidR="00B45401">
        <w:rPr>
          <w:rFonts w:cs="Arial"/>
          <w:color w:val="0070C0"/>
          <w:szCs w:val="20"/>
        </w:rPr>
        <w:t>tretji</w:t>
      </w:r>
      <w:r w:rsidR="001C1706">
        <w:rPr>
          <w:rFonts w:cs="Arial"/>
          <w:color w:val="0070C0"/>
          <w:szCs w:val="20"/>
        </w:rPr>
        <w:t xml:space="preserve"> odstavek</w:t>
      </w:r>
      <w:r w:rsidR="00C21CE9">
        <w:rPr>
          <w:rFonts w:cs="Arial"/>
          <w:color w:val="0070C0"/>
          <w:szCs w:val="20"/>
        </w:rPr>
        <w:t xml:space="preserve"> 12. točke javnega razpisa</w:t>
      </w:r>
      <w:r w:rsidR="00F8633E">
        <w:rPr>
          <w:rFonts w:cs="Arial"/>
          <w:color w:val="0070C0"/>
          <w:szCs w:val="20"/>
        </w:rPr>
        <w:t>)</w:t>
      </w:r>
      <w:r w:rsidR="007A4047">
        <w:rPr>
          <w:rFonts w:cs="Arial"/>
          <w:color w:val="0070C0"/>
          <w:szCs w:val="20"/>
        </w:rPr>
        <w:t xml:space="preserve">. </w:t>
      </w:r>
    </w:p>
    <w:p w:rsidR="008D5625" w:rsidRDefault="008D5625" w:rsidP="00FD34E7">
      <w:pPr>
        <w:jc w:val="both"/>
        <w:rPr>
          <w:rFonts w:cs="Arial"/>
          <w:color w:val="0070C0"/>
          <w:szCs w:val="20"/>
        </w:rPr>
      </w:pPr>
    </w:p>
    <w:p w:rsidR="00FD34E7" w:rsidRPr="001221CD" w:rsidRDefault="001221CD" w:rsidP="001221CD">
      <w:pPr>
        <w:pStyle w:val="Odstavekseznama"/>
        <w:numPr>
          <w:ilvl w:val="0"/>
          <w:numId w:val="1"/>
        </w:numPr>
        <w:jc w:val="both"/>
        <w:rPr>
          <w:rFonts w:cs="Arial"/>
          <w:szCs w:val="20"/>
        </w:rPr>
      </w:pPr>
      <w:r w:rsidRPr="001221CD">
        <w:rPr>
          <w:rFonts w:eastAsiaTheme="minorHAnsi" w:cs="Arial"/>
          <w:szCs w:val="20"/>
        </w:rPr>
        <w:t>Prosimo za potrditev pravilnosti razumevanja priprave finančnega načrta za prijavitelje, ki imamo članice s sedežem tako v kohezijski regiji Vzhodna Slovenija, kot v kohezijski regiji Zahodna Slovenija, in sicer v primeru Univerze v Mariboru pomeni, da moramo zagotoviti vsaj 11, 76 % sredstev na članicah v KRZS? Ali se delež računa glede na skupni znesek celotne prijave (torej sklopa A in sklopa B) ali na posamezni sklop? Na kak način je relevantno obdobje trajanje projekta, skladno s četrto alinejo dodatnega pojasnila na str. 5 Navodil za prijavo, če projekti glede na sklop prejmejo vnaprej določeno vsoto?</w:t>
      </w:r>
    </w:p>
    <w:p w:rsidR="001221CD" w:rsidRDefault="001221CD" w:rsidP="001221CD">
      <w:pPr>
        <w:jc w:val="both"/>
        <w:rPr>
          <w:rFonts w:cs="Arial"/>
          <w:szCs w:val="20"/>
        </w:rPr>
      </w:pPr>
    </w:p>
    <w:p w:rsidR="00E9604D" w:rsidRDefault="00D213E4" w:rsidP="001221CD">
      <w:pPr>
        <w:jc w:val="both"/>
        <w:rPr>
          <w:rFonts w:eastAsiaTheme="minorHAnsi" w:cs="Arial"/>
          <w:color w:val="0070C0"/>
          <w:szCs w:val="20"/>
        </w:rPr>
      </w:pPr>
      <w:r w:rsidRPr="00F70CF9">
        <w:rPr>
          <w:rFonts w:cs="Arial"/>
          <w:bCs/>
          <w:color w:val="0070C0"/>
        </w:rPr>
        <w:t>Da</w:t>
      </w:r>
      <w:r w:rsidR="00C310D5">
        <w:rPr>
          <w:rFonts w:cs="Arial"/>
          <w:bCs/>
          <w:color w:val="0070C0"/>
        </w:rPr>
        <w:t>, zagotovljenih mora biti najmanj 11, 76 % sredstev na članicah KRZS</w:t>
      </w:r>
      <w:r w:rsidR="00972A8E">
        <w:rPr>
          <w:rFonts w:cs="Arial"/>
          <w:bCs/>
          <w:color w:val="0070C0"/>
        </w:rPr>
        <w:t xml:space="preserve">. </w:t>
      </w:r>
      <w:r w:rsidR="00C310D5">
        <w:rPr>
          <w:rFonts w:cs="Arial"/>
          <w:color w:val="0070C0"/>
          <w:szCs w:val="20"/>
        </w:rPr>
        <w:t>Primer</w:t>
      </w:r>
      <w:r w:rsidR="00972A8E" w:rsidRPr="00972A8E">
        <w:rPr>
          <w:rFonts w:cs="Arial"/>
          <w:color w:val="0070C0"/>
          <w:szCs w:val="20"/>
        </w:rPr>
        <w:t>: število vseh članic: 17, število članic v KRV</w:t>
      </w:r>
      <w:r w:rsidR="00C310D5">
        <w:rPr>
          <w:rFonts w:cs="Arial"/>
          <w:color w:val="0070C0"/>
          <w:szCs w:val="20"/>
        </w:rPr>
        <w:t>S: 15, število članic v KRZS</w:t>
      </w:r>
      <w:r w:rsidR="00003AA0">
        <w:rPr>
          <w:rFonts w:cs="Arial"/>
          <w:color w:val="0070C0"/>
          <w:szCs w:val="20"/>
        </w:rPr>
        <w:t>: 2</w:t>
      </w:r>
      <w:r w:rsidR="00C310D5">
        <w:rPr>
          <w:rFonts w:cs="Arial"/>
          <w:color w:val="0070C0"/>
          <w:szCs w:val="20"/>
        </w:rPr>
        <w:t>.</w:t>
      </w:r>
      <w:r w:rsidR="00972A8E" w:rsidRPr="00972A8E">
        <w:rPr>
          <w:rFonts w:cs="Arial"/>
          <w:color w:val="0070C0"/>
          <w:szCs w:val="20"/>
        </w:rPr>
        <w:t xml:space="preserve"> </w:t>
      </w:r>
      <w:r w:rsidR="00972A8E" w:rsidRPr="00003AA0">
        <w:rPr>
          <w:rFonts w:cs="Arial"/>
          <w:bCs/>
          <w:color w:val="0070C0"/>
        </w:rPr>
        <w:t>Razmerje med KRVS in KRZS je v finančnem načrtu zakroženo na dve decimalni številki, in sicer na 88,23</w:t>
      </w:r>
      <w:r w:rsidR="00972A8E" w:rsidRPr="00F70CF9">
        <w:rPr>
          <w:rFonts w:cs="Arial"/>
          <w:bCs/>
          <w:color w:val="0070C0"/>
        </w:rPr>
        <w:t xml:space="preserve"> % za KRVS in 11,76 % za KRZS. Razmerje med KRVS in KRZS se lahko v finančnem načrtu procentualno poviša v KRVS, ne pa tudi v KRZS.</w:t>
      </w:r>
      <w:r w:rsidR="00972A8E">
        <w:rPr>
          <w:rFonts w:cs="Arial"/>
          <w:bCs/>
          <w:color w:val="0070C0"/>
        </w:rPr>
        <w:t xml:space="preserve"> Delež se v Prilogo 3 </w:t>
      </w:r>
      <w:r w:rsidR="00972A8E" w:rsidRPr="00D32523">
        <w:rPr>
          <w:rFonts w:cs="Arial"/>
          <w:bCs/>
          <w:i/>
          <w:color w:val="0070C0"/>
        </w:rPr>
        <w:t>Finančni načrt</w:t>
      </w:r>
      <w:r w:rsidR="00972A8E">
        <w:rPr>
          <w:rFonts w:cs="Arial"/>
          <w:bCs/>
          <w:color w:val="0070C0"/>
        </w:rPr>
        <w:t xml:space="preserve"> izračuna glede na posamezni sklop</w:t>
      </w:r>
      <w:r w:rsidR="00EA1762">
        <w:rPr>
          <w:rFonts w:cs="Arial"/>
          <w:bCs/>
          <w:color w:val="0070C0"/>
        </w:rPr>
        <w:t>, (Sklop A, Sklop B)</w:t>
      </w:r>
      <w:r w:rsidR="00972A8E">
        <w:rPr>
          <w:rFonts w:cs="Arial"/>
          <w:bCs/>
          <w:color w:val="0070C0"/>
        </w:rPr>
        <w:t xml:space="preserve"> ki ga prijavitelj prijavi. </w:t>
      </w:r>
      <w:r w:rsidR="00972A8E">
        <w:rPr>
          <w:rFonts w:eastAsiaTheme="minorHAnsi" w:cs="Arial"/>
          <w:color w:val="0070C0"/>
          <w:szCs w:val="20"/>
        </w:rPr>
        <w:t>Obdobje trajanja projekta je</w:t>
      </w:r>
      <w:r w:rsidR="00972A8E" w:rsidRPr="00D32523">
        <w:rPr>
          <w:rFonts w:eastAsiaTheme="minorHAnsi" w:cs="Arial"/>
          <w:color w:val="0070C0"/>
          <w:szCs w:val="20"/>
        </w:rPr>
        <w:t xml:space="preserve"> skladno s četrto alinejo dodatnega pojasni</w:t>
      </w:r>
      <w:r w:rsidR="001E6FE3">
        <w:rPr>
          <w:rFonts w:eastAsiaTheme="minorHAnsi" w:cs="Arial"/>
          <w:color w:val="0070C0"/>
          <w:szCs w:val="20"/>
        </w:rPr>
        <w:t>la na strani</w:t>
      </w:r>
      <w:r w:rsidR="00972A8E">
        <w:rPr>
          <w:rFonts w:eastAsiaTheme="minorHAnsi" w:cs="Arial"/>
          <w:color w:val="0070C0"/>
          <w:szCs w:val="20"/>
        </w:rPr>
        <w:t xml:space="preserve"> 5 </w:t>
      </w:r>
      <w:r w:rsidR="00972A8E" w:rsidRPr="00972A8E">
        <w:rPr>
          <w:rFonts w:eastAsiaTheme="minorHAnsi" w:cs="Arial"/>
          <w:i/>
          <w:color w:val="0070C0"/>
          <w:szCs w:val="20"/>
        </w:rPr>
        <w:t>Navodil za prijavo</w:t>
      </w:r>
      <w:r w:rsidR="00972A8E">
        <w:rPr>
          <w:rFonts w:eastAsiaTheme="minorHAnsi" w:cs="Arial"/>
          <w:color w:val="0070C0"/>
          <w:szCs w:val="20"/>
        </w:rPr>
        <w:t>.</w:t>
      </w:r>
    </w:p>
    <w:p w:rsidR="008D5625" w:rsidRPr="00972A8E" w:rsidRDefault="008D5625" w:rsidP="001221CD">
      <w:pPr>
        <w:jc w:val="both"/>
        <w:rPr>
          <w:rFonts w:cs="Arial"/>
          <w:color w:val="0070C0"/>
          <w:szCs w:val="20"/>
        </w:rPr>
      </w:pPr>
    </w:p>
    <w:p w:rsidR="00182F1B" w:rsidRPr="00182F1B" w:rsidRDefault="001E6FE3" w:rsidP="00182F1B">
      <w:pPr>
        <w:pStyle w:val="Odstavekseznama"/>
        <w:numPr>
          <w:ilvl w:val="0"/>
          <w:numId w:val="1"/>
        </w:numPr>
        <w:spacing w:line="240" w:lineRule="auto"/>
        <w:jc w:val="both"/>
        <w:rPr>
          <w:rFonts w:cs="Arial"/>
          <w:szCs w:val="20"/>
          <w14:ligatures w14:val="standardContextual"/>
        </w:rPr>
      </w:pPr>
      <w:r w:rsidRPr="00182F1B">
        <w:rPr>
          <w:rFonts w:eastAsiaTheme="minorHAnsi" w:cs="Arial"/>
          <w:szCs w:val="20"/>
        </w:rPr>
        <w:t>A</w:t>
      </w:r>
      <w:r w:rsidR="00E9604D" w:rsidRPr="00182F1B">
        <w:rPr>
          <w:rFonts w:eastAsiaTheme="minorHAnsi" w:cs="Arial"/>
          <w:szCs w:val="20"/>
        </w:rPr>
        <w:t>li je določeno tudi minimalno trajanje projektnih dejavnosti po sklopih, npr. minimalno</w:t>
      </w:r>
      <w:r w:rsidRPr="00182F1B">
        <w:rPr>
          <w:rFonts w:eastAsiaTheme="minorHAnsi" w:cs="Arial"/>
          <w:szCs w:val="20"/>
        </w:rPr>
        <w:t xml:space="preserve"> 1 mesec za izvedbo</w:t>
      </w:r>
      <w:r w:rsidR="00182F1B" w:rsidRPr="00182F1B">
        <w:rPr>
          <w:rFonts w:eastAsiaTheme="minorHAnsi" w:cs="Arial"/>
          <w:szCs w:val="20"/>
        </w:rPr>
        <w:t xml:space="preserve"> projektnih aktivnosti Sklopa A in </w:t>
      </w:r>
      <w:r w:rsidR="00182F1B" w:rsidRPr="00182F1B">
        <w:rPr>
          <w:rFonts w:cs="Arial"/>
          <w:szCs w:val="20"/>
          <w14:ligatures w14:val="standardContextual"/>
        </w:rPr>
        <w:t xml:space="preserve">ali v primeru »lump sum« </w:t>
      </w:r>
      <w:r w:rsidR="00FC65D8">
        <w:rPr>
          <w:rFonts w:cs="Arial"/>
          <w:szCs w:val="20"/>
          <w14:ligatures w14:val="standardContextual"/>
        </w:rPr>
        <w:t xml:space="preserve">in ali </w:t>
      </w:r>
      <w:r w:rsidR="00182F1B" w:rsidRPr="00182F1B">
        <w:rPr>
          <w:rFonts w:cs="Arial"/>
          <w:szCs w:val="20"/>
          <w14:ligatures w14:val="standardContextual"/>
        </w:rPr>
        <w:t xml:space="preserve">vedno poročamo 20.600,00 eur za projekte Sklopa A in 10.500,00 EUR za sklop B, ne glede na obdobje trajanja projekta, števila vključenih oseb in opravljenega števila ur (upoštevajoč obvezni minimum, torej 1450 ur oz. 645 ur)? </w:t>
      </w:r>
    </w:p>
    <w:p w:rsidR="00E9604D" w:rsidRPr="008E2C1F" w:rsidRDefault="00E9604D" w:rsidP="008E2C1F">
      <w:pPr>
        <w:jc w:val="both"/>
        <w:rPr>
          <w:rFonts w:cs="Arial"/>
          <w:szCs w:val="20"/>
        </w:rPr>
      </w:pPr>
    </w:p>
    <w:p w:rsidR="00390DC3" w:rsidRDefault="00E9604D" w:rsidP="00E9604D">
      <w:pPr>
        <w:jc w:val="both"/>
        <w:rPr>
          <w:rFonts w:cs="Arial"/>
          <w:color w:val="0070C0"/>
          <w:szCs w:val="20"/>
        </w:rPr>
      </w:pPr>
      <w:r>
        <w:rPr>
          <w:rFonts w:cs="Arial"/>
          <w:color w:val="0070C0"/>
          <w:szCs w:val="20"/>
        </w:rPr>
        <w:t>V javnem razpisu je</w:t>
      </w:r>
      <w:r w:rsidR="00CD4561">
        <w:rPr>
          <w:rFonts w:cs="Arial"/>
          <w:color w:val="0070C0"/>
          <w:szCs w:val="20"/>
        </w:rPr>
        <w:t xml:space="preserve"> v točki 12 </w:t>
      </w:r>
      <w:r>
        <w:rPr>
          <w:rFonts w:cs="Arial"/>
          <w:color w:val="0070C0"/>
          <w:szCs w:val="20"/>
        </w:rPr>
        <w:t xml:space="preserve"> </w:t>
      </w:r>
      <w:r w:rsidR="00CD4561" w:rsidRPr="00366BC3">
        <w:rPr>
          <w:rFonts w:cs="Arial"/>
          <w:i/>
          <w:color w:val="0070C0"/>
          <w:szCs w:val="20"/>
        </w:rPr>
        <w:t>Upravičeni stroški način financiranja in predplačila</w:t>
      </w:r>
      <w:r w:rsidR="00CD4561">
        <w:rPr>
          <w:rFonts w:cs="Arial"/>
          <w:color w:val="0070C0"/>
          <w:szCs w:val="20"/>
        </w:rPr>
        <w:t xml:space="preserve"> na strani 16 v primeru Sklopa A navedeno, da morajo vsi vključeni partnerji </w:t>
      </w:r>
      <w:r w:rsidRPr="00E9604D">
        <w:rPr>
          <w:rFonts w:cs="Arial"/>
          <w:color w:val="0070C0"/>
          <w:szCs w:val="20"/>
        </w:rPr>
        <w:t>(</w:t>
      </w:r>
      <w:r w:rsidR="00182F1B">
        <w:rPr>
          <w:rFonts w:cs="Arial"/>
          <w:color w:val="0070C0"/>
          <w:szCs w:val="20"/>
        </w:rPr>
        <w:t xml:space="preserve">najmanj en </w:t>
      </w:r>
      <w:r w:rsidRPr="00E9604D">
        <w:rPr>
          <w:rFonts w:cs="Arial"/>
          <w:color w:val="0070C0"/>
          <w:szCs w:val="20"/>
        </w:rPr>
        <w:t xml:space="preserve">pedagoški mentor, </w:t>
      </w:r>
      <w:r w:rsidR="00182F1B">
        <w:rPr>
          <w:rFonts w:cs="Arial"/>
          <w:color w:val="0070C0"/>
          <w:szCs w:val="20"/>
        </w:rPr>
        <w:t xml:space="preserve">najmanj en </w:t>
      </w:r>
      <w:r w:rsidRPr="00E9604D">
        <w:rPr>
          <w:rFonts w:cs="Arial"/>
          <w:color w:val="0070C0"/>
          <w:szCs w:val="20"/>
        </w:rPr>
        <w:t xml:space="preserve">delovni mentor iz gospodarstva in </w:t>
      </w:r>
      <w:r w:rsidR="00182F1B">
        <w:rPr>
          <w:rFonts w:cs="Arial"/>
          <w:color w:val="0070C0"/>
          <w:szCs w:val="20"/>
        </w:rPr>
        <w:t>najmanj šest do deset študentov</w:t>
      </w:r>
      <w:r w:rsidRPr="00E9604D">
        <w:rPr>
          <w:rFonts w:cs="Arial"/>
          <w:color w:val="0070C0"/>
          <w:szCs w:val="20"/>
        </w:rPr>
        <w:t xml:space="preserve">) </w:t>
      </w:r>
      <w:r w:rsidR="00CD4561">
        <w:rPr>
          <w:rFonts w:cs="Arial"/>
          <w:color w:val="0070C0"/>
          <w:szCs w:val="20"/>
        </w:rPr>
        <w:t>v obdobju trajanja projekta (do pet mesecev) opraviti skupaj najmanj 1450 ur</w:t>
      </w:r>
      <w:r w:rsidR="008E2C1F">
        <w:rPr>
          <w:rFonts w:cs="Arial"/>
          <w:color w:val="0070C0"/>
          <w:szCs w:val="20"/>
        </w:rPr>
        <w:t>.  V primeru Sklopa B</w:t>
      </w:r>
      <w:r w:rsidR="00CD4561">
        <w:rPr>
          <w:rFonts w:cs="Arial"/>
          <w:color w:val="0070C0"/>
          <w:szCs w:val="20"/>
        </w:rPr>
        <w:t xml:space="preserve"> </w:t>
      </w:r>
      <w:r w:rsidR="00CD4561" w:rsidRPr="00CD4561">
        <w:rPr>
          <w:rFonts w:cs="Arial"/>
          <w:color w:val="0070C0"/>
          <w:szCs w:val="20"/>
        </w:rPr>
        <w:t>morajo vsi vključeni partnerji (</w:t>
      </w:r>
      <w:r w:rsidR="00182F1B">
        <w:rPr>
          <w:rFonts w:cs="Arial"/>
          <w:color w:val="0070C0"/>
          <w:szCs w:val="20"/>
        </w:rPr>
        <w:t xml:space="preserve">najmanj en </w:t>
      </w:r>
      <w:r w:rsidR="00CD4561" w:rsidRPr="00CD4561">
        <w:rPr>
          <w:rFonts w:cs="Arial"/>
          <w:color w:val="0070C0"/>
          <w:szCs w:val="20"/>
        </w:rPr>
        <w:t xml:space="preserve">pedagoški mentor, </w:t>
      </w:r>
      <w:r w:rsidR="00182F1B">
        <w:rPr>
          <w:rFonts w:cs="Arial"/>
          <w:color w:val="0070C0"/>
          <w:szCs w:val="20"/>
        </w:rPr>
        <w:t xml:space="preserve">najmanj en </w:t>
      </w:r>
      <w:r w:rsidR="00CD4561" w:rsidRPr="00CD4561">
        <w:rPr>
          <w:rFonts w:cs="Arial"/>
          <w:color w:val="0070C0"/>
          <w:szCs w:val="20"/>
        </w:rPr>
        <w:t xml:space="preserve">strokovni sodelavec iz lokalnega/regionalnega okolja in </w:t>
      </w:r>
      <w:r w:rsidR="00182F1B">
        <w:rPr>
          <w:rFonts w:cs="Arial"/>
          <w:color w:val="0070C0"/>
          <w:szCs w:val="20"/>
        </w:rPr>
        <w:t xml:space="preserve">najmanj štiri in največ osem študentov) </w:t>
      </w:r>
      <w:r w:rsidR="00CD4561" w:rsidRPr="00CD4561">
        <w:rPr>
          <w:rFonts w:cs="Arial"/>
          <w:color w:val="0070C0"/>
          <w:szCs w:val="20"/>
        </w:rPr>
        <w:t>v obdobju trajanja projekta (do tri mesece) opraviti skupaj najmanj 645 ur.</w:t>
      </w:r>
      <w:r w:rsidR="0062294F">
        <w:rPr>
          <w:rFonts w:cs="Arial"/>
          <w:color w:val="0070C0"/>
          <w:szCs w:val="20"/>
        </w:rPr>
        <w:t xml:space="preserve"> </w:t>
      </w:r>
      <w:r w:rsidR="00390DC3">
        <w:rPr>
          <w:rFonts w:cs="Arial"/>
          <w:color w:val="0070C0"/>
          <w:szCs w:val="20"/>
        </w:rPr>
        <w:t xml:space="preserve">V kolikor je ob navedenih pogojih </w:t>
      </w:r>
      <w:r w:rsidR="008E2C1F">
        <w:rPr>
          <w:rFonts w:cs="Arial"/>
          <w:color w:val="0070C0"/>
          <w:szCs w:val="20"/>
        </w:rPr>
        <w:t xml:space="preserve">in </w:t>
      </w:r>
      <w:r w:rsidR="00390DC3">
        <w:rPr>
          <w:rFonts w:cs="Arial"/>
          <w:color w:val="0070C0"/>
          <w:szCs w:val="20"/>
        </w:rPr>
        <w:t>ob upoštevanju nacionalne zakonodaje npr. Zakon</w:t>
      </w:r>
      <w:r w:rsidR="008E2C1F">
        <w:rPr>
          <w:rFonts w:cs="Arial"/>
          <w:color w:val="0070C0"/>
          <w:szCs w:val="20"/>
        </w:rPr>
        <w:t>a</w:t>
      </w:r>
      <w:r w:rsidR="00390DC3">
        <w:rPr>
          <w:rFonts w:cs="Arial"/>
          <w:color w:val="0070C0"/>
          <w:szCs w:val="20"/>
        </w:rPr>
        <w:t xml:space="preserve"> o delovnih razmerjih (ZDR) ipd. projektne aktivnosti</w:t>
      </w:r>
      <w:r w:rsidR="00743A26">
        <w:rPr>
          <w:rFonts w:cs="Arial"/>
          <w:color w:val="0070C0"/>
          <w:szCs w:val="20"/>
        </w:rPr>
        <w:t xml:space="preserve"> mogoče</w:t>
      </w:r>
      <w:r w:rsidR="00390DC3">
        <w:rPr>
          <w:rFonts w:cs="Arial"/>
          <w:color w:val="0070C0"/>
          <w:szCs w:val="20"/>
        </w:rPr>
        <w:t xml:space="preserve"> izvesti </w:t>
      </w:r>
      <w:r w:rsidR="000E38EF">
        <w:rPr>
          <w:rFonts w:cs="Arial"/>
          <w:color w:val="0070C0"/>
          <w:szCs w:val="20"/>
        </w:rPr>
        <w:t>prej, potem se lahko posa</w:t>
      </w:r>
      <w:r w:rsidR="00743A26">
        <w:rPr>
          <w:rFonts w:cs="Arial"/>
          <w:color w:val="0070C0"/>
          <w:szCs w:val="20"/>
        </w:rPr>
        <w:t>mezen projekt zaključi tudi prej.</w:t>
      </w:r>
    </w:p>
    <w:p w:rsidR="00E9604D" w:rsidRPr="008D5625" w:rsidRDefault="000E38EF" w:rsidP="00E9604D">
      <w:pPr>
        <w:jc w:val="both"/>
        <w:rPr>
          <w:rFonts w:cs="Arial"/>
          <w:color w:val="0070C0"/>
          <w:szCs w:val="20"/>
        </w:rPr>
      </w:pPr>
      <w:r>
        <w:rPr>
          <w:rFonts w:cs="Arial"/>
          <w:color w:val="0070C0"/>
          <w:szCs w:val="20"/>
        </w:rPr>
        <w:t>Sicer bo u</w:t>
      </w:r>
      <w:r w:rsidR="0062294F">
        <w:rPr>
          <w:rFonts w:cs="Arial"/>
          <w:color w:val="0070C0"/>
          <w:szCs w:val="20"/>
        </w:rPr>
        <w:t>spešno izvedbo</w:t>
      </w:r>
      <w:r w:rsidR="00CD4561">
        <w:rPr>
          <w:rFonts w:cs="Arial"/>
          <w:color w:val="0070C0"/>
          <w:szCs w:val="20"/>
        </w:rPr>
        <w:t xml:space="preserve"> projekt</w:t>
      </w:r>
      <w:r w:rsidR="0062294F">
        <w:rPr>
          <w:rFonts w:cs="Arial"/>
          <w:color w:val="0070C0"/>
          <w:szCs w:val="20"/>
        </w:rPr>
        <w:t>a</w:t>
      </w:r>
      <w:r>
        <w:rPr>
          <w:rFonts w:cs="Arial"/>
          <w:color w:val="0070C0"/>
          <w:szCs w:val="20"/>
        </w:rPr>
        <w:t xml:space="preserve"> </w:t>
      </w:r>
      <w:r w:rsidR="00CD4561">
        <w:rPr>
          <w:rFonts w:cs="Arial"/>
          <w:color w:val="0070C0"/>
          <w:szCs w:val="20"/>
        </w:rPr>
        <w:t>ministrstvo v procesu poročanja presojalo na podlagi izpolnjenih obrazcev</w:t>
      </w:r>
      <w:r w:rsidR="00A27161">
        <w:rPr>
          <w:rFonts w:cs="Arial"/>
          <w:color w:val="0070C0"/>
          <w:szCs w:val="20"/>
        </w:rPr>
        <w:t xml:space="preserve"> upravičenca</w:t>
      </w:r>
      <w:r w:rsidR="00CD4561">
        <w:rPr>
          <w:rFonts w:cs="Arial"/>
          <w:color w:val="0070C0"/>
          <w:szCs w:val="20"/>
        </w:rPr>
        <w:t xml:space="preserve"> (Obrazec 1: </w:t>
      </w:r>
      <w:r w:rsidR="00CD4561" w:rsidRPr="00366BC3">
        <w:rPr>
          <w:rFonts w:cs="Arial"/>
          <w:i/>
          <w:color w:val="0070C0"/>
          <w:szCs w:val="20"/>
        </w:rPr>
        <w:t xml:space="preserve">Poročilo </w:t>
      </w:r>
      <w:r w:rsidR="00CD4561">
        <w:rPr>
          <w:rFonts w:cs="Arial"/>
          <w:i/>
          <w:color w:val="0070C0"/>
          <w:szCs w:val="20"/>
        </w:rPr>
        <w:t>upravičenca o izvedenem projektu</w:t>
      </w:r>
      <w:r w:rsidR="00CD4561">
        <w:rPr>
          <w:rFonts w:cs="Arial"/>
          <w:color w:val="0070C0"/>
          <w:szCs w:val="20"/>
        </w:rPr>
        <w:t xml:space="preserve">, Obrazec 2: </w:t>
      </w:r>
      <w:r w:rsidR="00CD4561" w:rsidRPr="00366BC3">
        <w:rPr>
          <w:rFonts w:cs="Arial"/>
          <w:i/>
          <w:color w:val="0070C0"/>
          <w:szCs w:val="20"/>
        </w:rPr>
        <w:t>Poročilo pedagoškega mentorja in partnerja iz delovnega okolja o izvedenem projektu</w:t>
      </w:r>
      <w:r w:rsidR="00CD4561">
        <w:rPr>
          <w:rFonts w:cs="Arial"/>
          <w:color w:val="0070C0"/>
          <w:szCs w:val="20"/>
        </w:rPr>
        <w:t xml:space="preserve"> ter v Obrazec 2a </w:t>
      </w:r>
      <w:r w:rsidR="00CD4561" w:rsidRPr="00366BC3">
        <w:rPr>
          <w:rFonts w:cs="Arial"/>
          <w:i/>
          <w:color w:val="0070C0"/>
          <w:szCs w:val="20"/>
        </w:rPr>
        <w:t>Poročilo vključenega študenta o izvedenem projektu</w:t>
      </w:r>
      <w:r w:rsidR="00CD4561">
        <w:rPr>
          <w:rFonts w:cs="Arial"/>
          <w:i/>
          <w:color w:val="0070C0"/>
          <w:szCs w:val="20"/>
        </w:rPr>
        <w:t>)</w:t>
      </w:r>
      <w:r w:rsidR="00CD4561">
        <w:rPr>
          <w:rFonts w:cs="Arial"/>
          <w:color w:val="0070C0"/>
          <w:szCs w:val="20"/>
        </w:rPr>
        <w:t xml:space="preserve"> </w:t>
      </w:r>
      <w:r w:rsidR="00A27161">
        <w:rPr>
          <w:rFonts w:cs="Arial"/>
          <w:color w:val="0070C0"/>
          <w:szCs w:val="20"/>
        </w:rPr>
        <w:t xml:space="preserve">upoštevaje </w:t>
      </w:r>
      <w:r w:rsidR="00CD4561">
        <w:rPr>
          <w:rFonts w:cs="Arial"/>
          <w:color w:val="0070C0"/>
          <w:szCs w:val="20"/>
        </w:rPr>
        <w:t>navedb</w:t>
      </w:r>
      <w:r w:rsidR="00A27161">
        <w:rPr>
          <w:rFonts w:cs="Arial"/>
          <w:color w:val="0070C0"/>
          <w:szCs w:val="20"/>
        </w:rPr>
        <w:t>e</w:t>
      </w:r>
      <w:r w:rsidR="00CD4561">
        <w:rPr>
          <w:rFonts w:cs="Arial"/>
          <w:color w:val="0070C0"/>
          <w:szCs w:val="20"/>
        </w:rPr>
        <w:t xml:space="preserve"> </w:t>
      </w:r>
      <w:r w:rsidR="00C310D5">
        <w:rPr>
          <w:rFonts w:cs="Arial"/>
          <w:color w:val="0070C0"/>
          <w:szCs w:val="20"/>
        </w:rPr>
        <w:t xml:space="preserve">prijavitelja </w:t>
      </w:r>
      <w:r w:rsidR="00CD4561">
        <w:rPr>
          <w:rFonts w:cs="Arial"/>
          <w:color w:val="0070C0"/>
          <w:szCs w:val="20"/>
        </w:rPr>
        <w:t xml:space="preserve">v Prilogi 2 </w:t>
      </w:r>
      <w:r w:rsidR="00CD4561" w:rsidRPr="00CD4561">
        <w:rPr>
          <w:rFonts w:cs="Arial"/>
          <w:i/>
          <w:color w:val="0070C0"/>
          <w:szCs w:val="20"/>
        </w:rPr>
        <w:t>Prijavni obrazec</w:t>
      </w:r>
      <w:r w:rsidR="00C310D5">
        <w:rPr>
          <w:rFonts w:cs="Arial"/>
          <w:i/>
          <w:color w:val="0070C0"/>
          <w:szCs w:val="20"/>
        </w:rPr>
        <w:t xml:space="preserve"> </w:t>
      </w:r>
      <w:r w:rsidR="00C310D5" w:rsidRPr="00C310D5">
        <w:rPr>
          <w:rFonts w:cs="Arial"/>
          <w:color w:val="0070C0"/>
          <w:szCs w:val="20"/>
        </w:rPr>
        <w:t>v točkah, kjer je to relevantno</w:t>
      </w:r>
      <w:r w:rsidR="00357E92">
        <w:rPr>
          <w:rFonts w:cs="Arial"/>
          <w:i/>
          <w:color w:val="0070C0"/>
          <w:szCs w:val="20"/>
        </w:rPr>
        <w:t>.</w:t>
      </w:r>
      <w:r w:rsidR="00060178">
        <w:rPr>
          <w:rFonts w:cs="Arial"/>
          <w:i/>
          <w:color w:val="0070C0"/>
          <w:szCs w:val="20"/>
        </w:rPr>
        <w:t xml:space="preserve"> </w:t>
      </w:r>
      <w:r w:rsidR="00060178">
        <w:rPr>
          <w:rFonts w:cs="Arial"/>
          <w:color w:val="0070C0"/>
          <w:szCs w:val="20"/>
        </w:rPr>
        <w:t>Na podlagi metodologije ministrstva se za uspešno izveden projekt v primeru Sklopa A upravičencu izplačajo sredstva za en uspešno izveden projekt v višini 20.600</w:t>
      </w:r>
      <w:r w:rsidR="0062356A">
        <w:rPr>
          <w:rFonts w:cs="Arial"/>
          <w:color w:val="0070C0"/>
          <w:szCs w:val="20"/>
        </w:rPr>
        <w:t>,00</w:t>
      </w:r>
      <w:r w:rsidR="00060178">
        <w:rPr>
          <w:rFonts w:cs="Arial"/>
          <w:color w:val="0070C0"/>
          <w:szCs w:val="20"/>
        </w:rPr>
        <w:t xml:space="preserve"> EUR in v primeru Sklopa B v višini 10.500,00 EUR.</w:t>
      </w:r>
    </w:p>
    <w:p w:rsidR="008D5625" w:rsidRPr="00E9604D" w:rsidRDefault="008D5625" w:rsidP="00E9604D">
      <w:pPr>
        <w:jc w:val="both"/>
        <w:rPr>
          <w:rFonts w:cs="Arial"/>
          <w:szCs w:val="20"/>
        </w:rPr>
      </w:pPr>
    </w:p>
    <w:p w:rsidR="00E9604D" w:rsidRPr="00E9604D" w:rsidRDefault="00E9604D" w:rsidP="00182F1B">
      <w:pPr>
        <w:pStyle w:val="Odstavekseznama"/>
        <w:numPr>
          <w:ilvl w:val="0"/>
          <w:numId w:val="1"/>
        </w:numPr>
        <w:autoSpaceDE w:val="0"/>
        <w:autoSpaceDN w:val="0"/>
        <w:adjustRightInd w:val="0"/>
        <w:spacing w:line="240" w:lineRule="auto"/>
        <w:jc w:val="both"/>
        <w:rPr>
          <w:rFonts w:eastAsiaTheme="minorHAnsi" w:cs="Arial"/>
          <w:szCs w:val="20"/>
        </w:rPr>
      </w:pPr>
      <w:r w:rsidRPr="00E9604D">
        <w:rPr>
          <w:rFonts w:eastAsiaTheme="minorHAnsi" w:cs="Arial"/>
          <w:szCs w:val="20"/>
        </w:rPr>
        <w:t>Prosimo za posredovanje dokazila k 2.C.1 »I. DEL: SPLOŠNO – Skupna merila«: Izjava o sodelovanju partnerja iz gospodarstva (Sklop A) ali iz negospodarskega in neprofitnega sektorja v lokalnem/regionalnem okolju (Sklop B), če prijavitelj v okviru operacije pri predlaganem/ih projektu/ih načrtuje izvedbo s partnerjem iz delovnega okolja, ki ima sedež na obmejnem problemskem območju.</w:t>
      </w:r>
    </w:p>
    <w:p w:rsidR="0062294F" w:rsidRDefault="0062294F" w:rsidP="0062294F">
      <w:pPr>
        <w:jc w:val="both"/>
        <w:rPr>
          <w:rFonts w:cs="Arial"/>
          <w:szCs w:val="20"/>
        </w:rPr>
      </w:pPr>
    </w:p>
    <w:p w:rsidR="0062294F" w:rsidRDefault="0062294F" w:rsidP="0062294F">
      <w:pPr>
        <w:jc w:val="both"/>
        <w:rPr>
          <w:rFonts w:eastAsiaTheme="minorHAnsi" w:cs="Arial"/>
          <w:color w:val="0070C0"/>
          <w:szCs w:val="20"/>
        </w:rPr>
      </w:pPr>
      <w:r>
        <w:rPr>
          <w:rFonts w:cs="Arial"/>
          <w:color w:val="0070C0"/>
          <w:szCs w:val="20"/>
        </w:rPr>
        <w:t xml:space="preserve">Kot dokazilo prijavitelj k 2.C.1 </w:t>
      </w:r>
      <w:r w:rsidRPr="0062294F">
        <w:rPr>
          <w:rFonts w:eastAsiaTheme="minorHAnsi" w:cs="Arial"/>
          <w:color w:val="0070C0"/>
          <w:szCs w:val="20"/>
        </w:rPr>
        <w:t>»I. DEL: SPLOŠNO – Skupna merila«</w:t>
      </w:r>
      <w:r>
        <w:rPr>
          <w:rFonts w:eastAsiaTheme="minorHAnsi" w:cs="Arial"/>
          <w:color w:val="0070C0"/>
          <w:szCs w:val="20"/>
        </w:rPr>
        <w:t xml:space="preserve"> sam oblikuje ter priloži dokument</w:t>
      </w:r>
      <w:r w:rsidR="008C0329">
        <w:rPr>
          <w:rFonts w:eastAsiaTheme="minorHAnsi" w:cs="Arial"/>
          <w:color w:val="0070C0"/>
          <w:szCs w:val="20"/>
        </w:rPr>
        <w:t xml:space="preserve"> (ustrezno opremljen z logotipom)</w:t>
      </w:r>
      <w:r>
        <w:rPr>
          <w:rFonts w:eastAsiaTheme="minorHAnsi" w:cs="Arial"/>
          <w:color w:val="0070C0"/>
          <w:szCs w:val="20"/>
        </w:rPr>
        <w:t xml:space="preserve"> z nazivom</w:t>
      </w:r>
      <w:r w:rsidRPr="0062294F">
        <w:rPr>
          <w:rFonts w:eastAsiaTheme="minorHAnsi" w:cs="Arial"/>
          <w:color w:val="0070C0"/>
          <w:szCs w:val="20"/>
        </w:rPr>
        <w:t>: Izjava o sodelovanju partnerja iz gospodarstva (Sklop A) ali iz negospodarskega in neprofitnega sektorja v lokalnem/regionalnem okolju (Sklop B), če prijavitelj v okviru operacije pri predlaganem/ih projektu/ih načrtuje izvedbo s partnerjem iz delovnega okolja, ki ima sedež na obmejnem problem</w:t>
      </w:r>
      <w:r>
        <w:rPr>
          <w:rFonts w:eastAsiaTheme="minorHAnsi" w:cs="Arial"/>
          <w:color w:val="0070C0"/>
          <w:szCs w:val="20"/>
        </w:rPr>
        <w:t xml:space="preserve">skem območju na način kot je opredeljeno v točki </w:t>
      </w:r>
      <w:r>
        <w:rPr>
          <w:rFonts w:cs="Arial"/>
          <w:color w:val="0070C0"/>
          <w:szCs w:val="20"/>
        </w:rPr>
        <w:t xml:space="preserve">2.C.1 </w:t>
      </w:r>
      <w:r w:rsidRPr="0062294F">
        <w:rPr>
          <w:rFonts w:eastAsiaTheme="minorHAnsi" w:cs="Arial"/>
          <w:color w:val="0070C0"/>
          <w:szCs w:val="20"/>
        </w:rPr>
        <w:t>»I. DEL: SPLOŠNO – Skupna merila«</w:t>
      </w:r>
      <w:r w:rsidR="00412DDE">
        <w:rPr>
          <w:rFonts w:eastAsiaTheme="minorHAnsi" w:cs="Arial"/>
          <w:color w:val="0070C0"/>
          <w:szCs w:val="20"/>
        </w:rPr>
        <w:t>, t. j., da mora biti izjava datirana in podpisana s strani odgovorne osebe partnerja iz delovnega okolja</w:t>
      </w:r>
      <w:r>
        <w:rPr>
          <w:rFonts w:eastAsiaTheme="minorHAnsi" w:cs="Arial"/>
          <w:color w:val="0070C0"/>
          <w:szCs w:val="20"/>
        </w:rPr>
        <w:t>.</w:t>
      </w:r>
      <w:r w:rsidR="008C0329">
        <w:rPr>
          <w:rFonts w:eastAsiaTheme="minorHAnsi" w:cs="Arial"/>
          <w:color w:val="0070C0"/>
          <w:szCs w:val="20"/>
        </w:rPr>
        <w:t xml:space="preserve"> </w:t>
      </w:r>
    </w:p>
    <w:p w:rsidR="008D5625" w:rsidRDefault="008D5625" w:rsidP="0062294F">
      <w:pPr>
        <w:jc w:val="both"/>
        <w:rPr>
          <w:rFonts w:eastAsiaTheme="minorHAnsi" w:cs="Arial"/>
          <w:color w:val="0070C0"/>
          <w:szCs w:val="20"/>
        </w:rPr>
      </w:pPr>
    </w:p>
    <w:p w:rsidR="00B42527" w:rsidRPr="00B42527" w:rsidRDefault="00F3258A" w:rsidP="00182F1B">
      <w:pPr>
        <w:pStyle w:val="Odstavekseznama"/>
        <w:numPr>
          <w:ilvl w:val="0"/>
          <w:numId w:val="1"/>
        </w:numPr>
        <w:jc w:val="both"/>
        <w:rPr>
          <w:rFonts w:cs="Arial"/>
          <w:color w:val="0070C0"/>
          <w:szCs w:val="20"/>
        </w:rPr>
      </w:pPr>
      <w:r>
        <w:lastRenderedPageBreak/>
        <w:t>Ali je del sredstev, ki se pridobijo v okviru projekta, možno porabiti za</w:t>
      </w:r>
      <w:r w:rsidR="00B42527">
        <w:t xml:space="preserve"> materialne stroške in do kakšne višine (npr.</w:t>
      </w:r>
      <w:r>
        <w:t xml:space="preserve"> nabavo kemikalij in laboratorijskega potrošnega materiala</w:t>
      </w:r>
      <w:r w:rsidR="00B42527">
        <w:t>)</w:t>
      </w:r>
      <w:r>
        <w:t>?</w:t>
      </w:r>
      <w:r w:rsidR="00B42527">
        <w:t xml:space="preserve"> </w:t>
      </w:r>
    </w:p>
    <w:p w:rsidR="00F3258A" w:rsidRDefault="00F3258A" w:rsidP="00F3258A">
      <w:pPr>
        <w:jc w:val="both"/>
        <w:rPr>
          <w:rFonts w:cs="Arial"/>
          <w:color w:val="0070C0"/>
          <w:szCs w:val="20"/>
        </w:rPr>
      </w:pPr>
    </w:p>
    <w:p w:rsidR="00A756FA" w:rsidRDefault="00FE33D0" w:rsidP="00F3258A">
      <w:pPr>
        <w:jc w:val="both"/>
        <w:rPr>
          <w:rFonts w:cs="Arial"/>
          <w:color w:val="0070C0"/>
          <w:szCs w:val="20"/>
        </w:rPr>
      </w:pPr>
      <w:r>
        <w:rPr>
          <w:rFonts w:cs="Arial"/>
          <w:color w:val="0070C0"/>
          <w:szCs w:val="20"/>
        </w:rPr>
        <w:t>V javnem razpisu je</w:t>
      </w:r>
      <w:r w:rsidR="00232D54">
        <w:rPr>
          <w:rFonts w:cs="Arial"/>
          <w:color w:val="0070C0"/>
          <w:szCs w:val="20"/>
        </w:rPr>
        <w:t xml:space="preserve"> v točki 12</w:t>
      </w:r>
      <w:r>
        <w:rPr>
          <w:rFonts w:cs="Arial"/>
          <w:color w:val="0070C0"/>
          <w:szCs w:val="20"/>
        </w:rPr>
        <w:t xml:space="preserve"> </w:t>
      </w:r>
      <w:r w:rsidRPr="00366BC3">
        <w:rPr>
          <w:rFonts w:cs="Arial"/>
          <w:i/>
          <w:color w:val="0070C0"/>
          <w:szCs w:val="20"/>
        </w:rPr>
        <w:t>Upravičeni stroški način financiranja in predplačila</w:t>
      </w:r>
      <w:r>
        <w:rPr>
          <w:rFonts w:cs="Arial"/>
          <w:i/>
          <w:color w:val="0070C0"/>
          <w:szCs w:val="20"/>
        </w:rPr>
        <w:t xml:space="preserve"> </w:t>
      </w:r>
      <w:r w:rsidR="00232D54">
        <w:rPr>
          <w:rFonts w:cs="Arial"/>
          <w:color w:val="0070C0"/>
          <w:szCs w:val="20"/>
        </w:rPr>
        <w:t>na strani 16</w:t>
      </w:r>
      <w:r>
        <w:rPr>
          <w:rFonts w:cs="Arial"/>
          <w:color w:val="0070C0"/>
          <w:szCs w:val="20"/>
        </w:rPr>
        <w:t xml:space="preserve"> (</w:t>
      </w:r>
      <w:r w:rsidR="001F3B54">
        <w:rPr>
          <w:rFonts w:cs="Arial"/>
          <w:color w:val="0070C0"/>
          <w:szCs w:val="20"/>
        </w:rPr>
        <w:t>tretji</w:t>
      </w:r>
      <w:r>
        <w:rPr>
          <w:rFonts w:cs="Arial"/>
          <w:color w:val="0070C0"/>
          <w:szCs w:val="20"/>
        </w:rPr>
        <w:t xml:space="preserve"> odstavek</w:t>
      </w:r>
      <w:r w:rsidR="001F3B54">
        <w:rPr>
          <w:rFonts w:cs="Arial"/>
          <w:color w:val="0070C0"/>
          <w:szCs w:val="20"/>
        </w:rPr>
        <w:t xml:space="preserve"> 12. točke</w:t>
      </w:r>
      <w:r>
        <w:rPr>
          <w:rFonts w:cs="Arial"/>
          <w:color w:val="0070C0"/>
          <w:szCs w:val="20"/>
        </w:rPr>
        <w:t>) navedeno, da je bil na podlagi sprejete metodologije ministrstva izračunan in opredeljen pavšalni znesek za izvedbo projektnih aktivnosti (Sklop A in Sklop B), ki predstavlja stroške pedagoškega mentorja, podpornega strokovnega osebja na visokošolskem zavodu, partnerja iz delovnega okolja, stroške študentskega dela za vključene študente in posredne stroške.</w:t>
      </w:r>
      <w:r w:rsidR="00A756FA">
        <w:rPr>
          <w:rFonts w:cs="Arial"/>
          <w:color w:val="0070C0"/>
          <w:szCs w:val="20"/>
        </w:rPr>
        <w:t xml:space="preserve"> Izračunan znesek za Sklop A in za Sklop B predstavlja povprečno višino in najboljši približek stroškov za izvedbo posameznega projekta in skladno s Smernicami o poenostavljenih možnostih obračunavanja stroškov, sprejete s strani Evropske komisije (</w:t>
      </w:r>
      <w:hyperlink r:id="rId9" w:history="1">
        <w:r w:rsidR="008D5625" w:rsidRPr="00EB6ABC">
          <w:rPr>
            <w:rStyle w:val="Hiperpovezava"/>
            <w:rFonts w:cs="Arial"/>
            <w:szCs w:val="20"/>
          </w:rPr>
          <w:t>https://www.eu-skladi.si/sl/dokumenti/navodila/smernice-o-poenostavljenih-moznostih-obracunavanja-stroskov.pdf</w:t>
        </w:r>
      </w:hyperlink>
      <w:r w:rsidR="00A756FA">
        <w:rPr>
          <w:rFonts w:cs="Arial"/>
          <w:color w:val="0070C0"/>
          <w:szCs w:val="20"/>
        </w:rPr>
        <w:t>).</w:t>
      </w:r>
    </w:p>
    <w:p w:rsidR="00F3258A" w:rsidRDefault="00F3258A" w:rsidP="00F3258A">
      <w:pPr>
        <w:jc w:val="both"/>
        <w:rPr>
          <w:rFonts w:eastAsiaTheme="minorHAnsi" w:cs="Arial"/>
          <w:color w:val="0070C0"/>
          <w:szCs w:val="20"/>
        </w:rPr>
      </w:pPr>
    </w:p>
    <w:p w:rsidR="00F3258A" w:rsidRPr="00F3258A" w:rsidRDefault="00F3258A" w:rsidP="00182F1B">
      <w:pPr>
        <w:pStyle w:val="Odstavekseznama"/>
        <w:numPr>
          <w:ilvl w:val="0"/>
          <w:numId w:val="1"/>
        </w:numPr>
        <w:spacing w:line="240" w:lineRule="auto"/>
        <w:jc w:val="both"/>
        <w:rPr>
          <w:rFonts w:ascii="Times New Roman" w:hAnsi="Times New Roman"/>
          <w:sz w:val="24"/>
          <w:lang w:eastAsia="sl-SI"/>
        </w:rPr>
      </w:pPr>
      <w:r>
        <w:rPr>
          <w:rFonts w:cs="Arial"/>
          <w:color w:val="000000"/>
          <w:szCs w:val="20"/>
          <w:lang w:eastAsia="sl-SI"/>
        </w:rPr>
        <w:t>Koliko projektov za Sklop A in za Sklop B lahko prijavi visokošolski zavod (v primeru univerze je to posamezna sodelujoča članica), ki im</w:t>
      </w:r>
      <w:r w:rsidR="009C586F">
        <w:rPr>
          <w:rFonts w:cs="Arial"/>
          <w:color w:val="000000"/>
          <w:szCs w:val="20"/>
          <w:lang w:eastAsia="sl-SI"/>
        </w:rPr>
        <w:t>a vpisane od 1 do 500 študentov?</w:t>
      </w:r>
      <w:r>
        <w:rPr>
          <w:rFonts w:cs="Arial"/>
          <w:color w:val="000000"/>
          <w:szCs w:val="20"/>
          <w:lang w:eastAsia="sl-SI"/>
        </w:rPr>
        <w:t xml:space="preserve"> </w:t>
      </w:r>
    </w:p>
    <w:p w:rsidR="00F3258A" w:rsidRDefault="00F3258A" w:rsidP="00232D54">
      <w:pPr>
        <w:spacing w:line="240" w:lineRule="auto"/>
        <w:rPr>
          <w:rFonts w:cs="Arial"/>
          <w:color w:val="000000"/>
          <w:szCs w:val="20"/>
          <w:lang w:eastAsia="sl-SI"/>
        </w:rPr>
      </w:pPr>
    </w:p>
    <w:p w:rsidR="00F3258A" w:rsidRPr="008D5625" w:rsidRDefault="00F3258A" w:rsidP="00F3258A">
      <w:pPr>
        <w:jc w:val="both"/>
        <w:rPr>
          <w:rFonts w:eastAsiaTheme="minorHAnsi" w:cs="Arial"/>
          <w:color w:val="0070C0"/>
          <w:szCs w:val="20"/>
        </w:rPr>
      </w:pPr>
      <w:r>
        <w:rPr>
          <w:rFonts w:cs="Arial"/>
          <w:color w:val="0070C0"/>
          <w:szCs w:val="20"/>
        </w:rPr>
        <w:t>Visokošolski zavod (v primeru univerze je to posamezna sodelujoča članica) lahko tako za Sklop A kot za Sklop B prijavi največ en projekt v primeru, da ima vpisane študente od 1 do 500.</w:t>
      </w:r>
    </w:p>
    <w:p w:rsidR="0039414A" w:rsidRPr="006C004B" w:rsidRDefault="0039414A" w:rsidP="006C004B">
      <w:pPr>
        <w:spacing w:line="240" w:lineRule="auto"/>
        <w:rPr>
          <w:rFonts w:ascii="Calibri" w:hAnsi="Calibri"/>
          <w:sz w:val="22"/>
          <w:szCs w:val="22"/>
        </w:rPr>
      </w:pPr>
    </w:p>
    <w:p w:rsidR="00AC5C36" w:rsidRPr="008E4B8A" w:rsidRDefault="006C004B" w:rsidP="00182F1B">
      <w:pPr>
        <w:pStyle w:val="Odstavekseznama"/>
        <w:numPr>
          <w:ilvl w:val="0"/>
          <w:numId w:val="1"/>
        </w:numPr>
        <w:jc w:val="both"/>
        <w:rPr>
          <w:rFonts w:cs="Arial"/>
          <w:color w:val="0070C0"/>
          <w:szCs w:val="20"/>
        </w:rPr>
      </w:pPr>
      <w:r>
        <w:rPr>
          <w:rFonts w:cs="Arial"/>
          <w:color w:val="000000"/>
          <w:szCs w:val="20"/>
          <w:lang w:eastAsia="sl-SI"/>
        </w:rPr>
        <w:t>Kako je opredeljeno oziroma ovrednoteno delo pedagoškega mentorja, partnerja iz delovnega okolja in vključenih študentov</w:t>
      </w:r>
      <w:r w:rsidR="00661C66">
        <w:rPr>
          <w:rFonts w:cs="Arial"/>
          <w:color w:val="000000"/>
          <w:szCs w:val="20"/>
          <w:lang w:eastAsia="sl-SI"/>
        </w:rPr>
        <w:t xml:space="preserve"> in na kakšen način lahko posamezni visokošolski zavod izplačuje </w:t>
      </w:r>
      <w:r w:rsidR="00B42527">
        <w:rPr>
          <w:rFonts w:cs="Arial"/>
          <w:color w:val="000000"/>
          <w:szCs w:val="20"/>
          <w:lang w:eastAsia="sl-SI"/>
        </w:rPr>
        <w:t>izvedene aktivnosti sodelujočih na posameznem projektu</w:t>
      </w:r>
      <w:r>
        <w:rPr>
          <w:rFonts w:cs="Arial"/>
          <w:color w:val="000000"/>
          <w:szCs w:val="20"/>
          <w:lang w:eastAsia="sl-SI"/>
        </w:rPr>
        <w:t>?</w:t>
      </w:r>
    </w:p>
    <w:p w:rsidR="008E4B8A" w:rsidRDefault="008E4B8A" w:rsidP="008E4B8A">
      <w:pPr>
        <w:jc w:val="both"/>
        <w:rPr>
          <w:rFonts w:cs="Arial"/>
          <w:color w:val="0070C0"/>
          <w:szCs w:val="20"/>
        </w:rPr>
      </w:pPr>
    </w:p>
    <w:p w:rsidR="008E4B8A" w:rsidRPr="009D4E0A" w:rsidRDefault="00232D54" w:rsidP="008E4B8A">
      <w:pPr>
        <w:jc w:val="both"/>
        <w:rPr>
          <w:rFonts w:cs="Arial"/>
          <w:color w:val="0070C0"/>
          <w:szCs w:val="20"/>
        </w:rPr>
      </w:pPr>
      <w:r w:rsidRPr="009D4E0A">
        <w:rPr>
          <w:rFonts w:cs="Arial"/>
          <w:color w:val="0070C0"/>
          <w:szCs w:val="20"/>
        </w:rPr>
        <w:t xml:space="preserve">V javnem razpisu je v točki 12 </w:t>
      </w:r>
      <w:r w:rsidRPr="009D4E0A">
        <w:rPr>
          <w:rFonts w:cs="Arial"/>
          <w:i/>
          <w:color w:val="0070C0"/>
          <w:szCs w:val="20"/>
        </w:rPr>
        <w:t xml:space="preserve">Upravičeni stroški način financiranja in predplačila </w:t>
      </w:r>
      <w:r w:rsidRPr="009D4E0A">
        <w:rPr>
          <w:rFonts w:cs="Arial"/>
          <w:color w:val="0070C0"/>
          <w:szCs w:val="20"/>
        </w:rPr>
        <w:t>na strani 15 opredeljena višina stroška za Sklop A in za Sklop B za vključene partnerje, ki so opredeljeni s sprejeto metodologijo ministrstva in navedeni</w:t>
      </w:r>
      <w:r w:rsidR="00661C66" w:rsidRPr="009D4E0A">
        <w:rPr>
          <w:rFonts w:cs="Arial"/>
          <w:color w:val="0070C0"/>
          <w:szCs w:val="20"/>
        </w:rPr>
        <w:t xml:space="preserve"> na strani 16 (</w:t>
      </w:r>
      <w:r w:rsidR="00474FA9">
        <w:rPr>
          <w:rFonts w:cs="Arial"/>
          <w:color w:val="0070C0"/>
          <w:szCs w:val="20"/>
        </w:rPr>
        <w:t>tretji</w:t>
      </w:r>
      <w:r w:rsidR="00661C66" w:rsidRPr="009D4E0A">
        <w:rPr>
          <w:rFonts w:cs="Arial"/>
          <w:color w:val="0070C0"/>
          <w:szCs w:val="20"/>
        </w:rPr>
        <w:t xml:space="preserve"> odstavek</w:t>
      </w:r>
      <w:r w:rsidR="00474FA9">
        <w:rPr>
          <w:rFonts w:cs="Arial"/>
          <w:color w:val="0070C0"/>
          <w:szCs w:val="20"/>
        </w:rPr>
        <w:t xml:space="preserve"> 12. točke</w:t>
      </w:r>
      <w:r w:rsidR="00661C66" w:rsidRPr="009D4E0A">
        <w:rPr>
          <w:rFonts w:cs="Arial"/>
          <w:color w:val="0070C0"/>
          <w:szCs w:val="20"/>
        </w:rPr>
        <w:t xml:space="preserve">). </w:t>
      </w:r>
      <w:r w:rsidR="009D4E0A" w:rsidRPr="009D4E0A">
        <w:rPr>
          <w:rFonts w:cs="Arial"/>
          <w:color w:val="0070C0"/>
          <w:szCs w:val="20"/>
        </w:rPr>
        <w:t>Način vrednotenja dela (npr. v EUR, v urah) ter ostale p</w:t>
      </w:r>
      <w:r w:rsidR="00661C66" w:rsidRPr="009D4E0A">
        <w:rPr>
          <w:rFonts w:cs="Arial"/>
          <w:color w:val="0070C0"/>
          <w:szCs w:val="20"/>
        </w:rPr>
        <w:t xml:space="preserve">ravice in obveznosti, ki izhajajo iz sodelovanja v projektne aktivnosti vključenih partnerjev, so izključno stvar dogovora med upravičencem in v projektne aktivnosti vključenih partnerjev (pedagoških mentorjev, partnerjev iz delovnega okolja in študentov), ki ga uredijo z npr. dogovorom o sodelovanju in se jih ne prilaga kot dokazilo. Upravičenec po zaključku posameznega projekta priloži </w:t>
      </w:r>
      <w:r w:rsidR="009D4E0A">
        <w:rPr>
          <w:rFonts w:cs="Arial"/>
          <w:color w:val="0070C0"/>
          <w:szCs w:val="20"/>
        </w:rPr>
        <w:t xml:space="preserve">izključno </w:t>
      </w:r>
      <w:r w:rsidR="00661C66" w:rsidRPr="009D4E0A">
        <w:rPr>
          <w:rFonts w:cs="Arial"/>
          <w:color w:val="0070C0"/>
          <w:szCs w:val="20"/>
        </w:rPr>
        <w:t xml:space="preserve">dokazila, ki so predpisana z javnim razpisom. </w:t>
      </w:r>
    </w:p>
    <w:p w:rsidR="00571EBB" w:rsidRDefault="00571EBB" w:rsidP="00182F1B">
      <w:pPr>
        <w:jc w:val="both"/>
        <w:rPr>
          <w:rFonts w:cs="Arial"/>
          <w:color w:val="0070C0"/>
          <w:szCs w:val="20"/>
        </w:rPr>
      </w:pPr>
      <w:bookmarkStart w:id="0" w:name="_GoBack"/>
      <w:bookmarkEnd w:id="0"/>
    </w:p>
    <w:p w:rsidR="00571EBB" w:rsidRDefault="00571EBB" w:rsidP="00571EBB">
      <w:pPr>
        <w:numPr>
          <w:ilvl w:val="0"/>
          <w:numId w:val="1"/>
        </w:numPr>
        <w:spacing w:line="240" w:lineRule="auto"/>
        <w:jc w:val="both"/>
        <w:rPr>
          <w:rFonts w:cs="Arial"/>
          <w:szCs w:val="20"/>
          <w14:ligatures w14:val="standardContextual"/>
        </w:rPr>
      </w:pPr>
      <w:r>
        <w:rPr>
          <w:rFonts w:cs="Arial"/>
          <w:szCs w:val="20"/>
          <w14:ligatures w14:val="standardContextual"/>
        </w:rPr>
        <w:t xml:space="preserve">V točki 3.2 javnega razpisa </w:t>
      </w:r>
      <w:r w:rsidRPr="00571EBB">
        <w:rPr>
          <w:rFonts w:cs="Arial"/>
          <w:i/>
          <w:szCs w:val="20"/>
          <w14:ligatures w14:val="standardContextual"/>
        </w:rPr>
        <w:t>Pogoji, vezani na vlogo</w:t>
      </w:r>
      <w:r>
        <w:rPr>
          <w:rFonts w:cs="Arial"/>
          <w:szCs w:val="20"/>
          <w14:ligatures w14:val="standardContextual"/>
        </w:rPr>
        <w:t xml:space="preserve"> je v okviru pogoja </w:t>
      </w:r>
      <w:r w:rsidRPr="00571EBB">
        <w:rPr>
          <w:rFonts w:cs="Arial"/>
          <w:i/>
          <w:szCs w:val="20"/>
          <w14:ligatures w14:val="standardContextual"/>
        </w:rPr>
        <w:t>Operacija pri vsaj enem predlaganem projektu vključuje vsebine s prednostnega področja Slovenske strategije pametne specializacije (S4) (velja le v primeru Sklopa A)</w:t>
      </w:r>
      <w:r w:rsidRPr="00182F1B">
        <w:rPr>
          <w:rFonts w:cs="Arial"/>
          <w:szCs w:val="20"/>
          <w14:ligatures w14:val="standardContextual"/>
        </w:rPr>
        <w:t xml:space="preserve"> </w:t>
      </w:r>
      <w:r>
        <w:rPr>
          <w:rFonts w:cs="Arial"/>
          <w:szCs w:val="20"/>
          <w14:ligatures w14:val="standardContextual"/>
        </w:rPr>
        <w:t xml:space="preserve">na strani 5, </w:t>
      </w:r>
      <w:r w:rsidRPr="00182F1B">
        <w:rPr>
          <w:rFonts w:cs="Arial"/>
          <w:szCs w:val="20"/>
          <w14:ligatures w14:val="standardContextual"/>
        </w:rPr>
        <w:t xml:space="preserve">prosimo za navedbo dodatnih možnih konkretnih primerov konkretnih oblik, ki jih mora prijavitelj </w:t>
      </w:r>
      <w:r>
        <w:rPr>
          <w:rFonts w:cs="Arial"/>
          <w:szCs w:val="20"/>
          <w14:ligatures w14:val="standardContextual"/>
        </w:rPr>
        <w:t>zagotoviti v vlogi?</w:t>
      </w:r>
    </w:p>
    <w:p w:rsidR="00571EBB" w:rsidRPr="00571EBB" w:rsidRDefault="00571EBB" w:rsidP="00571EBB">
      <w:pPr>
        <w:spacing w:line="240" w:lineRule="auto"/>
        <w:ind w:left="720"/>
        <w:jc w:val="both"/>
        <w:rPr>
          <w:rFonts w:cs="Arial"/>
          <w:szCs w:val="20"/>
          <w14:ligatures w14:val="standardContextual"/>
        </w:rPr>
      </w:pPr>
    </w:p>
    <w:p w:rsidR="00946AF8" w:rsidRDefault="00CC3A75" w:rsidP="00946AF8">
      <w:pPr>
        <w:pStyle w:val="Sprotnaopomba-besedilo"/>
        <w:rPr>
          <w:rFonts w:ascii="Arial" w:hAnsi="Arial" w:cs="Arial"/>
          <w:color w:val="0070C0"/>
          <w:sz w:val="20"/>
        </w:rPr>
      </w:pPr>
      <w:r w:rsidRPr="00946AF8">
        <w:rPr>
          <w:rFonts w:ascii="Arial" w:hAnsi="Arial" w:cs="Arial"/>
          <w:color w:val="0070C0"/>
          <w:sz w:val="20"/>
        </w:rPr>
        <w:t xml:space="preserve">V točki 2.1 javnega razpisa </w:t>
      </w:r>
      <w:r w:rsidRPr="00875306">
        <w:rPr>
          <w:rFonts w:ascii="Arial" w:hAnsi="Arial" w:cs="Arial"/>
          <w:i/>
          <w:color w:val="0070C0"/>
          <w:sz w:val="20"/>
        </w:rPr>
        <w:t>Predmet javnega razpisa</w:t>
      </w:r>
      <w:r w:rsidR="00875306">
        <w:rPr>
          <w:rFonts w:ascii="Arial" w:hAnsi="Arial" w:cs="Arial"/>
          <w:color w:val="0070C0"/>
          <w:sz w:val="20"/>
        </w:rPr>
        <w:t xml:space="preserve"> </w:t>
      </w:r>
      <w:r w:rsidRPr="00946AF8">
        <w:rPr>
          <w:rFonts w:ascii="Arial" w:hAnsi="Arial" w:cs="Arial"/>
          <w:color w:val="0070C0"/>
          <w:sz w:val="20"/>
        </w:rPr>
        <w:t>v primeru Sklopa A</w:t>
      </w:r>
      <w:r w:rsidR="00875306">
        <w:rPr>
          <w:rFonts w:ascii="Arial" w:hAnsi="Arial" w:cs="Arial"/>
          <w:color w:val="0070C0"/>
          <w:sz w:val="20"/>
        </w:rPr>
        <w:t>, sta</w:t>
      </w:r>
      <w:r w:rsidRPr="00946AF8">
        <w:rPr>
          <w:rFonts w:ascii="Arial" w:hAnsi="Arial" w:cs="Arial"/>
          <w:color w:val="0070C0"/>
          <w:sz w:val="20"/>
        </w:rPr>
        <w:t xml:space="preserve"> v sklicni opombi </w:t>
      </w:r>
      <w:r w:rsidR="00875306">
        <w:rPr>
          <w:rFonts w:ascii="Arial" w:hAnsi="Arial" w:cs="Arial"/>
          <w:color w:val="0070C0"/>
          <w:sz w:val="20"/>
        </w:rPr>
        <w:t xml:space="preserve">številka 1 na strani </w:t>
      </w:r>
      <w:r w:rsidR="00FC65D8">
        <w:rPr>
          <w:rFonts w:ascii="Arial" w:hAnsi="Arial" w:cs="Arial"/>
          <w:color w:val="0070C0"/>
          <w:sz w:val="20"/>
        </w:rPr>
        <w:t>2</w:t>
      </w:r>
      <w:r w:rsidR="00946AF8">
        <w:rPr>
          <w:rFonts w:ascii="Arial" w:hAnsi="Arial" w:cs="Arial"/>
          <w:color w:val="0070C0"/>
          <w:sz w:val="20"/>
        </w:rPr>
        <w:t xml:space="preserve"> navedeni povezavi do dokumentov</w:t>
      </w:r>
      <w:r w:rsidR="00875306">
        <w:rPr>
          <w:rFonts w:ascii="Arial" w:hAnsi="Arial" w:cs="Arial"/>
          <w:color w:val="0070C0"/>
          <w:sz w:val="20"/>
        </w:rPr>
        <w:t xml:space="preserve">, ki potencialne prijavitelje usmerijo na vsebine, ki jih opredeljuje </w:t>
      </w:r>
      <w:r w:rsidR="00946AF8" w:rsidRPr="00946AF8">
        <w:rPr>
          <w:rFonts w:ascii="Arial" w:hAnsi="Arial" w:cs="Arial"/>
          <w:color w:val="0070C0"/>
          <w:sz w:val="20"/>
        </w:rPr>
        <w:t>Slovenska strategija pametne specializacije (S4), ki jo je Vlada RS potrdila dne 20.</w:t>
      </w:r>
      <w:r w:rsidR="00405EE3">
        <w:rPr>
          <w:rFonts w:ascii="Arial" w:hAnsi="Arial" w:cs="Arial"/>
          <w:color w:val="0070C0"/>
          <w:sz w:val="20"/>
        </w:rPr>
        <w:t xml:space="preserve"> </w:t>
      </w:r>
      <w:r w:rsidR="00946AF8" w:rsidRPr="00946AF8">
        <w:rPr>
          <w:rFonts w:ascii="Arial" w:hAnsi="Arial" w:cs="Arial"/>
          <w:color w:val="0070C0"/>
          <w:sz w:val="20"/>
        </w:rPr>
        <w:t>9.</w:t>
      </w:r>
      <w:r w:rsidR="00405EE3">
        <w:rPr>
          <w:rFonts w:ascii="Arial" w:hAnsi="Arial" w:cs="Arial"/>
          <w:color w:val="0070C0"/>
          <w:sz w:val="20"/>
        </w:rPr>
        <w:t xml:space="preserve"> </w:t>
      </w:r>
      <w:r w:rsidR="00946AF8" w:rsidRPr="00946AF8">
        <w:rPr>
          <w:rFonts w:ascii="Arial" w:hAnsi="Arial" w:cs="Arial"/>
          <w:color w:val="0070C0"/>
          <w:sz w:val="20"/>
        </w:rPr>
        <w:t>2015, Evropska Komisija pa dne 3.</w:t>
      </w:r>
      <w:r w:rsidR="00405EE3">
        <w:rPr>
          <w:rFonts w:ascii="Arial" w:hAnsi="Arial" w:cs="Arial"/>
          <w:color w:val="0070C0"/>
          <w:sz w:val="20"/>
        </w:rPr>
        <w:t xml:space="preserve"> </w:t>
      </w:r>
      <w:r w:rsidR="00946AF8" w:rsidRPr="00946AF8">
        <w:rPr>
          <w:rFonts w:ascii="Arial" w:hAnsi="Arial" w:cs="Arial"/>
          <w:color w:val="0070C0"/>
          <w:sz w:val="20"/>
        </w:rPr>
        <w:t>11.</w:t>
      </w:r>
      <w:r w:rsidR="00405EE3">
        <w:rPr>
          <w:rFonts w:ascii="Arial" w:hAnsi="Arial" w:cs="Arial"/>
          <w:color w:val="0070C0"/>
          <w:sz w:val="20"/>
        </w:rPr>
        <w:t xml:space="preserve"> </w:t>
      </w:r>
      <w:r w:rsidR="00946AF8" w:rsidRPr="00946AF8">
        <w:rPr>
          <w:rFonts w:ascii="Arial" w:hAnsi="Arial" w:cs="Arial"/>
          <w:color w:val="0070C0"/>
          <w:sz w:val="20"/>
        </w:rPr>
        <w:t>2015. Spremembo S4 je Vlada RS sprejela dne 21. 12. 2017</w:t>
      </w:r>
      <w:r w:rsidR="00405EE3">
        <w:rPr>
          <w:rFonts w:ascii="Arial" w:hAnsi="Arial" w:cs="Arial"/>
          <w:color w:val="0070C0"/>
          <w:sz w:val="20"/>
        </w:rPr>
        <w:t>:</w:t>
      </w:r>
    </w:p>
    <w:p w:rsidR="00946AF8" w:rsidRPr="00946AF8" w:rsidRDefault="008D5625" w:rsidP="00946AF8">
      <w:pPr>
        <w:pStyle w:val="Sprotnaopomba-besedilo"/>
        <w:rPr>
          <w:rFonts w:ascii="Arial" w:hAnsi="Arial" w:cs="Arial"/>
          <w:color w:val="0070C0"/>
          <w:sz w:val="20"/>
        </w:rPr>
      </w:pPr>
      <w:hyperlink r:id="rId10" w:history="1">
        <w:r w:rsidR="00946AF8" w:rsidRPr="00946AF8">
          <w:rPr>
            <w:rStyle w:val="Hiperpovezava"/>
            <w:rFonts w:ascii="Arial" w:eastAsiaTheme="majorEastAsia" w:hAnsi="Arial" w:cs="Arial"/>
            <w:color w:val="0070C0"/>
            <w:sz w:val="20"/>
          </w:rPr>
          <w:t>http://www.eu-skladi.si/sl/ekp/kljucni-dokumenti</w:t>
        </w:r>
      </w:hyperlink>
    </w:p>
    <w:p w:rsidR="00C27F94" w:rsidRDefault="008D5625" w:rsidP="00946AF8">
      <w:pPr>
        <w:spacing w:line="240" w:lineRule="auto"/>
        <w:jc w:val="both"/>
        <w:rPr>
          <w:rFonts w:cs="Arial"/>
          <w:color w:val="0070C0"/>
          <w:szCs w:val="20"/>
        </w:rPr>
      </w:pPr>
      <w:hyperlink r:id="rId11" w:history="1">
        <w:r w:rsidR="00405EE3" w:rsidRPr="003C6357">
          <w:rPr>
            <w:rStyle w:val="Hiperpovezava"/>
            <w:rFonts w:cs="Arial"/>
            <w:szCs w:val="20"/>
          </w:rPr>
          <w:t>https://www.gov.si/zbirke/projekti-in-programi/izvajanje-slovenske-strategije-pametne-specializacije/</w:t>
        </w:r>
      </w:hyperlink>
      <w:r w:rsidR="00405EE3">
        <w:rPr>
          <w:rFonts w:cs="Arial"/>
          <w:color w:val="0070C0"/>
          <w:szCs w:val="20"/>
        </w:rPr>
        <w:t xml:space="preserve"> - na tej </w:t>
      </w:r>
      <w:r w:rsidR="00C27F94">
        <w:rPr>
          <w:rFonts w:cs="Arial"/>
          <w:color w:val="0070C0"/>
          <w:szCs w:val="20"/>
        </w:rPr>
        <w:t xml:space="preserve">povezavi dobite tabelo, na kateri so navedena fokusna področja: </w:t>
      </w:r>
      <w:r w:rsidR="00405EE3">
        <w:rPr>
          <w:rFonts w:cs="Arial"/>
          <w:color w:val="0070C0"/>
          <w:szCs w:val="20"/>
        </w:rPr>
        <w:t xml:space="preserve"> </w:t>
      </w:r>
      <w:r w:rsidR="00C27F94" w:rsidRPr="00C27F94">
        <w:rPr>
          <w:rFonts w:cs="Arial"/>
          <w:color w:val="0070C0"/>
          <w:szCs w:val="20"/>
        </w:rPr>
        <w:t>https://www.gov.si/assets/vladne-sluzbe/SVRK/S4-Slovenska-strategija-pametne-specializacije/Tabela-fokusnih-podrocij_ANza3fazo_november-2020.pdf</w:t>
      </w:r>
    </w:p>
    <w:p w:rsidR="00571EBB" w:rsidRDefault="008D5625" w:rsidP="00946AF8">
      <w:pPr>
        <w:spacing w:line="240" w:lineRule="auto"/>
        <w:jc w:val="both"/>
        <w:rPr>
          <w:rFonts w:cs="Arial"/>
          <w:color w:val="0070C0"/>
          <w:szCs w:val="20"/>
        </w:rPr>
      </w:pPr>
      <w:hyperlink r:id="rId12" w:history="1">
        <w:r w:rsidR="00C27F94">
          <w:rPr>
            <w:rStyle w:val="Hiperpovezava"/>
          </w:rPr>
          <w:t>Tabela-fokusnih-podrocij_ANza3fazo_november-2020.pdf (gov.si)</w:t>
        </w:r>
      </w:hyperlink>
      <w:r w:rsidR="00946AF8" w:rsidRPr="00946AF8">
        <w:rPr>
          <w:rFonts w:cs="Arial"/>
          <w:color w:val="0070C0"/>
          <w:szCs w:val="20"/>
        </w:rPr>
        <w:t>.</w:t>
      </w:r>
    </w:p>
    <w:p w:rsidR="00405EE3" w:rsidRPr="00946AF8" w:rsidRDefault="00405EE3" w:rsidP="00405EE3">
      <w:pPr>
        <w:spacing w:line="240" w:lineRule="auto"/>
        <w:jc w:val="both"/>
        <w:rPr>
          <w:rFonts w:cs="Arial"/>
          <w:color w:val="0070C0"/>
          <w:szCs w:val="20"/>
          <w14:ligatures w14:val="standardContextual"/>
        </w:rPr>
      </w:pPr>
    </w:p>
    <w:sectPr w:rsidR="00405EE3" w:rsidRPr="00946AF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BBA" w:rsidRDefault="007B4BBA" w:rsidP="00143346">
      <w:pPr>
        <w:spacing w:line="240" w:lineRule="auto"/>
      </w:pPr>
      <w:r>
        <w:separator/>
      </w:r>
    </w:p>
  </w:endnote>
  <w:endnote w:type="continuationSeparator" w:id="0">
    <w:p w:rsidR="007B4BBA" w:rsidRDefault="007B4BBA" w:rsidP="00143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377940"/>
      <w:docPartObj>
        <w:docPartGallery w:val="Page Numbers (Bottom of Page)"/>
        <w:docPartUnique/>
      </w:docPartObj>
    </w:sdtPr>
    <w:sdtEndPr/>
    <w:sdtContent>
      <w:p w:rsidR="00143346" w:rsidRDefault="00143346">
        <w:pPr>
          <w:pStyle w:val="Noga"/>
          <w:jc w:val="center"/>
        </w:pPr>
        <w:r>
          <w:fldChar w:fldCharType="begin"/>
        </w:r>
        <w:r>
          <w:instrText>PAGE   \* MERGEFORMAT</w:instrText>
        </w:r>
        <w:r>
          <w:fldChar w:fldCharType="separate"/>
        </w:r>
        <w:r w:rsidR="008D5625">
          <w:rPr>
            <w:noProof/>
          </w:rPr>
          <w:t>3</w:t>
        </w:r>
        <w:r>
          <w:fldChar w:fldCharType="end"/>
        </w:r>
      </w:p>
    </w:sdtContent>
  </w:sdt>
  <w:p w:rsidR="00143346" w:rsidRDefault="001433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BBA" w:rsidRDefault="007B4BBA" w:rsidP="00143346">
      <w:pPr>
        <w:spacing w:line="240" w:lineRule="auto"/>
      </w:pPr>
      <w:r>
        <w:separator/>
      </w:r>
    </w:p>
  </w:footnote>
  <w:footnote w:type="continuationSeparator" w:id="0">
    <w:p w:rsidR="007B4BBA" w:rsidRDefault="007B4BBA" w:rsidP="001433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15287"/>
    <w:multiLevelType w:val="multilevel"/>
    <w:tmpl w:val="C05AB7FC"/>
    <w:lvl w:ilvl="0">
      <w:start w:val="1"/>
      <w:numFmt w:val="decimal"/>
      <w:lvlText w:val="%1."/>
      <w:lvlJc w:val="left"/>
      <w:pPr>
        <w:ind w:left="720" w:hanging="360"/>
      </w:pPr>
      <w:rPr>
        <w:rFonts w:hint="default"/>
      </w:rPr>
    </w:lvl>
    <w:lvl w:ilvl="1">
      <w:start w:val="2"/>
      <w:numFmt w:val="decimal"/>
      <w:isLgl/>
      <w:lvlText w:val="%1.%2"/>
      <w:lvlJc w:val="left"/>
      <w:pPr>
        <w:ind w:left="967" w:hanging="540"/>
      </w:pPr>
      <w:rPr>
        <w:rFonts w:hint="default"/>
      </w:rPr>
    </w:lvl>
    <w:lvl w:ilvl="2">
      <w:start w:val="3"/>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1" w15:restartNumberingAfterBreak="0">
    <w:nsid w:val="275C3B30"/>
    <w:multiLevelType w:val="hybridMultilevel"/>
    <w:tmpl w:val="620CDB2C"/>
    <w:lvl w:ilvl="0" w:tplc="B720B80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3AF0FD2"/>
    <w:multiLevelType w:val="hybridMultilevel"/>
    <w:tmpl w:val="620CDB2C"/>
    <w:lvl w:ilvl="0" w:tplc="B720B80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1474E8"/>
    <w:multiLevelType w:val="hybridMultilevel"/>
    <w:tmpl w:val="620CDB2C"/>
    <w:lvl w:ilvl="0" w:tplc="B720B80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9BA377E"/>
    <w:multiLevelType w:val="hybridMultilevel"/>
    <w:tmpl w:val="BD18CEC2"/>
    <w:lvl w:ilvl="0" w:tplc="C004F16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2E"/>
    <w:rsid w:val="00003AA0"/>
    <w:rsid w:val="00025CFB"/>
    <w:rsid w:val="00053136"/>
    <w:rsid w:val="00060178"/>
    <w:rsid w:val="00064769"/>
    <w:rsid w:val="00092BEE"/>
    <w:rsid w:val="000C4FA3"/>
    <w:rsid w:val="000C7B58"/>
    <w:rsid w:val="000E38EF"/>
    <w:rsid w:val="001221CD"/>
    <w:rsid w:val="00132D77"/>
    <w:rsid w:val="00143346"/>
    <w:rsid w:val="00152682"/>
    <w:rsid w:val="00153A9D"/>
    <w:rsid w:val="00182F1B"/>
    <w:rsid w:val="0019336E"/>
    <w:rsid w:val="001C1706"/>
    <w:rsid w:val="001E6FE3"/>
    <w:rsid w:val="001F3B54"/>
    <w:rsid w:val="00232D54"/>
    <w:rsid w:val="002447B9"/>
    <w:rsid w:val="002D1B2E"/>
    <w:rsid w:val="002D768C"/>
    <w:rsid w:val="00357E92"/>
    <w:rsid w:val="00366BC3"/>
    <w:rsid w:val="0037677D"/>
    <w:rsid w:val="00390DC3"/>
    <w:rsid w:val="0039414A"/>
    <w:rsid w:val="00405EE3"/>
    <w:rsid w:val="00412DDE"/>
    <w:rsid w:val="00474FA9"/>
    <w:rsid w:val="004C7649"/>
    <w:rsid w:val="00571EBB"/>
    <w:rsid w:val="005727EA"/>
    <w:rsid w:val="005C1835"/>
    <w:rsid w:val="005E0B2D"/>
    <w:rsid w:val="005E3AC1"/>
    <w:rsid w:val="0062294F"/>
    <w:rsid w:val="0062356A"/>
    <w:rsid w:val="00661C66"/>
    <w:rsid w:val="006C004B"/>
    <w:rsid w:val="00743A26"/>
    <w:rsid w:val="007A4047"/>
    <w:rsid w:val="007B4BBA"/>
    <w:rsid w:val="008401CA"/>
    <w:rsid w:val="008739F4"/>
    <w:rsid w:val="00875306"/>
    <w:rsid w:val="008C0329"/>
    <w:rsid w:val="008D3E7B"/>
    <w:rsid w:val="008D5625"/>
    <w:rsid w:val="008E2C1F"/>
    <w:rsid w:val="008E4B8A"/>
    <w:rsid w:val="00901BE7"/>
    <w:rsid w:val="00946058"/>
    <w:rsid w:val="00946AF8"/>
    <w:rsid w:val="00953C34"/>
    <w:rsid w:val="00970442"/>
    <w:rsid w:val="00972A8E"/>
    <w:rsid w:val="009C586F"/>
    <w:rsid w:val="009D4E0A"/>
    <w:rsid w:val="00A27161"/>
    <w:rsid w:val="00A52DAA"/>
    <w:rsid w:val="00A756FA"/>
    <w:rsid w:val="00AC5C36"/>
    <w:rsid w:val="00B42527"/>
    <w:rsid w:val="00B45401"/>
    <w:rsid w:val="00BA369A"/>
    <w:rsid w:val="00BA3D87"/>
    <w:rsid w:val="00C0214F"/>
    <w:rsid w:val="00C21CE9"/>
    <w:rsid w:val="00C27F94"/>
    <w:rsid w:val="00C310D5"/>
    <w:rsid w:val="00C972F7"/>
    <w:rsid w:val="00CC3A75"/>
    <w:rsid w:val="00CD4561"/>
    <w:rsid w:val="00D213E4"/>
    <w:rsid w:val="00D32523"/>
    <w:rsid w:val="00D344C4"/>
    <w:rsid w:val="00D359A7"/>
    <w:rsid w:val="00D76D6D"/>
    <w:rsid w:val="00DC1998"/>
    <w:rsid w:val="00E7406D"/>
    <w:rsid w:val="00E9604D"/>
    <w:rsid w:val="00EA1762"/>
    <w:rsid w:val="00EE7536"/>
    <w:rsid w:val="00F2625B"/>
    <w:rsid w:val="00F3258A"/>
    <w:rsid w:val="00F6505E"/>
    <w:rsid w:val="00F6704F"/>
    <w:rsid w:val="00F70CF9"/>
    <w:rsid w:val="00F82317"/>
    <w:rsid w:val="00F8633E"/>
    <w:rsid w:val="00FC65D8"/>
    <w:rsid w:val="00FD34E7"/>
    <w:rsid w:val="00FE33D0"/>
    <w:rsid w:val="00FF16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01315-3569-4242-A6C2-389C4F82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1B2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D1B2E"/>
    <w:pPr>
      <w:tabs>
        <w:tab w:val="center" w:pos="4320"/>
        <w:tab w:val="right" w:pos="8640"/>
      </w:tabs>
    </w:pPr>
  </w:style>
  <w:style w:type="character" w:customStyle="1" w:styleId="GlavaZnak">
    <w:name w:val="Glava Znak"/>
    <w:basedOn w:val="Privzetapisavaodstavka"/>
    <w:link w:val="Glava"/>
    <w:rsid w:val="002D1B2E"/>
    <w:rPr>
      <w:rFonts w:ascii="Arial" w:eastAsia="Times New Roman" w:hAnsi="Arial" w:cs="Times New Roman"/>
      <w:sz w:val="20"/>
      <w:szCs w:val="24"/>
    </w:rPr>
  </w:style>
  <w:style w:type="paragraph" w:styleId="Odstavekseznama">
    <w:name w:val="List Paragraph"/>
    <w:basedOn w:val="Navaden"/>
    <w:uiPriority w:val="34"/>
    <w:qFormat/>
    <w:rsid w:val="0019336E"/>
    <w:pPr>
      <w:ind w:left="720"/>
      <w:contextualSpacing/>
    </w:pPr>
  </w:style>
  <w:style w:type="character" w:styleId="Pripombasklic">
    <w:name w:val="annotation reference"/>
    <w:basedOn w:val="Privzetapisavaodstavka"/>
    <w:uiPriority w:val="99"/>
    <w:semiHidden/>
    <w:unhideWhenUsed/>
    <w:rsid w:val="00D213E4"/>
    <w:rPr>
      <w:sz w:val="16"/>
      <w:szCs w:val="16"/>
    </w:rPr>
  </w:style>
  <w:style w:type="paragraph" w:styleId="Pripombabesedilo">
    <w:name w:val="annotation text"/>
    <w:basedOn w:val="Navaden"/>
    <w:link w:val="PripombabesediloZnak"/>
    <w:uiPriority w:val="99"/>
    <w:semiHidden/>
    <w:unhideWhenUsed/>
    <w:rsid w:val="00D213E4"/>
    <w:pPr>
      <w:spacing w:line="240" w:lineRule="auto"/>
    </w:pPr>
    <w:rPr>
      <w:szCs w:val="20"/>
    </w:rPr>
  </w:style>
  <w:style w:type="character" w:customStyle="1" w:styleId="PripombabesediloZnak">
    <w:name w:val="Pripomba – besedilo Znak"/>
    <w:basedOn w:val="Privzetapisavaodstavka"/>
    <w:link w:val="Pripombabesedilo"/>
    <w:uiPriority w:val="99"/>
    <w:semiHidden/>
    <w:rsid w:val="00D213E4"/>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D213E4"/>
    <w:rPr>
      <w:b/>
      <w:bCs/>
    </w:rPr>
  </w:style>
  <w:style w:type="character" w:customStyle="1" w:styleId="ZadevapripombeZnak">
    <w:name w:val="Zadeva pripombe Znak"/>
    <w:basedOn w:val="PripombabesediloZnak"/>
    <w:link w:val="Zadevapripombe"/>
    <w:uiPriority w:val="99"/>
    <w:semiHidden/>
    <w:rsid w:val="00D213E4"/>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D213E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213E4"/>
    <w:rPr>
      <w:rFonts w:ascii="Segoe UI" w:eastAsia="Times New Roman" w:hAnsi="Segoe UI" w:cs="Segoe UI"/>
      <w:sz w:val="18"/>
      <w:szCs w:val="18"/>
    </w:rPr>
  </w:style>
  <w:style w:type="paragraph" w:styleId="Noga">
    <w:name w:val="footer"/>
    <w:basedOn w:val="Navaden"/>
    <w:link w:val="NogaZnak"/>
    <w:uiPriority w:val="99"/>
    <w:unhideWhenUsed/>
    <w:rsid w:val="00143346"/>
    <w:pPr>
      <w:tabs>
        <w:tab w:val="center" w:pos="4536"/>
        <w:tab w:val="right" w:pos="9072"/>
      </w:tabs>
      <w:spacing w:line="240" w:lineRule="auto"/>
    </w:pPr>
  </w:style>
  <w:style w:type="character" w:customStyle="1" w:styleId="NogaZnak">
    <w:name w:val="Noga Znak"/>
    <w:basedOn w:val="Privzetapisavaodstavka"/>
    <w:link w:val="Noga"/>
    <w:uiPriority w:val="99"/>
    <w:rsid w:val="00143346"/>
    <w:rPr>
      <w:rFonts w:ascii="Arial" w:eastAsia="Times New Roman" w:hAnsi="Arial" w:cs="Times New Roman"/>
      <w:sz w:val="20"/>
      <w:szCs w:val="24"/>
    </w:rPr>
  </w:style>
  <w:style w:type="character" w:styleId="Hiperpovezava">
    <w:name w:val="Hyperlink"/>
    <w:basedOn w:val="Privzetapisavaodstavka"/>
    <w:uiPriority w:val="99"/>
    <w:unhideWhenUsed/>
    <w:rsid w:val="0039414A"/>
    <w:rPr>
      <w:color w:val="0563C1" w:themeColor="hyperlink"/>
      <w:u w:val="single"/>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946AF8"/>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946AF8"/>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405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25814">
      <w:bodyDiv w:val="1"/>
      <w:marLeft w:val="0"/>
      <w:marRight w:val="0"/>
      <w:marTop w:val="0"/>
      <w:marBottom w:val="0"/>
      <w:divBdr>
        <w:top w:val="none" w:sz="0" w:space="0" w:color="auto"/>
        <w:left w:val="none" w:sz="0" w:space="0" w:color="auto"/>
        <w:bottom w:val="none" w:sz="0" w:space="0" w:color="auto"/>
        <w:right w:val="none" w:sz="0" w:space="0" w:color="auto"/>
      </w:divBdr>
    </w:div>
    <w:div w:id="1281109192">
      <w:bodyDiv w:val="1"/>
      <w:marLeft w:val="0"/>
      <w:marRight w:val="0"/>
      <w:marTop w:val="0"/>
      <w:marBottom w:val="0"/>
      <w:divBdr>
        <w:top w:val="none" w:sz="0" w:space="0" w:color="auto"/>
        <w:left w:val="none" w:sz="0" w:space="0" w:color="auto"/>
        <w:bottom w:val="none" w:sz="0" w:space="0" w:color="auto"/>
        <w:right w:val="none" w:sz="0" w:space="0" w:color="auto"/>
      </w:divBdr>
    </w:div>
    <w:div w:id="1408383695">
      <w:bodyDiv w:val="1"/>
      <w:marLeft w:val="0"/>
      <w:marRight w:val="0"/>
      <w:marTop w:val="0"/>
      <w:marBottom w:val="0"/>
      <w:divBdr>
        <w:top w:val="none" w:sz="0" w:space="0" w:color="auto"/>
        <w:left w:val="none" w:sz="0" w:space="0" w:color="auto"/>
        <w:bottom w:val="none" w:sz="0" w:space="0" w:color="auto"/>
        <w:right w:val="none" w:sz="0" w:space="0" w:color="auto"/>
      </w:divBdr>
      <w:divsChild>
        <w:div w:id="871499825">
          <w:marLeft w:val="0"/>
          <w:marRight w:val="0"/>
          <w:marTop w:val="0"/>
          <w:marBottom w:val="0"/>
          <w:divBdr>
            <w:top w:val="none" w:sz="0" w:space="0" w:color="auto"/>
            <w:left w:val="none" w:sz="0" w:space="0" w:color="auto"/>
            <w:bottom w:val="none" w:sz="0" w:space="0" w:color="auto"/>
            <w:right w:val="none" w:sz="0" w:space="0" w:color="auto"/>
          </w:divBdr>
          <w:divsChild>
            <w:div w:id="1557929577">
              <w:marLeft w:val="0"/>
              <w:marRight w:val="0"/>
              <w:marTop w:val="0"/>
              <w:marBottom w:val="0"/>
              <w:divBdr>
                <w:top w:val="none" w:sz="0" w:space="0" w:color="auto"/>
                <w:left w:val="none" w:sz="0" w:space="0" w:color="auto"/>
                <w:bottom w:val="none" w:sz="0" w:space="0" w:color="auto"/>
                <w:right w:val="none" w:sz="0" w:space="0" w:color="auto"/>
              </w:divBdr>
            </w:div>
            <w:div w:id="547033278">
              <w:marLeft w:val="0"/>
              <w:marRight w:val="0"/>
              <w:marTop w:val="0"/>
              <w:marBottom w:val="0"/>
              <w:divBdr>
                <w:top w:val="none" w:sz="0" w:space="0" w:color="auto"/>
                <w:left w:val="none" w:sz="0" w:space="0" w:color="auto"/>
                <w:bottom w:val="none" w:sz="0" w:space="0" w:color="auto"/>
                <w:right w:val="none" w:sz="0" w:space="0" w:color="auto"/>
              </w:divBdr>
            </w:div>
            <w:div w:id="1479806876">
              <w:marLeft w:val="0"/>
              <w:marRight w:val="0"/>
              <w:marTop w:val="0"/>
              <w:marBottom w:val="0"/>
              <w:divBdr>
                <w:top w:val="none" w:sz="0" w:space="0" w:color="auto"/>
                <w:left w:val="none" w:sz="0" w:space="0" w:color="auto"/>
                <w:bottom w:val="none" w:sz="0" w:space="0" w:color="auto"/>
                <w:right w:val="none" w:sz="0" w:space="0" w:color="auto"/>
              </w:divBdr>
            </w:div>
            <w:div w:id="13286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si/assets/vladne-sluzbe/SVRK/S4-Slovenska-strategija-pametne-specializacije/Tabela-fokusnih-podrocij_ANza3fazo_november-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projekti-in-programi/izvajanje-slovenske-strategije-pametne-specializaci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u-skladi.si/sl/ekp/kljucni-dokumenti" TargetMode="External"/><Relationship Id="rId4" Type="http://schemas.openxmlformats.org/officeDocument/2006/relationships/webSettings" Target="webSettings.xml"/><Relationship Id="rId9" Type="http://schemas.openxmlformats.org/officeDocument/2006/relationships/hyperlink" Target="https://www.eu-skladi.si/sl/dokumenti/navodila/smernice-o-poenostavljenih-moznostih-obracunavanja-stroskov.pdf"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1793</Words>
  <Characters>10226</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4</cp:revision>
  <cp:lastPrinted>2022-07-08T04:46:00Z</cp:lastPrinted>
  <dcterms:created xsi:type="dcterms:W3CDTF">2022-07-11T16:41:00Z</dcterms:created>
  <dcterms:modified xsi:type="dcterms:W3CDTF">2022-07-11T16:48:00Z</dcterms:modified>
</cp:coreProperties>
</file>