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A223" w14:textId="77777777" w:rsidR="002D1B2E" w:rsidRPr="008F3500" w:rsidRDefault="002D1B2E" w:rsidP="002D1B2E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1747A7D" wp14:editId="0C8BD7BE">
            <wp:simplePos x="0" y="0"/>
            <wp:positionH relativeFrom="column">
              <wp:posOffset>4192905</wp:posOffset>
            </wp:positionH>
            <wp:positionV relativeFrom="paragraph">
              <wp:posOffset>-196850</wp:posOffset>
            </wp:positionV>
            <wp:extent cx="1710055" cy="828040"/>
            <wp:effectExtent l="0" t="0" r="4445" b="0"/>
            <wp:wrapNone/>
            <wp:docPr id="4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BE04EB1" wp14:editId="1737BEC2">
            <wp:simplePos x="0" y="0"/>
            <wp:positionH relativeFrom="column">
              <wp:posOffset>-483870</wp:posOffset>
            </wp:positionH>
            <wp:positionV relativeFrom="paragraph">
              <wp:posOffset>4445</wp:posOffset>
            </wp:positionV>
            <wp:extent cx="2426970" cy="391795"/>
            <wp:effectExtent l="0" t="0" r="0" b="8255"/>
            <wp:wrapNone/>
            <wp:docPr id="2" name="Slika 9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509DE607" wp14:editId="548E744E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3365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77AEF78" id="Line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</w:p>
    <w:p w14:paraId="37FFC992" w14:textId="77777777" w:rsidR="002D1B2E" w:rsidRPr="0028101B" w:rsidRDefault="002D1B2E" w:rsidP="002D1B2E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</w:p>
    <w:p w14:paraId="6AE4A9FF" w14:textId="77777777" w:rsidR="002D1B2E" w:rsidRDefault="002D1B2E" w:rsidP="002D1B2E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</w:p>
    <w:p w14:paraId="615A922C" w14:textId="77777777" w:rsidR="002D1B2E" w:rsidRPr="008F3500" w:rsidRDefault="002D1B2E" w:rsidP="002D1B2E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14:paraId="6AA6899C" w14:textId="77777777" w:rsidR="002D1B2E" w:rsidRPr="008F3500" w:rsidRDefault="002D1B2E" w:rsidP="002D1B2E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  <w:r w:rsidRPr="008F3500">
        <w:rPr>
          <w:rFonts w:cs="Arial"/>
          <w:sz w:val="16"/>
        </w:rPr>
        <w:t xml:space="preserve"> </w:t>
      </w:r>
    </w:p>
    <w:p w14:paraId="11FA0788" w14:textId="77777777" w:rsidR="000C4FA3" w:rsidRDefault="000C4FA3"/>
    <w:p w14:paraId="3FFFA86D" w14:textId="77777777" w:rsidR="00153A9D" w:rsidRPr="00411775" w:rsidRDefault="00153A9D" w:rsidP="00153A9D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szCs w:val="20"/>
        </w:rPr>
        <w:t xml:space="preserve">ODGOVORI NA VPRAŠANJA </w:t>
      </w:r>
    </w:p>
    <w:p w14:paraId="4DED2408" w14:textId="77777777" w:rsidR="00153A9D" w:rsidRPr="00411775" w:rsidRDefault="00153A9D" w:rsidP="00153A9D">
      <w:pPr>
        <w:jc w:val="both"/>
        <w:rPr>
          <w:rFonts w:cs="Arial"/>
          <w:b/>
          <w:szCs w:val="20"/>
        </w:rPr>
      </w:pPr>
    </w:p>
    <w:p w14:paraId="1D8C16DB" w14:textId="2B2F42E6" w:rsidR="002D1B2E" w:rsidRDefault="0035622B" w:rsidP="0019336E">
      <w:pPr>
        <w:jc w:val="both"/>
        <w:rPr>
          <w:rFonts w:cs="Arial"/>
          <w:b/>
          <w:szCs w:val="20"/>
        </w:rPr>
      </w:pPr>
      <w:r w:rsidRPr="00411775">
        <w:rPr>
          <w:rFonts w:cs="Arial"/>
          <w:b/>
          <w:bCs/>
          <w:szCs w:val="20"/>
          <w:lang w:eastAsia="sl-SI"/>
        </w:rPr>
        <w:t>Javni razpis:</w:t>
      </w:r>
      <w:r>
        <w:rPr>
          <w:rFonts w:cs="Arial"/>
          <w:b/>
          <w:bCs/>
          <w:szCs w:val="20"/>
          <w:lang w:eastAsia="sl-SI"/>
        </w:rPr>
        <w:t xml:space="preserve"> </w:t>
      </w:r>
      <w:r w:rsidRPr="00186934">
        <w:rPr>
          <w:rFonts w:eastAsiaTheme="minorHAnsi" w:cs="Arial"/>
          <w:b/>
          <w:color w:val="000000"/>
          <w:szCs w:val="20"/>
        </w:rPr>
        <w:t>Projektno delo za pridobitev praktičnih izkušenj in znanj študentov v delovnem okolju 2022/2023</w:t>
      </w:r>
      <w:r>
        <w:rPr>
          <w:rFonts w:eastAsiaTheme="minorHAnsi" w:cs="Arial"/>
          <w:b/>
          <w:color w:val="000000"/>
          <w:szCs w:val="20"/>
        </w:rPr>
        <w:t xml:space="preserve"> </w:t>
      </w:r>
      <w:r w:rsidRPr="00411775">
        <w:rPr>
          <w:rFonts w:cs="Arial"/>
          <w:b/>
          <w:szCs w:val="20"/>
        </w:rPr>
        <w:t>(v nadaljnjem besedilu: javni razpis)</w:t>
      </w:r>
      <w:r w:rsidRPr="00411775">
        <w:rPr>
          <w:rFonts w:cs="Arial"/>
          <w:b/>
          <w:szCs w:val="20"/>
          <w:lang w:eastAsia="sl-SI"/>
        </w:rPr>
        <w:t xml:space="preserve"> objavljen v</w:t>
      </w:r>
      <w:r w:rsidRPr="00411775">
        <w:rPr>
          <w:rFonts w:cs="Arial"/>
          <w:b/>
          <w:szCs w:val="20"/>
        </w:rPr>
        <w:t xml:space="preserve"> Uradnem </w:t>
      </w:r>
      <w:r>
        <w:rPr>
          <w:rFonts w:cs="Arial"/>
          <w:b/>
          <w:szCs w:val="20"/>
        </w:rPr>
        <w:t>listu Republike Slovenije št. 89/22 z dne 1. 7. 2022</w:t>
      </w:r>
      <w:r w:rsidRPr="00411775">
        <w:rPr>
          <w:rFonts w:cs="Arial"/>
          <w:b/>
          <w:szCs w:val="20"/>
        </w:rPr>
        <w:t xml:space="preserve"> (Razglasni del, str. </w:t>
      </w:r>
      <w:r w:rsidRPr="00644E15">
        <w:rPr>
          <w:rFonts w:cs="Arial"/>
          <w:b/>
          <w:szCs w:val="20"/>
        </w:rPr>
        <w:t>1747-1761</w:t>
      </w:r>
      <w:r w:rsidRPr="00411775">
        <w:rPr>
          <w:rFonts w:cs="Arial"/>
          <w:b/>
          <w:szCs w:val="20"/>
        </w:rPr>
        <w:t>)</w:t>
      </w:r>
      <w:r>
        <w:rPr>
          <w:rFonts w:cs="Arial"/>
          <w:b/>
          <w:szCs w:val="20"/>
        </w:rPr>
        <w:t xml:space="preserve"> in sprememba št. 96/22 z dne 15. 7. 2022 (Razglasni del, str. 1801)</w:t>
      </w:r>
    </w:p>
    <w:p w14:paraId="5263E927" w14:textId="77777777" w:rsidR="00F578D9" w:rsidRDefault="00F578D9" w:rsidP="0019336E">
      <w:pPr>
        <w:jc w:val="both"/>
        <w:rPr>
          <w:rFonts w:cs="Arial"/>
          <w:b/>
          <w:szCs w:val="20"/>
        </w:rPr>
      </w:pPr>
    </w:p>
    <w:p w14:paraId="2255A222" w14:textId="77777777" w:rsidR="0019336E" w:rsidRPr="0019336E" w:rsidRDefault="0019336E" w:rsidP="0019336E">
      <w:pPr>
        <w:jc w:val="both"/>
        <w:rPr>
          <w:rFonts w:cs="Arial"/>
          <w:b/>
          <w:szCs w:val="20"/>
        </w:rPr>
      </w:pPr>
    </w:p>
    <w:p w14:paraId="1AD94653" w14:textId="3F73265D" w:rsidR="0035622B" w:rsidRPr="00F578D9" w:rsidRDefault="0035622B" w:rsidP="0035622B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Cs/>
          <w:color w:val="000000"/>
          <w:szCs w:val="20"/>
        </w:rPr>
      </w:pPr>
      <w:r w:rsidRPr="00F578D9">
        <w:rPr>
          <w:rFonts w:eastAsiaTheme="minorHAnsi" w:cs="Arial"/>
          <w:bCs/>
          <w:color w:val="000000"/>
          <w:szCs w:val="20"/>
        </w:rPr>
        <w:t>V besedilu javnega razpisa povezava do Navodil za uporabo informacijskega sistema e-MA (priloga 14. Priročnik za uporabo informacijskega sistema e-MA v okviru točke 8. Vsebina in priprava vloge na javni razpis) ne deluje. Prosimo za usmeritev.</w:t>
      </w:r>
    </w:p>
    <w:p w14:paraId="1C6BAD34" w14:textId="77777777" w:rsidR="0035622B" w:rsidRPr="00F578D9" w:rsidRDefault="0035622B" w:rsidP="0035622B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color w:val="000000"/>
          <w:szCs w:val="20"/>
        </w:rPr>
      </w:pPr>
    </w:p>
    <w:p w14:paraId="0C3A0A2F" w14:textId="4F1386B0" w:rsidR="005C1835" w:rsidRPr="00F578D9" w:rsidRDefault="0035622B" w:rsidP="0035622B">
      <w:pPr>
        <w:jc w:val="both"/>
        <w:rPr>
          <w:rFonts w:eastAsiaTheme="minorHAnsi" w:cs="Arial"/>
          <w:color w:val="0070C0"/>
          <w:szCs w:val="20"/>
        </w:rPr>
      </w:pPr>
      <w:r w:rsidRPr="00300412">
        <w:rPr>
          <w:rFonts w:cs="Arial"/>
          <w:bCs/>
          <w:color w:val="2E74B5" w:themeColor="accent1" w:themeShade="BF"/>
        </w:rPr>
        <w:t xml:space="preserve">Ugotovili smo, da je bila povezava ukinjena. Nova povezava s konkretnimi navodili je dostopna na spletni strani </w:t>
      </w:r>
      <w:hyperlink r:id="rId9" w:history="1">
        <w:r w:rsidRPr="00300412">
          <w:rPr>
            <w:rFonts w:eastAsiaTheme="minorHAnsi" w:cs="Arial"/>
            <w:color w:val="2E74B5" w:themeColor="accent1" w:themeShade="BF"/>
            <w:szCs w:val="20"/>
            <w:u w:val="single"/>
          </w:rPr>
          <w:t>https://navodila.ema.arr.gov.si/</w:t>
        </w:r>
      </w:hyperlink>
      <w:r w:rsidRPr="00F578D9">
        <w:rPr>
          <w:rFonts w:eastAsiaTheme="minorHAnsi" w:cs="Arial"/>
          <w:color w:val="0070C0"/>
          <w:szCs w:val="20"/>
        </w:rPr>
        <w:t xml:space="preserve">. </w:t>
      </w:r>
      <w:r w:rsidR="005C1835" w:rsidRPr="00F578D9">
        <w:rPr>
          <w:rFonts w:cs="Arial"/>
          <w:color w:val="0070C0"/>
          <w:szCs w:val="20"/>
        </w:rPr>
        <w:t xml:space="preserve"> </w:t>
      </w:r>
    </w:p>
    <w:p w14:paraId="29A55683" w14:textId="77777777" w:rsidR="008D5625" w:rsidRDefault="008D5625" w:rsidP="005E3AC1">
      <w:pPr>
        <w:jc w:val="both"/>
        <w:rPr>
          <w:rFonts w:cs="Arial"/>
          <w:color w:val="0070C0"/>
          <w:szCs w:val="20"/>
        </w:rPr>
      </w:pPr>
    </w:p>
    <w:p w14:paraId="65ACDE13" w14:textId="756B2C57" w:rsidR="00FD34E7" w:rsidRPr="00F578D9" w:rsidRDefault="00F578D9" w:rsidP="00F578D9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r w:rsidRPr="00F578D9">
        <w:rPr>
          <w:rFonts w:eastAsiaTheme="minorHAnsi" w:cs="Arial"/>
          <w:color w:val="212100"/>
          <w:szCs w:val="20"/>
        </w:rPr>
        <w:t>Ali sodelovanje partnerjev, ki so zasebni subjekti, a opravljajo javno službo (kot so to npr. zasebni vrtec, zasebni zavod starejših), sodi pod prijavo projektov med Sklop A ali Sklop B javnega razpisa?</w:t>
      </w:r>
    </w:p>
    <w:p w14:paraId="33D07152" w14:textId="77777777" w:rsidR="001221CD" w:rsidRDefault="001221CD" w:rsidP="001221CD">
      <w:pPr>
        <w:jc w:val="both"/>
        <w:rPr>
          <w:rFonts w:cs="Arial"/>
          <w:szCs w:val="20"/>
        </w:rPr>
      </w:pPr>
    </w:p>
    <w:p w14:paraId="0BE82C32" w14:textId="336E3A80" w:rsidR="008D5625" w:rsidRPr="00F578D9" w:rsidRDefault="00F578D9" w:rsidP="001221CD">
      <w:pPr>
        <w:jc w:val="both"/>
        <w:rPr>
          <w:rFonts w:ascii="Helv" w:eastAsiaTheme="minorHAnsi" w:hAnsi="Helv" w:cs="Helv"/>
          <w:color w:val="0070C0"/>
          <w:szCs w:val="20"/>
        </w:rPr>
      </w:pPr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 xml:space="preserve">Sodelovanje s partnerji, ki so zasebni subjekti, a opravljajo javno službo sodi pod prijavo projektov med Sklop A javnega razpisa. Gre za subjekte, ki imajo pravno subjektiviteto skladno z Zakonom o gospodarskih družbah (Uradni list RS, št. 65/09 – uradno prečiščeno besedilo, 33/11, 91/11, 32/12, 57/12, 44/13 – </w:t>
      </w:r>
      <w:proofErr w:type="spellStart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>odl</w:t>
      </w:r>
      <w:proofErr w:type="spellEnd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 xml:space="preserve">. US, 82/13, 55/15, 15/17, 22/19 – </w:t>
      </w:r>
      <w:proofErr w:type="spellStart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>ZPosS</w:t>
      </w:r>
      <w:proofErr w:type="spellEnd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 xml:space="preserve">, 158/20 – </w:t>
      </w:r>
      <w:proofErr w:type="spellStart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>ZIntPK</w:t>
      </w:r>
      <w:proofErr w:type="spellEnd"/>
      <w:r w:rsidRPr="00300412">
        <w:rPr>
          <w:rFonts w:ascii="Helv" w:eastAsiaTheme="minorHAnsi" w:hAnsi="Helv" w:cs="Helv"/>
          <w:color w:val="2E74B5" w:themeColor="accent1" w:themeShade="BF"/>
          <w:szCs w:val="20"/>
        </w:rPr>
        <w:t>-C in 18/21) in so v AJPES-u vpisani kot gospodarski subjekti.</w:t>
      </w:r>
    </w:p>
    <w:p w14:paraId="4468FC48" w14:textId="77777777" w:rsidR="00A22515" w:rsidRDefault="00A22515" w:rsidP="00A22515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</w:rPr>
      </w:pPr>
    </w:p>
    <w:p w14:paraId="64F429D1" w14:textId="3FBE4971" w:rsidR="00182F1B" w:rsidRPr="00A22515" w:rsidRDefault="00A22515" w:rsidP="00A22515">
      <w:pPr>
        <w:pStyle w:val="Odstavekseznama"/>
        <w:numPr>
          <w:ilvl w:val="0"/>
          <w:numId w:val="9"/>
        </w:numPr>
        <w:spacing w:line="240" w:lineRule="auto"/>
        <w:jc w:val="both"/>
        <w:rPr>
          <w:rFonts w:cs="Arial"/>
          <w:szCs w:val="20"/>
          <w14:ligatures w14:val="standardContextual"/>
        </w:rPr>
      </w:pPr>
      <w:r>
        <w:rPr>
          <w:rFonts w:eastAsiaTheme="minorHAnsi" w:cs="Arial"/>
          <w:color w:val="000000"/>
          <w:szCs w:val="20"/>
        </w:rPr>
        <w:t xml:space="preserve">Ali se </w:t>
      </w:r>
      <w:r w:rsidRPr="00A22515">
        <w:rPr>
          <w:rFonts w:eastAsiaTheme="minorHAnsi" w:cs="Arial"/>
          <w:color w:val="000000"/>
          <w:szCs w:val="20"/>
        </w:rPr>
        <w:t>lahk</w:t>
      </w:r>
      <w:r>
        <w:rPr>
          <w:rFonts w:eastAsiaTheme="minorHAnsi" w:cs="Arial"/>
          <w:color w:val="000000"/>
          <w:szCs w:val="20"/>
        </w:rPr>
        <w:t>o isti pedagoški mentor vključi oziroma sodeluje tako v Sklopu A kot tudi v S</w:t>
      </w:r>
      <w:r w:rsidRPr="00A22515">
        <w:rPr>
          <w:rFonts w:eastAsiaTheme="minorHAnsi" w:cs="Arial"/>
          <w:color w:val="000000"/>
          <w:szCs w:val="20"/>
        </w:rPr>
        <w:t>klopu B</w:t>
      </w:r>
      <w:r>
        <w:rPr>
          <w:rFonts w:eastAsiaTheme="minorHAnsi" w:cs="Arial"/>
          <w:color w:val="000000"/>
          <w:szCs w:val="20"/>
        </w:rPr>
        <w:t>? A</w:t>
      </w:r>
      <w:r w:rsidRPr="00A22515">
        <w:rPr>
          <w:rFonts w:eastAsiaTheme="minorHAnsi" w:cs="Arial"/>
          <w:color w:val="000000"/>
          <w:szCs w:val="20"/>
        </w:rPr>
        <w:t xml:space="preserve">li je lahko </w:t>
      </w:r>
      <w:r>
        <w:rPr>
          <w:rFonts w:eastAsiaTheme="minorHAnsi" w:cs="Arial"/>
          <w:color w:val="000000"/>
          <w:szCs w:val="20"/>
        </w:rPr>
        <w:t>isti pedagoški mentor vključen oziroma sodelu</w:t>
      </w:r>
      <w:r w:rsidRPr="00A22515">
        <w:rPr>
          <w:rFonts w:eastAsiaTheme="minorHAnsi" w:cs="Arial"/>
          <w:color w:val="000000"/>
          <w:szCs w:val="20"/>
        </w:rPr>
        <w:t xml:space="preserve"> le v enem sklopu?</w:t>
      </w:r>
      <w:r w:rsidR="00182F1B" w:rsidRPr="00A22515">
        <w:rPr>
          <w:rFonts w:cs="Arial"/>
          <w:szCs w:val="20"/>
          <w14:ligatures w14:val="standardContextual"/>
        </w:rPr>
        <w:t xml:space="preserve"> </w:t>
      </w:r>
    </w:p>
    <w:p w14:paraId="05F524D9" w14:textId="77777777" w:rsidR="00E9604D" w:rsidRPr="008E2C1F" w:rsidRDefault="00E9604D" w:rsidP="008E2C1F">
      <w:pPr>
        <w:jc w:val="both"/>
        <w:rPr>
          <w:rFonts w:cs="Arial"/>
          <w:szCs w:val="20"/>
        </w:rPr>
      </w:pPr>
    </w:p>
    <w:p w14:paraId="07B9F353" w14:textId="5E8A66AD" w:rsidR="00A22515" w:rsidRDefault="00A22515" w:rsidP="00E9604D">
      <w:pPr>
        <w:jc w:val="both"/>
        <w:rPr>
          <w:rFonts w:cs="Arial"/>
          <w:color w:val="0070C0"/>
          <w:szCs w:val="20"/>
        </w:rPr>
      </w:pPr>
      <w:r w:rsidRPr="00300412">
        <w:rPr>
          <w:rFonts w:cs="Arial"/>
          <w:color w:val="2E74B5" w:themeColor="accent1" w:themeShade="BF"/>
          <w:szCs w:val="20"/>
        </w:rPr>
        <w:t>Da, isti pedagoški mentor se lahko vključi oziroma lahko sodeluje tako na Sklopu A kot na Sklopu</w:t>
      </w:r>
      <w:r w:rsidR="00A15080" w:rsidRPr="00300412">
        <w:rPr>
          <w:rFonts w:cs="Arial"/>
          <w:color w:val="2E74B5" w:themeColor="accent1" w:themeShade="BF"/>
          <w:szCs w:val="20"/>
        </w:rPr>
        <w:t xml:space="preserve"> B</w:t>
      </w:r>
      <w:r w:rsidRPr="00300412">
        <w:rPr>
          <w:rFonts w:cs="Arial"/>
          <w:color w:val="2E74B5" w:themeColor="accent1" w:themeShade="BF"/>
          <w:szCs w:val="20"/>
        </w:rPr>
        <w:t>.  Javni razpis ne omejuje vključevanje oziroma sodelovanje istega pedagoškega mentorja le na na Sklop A ali le na vključevanje oziroma sodelovanje na Sklop B.</w:t>
      </w:r>
    </w:p>
    <w:p w14:paraId="5E7FA5C5" w14:textId="77777777" w:rsidR="008D5625" w:rsidRPr="00542596" w:rsidRDefault="008D5625" w:rsidP="00542596">
      <w:pPr>
        <w:jc w:val="both"/>
        <w:rPr>
          <w:rFonts w:cs="Arial"/>
          <w:szCs w:val="20"/>
        </w:rPr>
      </w:pPr>
    </w:p>
    <w:p w14:paraId="1ABD419A" w14:textId="04E088D5" w:rsidR="00542596" w:rsidRPr="00542596" w:rsidRDefault="00542596" w:rsidP="00542596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542596">
        <w:rPr>
          <w:rFonts w:eastAsiaTheme="minorHAnsi" w:cs="Arial"/>
          <w:color w:val="000000"/>
          <w:szCs w:val="20"/>
        </w:rPr>
        <w:t xml:space="preserve">V </w:t>
      </w:r>
      <w:r>
        <w:rPr>
          <w:rFonts w:eastAsiaTheme="minorHAnsi" w:cs="Arial"/>
          <w:color w:val="000000"/>
          <w:szCs w:val="20"/>
        </w:rPr>
        <w:t xml:space="preserve">javnem </w:t>
      </w:r>
      <w:r w:rsidRPr="00542596">
        <w:rPr>
          <w:rFonts w:eastAsiaTheme="minorHAnsi" w:cs="Arial"/>
          <w:color w:val="000000"/>
          <w:szCs w:val="20"/>
        </w:rPr>
        <w:t xml:space="preserve">razpisu je </w:t>
      </w:r>
      <w:r>
        <w:rPr>
          <w:rFonts w:eastAsiaTheme="minorHAnsi" w:cs="Arial"/>
          <w:color w:val="000000"/>
          <w:szCs w:val="20"/>
        </w:rPr>
        <w:t xml:space="preserve">v točki  3.2 </w:t>
      </w:r>
      <w:r>
        <w:rPr>
          <w:rFonts w:eastAsiaTheme="minorHAnsi" w:cs="Arial"/>
          <w:i/>
          <w:color w:val="000000"/>
          <w:szCs w:val="20"/>
        </w:rPr>
        <w:t>Pogoji vezani na vlogo</w:t>
      </w:r>
      <w:r>
        <w:rPr>
          <w:rFonts w:eastAsiaTheme="minorHAnsi" w:cs="Arial"/>
          <w:color w:val="000000"/>
          <w:szCs w:val="20"/>
        </w:rPr>
        <w:t xml:space="preserve"> </w:t>
      </w:r>
      <w:r w:rsidRPr="00542596">
        <w:rPr>
          <w:rFonts w:eastAsiaTheme="minorHAnsi" w:cs="Arial"/>
          <w:color w:val="000000"/>
          <w:szCs w:val="20"/>
        </w:rPr>
        <w:t xml:space="preserve">določena razčlenitev in omejitev </w:t>
      </w:r>
      <w:r>
        <w:rPr>
          <w:rFonts w:eastAsiaTheme="minorHAnsi" w:cs="Arial"/>
          <w:color w:val="000000"/>
          <w:szCs w:val="20"/>
        </w:rPr>
        <w:t xml:space="preserve">števila projektov </w:t>
      </w:r>
      <w:r w:rsidRPr="00542596">
        <w:rPr>
          <w:rFonts w:eastAsiaTheme="minorHAnsi" w:cs="Arial"/>
          <w:color w:val="000000"/>
          <w:szCs w:val="20"/>
        </w:rPr>
        <w:t>za članice univerze glede na</w:t>
      </w:r>
      <w:r>
        <w:rPr>
          <w:rFonts w:eastAsiaTheme="minorHAnsi" w:cs="Arial"/>
          <w:color w:val="000000"/>
          <w:szCs w:val="20"/>
        </w:rPr>
        <w:t xml:space="preserve"> število vpisanih študentov za Sklop A in S</w:t>
      </w:r>
      <w:r w:rsidRPr="00542596">
        <w:rPr>
          <w:rFonts w:eastAsiaTheme="minorHAnsi" w:cs="Arial"/>
          <w:color w:val="000000"/>
          <w:szCs w:val="20"/>
        </w:rPr>
        <w:t>klop B</w:t>
      </w:r>
      <w:r>
        <w:rPr>
          <w:rFonts w:eastAsiaTheme="minorHAnsi" w:cs="Arial"/>
          <w:color w:val="000000"/>
          <w:szCs w:val="20"/>
        </w:rPr>
        <w:t xml:space="preserve">. </w:t>
      </w:r>
      <w:r w:rsidRPr="00542596">
        <w:rPr>
          <w:rFonts w:eastAsiaTheme="minorHAnsi" w:cs="Arial"/>
          <w:color w:val="000000"/>
          <w:szCs w:val="20"/>
        </w:rPr>
        <w:t xml:space="preserve"> Ali se lahko prijavi ena članica univerze samo s Sklopom B, ne pa tudi s Sklopom A? </w:t>
      </w:r>
    </w:p>
    <w:p w14:paraId="6207519A" w14:textId="62D301FB" w:rsidR="00E9604D" w:rsidRPr="00E9604D" w:rsidRDefault="00E9604D" w:rsidP="00542596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4DD27562" w14:textId="77777777" w:rsidR="0062294F" w:rsidRDefault="0062294F" w:rsidP="0062294F">
      <w:pPr>
        <w:jc w:val="both"/>
        <w:rPr>
          <w:rFonts w:cs="Arial"/>
          <w:szCs w:val="20"/>
        </w:rPr>
      </w:pPr>
    </w:p>
    <w:p w14:paraId="29591EF1" w14:textId="1B4E13B8" w:rsidR="00542596" w:rsidRPr="00542596" w:rsidRDefault="00542596" w:rsidP="00542596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70C0"/>
          <w:szCs w:val="20"/>
        </w:rPr>
      </w:pPr>
      <w:r w:rsidRPr="00300412">
        <w:rPr>
          <w:rFonts w:eastAsiaTheme="minorHAnsi" w:cs="Arial"/>
          <w:color w:val="2E74B5" w:themeColor="accent1" w:themeShade="BF"/>
          <w:szCs w:val="20"/>
        </w:rPr>
        <w:t xml:space="preserve">Javni razpis v točki 2.1. </w:t>
      </w:r>
      <w:r w:rsidRPr="00300412">
        <w:rPr>
          <w:rFonts w:eastAsiaTheme="minorHAnsi" w:cs="Arial"/>
          <w:i/>
          <w:color w:val="2E74B5" w:themeColor="accent1" w:themeShade="BF"/>
          <w:szCs w:val="20"/>
        </w:rPr>
        <w:t>Predmet javnega razpisa</w:t>
      </w:r>
      <w:r w:rsidRPr="00300412">
        <w:rPr>
          <w:rFonts w:eastAsiaTheme="minorHAnsi" w:cs="Arial"/>
          <w:color w:val="2E74B5" w:themeColor="accent1" w:themeShade="BF"/>
          <w:szCs w:val="20"/>
        </w:rPr>
        <w:t xml:space="preserve"> določa, da se mora univerza ali samostojni visokošolski zavod (v nadaljnjem besedilu: prijavitelj), ki kandidira na javni razpis, obvezno prijaviti na Sklop A, medtem ko je prijava na Sklop B izbirna. Iz predmeta javnega razpisa tako izhaja, da je ključno sodelovanje z gospodarstvom (Sklop A), medtem ko </w:t>
      </w:r>
      <w:r w:rsidR="004F64EE" w:rsidRPr="00300412">
        <w:rPr>
          <w:rFonts w:eastAsiaTheme="minorHAnsi" w:cs="Arial"/>
          <w:color w:val="2E74B5" w:themeColor="accent1" w:themeShade="BF"/>
          <w:szCs w:val="20"/>
        </w:rPr>
        <w:t>je sodelovanje z negospodarstvom in neprofitnim sektorjem v lokalnem</w:t>
      </w:r>
      <w:r w:rsidR="00C14CE9" w:rsidRPr="00300412">
        <w:rPr>
          <w:rFonts w:eastAsiaTheme="minorHAnsi" w:cs="Arial"/>
          <w:color w:val="2E74B5" w:themeColor="accent1" w:themeShade="BF"/>
          <w:szCs w:val="20"/>
        </w:rPr>
        <w:t xml:space="preserve"> </w:t>
      </w:r>
      <w:r w:rsidR="004F64EE" w:rsidRPr="00300412">
        <w:rPr>
          <w:rFonts w:eastAsiaTheme="minorHAnsi" w:cs="Arial"/>
          <w:color w:val="2E74B5" w:themeColor="accent1" w:themeShade="BF"/>
          <w:szCs w:val="20"/>
        </w:rPr>
        <w:t>regionalnem okolju</w:t>
      </w:r>
      <w:r w:rsidRPr="00300412">
        <w:rPr>
          <w:rFonts w:eastAsiaTheme="minorHAnsi" w:cs="Arial"/>
          <w:color w:val="2E74B5" w:themeColor="accent1" w:themeShade="BF"/>
          <w:szCs w:val="20"/>
        </w:rPr>
        <w:t xml:space="preserve"> (Sklop B) izbirno. Tako se mora vsaka članica univerze prijaviti na Sklop A, čeprav kot prijavitelj nastopa univerza. V nasprotnem primeru bi povzročili neupravičeno diskriminacijo samostojnih visokošolskih zavodov, ki se prijavijo na javni razpis.</w:t>
      </w:r>
    </w:p>
    <w:p w14:paraId="65D24057" w14:textId="77777777" w:rsidR="0033690C" w:rsidRDefault="0033690C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77FCE415" w14:textId="3BC6F8A2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_________________________________________________________________________________</w:t>
      </w:r>
    </w:p>
    <w:p w14:paraId="546359D1" w14:textId="0B35650B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 w:rsidRPr="00300412">
        <w:rPr>
          <w:rFonts w:eastAsiaTheme="minorHAnsi" w:cs="Arial"/>
          <w:color w:val="FF0000"/>
          <w:szCs w:val="20"/>
        </w:rPr>
        <w:t xml:space="preserve">Opomba: </w:t>
      </w:r>
      <w:r>
        <w:rPr>
          <w:rFonts w:eastAsiaTheme="minorHAnsi" w:cs="Arial"/>
          <w:szCs w:val="20"/>
        </w:rPr>
        <w:t xml:space="preserve">Sprememba odgovora na vprašanje pod </w:t>
      </w:r>
      <w:proofErr w:type="spellStart"/>
      <w:r>
        <w:rPr>
          <w:rFonts w:eastAsiaTheme="minorHAnsi" w:cs="Arial"/>
          <w:szCs w:val="20"/>
        </w:rPr>
        <w:t>zap</w:t>
      </w:r>
      <w:proofErr w:type="spellEnd"/>
      <w:r>
        <w:rPr>
          <w:rFonts w:eastAsiaTheme="minorHAnsi" w:cs="Arial"/>
          <w:szCs w:val="20"/>
        </w:rPr>
        <w:t xml:space="preserve">. </w:t>
      </w:r>
      <w:r>
        <w:rPr>
          <w:rFonts w:eastAsiaTheme="minorHAnsi" w:cs="Arial"/>
          <w:szCs w:val="20"/>
        </w:rPr>
        <w:t>št. 3, objavljenega z dne</w:t>
      </w:r>
      <w:r>
        <w:rPr>
          <w:rFonts w:eastAsiaTheme="minorHAnsi" w:cs="Arial"/>
          <w:szCs w:val="20"/>
        </w:rPr>
        <w:t xml:space="preserve"> 11. 7. 2022</w:t>
      </w:r>
      <w:r w:rsidR="006F5F25">
        <w:rPr>
          <w:rFonts w:eastAsiaTheme="minorHAnsi" w:cs="Arial"/>
          <w:szCs w:val="20"/>
        </w:rPr>
        <w:t xml:space="preserve"> v dokumentu »</w:t>
      </w:r>
      <w:r w:rsidR="0029313F">
        <w:rPr>
          <w:rFonts w:eastAsiaTheme="minorHAnsi" w:cs="Arial"/>
          <w:szCs w:val="20"/>
        </w:rPr>
        <w:t xml:space="preserve">Odgovori na </w:t>
      </w:r>
      <w:r w:rsidR="006F5F25">
        <w:rPr>
          <w:rFonts w:eastAsiaTheme="minorHAnsi" w:cs="Arial"/>
          <w:szCs w:val="20"/>
        </w:rPr>
        <w:t xml:space="preserve">vprašanja« </w:t>
      </w:r>
      <w:r>
        <w:rPr>
          <w:rFonts w:eastAsiaTheme="minorHAnsi" w:cs="Arial"/>
          <w:szCs w:val="20"/>
        </w:rPr>
        <w:t>z namenom dodatne razjasnitve</w:t>
      </w:r>
      <w:r>
        <w:rPr>
          <w:rFonts w:eastAsiaTheme="minorHAnsi" w:cs="Arial"/>
          <w:szCs w:val="20"/>
        </w:rPr>
        <w:t>.</w:t>
      </w:r>
    </w:p>
    <w:p w14:paraId="6D2D62FE" w14:textId="77777777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3A1292B7" w14:textId="77777777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3082BFB2" w14:textId="1779CA41" w:rsidR="00300412" w:rsidRPr="00300412" w:rsidRDefault="00300412" w:rsidP="00300412">
      <w:pPr>
        <w:pStyle w:val="Odstavekseznama"/>
        <w:numPr>
          <w:ilvl w:val="0"/>
          <w:numId w:val="11"/>
        </w:numPr>
        <w:jc w:val="both"/>
        <w:rPr>
          <w:rFonts w:cs="Arial"/>
          <w:szCs w:val="20"/>
        </w:rPr>
      </w:pPr>
      <w:r w:rsidRPr="00300412">
        <w:rPr>
          <w:rFonts w:eastAsiaTheme="minorHAnsi" w:cs="Arial"/>
          <w:szCs w:val="20"/>
        </w:rPr>
        <w:t>Prosimo za potrditev pravilnosti razumevanja priprave finančnega načrta za prijavitelje, ki imamo članice s sedežem tako v kohezijski regiji Vzhodna Slovenija, kot v kohezijski regiji Zahodna Slovenija, in sicer v primeru Univerze v Mariboru pomeni, da moramo zagotoviti vsaj 11, 76 % sredstev na članicah v KRZS? Ali se delež računa glede na skupni znesek celotne prijave (torej sklopa A in sklopa B) ali na posamezni sklop? Na kak način je relevantno obdobje trajanje projekta, skladno s četrto alinejo dodatnega pojasnila na str. 5 Navodil za prijavo, če projekti glede na sklop prejmejo vnaprej določeno vsoto?</w:t>
      </w:r>
    </w:p>
    <w:p w14:paraId="70873F85" w14:textId="77777777" w:rsidR="00300412" w:rsidRDefault="00300412" w:rsidP="00300412">
      <w:pPr>
        <w:jc w:val="both"/>
        <w:rPr>
          <w:rFonts w:cs="Arial"/>
          <w:szCs w:val="20"/>
        </w:rPr>
      </w:pPr>
    </w:p>
    <w:p w14:paraId="5F732FA9" w14:textId="77777777" w:rsidR="00AD651D" w:rsidRDefault="00AD651D" w:rsidP="00300412">
      <w:pPr>
        <w:jc w:val="both"/>
        <w:rPr>
          <w:rFonts w:eastAsiaTheme="minorHAnsi" w:cs="Arial"/>
          <w:color w:val="0070C0"/>
          <w:szCs w:val="20"/>
        </w:rPr>
      </w:pPr>
    </w:p>
    <w:p w14:paraId="7A3BCB97" w14:textId="1DABA8B9" w:rsidR="00181DFC" w:rsidRDefault="00181DFC" w:rsidP="00300412">
      <w:pPr>
        <w:jc w:val="both"/>
        <w:rPr>
          <w:rFonts w:cs="Arial"/>
          <w:color w:val="2E74B5" w:themeColor="accent1" w:themeShade="BF"/>
          <w:szCs w:val="20"/>
        </w:rPr>
      </w:pPr>
      <w:r>
        <w:rPr>
          <w:rFonts w:cs="Arial"/>
          <w:color w:val="2E74B5" w:themeColor="accent1" w:themeShade="BF"/>
          <w:szCs w:val="20"/>
        </w:rPr>
        <w:t xml:space="preserve">V točki 4.2 Finančni načrt operacije s časovno dinamiko (Priloga 6 </w:t>
      </w:r>
      <w:r w:rsidRPr="00AD651D">
        <w:rPr>
          <w:rFonts w:cs="Arial"/>
          <w:i/>
          <w:color w:val="2E74B5" w:themeColor="accent1" w:themeShade="BF"/>
          <w:szCs w:val="20"/>
        </w:rPr>
        <w:t>Navodila za prijavo</w:t>
      </w:r>
      <w:r>
        <w:rPr>
          <w:rFonts w:cs="Arial"/>
          <w:color w:val="2E74B5" w:themeColor="accent1" w:themeShade="BF"/>
          <w:szCs w:val="20"/>
        </w:rPr>
        <w:t>, sprememba 18. 7. 2022) je na strani 5 navedeno: »</w:t>
      </w:r>
      <w:r w:rsidR="00300412" w:rsidRPr="00300412">
        <w:rPr>
          <w:rFonts w:cs="Arial"/>
          <w:color w:val="2E74B5" w:themeColor="accent1" w:themeShade="BF"/>
          <w:szCs w:val="20"/>
        </w:rPr>
        <w:t>V primeru, da ima prijavitelj članice s sedežem tako v kohezijski regiji Vzhodna Slovenija (v nadaljnjem besedilu: KRVS), kot v kohezijski regiji Zahodna Slovenija (v nadaljnjem besedilu: KRZS), je potrebno vire financiranja v finančnem načrtu razporediti v razmerju (deležu zaokroženem na dve decimalni mesti), ki je enak ali manjši v razmerju za KRZS ali večji v razmerju za KRVS (deležu zaokroženem na dve decimalni mesti) med številom vseh članic in številom članic po posameznih kohezijskih regijah oziroma glede na število sodelujočih članic iz KRVS in KRZS</w:t>
      </w:r>
      <w:r>
        <w:rPr>
          <w:rFonts w:cs="Arial"/>
          <w:color w:val="2E74B5" w:themeColor="accent1" w:themeShade="BF"/>
          <w:szCs w:val="20"/>
        </w:rPr>
        <w:t>«</w:t>
      </w:r>
      <w:r w:rsidR="00300412" w:rsidRPr="00300412">
        <w:rPr>
          <w:rFonts w:cs="Arial"/>
          <w:color w:val="2E74B5" w:themeColor="accent1" w:themeShade="BF"/>
          <w:szCs w:val="20"/>
        </w:rPr>
        <w:t xml:space="preserve">. </w:t>
      </w:r>
    </w:p>
    <w:p w14:paraId="4FF21CA6" w14:textId="3D78F196" w:rsidR="00181DFC" w:rsidRDefault="00300412" w:rsidP="00300412">
      <w:pPr>
        <w:jc w:val="both"/>
        <w:rPr>
          <w:rFonts w:cs="Arial"/>
          <w:bCs/>
          <w:color w:val="2E74B5" w:themeColor="accent1" w:themeShade="BF"/>
        </w:rPr>
      </w:pPr>
      <w:r w:rsidRPr="00300412">
        <w:rPr>
          <w:rFonts w:cs="Arial"/>
          <w:bCs/>
          <w:color w:val="2E74B5" w:themeColor="accent1" w:themeShade="BF"/>
        </w:rPr>
        <w:t xml:space="preserve">Delež se v Prilogo 3 </w:t>
      </w:r>
      <w:r w:rsidRPr="00300412">
        <w:rPr>
          <w:rFonts w:cs="Arial"/>
          <w:bCs/>
          <w:i/>
          <w:color w:val="2E74B5" w:themeColor="accent1" w:themeShade="BF"/>
        </w:rPr>
        <w:t>Finančni načrt</w:t>
      </w:r>
      <w:r w:rsidRPr="00300412">
        <w:rPr>
          <w:rFonts w:cs="Arial"/>
          <w:bCs/>
          <w:color w:val="2E74B5" w:themeColor="accent1" w:themeShade="BF"/>
        </w:rPr>
        <w:t xml:space="preserve"> </w:t>
      </w:r>
      <w:r>
        <w:rPr>
          <w:rFonts w:cs="Arial"/>
          <w:bCs/>
          <w:color w:val="2E74B5" w:themeColor="accent1" w:themeShade="BF"/>
        </w:rPr>
        <w:t xml:space="preserve"> </w:t>
      </w:r>
      <w:r w:rsidRPr="00300412">
        <w:rPr>
          <w:rFonts w:cs="Arial"/>
          <w:bCs/>
          <w:color w:val="2E74B5" w:themeColor="accent1" w:themeShade="BF"/>
        </w:rPr>
        <w:t>(</w:t>
      </w:r>
      <w:r>
        <w:rPr>
          <w:rFonts w:cs="Arial"/>
          <w:bCs/>
          <w:color w:val="2E74B5" w:themeColor="accent1" w:themeShade="BF"/>
        </w:rPr>
        <w:t>gledati</w:t>
      </w:r>
      <w:r w:rsidR="00B92C86">
        <w:rPr>
          <w:rFonts w:cs="Arial"/>
          <w:bCs/>
          <w:color w:val="2E74B5" w:themeColor="accent1" w:themeShade="BF"/>
          <w:szCs w:val="20"/>
          <w:u w:val="single"/>
        </w:rPr>
        <w:t xml:space="preserve"> rubriko</w:t>
      </w:r>
      <w:bookmarkStart w:id="0" w:name="_GoBack"/>
      <w:bookmarkEnd w:id="0"/>
      <w:r w:rsidRPr="00300412">
        <w:rPr>
          <w:rFonts w:cs="Arial"/>
          <w:bCs/>
          <w:color w:val="2E74B5" w:themeColor="accent1" w:themeShade="BF"/>
          <w:szCs w:val="20"/>
          <w:u w:val="single"/>
        </w:rPr>
        <w:t xml:space="preserve"> II. del: VIRI IN DINAMIKA FINANCIRANJA</w:t>
      </w:r>
      <w:r w:rsidRPr="00300412">
        <w:rPr>
          <w:rFonts w:cs="Arial"/>
          <w:bCs/>
          <w:color w:val="2E74B5" w:themeColor="accent1" w:themeShade="BF"/>
        </w:rPr>
        <w:t xml:space="preserve">) izračuna glede na skupni znesek, ki ga prijavitelj prijavi. </w:t>
      </w:r>
    </w:p>
    <w:p w14:paraId="3216858D" w14:textId="1641F043" w:rsidR="00300412" w:rsidRPr="00300412" w:rsidRDefault="00300412" w:rsidP="00300412">
      <w:pPr>
        <w:jc w:val="both"/>
        <w:rPr>
          <w:rFonts w:cs="Arial"/>
          <w:bCs/>
          <w:color w:val="2E74B5" w:themeColor="accent1" w:themeShade="BF"/>
          <w:szCs w:val="20"/>
        </w:rPr>
      </w:pPr>
      <w:r w:rsidRPr="00300412">
        <w:rPr>
          <w:rFonts w:eastAsiaTheme="minorHAnsi" w:cs="Arial"/>
          <w:color w:val="2E74B5" w:themeColor="accent1" w:themeShade="BF"/>
          <w:szCs w:val="20"/>
        </w:rPr>
        <w:t xml:space="preserve">Obdobje trajanja projekta je skladno s četrto alinejo dodatnega pojasnila na strani 5 </w:t>
      </w:r>
      <w:r w:rsidRPr="00300412">
        <w:rPr>
          <w:rFonts w:eastAsiaTheme="minorHAnsi" w:cs="Arial"/>
          <w:i/>
          <w:color w:val="2E74B5" w:themeColor="accent1" w:themeShade="BF"/>
          <w:szCs w:val="20"/>
        </w:rPr>
        <w:t>Navodil za prijavo</w:t>
      </w:r>
      <w:r w:rsidRPr="00300412">
        <w:rPr>
          <w:rFonts w:eastAsiaTheme="minorHAnsi" w:cs="Arial"/>
          <w:color w:val="2E74B5" w:themeColor="accent1" w:themeShade="BF"/>
          <w:szCs w:val="20"/>
        </w:rPr>
        <w:t>.</w:t>
      </w:r>
    </w:p>
    <w:p w14:paraId="75935723" w14:textId="77777777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013B8FEB" w14:textId="77777777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0AFFE8DC" w14:textId="77777777" w:rsidR="00300412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</w:p>
    <w:p w14:paraId="568BB26B" w14:textId="0279856A" w:rsidR="00300412" w:rsidRPr="0033690C" w:rsidRDefault="00300412" w:rsidP="00EE00C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 </w:t>
      </w:r>
    </w:p>
    <w:sectPr w:rsidR="00300412" w:rsidRPr="003369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9F2D" w14:textId="77777777" w:rsidR="00787494" w:rsidRDefault="00787494" w:rsidP="00143346">
      <w:pPr>
        <w:spacing w:line="240" w:lineRule="auto"/>
      </w:pPr>
      <w:r>
        <w:separator/>
      </w:r>
    </w:p>
  </w:endnote>
  <w:endnote w:type="continuationSeparator" w:id="0">
    <w:p w14:paraId="7C6466F2" w14:textId="77777777" w:rsidR="00787494" w:rsidRDefault="00787494" w:rsidP="0014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377940"/>
      <w:docPartObj>
        <w:docPartGallery w:val="Page Numbers (Bottom of Page)"/>
        <w:docPartUnique/>
      </w:docPartObj>
    </w:sdtPr>
    <w:sdtEndPr/>
    <w:sdtContent>
      <w:p w14:paraId="29BEA9CF" w14:textId="77777777" w:rsidR="00143346" w:rsidRDefault="0014334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C86">
          <w:rPr>
            <w:noProof/>
          </w:rPr>
          <w:t>2</w:t>
        </w:r>
        <w:r>
          <w:fldChar w:fldCharType="end"/>
        </w:r>
      </w:p>
    </w:sdtContent>
  </w:sdt>
  <w:p w14:paraId="12852D1D" w14:textId="77777777" w:rsidR="00143346" w:rsidRDefault="0014334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742A" w14:textId="77777777" w:rsidR="00787494" w:rsidRDefault="00787494" w:rsidP="00143346">
      <w:pPr>
        <w:spacing w:line="240" w:lineRule="auto"/>
      </w:pPr>
      <w:r>
        <w:separator/>
      </w:r>
    </w:p>
  </w:footnote>
  <w:footnote w:type="continuationSeparator" w:id="0">
    <w:p w14:paraId="54D1CA00" w14:textId="77777777" w:rsidR="00787494" w:rsidRDefault="00787494" w:rsidP="001433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A4E85A"/>
    <w:lvl w:ilvl="0">
      <w:numFmt w:val="bullet"/>
      <w:lvlText w:val="*"/>
      <w:lvlJc w:val="left"/>
    </w:lvl>
  </w:abstractNum>
  <w:abstractNum w:abstractNumId="1" w15:restartNumberingAfterBreak="0">
    <w:nsid w:val="123B13CA"/>
    <w:multiLevelType w:val="hybridMultilevel"/>
    <w:tmpl w:val="DEF27FE6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482"/>
    <w:multiLevelType w:val="hybridMultilevel"/>
    <w:tmpl w:val="C74C673A"/>
    <w:lvl w:ilvl="0" w:tplc="8062D682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5287"/>
    <w:multiLevelType w:val="multilevel"/>
    <w:tmpl w:val="C05AB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4" w15:restartNumberingAfterBreak="0">
    <w:nsid w:val="275C3B30"/>
    <w:multiLevelType w:val="hybridMultilevel"/>
    <w:tmpl w:val="620CDB2C"/>
    <w:lvl w:ilvl="0" w:tplc="B720B8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0FD2"/>
    <w:multiLevelType w:val="hybridMultilevel"/>
    <w:tmpl w:val="620CDB2C"/>
    <w:lvl w:ilvl="0" w:tplc="B720B8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770"/>
    <w:multiLevelType w:val="hybridMultilevel"/>
    <w:tmpl w:val="7AD480EC"/>
    <w:lvl w:ilvl="0" w:tplc="F8F80C4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31B51"/>
    <w:multiLevelType w:val="hybridMultilevel"/>
    <w:tmpl w:val="6C289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74E8"/>
    <w:multiLevelType w:val="hybridMultilevel"/>
    <w:tmpl w:val="620CDB2C"/>
    <w:lvl w:ilvl="0" w:tplc="B720B8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1CAB"/>
    <w:multiLevelType w:val="hybridMultilevel"/>
    <w:tmpl w:val="6C289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A377E"/>
    <w:multiLevelType w:val="hybridMultilevel"/>
    <w:tmpl w:val="BD18CEC2"/>
    <w:lvl w:ilvl="0" w:tplc="C004F16E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2E"/>
    <w:rsid w:val="00003AA0"/>
    <w:rsid w:val="00005275"/>
    <w:rsid w:val="00013EAC"/>
    <w:rsid w:val="00025410"/>
    <w:rsid w:val="00025CFB"/>
    <w:rsid w:val="00053136"/>
    <w:rsid w:val="00053C42"/>
    <w:rsid w:val="00056C25"/>
    <w:rsid w:val="00060178"/>
    <w:rsid w:val="00064769"/>
    <w:rsid w:val="00064F7D"/>
    <w:rsid w:val="00080BA8"/>
    <w:rsid w:val="00092BEE"/>
    <w:rsid w:val="000B4CE5"/>
    <w:rsid w:val="000C4FA3"/>
    <w:rsid w:val="000C7B58"/>
    <w:rsid w:val="000E38EF"/>
    <w:rsid w:val="00110884"/>
    <w:rsid w:val="00111B60"/>
    <w:rsid w:val="001221CD"/>
    <w:rsid w:val="00132D77"/>
    <w:rsid w:val="00143346"/>
    <w:rsid w:val="00152682"/>
    <w:rsid w:val="00153A9D"/>
    <w:rsid w:val="00163137"/>
    <w:rsid w:val="00181DFC"/>
    <w:rsid w:val="00182F1B"/>
    <w:rsid w:val="0019336E"/>
    <w:rsid w:val="001C1706"/>
    <w:rsid w:val="001D30C3"/>
    <w:rsid w:val="001E6FE3"/>
    <w:rsid w:val="001F3B54"/>
    <w:rsid w:val="00203EB8"/>
    <w:rsid w:val="00224153"/>
    <w:rsid w:val="00232D54"/>
    <w:rsid w:val="002447B9"/>
    <w:rsid w:val="0027000F"/>
    <w:rsid w:val="0029313F"/>
    <w:rsid w:val="002972C8"/>
    <w:rsid w:val="002B253A"/>
    <w:rsid w:val="002C3675"/>
    <w:rsid w:val="002D1B2E"/>
    <w:rsid w:val="002D768C"/>
    <w:rsid w:val="002F42BA"/>
    <w:rsid w:val="002F7D47"/>
    <w:rsid w:val="00300412"/>
    <w:rsid w:val="00325F2C"/>
    <w:rsid w:val="0033690C"/>
    <w:rsid w:val="003551C6"/>
    <w:rsid w:val="0035622B"/>
    <w:rsid w:val="00357E92"/>
    <w:rsid w:val="00366BC3"/>
    <w:rsid w:val="00366EB4"/>
    <w:rsid w:val="0037677D"/>
    <w:rsid w:val="00390DC3"/>
    <w:rsid w:val="0039414A"/>
    <w:rsid w:val="003C6F85"/>
    <w:rsid w:val="003D02F9"/>
    <w:rsid w:val="00405EE3"/>
    <w:rsid w:val="00406D2A"/>
    <w:rsid w:val="00412DDE"/>
    <w:rsid w:val="00456416"/>
    <w:rsid w:val="00474FA9"/>
    <w:rsid w:val="004C7649"/>
    <w:rsid w:val="004F64EE"/>
    <w:rsid w:val="004F6E3D"/>
    <w:rsid w:val="005068AE"/>
    <w:rsid w:val="00542596"/>
    <w:rsid w:val="00571EBB"/>
    <w:rsid w:val="005727EA"/>
    <w:rsid w:val="00575923"/>
    <w:rsid w:val="005C1835"/>
    <w:rsid w:val="005C4E11"/>
    <w:rsid w:val="005C6880"/>
    <w:rsid w:val="005D5C1B"/>
    <w:rsid w:val="005E0B2D"/>
    <w:rsid w:val="005E3AC1"/>
    <w:rsid w:val="0062294F"/>
    <w:rsid w:val="0062356A"/>
    <w:rsid w:val="00627545"/>
    <w:rsid w:val="0064652D"/>
    <w:rsid w:val="00661C66"/>
    <w:rsid w:val="006646FE"/>
    <w:rsid w:val="006B69DE"/>
    <w:rsid w:val="006C004B"/>
    <w:rsid w:val="006F0CE3"/>
    <w:rsid w:val="006F5F25"/>
    <w:rsid w:val="00700245"/>
    <w:rsid w:val="00743A26"/>
    <w:rsid w:val="00787494"/>
    <w:rsid w:val="007A4047"/>
    <w:rsid w:val="007B4BBA"/>
    <w:rsid w:val="007C796A"/>
    <w:rsid w:val="007D4E39"/>
    <w:rsid w:val="008106B9"/>
    <w:rsid w:val="008401CA"/>
    <w:rsid w:val="008739F4"/>
    <w:rsid w:val="00875306"/>
    <w:rsid w:val="00887EAD"/>
    <w:rsid w:val="008C0329"/>
    <w:rsid w:val="008D2FA7"/>
    <w:rsid w:val="008D3E7B"/>
    <w:rsid w:val="008D5625"/>
    <w:rsid w:val="008E2C1F"/>
    <w:rsid w:val="008E4B8A"/>
    <w:rsid w:val="00901BE7"/>
    <w:rsid w:val="00946058"/>
    <w:rsid w:val="00946AF8"/>
    <w:rsid w:val="00953C34"/>
    <w:rsid w:val="009609F8"/>
    <w:rsid w:val="00970442"/>
    <w:rsid w:val="00970BB8"/>
    <w:rsid w:val="00972A8E"/>
    <w:rsid w:val="0098584F"/>
    <w:rsid w:val="009A7ADC"/>
    <w:rsid w:val="009C586F"/>
    <w:rsid w:val="009D4E0A"/>
    <w:rsid w:val="009D5543"/>
    <w:rsid w:val="009E4A7B"/>
    <w:rsid w:val="00A00776"/>
    <w:rsid w:val="00A15080"/>
    <w:rsid w:val="00A214A7"/>
    <w:rsid w:val="00A22515"/>
    <w:rsid w:val="00A27161"/>
    <w:rsid w:val="00A52DAA"/>
    <w:rsid w:val="00A756FA"/>
    <w:rsid w:val="00A7660D"/>
    <w:rsid w:val="00AA330E"/>
    <w:rsid w:val="00AC5C36"/>
    <w:rsid w:val="00AD651D"/>
    <w:rsid w:val="00B42527"/>
    <w:rsid w:val="00B45401"/>
    <w:rsid w:val="00B92C86"/>
    <w:rsid w:val="00BA369A"/>
    <w:rsid w:val="00BA38C1"/>
    <w:rsid w:val="00BA3D87"/>
    <w:rsid w:val="00BA4A73"/>
    <w:rsid w:val="00BB38EA"/>
    <w:rsid w:val="00BB5817"/>
    <w:rsid w:val="00BC4F2A"/>
    <w:rsid w:val="00C0214F"/>
    <w:rsid w:val="00C14CE9"/>
    <w:rsid w:val="00C21CE9"/>
    <w:rsid w:val="00C27F94"/>
    <w:rsid w:val="00C310D5"/>
    <w:rsid w:val="00C357DC"/>
    <w:rsid w:val="00C742F3"/>
    <w:rsid w:val="00C90C65"/>
    <w:rsid w:val="00C972F7"/>
    <w:rsid w:val="00CC3A75"/>
    <w:rsid w:val="00CD4561"/>
    <w:rsid w:val="00CF2EAE"/>
    <w:rsid w:val="00D213E4"/>
    <w:rsid w:val="00D32523"/>
    <w:rsid w:val="00D344C4"/>
    <w:rsid w:val="00D359A7"/>
    <w:rsid w:val="00D472F3"/>
    <w:rsid w:val="00D63849"/>
    <w:rsid w:val="00D76D6D"/>
    <w:rsid w:val="00D83EE7"/>
    <w:rsid w:val="00D85A19"/>
    <w:rsid w:val="00DA6AE0"/>
    <w:rsid w:val="00DC1998"/>
    <w:rsid w:val="00DC7681"/>
    <w:rsid w:val="00DD311E"/>
    <w:rsid w:val="00DF1690"/>
    <w:rsid w:val="00E114F7"/>
    <w:rsid w:val="00E27B6C"/>
    <w:rsid w:val="00E7406D"/>
    <w:rsid w:val="00E83E94"/>
    <w:rsid w:val="00E92D69"/>
    <w:rsid w:val="00E9604D"/>
    <w:rsid w:val="00EA1762"/>
    <w:rsid w:val="00EA371C"/>
    <w:rsid w:val="00EC427E"/>
    <w:rsid w:val="00ED41EA"/>
    <w:rsid w:val="00EE00C1"/>
    <w:rsid w:val="00EE7536"/>
    <w:rsid w:val="00EF0568"/>
    <w:rsid w:val="00F0583E"/>
    <w:rsid w:val="00F2625B"/>
    <w:rsid w:val="00F3258A"/>
    <w:rsid w:val="00F536F9"/>
    <w:rsid w:val="00F578D9"/>
    <w:rsid w:val="00F6505E"/>
    <w:rsid w:val="00F6704F"/>
    <w:rsid w:val="00F70CF9"/>
    <w:rsid w:val="00F82317"/>
    <w:rsid w:val="00F8633E"/>
    <w:rsid w:val="00FB5657"/>
    <w:rsid w:val="00FC25FC"/>
    <w:rsid w:val="00FC65D8"/>
    <w:rsid w:val="00FD34E7"/>
    <w:rsid w:val="00FE33D0"/>
    <w:rsid w:val="00FE5CF1"/>
    <w:rsid w:val="00FE6A64"/>
    <w:rsid w:val="00FF16A3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71F2"/>
  <w15:chartTrackingRefBased/>
  <w15:docId w15:val="{8DC01315-3569-4242-A6C2-389C4F8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1B2E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D1B2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D1B2E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19336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213E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13E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13E4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13E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13E4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13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13E4"/>
    <w:rPr>
      <w:rFonts w:ascii="Segoe UI" w:eastAsia="Times New Roman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14334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3346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39414A"/>
    <w:rPr>
      <w:color w:val="0563C1" w:themeColor="hyperlink"/>
      <w:u w:val="single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946AF8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946AF8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EE3"/>
    <w:rPr>
      <w:color w:val="954F72" w:themeColor="followedHyperlink"/>
      <w:u w:val="single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FE6A64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FE6A64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rsid w:val="00A00776"/>
    <w:rPr>
      <w:rFonts w:ascii="Arial" w:eastAsia="Times New Roman" w:hAnsi="Arial" w:cs="Times New Roman"/>
      <w:sz w:val="20"/>
      <w:szCs w:val="24"/>
    </w:rPr>
  </w:style>
  <w:style w:type="paragraph" w:styleId="Telobesedila">
    <w:name w:val="Body Text"/>
    <w:basedOn w:val="Navaden"/>
    <w:link w:val="TelobesedilaZnak"/>
    <w:rsid w:val="00013EAC"/>
    <w:pPr>
      <w:widowControl w:val="0"/>
      <w:spacing w:after="120" w:line="240" w:lineRule="auto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13EAC"/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vodila.ema.arr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6</cp:revision>
  <cp:lastPrinted>2022-07-13T13:43:00Z</cp:lastPrinted>
  <dcterms:created xsi:type="dcterms:W3CDTF">2022-08-31T08:16:00Z</dcterms:created>
  <dcterms:modified xsi:type="dcterms:W3CDTF">2022-08-31T08:56:00Z</dcterms:modified>
</cp:coreProperties>
</file>