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6EEE4F1D"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F70A32">
        <w:rPr>
          <w:rFonts w:ascii="Arial" w:hAnsi="Arial" w:cs="Arial"/>
          <w:sz w:val="20"/>
          <w:szCs w:val="20"/>
        </w:rPr>
        <w:t>Dodatnega</w:t>
      </w:r>
      <w:r w:rsidR="00AE49CF" w:rsidRPr="001C7F4A">
        <w:rPr>
          <w:rFonts w:ascii="Arial" w:hAnsi="Arial" w:cs="Arial"/>
          <w:sz w:val="20"/>
          <w:szCs w:val="20"/>
        </w:rPr>
        <w:t xml:space="preserve"> j</w:t>
      </w:r>
      <w:r w:rsidR="00C96512" w:rsidRPr="001C7F4A">
        <w:rPr>
          <w:rFonts w:ascii="Arial" w:hAnsi="Arial" w:cs="Arial"/>
          <w:sz w:val="20"/>
          <w:szCs w:val="20"/>
        </w:rPr>
        <w:t>avnega poziva za izbiro kandidatov za predstavnik</w:t>
      </w:r>
      <w:r w:rsidR="00360D49" w:rsidRPr="001C7F4A">
        <w:rPr>
          <w:rFonts w:ascii="Arial" w:hAnsi="Arial" w:cs="Arial"/>
          <w:sz w:val="20"/>
          <w:szCs w:val="20"/>
        </w:rPr>
        <w:t>e</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360D49" w:rsidRPr="001C7F4A">
        <w:rPr>
          <w:rFonts w:ascii="Arial" w:hAnsi="Arial" w:cs="Arial"/>
          <w:sz w:val="20"/>
          <w:szCs w:val="20"/>
        </w:rPr>
        <w:t xml:space="preserve">Univerze v </w:t>
      </w:r>
      <w:r w:rsidR="006E612D">
        <w:rPr>
          <w:rFonts w:ascii="Arial" w:hAnsi="Arial" w:cs="Arial"/>
          <w:sz w:val="20"/>
          <w:szCs w:val="20"/>
        </w:rPr>
        <w:t xml:space="preserve">Ljubljani </w:t>
      </w:r>
      <w:r w:rsidR="00C821FC" w:rsidRPr="001C7F4A">
        <w:rPr>
          <w:rFonts w:ascii="Arial" w:hAnsi="Arial" w:cs="Arial"/>
          <w:sz w:val="20"/>
          <w:szCs w:val="20"/>
        </w:rPr>
        <w:t>(v nadaljnjem besedilu: javni poziv)</w:t>
      </w:r>
      <w:r w:rsidR="00691212">
        <w:rPr>
          <w:rFonts w:ascii="Arial" w:hAnsi="Arial" w:cs="Arial"/>
          <w:sz w:val="20"/>
          <w:szCs w:val="20"/>
        </w:rPr>
        <w:t>.</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0AD567C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1B68BFE7" w:rsidR="00A51A76" w:rsidRPr="005657A0" w:rsidRDefault="005657A0" w:rsidP="005657A0">
      <w:pPr>
        <w:pStyle w:val="Odstavekseznama"/>
        <w:numPr>
          <w:ilvl w:val="0"/>
          <w:numId w:val="20"/>
        </w:numPr>
        <w:spacing w:after="0" w:line="240" w:lineRule="auto"/>
        <w:jc w:val="both"/>
        <w:rPr>
          <w:rFonts w:ascii="Arial" w:hAnsi="Arial" w:cs="Arial"/>
          <w:sz w:val="20"/>
          <w:szCs w:val="20"/>
        </w:rPr>
      </w:pPr>
      <w:r>
        <w:rPr>
          <w:rFonts w:ascii="Arial" w:hAnsi="Arial" w:cs="Arial"/>
          <w:sz w:val="20"/>
          <w:szCs w:val="20"/>
        </w:rPr>
        <w:t xml:space="preserve">vodenjem evidence o trajanju mandata </w:t>
      </w:r>
      <w:r w:rsidRPr="00100F42">
        <w:rPr>
          <w:rFonts w:ascii="Arial" w:hAnsi="Arial" w:cs="Arial"/>
          <w:sz w:val="20"/>
          <w:szCs w:val="20"/>
        </w:rPr>
        <w:t>upravne</w:t>
      </w:r>
      <w:r>
        <w:rPr>
          <w:rFonts w:ascii="Arial" w:hAnsi="Arial" w:cs="Arial"/>
          <w:sz w:val="20"/>
          <w:szCs w:val="20"/>
        </w:rPr>
        <w:t>ga</w:t>
      </w:r>
      <w:r w:rsidRPr="00100F42">
        <w:rPr>
          <w:rFonts w:ascii="Arial" w:hAnsi="Arial" w:cs="Arial"/>
          <w:sz w:val="20"/>
          <w:szCs w:val="20"/>
        </w:rPr>
        <w:t xml:space="preserve"> odbor</w:t>
      </w:r>
      <w:r>
        <w:rPr>
          <w:rFonts w:ascii="Arial" w:hAnsi="Arial" w:cs="Arial"/>
          <w:sz w:val="20"/>
          <w:szCs w:val="20"/>
        </w:rPr>
        <w:t>a</w:t>
      </w:r>
      <w:r w:rsidRPr="00100F42">
        <w:rPr>
          <w:rFonts w:ascii="Arial" w:hAnsi="Arial" w:cs="Arial"/>
          <w:sz w:val="20"/>
          <w:szCs w:val="20"/>
        </w:rPr>
        <w:t xml:space="preserve"> Univerze v </w:t>
      </w:r>
      <w:r w:rsidR="006E612D">
        <w:rPr>
          <w:rFonts w:ascii="Arial" w:hAnsi="Arial" w:cs="Arial"/>
          <w:sz w:val="20"/>
          <w:szCs w:val="20"/>
        </w:rPr>
        <w:t>Ljubljani</w:t>
      </w:r>
      <w:r>
        <w:rPr>
          <w:rFonts w:ascii="Arial" w:hAnsi="Arial" w:cs="Arial"/>
          <w:sz w:val="20"/>
          <w:szCs w:val="20"/>
        </w:rPr>
        <w:t>, v katerega je kandidat imenovan</w:t>
      </w:r>
      <w:r w:rsidRPr="001C7F4A">
        <w:rPr>
          <w:rFonts w:ascii="Arial" w:hAnsi="Arial" w:cs="Arial"/>
          <w:sz w:val="20"/>
          <w:szCs w:val="20"/>
        </w:rPr>
        <w:t>.</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4AECE905" w:rsidR="00C96512" w:rsidRPr="001C7F4A" w:rsidRDefault="005657A0" w:rsidP="001C7F4A">
      <w:pPr>
        <w:spacing w:after="0" w:line="240" w:lineRule="auto"/>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Univerze v </w:t>
      </w:r>
      <w:r w:rsidR="006E612D">
        <w:rPr>
          <w:rFonts w:ascii="Arial" w:hAnsi="Arial" w:cs="Arial"/>
          <w:sz w:val="20"/>
          <w:szCs w:val="20"/>
        </w:rPr>
        <w:t>Ljubljani</w:t>
      </w:r>
      <w:r>
        <w:rPr>
          <w:rFonts w:ascii="Arial" w:hAnsi="Arial" w:cs="Arial"/>
          <w:sz w:val="20"/>
          <w:szCs w:val="20"/>
        </w:rPr>
        <w:t xml:space="preserve">,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1817CB6C" w14:textId="77777777" w:rsidR="00C96512" w:rsidRPr="001C7F4A" w:rsidRDefault="00C96512" w:rsidP="001C7F4A">
      <w:pPr>
        <w:spacing w:after="0" w:line="240" w:lineRule="auto"/>
        <w:ind w:left="708" w:firstLine="60"/>
        <w:jc w:val="both"/>
        <w:rPr>
          <w:rFonts w:ascii="Arial" w:hAnsi="Arial" w:cs="Arial"/>
          <w:sz w:val="20"/>
          <w:szCs w:val="20"/>
        </w:rPr>
      </w:pP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63375A">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7A7B076E" w:rsidR="00E40D7D" w:rsidRPr="001C7F4A"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 xml:space="preserve">upravni odbor Univerze v </w:t>
      </w:r>
      <w:r w:rsidR="006E612D">
        <w:rPr>
          <w:rFonts w:ascii="Arial" w:hAnsi="Arial" w:cs="Arial"/>
          <w:sz w:val="20"/>
          <w:szCs w:val="20"/>
        </w:rPr>
        <w:t>Ljubljani</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5144158" w14:textId="77777777" w:rsidR="000940B3" w:rsidRPr="001C7F4A" w:rsidRDefault="000940B3" w:rsidP="001C7F4A">
      <w:pPr>
        <w:spacing w:after="0" w:line="240" w:lineRule="auto"/>
        <w:ind w:left="708"/>
        <w:jc w:val="both"/>
        <w:rPr>
          <w:rFonts w:ascii="Arial" w:hAnsi="Arial" w:cs="Arial"/>
          <w:sz w:val="20"/>
          <w:szCs w:val="20"/>
        </w:rPr>
      </w:pPr>
    </w:p>
    <w:bookmarkEnd w:id="1"/>
    <w:bookmarkEnd w:id="2"/>
    <w:p w14:paraId="0A7B6F38" w14:textId="77777777" w:rsidR="00E95200"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Pravna podlaga za obdelavo osebnih podatkov:</w:t>
      </w:r>
    </w:p>
    <w:p w14:paraId="53169953" w14:textId="300B7093" w:rsidR="008C274F" w:rsidRPr="001C7F4A" w:rsidRDefault="008C274F" w:rsidP="001C7F4A">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4C2173">
        <w:rPr>
          <w:rFonts w:ascii="Arial" w:hAnsi="Arial" w:cs="Arial"/>
          <w:sz w:val="20"/>
          <w:szCs w:val="20"/>
        </w:rPr>
        <w:t>Dodatnega</w:t>
      </w:r>
      <w:r w:rsidRPr="001C7F4A">
        <w:rPr>
          <w:rFonts w:ascii="Arial" w:hAnsi="Arial" w:cs="Arial"/>
          <w:sz w:val="20"/>
          <w:szCs w:val="20"/>
        </w:rPr>
        <w:t xml:space="preserve"> javnega poziva za izbiro kandidatov za predstavnike ustanovitelja v upravni odbor Univerze v </w:t>
      </w:r>
      <w:r w:rsidR="006E612D">
        <w:rPr>
          <w:rFonts w:ascii="Arial" w:hAnsi="Arial" w:cs="Arial"/>
          <w:sz w:val="20"/>
          <w:szCs w:val="20"/>
        </w:rPr>
        <w:t>Ljubljani</w:t>
      </w:r>
      <w:r w:rsidRPr="001C7F4A">
        <w:rPr>
          <w:rFonts w:ascii="Arial" w:hAnsi="Arial" w:cs="Arial"/>
          <w:sz w:val="20"/>
          <w:szCs w:val="20"/>
        </w:rPr>
        <w:t xml:space="preserve">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kandidatov v skladu </w:t>
      </w:r>
      <w:r w:rsidRPr="001C7F4A">
        <w:rPr>
          <w:rFonts w:ascii="Arial" w:hAnsi="Arial" w:cs="Arial"/>
          <w:sz w:val="20"/>
          <w:szCs w:val="20"/>
        </w:rPr>
        <w:lastRenderedPageBreak/>
        <w:t xml:space="preserve">z zakonodajo, ki ureja področje visokega šolstva, ter na podlagi Odloka o preoblikovanju Univerze v </w:t>
      </w:r>
      <w:r w:rsidR="006E612D">
        <w:rPr>
          <w:rFonts w:ascii="Arial" w:hAnsi="Arial" w:cs="Arial"/>
          <w:sz w:val="20"/>
          <w:szCs w:val="20"/>
        </w:rPr>
        <w:t>Ljubljani</w:t>
      </w:r>
      <w:r w:rsidRPr="001C7F4A">
        <w:rPr>
          <w:rFonts w:ascii="Arial" w:hAnsi="Arial" w:cs="Arial"/>
          <w:sz w:val="20"/>
          <w:szCs w:val="20"/>
        </w:rPr>
        <w:t xml:space="preserve"> (Uradni list RS, št. Uradni list RS, št. </w:t>
      </w:r>
      <w:hyperlink r:id="rId28" w:tgtFrame="_blank" w:tooltip="Odlok o preoblikovanju Univerze v Ljubljani (OdPUL-1)" w:history="1">
        <w:r w:rsidRPr="001C7F4A">
          <w:rPr>
            <w:rFonts w:ascii="Arial" w:hAnsi="Arial" w:cs="Arial"/>
            <w:sz w:val="20"/>
            <w:szCs w:val="20"/>
          </w:rPr>
          <w:t>28/00</w:t>
        </w:r>
      </w:hyperlink>
      <w:r w:rsidRPr="001C7F4A">
        <w:rPr>
          <w:rFonts w:ascii="Arial" w:hAnsi="Arial" w:cs="Arial"/>
          <w:sz w:val="20"/>
          <w:szCs w:val="20"/>
        </w:rPr>
        <w:t>,</w:t>
      </w:r>
      <w:r w:rsidR="006E612D">
        <w:rPr>
          <w:rFonts w:ascii="Arial" w:hAnsi="Arial" w:cs="Arial"/>
          <w:sz w:val="20"/>
          <w:szCs w:val="20"/>
        </w:rPr>
        <w:t xml:space="preserve"> 33</w:t>
      </w:r>
      <w:r w:rsidRPr="001C7F4A">
        <w:rPr>
          <w:rFonts w:ascii="Arial" w:hAnsi="Arial" w:cs="Arial"/>
          <w:sz w:val="20"/>
          <w:szCs w:val="20"/>
        </w:rPr>
        <w:t>/03, </w:t>
      </w:r>
      <w:hyperlink r:id="rId29" w:tgtFrame="_blank" w:tooltip="Odlok o spremembah in dopolnitvah Odloka o preoblikovanju Univerze v Ljubljani (OdPUL-1B)" w:history="1">
        <w:r w:rsidRPr="001C7F4A">
          <w:rPr>
            <w:rFonts w:ascii="Arial" w:hAnsi="Arial" w:cs="Arial"/>
            <w:sz w:val="20"/>
            <w:szCs w:val="20"/>
          </w:rPr>
          <w:t>79/04</w:t>
        </w:r>
      </w:hyperlink>
      <w:r w:rsidRPr="001C7F4A">
        <w:rPr>
          <w:rFonts w:ascii="Arial" w:hAnsi="Arial" w:cs="Arial"/>
          <w:sz w:val="20"/>
          <w:szCs w:val="20"/>
        </w:rPr>
        <w:t>, </w:t>
      </w:r>
      <w:hyperlink r:id="rId30" w:tgtFrame="_blank" w:tooltip="Odlok o spremembah in dopolnitvah Odloka o preoblikovanju Univerze v Ljubljani (OdPUL-1C)" w:history="1">
        <w:r w:rsidRPr="001C7F4A">
          <w:rPr>
            <w:rFonts w:ascii="Arial" w:hAnsi="Arial" w:cs="Arial"/>
            <w:sz w:val="20"/>
            <w:szCs w:val="20"/>
          </w:rPr>
          <w:t>36/06</w:t>
        </w:r>
      </w:hyperlink>
      <w:r w:rsidRPr="001C7F4A">
        <w:rPr>
          <w:rFonts w:ascii="Arial" w:hAnsi="Arial" w:cs="Arial"/>
          <w:sz w:val="20"/>
          <w:szCs w:val="20"/>
        </w:rPr>
        <w:t>, </w:t>
      </w:r>
      <w:r w:rsidR="006E612D">
        <w:rPr>
          <w:rFonts w:ascii="Arial" w:hAnsi="Arial" w:cs="Arial"/>
          <w:sz w:val="20"/>
          <w:szCs w:val="20"/>
        </w:rPr>
        <w:t>18</w:t>
      </w:r>
      <w:r w:rsidRPr="001C7F4A">
        <w:rPr>
          <w:rFonts w:ascii="Arial" w:hAnsi="Arial" w:cs="Arial"/>
          <w:sz w:val="20"/>
          <w:szCs w:val="20"/>
        </w:rPr>
        <w:t>/0</w:t>
      </w:r>
      <w:r w:rsidR="006E612D">
        <w:rPr>
          <w:rFonts w:ascii="Arial" w:hAnsi="Arial" w:cs="Arial"/>
          <w:sz w:val="20"/>
          <w:szCs w:val="20"/>
        </w:rPr>
        <w:t>9</w:t>
      </w:r>
      <w:r w:rsidRPr="001C7F4A">
        <w:rPr>
          <w:rFonts w:ascii="Arial" w:hAnsi="Arial" w:cs="Arial"/>
          <w:sz w:val="20"/>
          <w:szCs w:val="20"/>
        </w:rPr>
        <w:t xml:space="preserve">, </w:t>
      </w:r>
      <w:hyperlink r:id="rId31" w:tgtFrame="_blank" w:tooltip="Odlok o spremembah in dopolnitvah Odloka o preoblikovanju Univerze v Ljubljani (OdPUL-1E)" w:history="1">
        <w:r w:rsidR="006E612D" w:rsidRPr="006E612D">
          <w:rPr>
            <w:rFonts w:ascii="Arial" w:hAnsi="Arial" w:cs="Arial"/>
            <w:sz w:val="20"/>
            <w:szCs w:val="20"/>
          </w:rPr>
          <w:t>83/10</w:t>
        </w:r>
      </w:hyperlink>
      <w:r w:rsidR="006E612D" w:rsidRPr="006E612D">
        <w:rPr>
          <w:rFonts w:ascii="Arial" w:hAnsi="Arial" w:cs="Arial"/>
          <w:sz w:val="20"/>
          <w:szCs w:val="20"/>
        </w:rPr>
        <w:t>, </w:t>
      </w:r>
      <w:hyperlink r:id="rId32" w:tgtFrame="_blank" w:tooltip="Odlok o spremembah in dopolnitvah Odloka o preoblikovanju Univerze v Ljubljani (OdPUL-1F)" w:history="1">
        <w:r w:rsidR="006E612D" w:rsidRPr="006E612D">
          <w:rPr>
            <w:rFonts w:ascii="Arial" w:hAnsi="Arial" w:cs="Arial"/>
            <w:sz w:val="20"/>
            <w:szCs w:val="20"/>
          </w:rPr>
          <w:t>8/19</w:t>
        </w:r>
      </w:hyperlink>
      <w:r w:rsidR="006E612D" w:rsidRPr="006E612D">
        <w:rPr>
          <w:rFonts w:ascii="Arial" w:hAnsi="Arial" w:cs="Arial"/>
          <w:sz w:val="20"/>
          <w:szCs w:val="20"/>
        </w:rPr>
        <w:t>, </w:t>
      </w:r>
      <w:hyperlink r:id="rId33" w:tgtFrame="_blank" w:tooltip="Odlok o spremembah Odloka o preoblikovanju Univerze v Ljubljani (OdPUL-1G)" w:history="1">
        <w:r w:rsidR="006E612D" w:rsidRPr="006E612D">
          <w:rPr>
            <w:rFonts w:ascii="Arial" w:hAnsi="Arial" w:cs="Arial"/>
            <w:sz w:val="20"/>
            <w:szCs w:val="20"/>
          </w:rPr>
          <w:t>36/21</w:t>
        </w:r>
      </w:hyperlink>
      <w:r w:rsidR="006E612D" w:rsidRPr="006E612D">
        <w:rPr>
          <w:rFonts w:ascii="Arial" w:hAnsi="Arial" w:cs="Arial"/>
          <w:sz w:val="20"/>
          <w:szCs w:val="20"/>
        </w:rPr>
        <w:t> in </w:t>
      </w:r>
      <w:hyperlink r:id="rId34" w:tgtFrame="_blank" w:tooltip="Odlok o spremembah in dopolnitvah Odloka o preoblikovanju Univerze v Ljubljani (OdPUL-1H)" w:history="1">
        <w:r w:rsidR="006E612D" w:rsidRPr="006E612D">
          <w:rPr>
            <w:rFonts w:ascii="Arial" w:hAnsi="Arial" w:cs="Arial"/>
            <w:sz w:val="20"/>
            <w:szCs w:val="20"/>
          </w:rPr>
          <w:t>107/23</w:t>
        </w:r>
      </w:hyperlink>
      <w:r w:rsidRPr="001C7F4A">
        <w:rPr>
          <w:rFonts w:ascii="Arial" w:hAnsi="Arial" w:cs="Arial"/>
          <w:sz w:val="20"/>
          <w:szCs w:val="20"/>
        </w:rPr>
        <w:t xml:space="preserve">), ki določa postopke za imenovanje predstavnikov ustanovitelja v organih upravljanja univerze. Z obdelavo osebnih podatkov ministrstvo </w:t>
      </w:r>
      <w:r w:rsidR="00691212">
        <w:rPr>
          <w:rFonts w:ascii="Arial" w:hAnsi="Arial" w:cs="Arial"/>
          <w:sz w:val="20"/>
          <w:szCs w:val="20"/>
        </w:rPr>
        <w:t xml:space="preserve">se </w:t>
      </w:r>
      <w:r w:rsidRPr="001C7F4A">
        <w:rPr>
          <w:rFonts w:ascii="Arial" w:hAnsi="Arial" w:cs="Arial"/>
          <w:sz w:val="20"/>
          <w:szCs w:val="20"/>
        </w:rPr>
        <w:t xml:space="preserve">ne posega v upravičen interes posameznika, ki kandidira za predstavnike ustanovitelja v upravni odbor Univerze v </w:t>
      </w:r>
      <w:r w:rsidR="006E612D">
        <w:rPr>
          <w:rFonts w:ascii="Arial" w:hAnsi="Arial" w:cs="Arial"/>
          <w:sz w:val="20"/>
          <w:szCs w:val="20"/>
        </w:rPr>
        <w:t>Ljubljani</w:t>
      </w:r>
      <w:r w:rsidRPr="001C7F4A">
        <w:rPr>
          <w:rFonts w:ascii="Arial" w:hAnsi="Arial" w:cs="Arial"/>
          <w:sz w:val="20"/>
          <w:szCs w:val="20"/>
        </w:rPr>
        <w:t>, saj ministrstvo obdeluje njegove osebne podatke le za namene povezane v zvezi z imenovanjem in sodelovanjem v upravn</w:t>
      </w:r>
      <w:r w:rsidR="00691212">
        <w:rPr>
          <w:rFonts w:ascii="Arial" w:hAnsi="Arial" w:cs="Arial"/>
          <w:sz w:val="20"/>
          <w:szCs w:val="20"/>
        </w:rPr>
        <w:t xml:space="preserve">em odboru </w:t>
      </w:r>
      <w:r w:rsidRPr="001C7F4A">
        <w:rPr>
          <w:rFonts w:ascii="Arial" w:hAnsi="Arial" w:cs="Arial"/>
          <w:sz w:val="20"/>
          <w:szCs w:val="20"/>
        </w:rPr>
        <w:t xml:space="preserve">Univerze v </w:t>
      </w:r>
      <w:r w:rsidR="006E612D">
        <w:rPr>
          <w:rFonts w:ascii="Arial" w:hAnsi="Arial" w:cs="Arial"/>
          <w:sz w:val="20"/>
          <w:szCs w:val="20"/>
        </w:rPr>
        <w:t>Ljubljani</w:t>
      </w:r>
      <w:r w:rsidRPr="001C7F4A">
        <w:rPr>
          <w:rFonts w:ascii="Arial" w:hAnsi="Arial" w:cs="Arial"/>
          <w:sz w:val="20"/>
          <w:szCs w:val="20"/>
        </w:rPr>
        <w:t>.</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77777777"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w:t>
      </w:r>
      <w:r w:rsidR="00360D49" w:rsidRPr="001C7F4A">
        <w:rPr>
          <w:rFonts w:ascii="Arial" w:hAnsi="Arial" w:cs="Arial"/>
          <w:sz w:val="20"/>
          <w:szCs w:val="20"/>
        </w:rPr>
        <w:t xml:space="preserve">so </w:t>
      </w:r>
      <w:r w:rsidR="00544040" w:rsidRPr="001C7F4A">
        <w:rPr>
          <w:rFonts w:ascii="Arial" w:hAnsi="Arial" w:cs="Arial"/>
          <w:sz w:val="20"/>
          <w:szCs w:val="20"/>
        </w:rPr>
        <w:t xml:space="preserve">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 Uradni list RS, št. </w:t>
      </w:r>
      <w:hyperlink r:id="rId35"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36"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7"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8"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9"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40"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41"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42"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1C7F4A">
      <w:pPr>
        <w:pStyle w:val="Odstavekseznama"/>
        <w:spacing w:line="240" w:lineRule="auto"/>
        <w:ind w:left="780"/>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43"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378F" w14:textId="77777777" w:rsidR="00341069" w:rsidRDefault="00341069" w:rsidP="0080145B">
      <w:pPr>
        <w:spacing w:after="0" w:line="240" w:lineRule="auto"/>
      </w:pPr>
      <w:r>
        <w:separator/>
      </w:r>
    </w:p>
  </w:endnote>
  <w:endnote w:type="continuationSeparator" w:id="0">
    <w:p w14:paraId="2E144F50" w14:textId="77777777" w:rsidR="00341069" w:rsidRDefault="00341069"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099E" w14:textId="77777777" w:rsidR="00F917D8" w:rsidRDefault="00F917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37B" w14:textId="77777777" w:rsidR="00F917D8" w:rsidRDefault="00F917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C669" w14:textId="77777777" w:rsidR="00341069" w:rsidRDefault="00341069" w:rsidP="0080145B">
      <w:pPr>
        <w:spacing w:after="0" w:line="240" w:lineRule="auto"/>
      </w:pPr>
      <w:r>
        <w:separator/>
      </w:r>
    </w:p>
  </w:footnote>
  <w:footnote w:type="continuationSeparator" w:id="0">
    <w:p w14:paraId="014ACFEB" w14:textId="77777777" w:rsidR="00341069" w:rsidRDefault="00341069"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F1CE" w14:textId="77777777" w:rsidR="00F917D8" w:rsidRDefault="00F917D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C3D9" w14:textId="77777777" w:rsidR="00F917D8" w:rsidRDefault="00F917D8" w:rsidP="00F917D8">
    <w:pPr>
      <w:pStyle w:val="Glava"/>
      <w:tabs>
        <w:tab w:val="left" w:pos="5112"/>
      </w:tabs>
      <w:spacing w:line="240" w:lineRule="exact"/>
    </w:pPr>
    <w:bookmarkStart w:id="5" w:name="_Hlk179800309"/>
    <w:r>
      <w:rPr>
        <w:rFonts w:cs="Arial"/>
        <w:bCs/>
        <w:i/>
        <w:iCs/>
        <w:sz w:val="18"/>
      </w:rPr>
      <w:t xml:space="preserve">Dodatni javni poziv za izbiro kandidatov za predstavnike ustanovitelja v upravnem odboru </w:t>
    </w:r>
    <w:bookmarkEnd w:id="5"/>
    <w:r>
      <w:rPr>
        <w:rFonts w:cs="Arial"/>
        <w:bCs/>
        <w:i/>
        <w:iCs/>
        <w:sz w:val="18"/>
      </w:rPr>
      <w:t>UL</w:t>
    </w:r>
  </w:p>
  <w:p w14:paraId="67930707" w14:textId="77777777" w:rsidR="00F917D8" w:rsidRPr="00E212F3" w:rsidRDefault="00F917D8" w:rsidP="00F917D8">
    <w:pPr>
      <w:pStyle w:val="Glava"/>
      <w:tabs>
        <w:tab w:val="left" w:pos="5112"/>
      </w:tabs>
      <w:spacing w:line="240" w:lineRule="exact"/>
      <w:rPr>
        <w:rFonts w:cs="Arial"/>
        <w:b/>
        <w:bCs/>
        <w:sz w:val="16"/>
      </w:rPr>
    </w:pPr>
    <w:r w:rsidRPr="00E212F3">
      <w:rPr>
        <w:b/>
        <w:bCs/>
      </w:rPr>
      <w:t>Priloga 4</w:t>
    </w:r>
  </w:p>
  <w:p w14:paraId="1A635C66" w14:textId="77777777" w:rsidR="00F917D8" w:rsidRDefault="00F917D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B181" w14:textId="77777777" w:rsidR="00F917D8" w:rsidRDefault="00F91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28F48B6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214B9"/>
    <w:rsid w:val="00045C96"/>
    <w:rsid w:val="00050B8F"/>
    <w:rsid w:val="00056C12"/>
    <w:rsid w:val="00062A99"/>
    <w:rsid w:val="000703C3"/>
    <w:rsid w:val="0007284D"/>
    <w:rsid w:val="000940B3"/>
    <w:rsid w:val="000A4AEA"/>
    <w:rsid w:val="000C686A"/>
    <w:rsid w:val="000D1B18"/>
    <w:rsid w:val="000D2BE9"/>
    <w:rsid w:val="000D76F7"/>
    <w:rsid w:val="000F3F24"/>
    <w:rsid w:val="000F4659"/>
    <w:rsid w:val="0012405D"/>
    <w:rsid w:val="001338C0"/>
    <w:rsid w:val="0013719B"/>
    <w:rsid w:val="00141758"/>
    <w:rsid w:val="00150118"/>
    <w:rsid w:val="00156C37"/>
    <w:rsid w:val="0018398E"/>
    <w:rsid w:val="00193CCC"/>
    <w:rsid w:val="00196C67"/>
    <w:rsid w:val="001B270D"/>
    <w:rsid w:val="001C5225"/>
    <w:rsid w:val="001C7F4A"/>
    <w:rsid w:val="001E67C8"/>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6F16"/>
    <w:rsid w:val="002F7A26"/>
    <w:rsid w:val="00341069"/>
    <w:rsid w:val="00355DBE"/>
    <w:rsid w:val="00360D49"/>
    <w:rsid w:val="003620A0"/>
    <w:rsid w:val="00371884"/>
    <w:rsid w:val="00373291"/>
    <w:rsid w:val="00375463"/>
    <w:rsid w:val="00376AAE"/>
    <w:rsid w:val="003923CF"/>
    <w:rsid w:val="00394436"/>
    <w:rsid w:val="003B244B"/>
    <w:rsid w:val="003C0A58"/>
    <w:rsid w:val="003E2201"/>
    <w:rsid w:val="003F1D50"/>
    <w:rsid w:val="003F2511"/>
    <w:rsid w:val="00400B72"/>
    <w:rsid w:val="004014B3"/>
    <w:rsid w:val="00407B9C"/>
    <w:rsid w:val="004441CE"/>
    <w:rsid w:val="00444720"/>
    <w:rsid w:val="00446076"/>
    <w:rsid w:val="00451FEC"/>
    <w:rsid w:val="00456A4F"/>
    <w:rsid w:val="00472D12"/>
    <w:rsid w:val="0047561F"/>
    <w:rsid w:val="0048127C"/>
    <w:rsid w:val="004855B1"/>
    <w:rsid w:val="00487E48"/>
    <w:rsid w:val="00495DCF"/>
    <w:rsid w:val="004A464E"/>
    <w:rsid w:val="004B78B4"/>
    <w:rsid w:val="004C2173"/>
    <w:rsid w:val="004D1B87"/>
    <w:rsid w:val="004E3E0A"/>
    <w:rsid w:val="005002A6"/>
    <w:rsid w:val="00517B60"/>
    <w:rsid w:val="00541568"/>
    <w:rsid w:val="00543DB2"/>
    <w:rsid w:val="00544040"/>
    <w:rsid w:val="00563014"/>
    <w:rsid w:val="0056535D"/>
    <w:rsid w:val="005657A0"/>
    <w:rsid w:val="005877D8"/>
    <w:rsid w:val="005B3FA3"/>
    <w:rsid w:val="005E0519"/>
    <w:rsid w:val="005F6CC6"/>
    <w:rsid w:val="00600CC2"/>
    <w:rsid w:val="0060444A"/>
    <w:rsid w:val="00607403"/>
    <w:rsid w:val="006116DD"/>
    <w:rsid w:val="0061698F"/>
    <w:rsid w:val="0063375A"/>
    <w:rsid w:val="00634075"/>
    <w:rsid w:val="00640BB3"/>
    <w:rsid w:val="00690F7F"/>
    <w:rsid w:val="00691212"/>
    <w:rsid w:val="006A052A"/>
    <w:rsid w:val="006A674E"/>
    <w:rsid w:val="006B061B"/>
    <w:rsid w:val="006B1287"/>
    <w:rsid w:val="006D6885"/>
    <w:rsid w:val="006E612D"/>
    <w:rsid w:val="006F0E94"/>
    <w:rsid w:val="006F6B58"/>
    <w:rsid w:val="007038E6"/>
    <w:rsid w:val="00720571"/>
    <w:rsid w:val="007416C3"/>
    <w:rsid w:val="0077151C"/>
    <w:rsid w:val="00790C76"/>
    <w:rsid w:val="00791CB4"/>
    <w:rsid w:val="007A4B64"/>
    <w:rsid w:val="007A5520"/>
    <w:rsid w:val="007C226C"/>
    <w:rsid w:val="007D08A6"/>
    <w:rsid w:val="007E3251"/>
    <w:rsid w:val="007F6696"/>
    <w:rsid w:val="007F6EDF"/>
    <w:rsid w:val="0080145B"/>
    <w:rsid w:val="00820913"/>
    <w:rsid w:val="00846426"/>
    <w:rsid w:val="008607DC"/>
    <w:rsid w:val="00890A5A"/>
    <w:rsid w:val="00894B28"/>
    <w:rsid w:val="008B45AD"/>
    <w:rsid w:val="008C274F"/>
    <w:rsid w:val="008C682C"/>
    <w:rsid w:val="008E27C3"/>
    <w:rsid w:val="00901979"/>
    <w:rsid w:val="009064B6"/>
    <w:rsid w:val="0091456C"/>
    <w:rsid w:val="00930675"/>
    <w:rsid w:val="009341D0"/>
    <w:rsid w:val="00944145"/>
    <w:rsid w:val="00961409"/>
    <w:rsid w:val="00973093"/>
    <w:rsid w:val="009834AE"/>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B045DF"/>
    <w:rsid w:val="00B15CCA"/>
    <w:rsid w:val="00B236BD"/>
    <w:rsid w:val="00B30897"/>
    <w:rsid w:val="00B331E4"/>
    <w:rsid w:val="00B363F2"/>
    <w:rsid w:val="00B40C66"/>
    <w:rsid w:val="00B456A2"/>
    <w:rsid w:val="00B61C52"/>
    <w:rsid w:val="00B658D6"/>
    <w:rsid w:val="00B82444"/>
    <w:rsid w:val="00B902C2"/>
    <w:rsid w:val="00B97469"/>
    <w:rsid w:val="00BA76E9"/>
    <w:rsid w:val="00BF1D3A"/>
    <w:rsid w:val="00C06DA9"/>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1240F"/>
    <w:rsid w:val="00D65A59"/>
    <w:rsid w:val="00DA13E7"/>
    <w:rsid w:val="00DB2C28"/>
    <w:rsid w:val="00DD04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40965"/>
    <w:rsid w:val="00F70A32"/>
    <w:rsid w:val="00F82590"/>
    <w:rsid w:val="00F917D8"/>
    <w:rsid w:val="00F97482"/>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hyperlink" Target="https://www.uradni-list.si/glasilo-uradni-list-rs/vsebina/2022-01-1605" TargetMode="Externa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3-01-3060" TargetMode="External"/><Relationship Id="rId42" Type="http://schemas.openxmlformats.org/officeDocument/2006/relationships/hyperlink" Target="https://www.uradni-list.si/glasilo-uradni-list-rs/vsebina/2023-01-2419"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9" Type="http://schemas.openxmlformats.org/officeDocument/2006/relationships/hyperlink" Target="https://www.uradni-list.si/glasilo-uradni-list-rs/vsebina/2004-01-3470" TargetMode="Externa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19-01-0245" TargetMode="External"/><Relationship Id="rId37" Type="http://schemas.openxmlformats.org/officeDocument/2006/relationships/hyperlink" Target="https://www.uradni-list.si/glasilo-uradni-list-rs/vsebina/2020-01-2919" TargetMode="External"/><Relationship Id="rId40" Type="http://schemas.openxmlformats.org/officeDocument/2006/relationships/hyperlink" Target="https://www.uradni-list.si/glasilo-uradni-list-rs/vsebina/2022-01-2236"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00-01-1259" TargetMode="External"/><Relationship Id="rId36" Type="http://schemas.openxmlformats.org/officeDocument/2006/relationships/hyperlink" Target="https://www.uradni-list.si/glasilo-uradni-list-rs/vsebina/2020-01-0461"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10-01-4412"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06-01-1503" TargetMode="External"/><Relationship Id="rId35" Type="http://schemas.openxmlformats.org/officeDocument/2006/relationships/hyperlink" Target="https://www.uradni-list.si/glasilo-uradni-list-rs/vsebina/2018-01-0353" TargetMode="External"/><Relationship Id="rId43" Type="http://schemas.openxmlformats.org/officeDocument/2006/relationships/hyperlink" Target="http://www.ip-rs.si"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1-01-0719" TargetMode="External"/><Relationship Id="rId38" Type="http://schemas.openxmlformats.org/officeDocument/2006/relationships/hyperlink" Target="https://www.uradni-list.si/glasilo-uradni-list-rs/vsebina/2021-01-3363" TargetMode="External"/><Relationship Id="rId46" Type="http://schemas.openxmlformats.org/officeDocument/2006/relationships/footer" Target="footer1.xml"/><Relationship Id="rId20" Type="http://schemas.openxmlformats.org/officeDocument/2006/relationships/hyperlink" Target="https://www.uradni-list.si/glasilo-uradni-list-rs/vsebina/2014-01-0304" TargetMode="External"/><Relationship Id="rId41" Type="http://schemas.openxmlformats.org/officeDocument/2006/relationships/hyperlink" Target="https://www.uradni-list.si/glasilo-uradni-list-rs/vsebina/2022-01-3243"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2.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3.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1817</Words>
  <Characters>10361</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6</cp:revision>
  <cp:lastPrinted>2025-02-06T11:09:00Z</cp:lastPrinted>
  <dcterms:created xsi:type="dcterms:W3CDTF">2025-02-07T13:04:00Z</dcterms:created>
  <dcterms:modified xsi:type="dcterms:W3CDTF">2025-02-12T10:54:00Z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