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542EB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tc>
      </w:tr>
    </w:tbl>
    <w:p w:rsidR="007D0787" w:rsidRPr="00B64BFF" w:rsidRDefault="00112864" w:rsidP="00542EB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542EB4">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542EB4">
      <w:pPr>
        <w:spacing w:after="120" w:line="240" w:lineRule="exact"/>
        <w:rPr>
          <w:rFonts w:ascii="Republika" w:hAnsi="Republika"/>
          <w:sz w:val="20"/>
          <w:szCs w:val="20"/>
        </w:rPr>
      </w:pPr>
      <w:r>
        <w:rPr>
          <w:rFonts w:ascii="Republika" w:hAnsi="Republika"/>
          <w:sz w:val="20"/>
          <w:szCs w:val="20"/>
        </w:rPr>
        <w:t>SEKRETARIAT</w:t>
      </w:r>
    </w:p>
    <w:p w:rsidR="007D0787" w:rsidRDefault="007D0787" w:rsidP="00542EB4">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542EB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542EB4">
        <w:rPr>
          <w:rFonts w:cs="Arial"/>
        </w:rPr>
        <w:t>3</w:t>
      </w:r>
      <w:r w:rsidR="00A9093B">
        <w:rPr>
          <w:rFonts w:cs="Arial"/>
        </w:rPr>
        <w:t>7</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517025">
        <w:rPr>
          <w:rFonts w:cs="Arial"/>
        </w:rPr>
        <w:t>3</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A9093B" w:rsidP="00BE14A1">
      <w:pPr>
        <w:suppressAutoHyphens w:val="0"/>
        <w:spacing w:line="260" w:lineRule="exact"/>
        <w:jc w:val="both"/>
        <w:rPr>
          <w:rFonts w:ascii="Arial" w:hAnsi="Arial"/>
          <w:b/>
          <w:sz w:val="20"/>
          <w:lang w:eastAsia="en-US"/>
        </w:rPr>
      </w:pPr>
      <w:r>
        <w:rPr>
          <w:rFonts w:ascii="Arial" w:hAnsi="Arial"/>
          <w:b/>
          <w:sz w:val="20"/>
          <w:lang w:eastAsia="en-US"/>
        </w:rPr>
        <w:t>STROKOVNI SODELAVEC</w:t>
      </w:r>
      <w:r w:rsidR="00BE14A1" w:rsidRPr="00BE14A1">
        <w:rPr>
          <w:rFonts w:ascii="Arial" w:hAnsi="Arial"/>
          <w:b/>
          <w:sz w:val="20"/>
          <w:lang w:eastAsia="en-US"/>
        </w:rPr>
        <w:t xml:space="preserve"> VII/</w:t>
      </w:r>
      <w:r w:rsidR="00542EB4">
        <w:rPr>
          <w:rFonts w:ascii="Arial" w:hAnsi="Arial"/>
          <w:b/>
          <w:sz w:val="20"/>
          <w:lang w:eastAsia="en-US"/>
        </w:rPr>
        <w:t>2-</w:t>
      </w:r>
      <w:r>
        <w:rPr>
          <w:rFonts w:ascii="Arial" w:hAnsi="Arial"/>
          <w:b/>
          <w:sz w:val="20"/>
          <w:lang w:eastAsia="en-US"/>
        </w:rPr>
        <w:t>I</w:t>
      </w:r>
      <w:r w:rsidR="00542EB4">
        <w:rPr>
          <w:rFonts w:ascii="Arial" w:hAnsi="Arial"/>
          <w:b/>
          <w:sz w:val="20"/>
          <w:lang w:eastAsia="en-US"/>
        </w:rPr>
        <w:t>I</w:t>
      </w:r>
      <w:r w:rsidR="00BE14A1" w:rsidRPr="00BE14A1">
        <w:rPr>
          <w:rFonts w:ascii="Arial" w:hAnsi="Arial"/>
          <w:b/>
          <w:sz w:val="20"/>
          <w:lang w:eastAsia="en-US"/>
        </w:rPr>
        <w:t xml:space="preserve"> (m/ž) v </w:t>
      </w:r>
      <w:r w:rsidR="00A83B9A">
        <w:rPr>
          <w:rFonts w:ascii="Arial" w:hAnsi="Arial"/>
          <w:b/>
          <w:sz w:val="20"/>
          <w:lang w:eastAsia="en-US"/>
        </w:rPr>
        <w:t xml:space="preserve">Finančno računovodski službi – Oddelku za </w:t>
      </w:r>
      <w:r>
        <w:rPr>
          <w:rFonts w:ascii="Arial" w:hAnsi="Arial"/>
          <w:b/>
          <w:sz w:val="20"/>
          <w:lang w:eastAsia="en-US"/>
        </w:rPr>
        <w:t>upravljanje EU sredstev</w:t>
      </w:r>
      <w:r w:rsidR="00BE14A1" w:rsidRPr="00BE14A1">
        <w:rPr>
          <w:rFonts w:ascii="Arial" w:hAnsi="Arial"/>
          <w:sz w:val="20"/>
          <w:lang w:eastAsia="en-US"/>
        </w:rPr>
        <w:t xml:space="preserve"> </w:t>
      </w:r>
      <w:r w:rsidR="00BE14A1" w:rsidRPr="00BE14A1">
        <w:rPr>
          <w:rFonts w:ascii="Arial" w:hAnsi="Arial"/>
          <w:b/>
          <w:sz w:val="20"/>
          <w:lang w:eastAsia="en-US"/>
        </w:rPr>
        <w:t xml:space="preserve">(šifra DM </w:t>
      </w:r>
      <w:r>
        <w:rPr>
          <w:rFonts w:ascii="Arial" w:hAnsi="Arial"/>
          <w:b/>
          <w:sz w:val="20"/>
          <w:lang w:eastAsia="en-US"/>
        </w:rPr>
        <w:t>2865</w:t>
      </w:r>
      <w:r w:rsidR="00BE14A1" w:rsidRPr="00BE14A1">
        <w:rPr>
          <w:rFonts w:ascii="Arial" w:hAnsi="Arial"/>
          <w:b/>
          <w:sz w:val="20"/>
          <w:lang w:eastAsia="en-US"/>
        </w:rPr>
        <w:t>)</w:t>
      </w:r>
      <w:r w:rsidR="00517025">
        <w:rPr>
          <w:rFonts w:ascii="Arial" w:hAnsi="Arial"/>
          <w:b/>
          <w:sz w:val="20"/>
          <w:lang w:eastAsia="en-US"/>
        </w:rPr>
        <w:t xml:space="preserve"> v Sekretariatu</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visokošolsko </w:t>
      </w:r>
      <w:r w:rsidR="00A9093B">
        <w:rPr>
          <w:rFonts w:ascii="Arial" w:hAnsi="Arial"/>
          <w:sz w:val="20"/>
          <w:szCs w:val="20"/>
          <w:lang w:eastAsia="en-US"/>
        </w:rPr>
        <w:t>strokov</w:t>
      </w:r>
      <w:r w:rsidR="00542EB4">
        <w:rPr>
          <w:rFonts w:ascii="Arial" w:hAnsi="Arial"/>
          <w:sz w:val="20"/>
          <w:szCs w:val="20"/>
          <w:lang w:eastAsia="en-US"/>
        </w:rPr>
        <w:t xml:space="preserve">no izobraževanje (prejšnje)/visokošolska </w:t>
      </w:r>
      <w:r w:rsidR="00A9093B">
        <w:rPr>
          <w:rFonts w:ascii="Arial" w:hAnsi="Arial"/>
          <w:sz w:val="20"/>
          <w:szCs w:val="20"/>
          <w:lang w:eastAsia="en-US"/>
        </w:rPr>
        <w:t>strokov</w:t>
      </w:r>
      <w:r w:rsidR="00542EB4">
        <w:rPr>
          <w:rFonts w:ascii="Arial" w:hAnsi="Arial"/>
          <w:sz w:val="20"/>
          <w:szCs w:val="20"/>
          <w:lang w:eastAsia="en-US"/>
        </w:rPr>
        <w:t>na izobrazba (prejšnja) ali</w:t>
      </w:r>
      <w:r w:rsidR="00A9093B">
        <w:rPr>
          <w:rFonts w:ascii="Arial" w:hAnsi="Arial"/>
          <w:sz w:val="20"/>
          <w:szCs w:val="20"/>
          <w:lang w:eastAsia="en-US"/>
        </w:rPr>
        <w:t xml:space="preserve"> visokošolsko strokovno izobraževanje (prva bolonjska stopnja)/visokošolska strokovna izobrazba (prva bolonjska stopnja) ali visokošolsko univerzitetno izobraževanje (prva bolonjska stopnja)/visokošolska univerzitetna izobrazba (prva bolonjska stopnja);</w:t>
      </w:r>
      <w:r w:rsidR="00542EB4">
        <w:rPr>
          <w:rFonts w:ascii="Arial" w:hAnsi="Arial"/>
          <w:sz w:val="20"/>
          <w:szCs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A9093B">
        <w:rPr>
          <w:rFonts w:ascii="Arial" w:hAnsi="Arial"/>
          <w:sz w:val="20"/>
          <w:lang w:eastAsia="en-US"/>
        </w:rPr>
        <w:t>3</w:t>
      </w:r>
      <w:r w:rsidRPr="00BE14A1">
        <w:rPr>
          <w:rFonts w:ascii="Arial" w:hAnsi="Arial"/>
          <w:sz w:val="20"/>
          <w:lang w:eastAsia="en-US"/>
        </w:rPr>
        <w:t xml:space="preserve"> </w:t>
      </w:r>
      <w:r w:rsidR="00542EB4">
        <w:rPr>
          <w:rFonts w:ascii="Arial" w:hAnsi="Arial"/>
          <w:sz w:val="20"/>
          <w:lang w:eastAsia="en-US"/>
        </w:rPr>
        <w:t>let</w:t>
      </w:r>
      <w:r w:rsidR="00A9093B">
        <w:rPr>
          <w:rFonts w:ascii="Arial" w:hAnsi="Arial"/>
          <w:sz w:val="20"/>
          <w:lang w:eastAsia="en-US"/>
        </w:rPr>
        <w:t>a</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(nacionalno</w:t>
      </w:r>
      <w:r w:rsidR="00A9093B">
        <w:rPr>
          <w:rFonts w:ascii="Arial" w:hAnsi="Arial"/>
          <w:sz w:val="20"/>
          <w:lang w:eastAsia="en-US"/>
        </w:rPr>
        <w:t>, EU</w:t>
      </w:r>
      <w:r w:rsidRPr="00BE14A1">
        <w:rPr>
          <w:rFonts w:ascii="Arial" w:hAnsi="Arial"/>
          <w:sz w:val="20"/>
          <w:lang w:eastAsia="en-US"/>
        </w:rPr>
        <w:t xml:space="preserve">) stopnje </w:t>
      </w:r>
      <w:r w:rsidRPr="00BE14A1">
        <w:rPr>
          <w:rFonts w:ascii="Arial" w:hAnsi="Arial" w:cs="Arial"/>
          <w:sz w:val="20"/>
          <w:lang w:eastAsia="en-US"/>
        </w:rPr>
        <w:t>»</w:t>
      </w:r>
      <w:r w:rsidR="00A83B9A">
        <w:rPr>
          <w:rFonts w:ascii="Arial" w:hAnsi="Arial" w:cs="Arial"/>
          <w:sz w:val="20"/>
          <w:lang w:eastAsia="en-US"/>
        </w:rPr>
        <w:t>ZAUP</w:t>
      </w:r>
      <w:r w:rsidR="00542EB4">
        <w:rPr>
          <w:rFonts w:ascii="Arial" w:hAnsi="Arial" w:cs="Arial"/>
          <w:sz w:val="20"/>
          <w:lang w:eastAsia="en-US"/>
        </w:rPr>
        <w:t>N</w:t>
      </w:r>
      <w:r w:rsidRPr="00BE14A1">
        <w:rPr>
          <w:rFonts w:ascii="Arial" w:hAnsi="Arial" w:cs="Arial"/>
          <w:sz w:val="20"/>
          <w:lang w:eastAsia="en-US"/>
        </w:rPr>
        <w:t>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9093B" w:rsidRDefault="00A9093B" w:rsidP="00A83B9A">
      <w:pPr>
        <w:numPr>
          <w:ilvl w:val="0"/>
          <w:numId w:val="5"/>
        </w:numPr>
        <w:suppressAutoHyphens w:val="0"/>
        <w:jc w:val="both"/>
        <w:rPr>
          <w:rFonts w:ascii="Arial" w:hAnsi="Arial" w:cs="Arial"/>
          <w:sz w:val="20"/>
          <w:szCs w:val="20"/>
        </w:rPr>
      </w:pPr>
      <w:r>
        <w:rPr>
          <w:rFonts w:ascii="Arial" w:hAnsi="Arial" w:cs="Arial"/>
          <w:sz w:val="20"/>
          <w:szCs w:val="20"/>
        </w:rPr>
        <w:t>izvajanje nadzora nad pravilnim in pravočasnim izvajanjem pogodbenih obveznosti;</w:t>
      </w:r>
    </w:p>
    <w:p w:rsidR="00A83B9A" w:rsidRDefault="00A9093B" w:rsidP="00A83B9A">
      <w:pPr>
        <w:numPr>
          <w:ilvl w:val="0"/>
          <w:numId w:val="5"/>
        </w:numPr>
        <w:suppressAutoHyphens w:val="0"/>
        <w:jc w:val="both"/>
        <w:rPr>
          <w:rFonts w:ascii="Arial" w:hAnsi="Arial" w:cs="Arial"/>
          <w:sz w:val="20"/>
          <w:szCs w:val="20"/>
        </w:rPr>
      </w:pPr>
      <w:r>
        <w:rPr>
          <w:rFonts w:ascii="Arial" w:hAnsi="Arial" w:cs="Arial"/>
          <w:sz w:val="20"/>
          <w:szCs w:val="20"/>
        </w:rPr>
        <w:t>sodelovanje pri izvedbi postopkov, pripravi gradiva in vodenje potrebnih evidenc;</w:t>
      </w:r>
    </w:p>
    <w:p w:rsidR="00A9093B" w:rsidRPr="00EB758D" w:rsidRDefault="00A9093B" w:rsidP="00A83B9A">
      <w:pPr>
        <w:numPr>
          <w:ilvl w:val="0"/>
          <w:numId w:val="5"/>
        </w:numPr>
        <w:suppressAutoHyphens w:val="0"/>
        <w:jc w:val="both"/>
        <w:rPr>
          <w:rFonts w:ascii="Arial" w:hAnsi="Arial" w:cs="Arial"/>
          <w:sz w:val="20"/>
          <w:szCs w:val="20"/>
        </w:rPr>
      </w:pPr>
      <w:r>
        <w:rPr>
          <w:rFonts w:ascii="Arial" w:hAnsi="Arial" w:cs="Arial"/>
          <w:sz w:val="20"/>
          <w:szCs w:val="20"/>
        </w:rPr>
        <w:t>izvajanje zahtevnih strokovnih nalog na delovnem področju;</w:t>
      </w:r>
    </w:p>
    <w:p w:rsidR="00A83B9A" w:rsidRPr="00EB758D" w:rsidRDefault="00A83B9A" w:rsidP="00A83B9A">
      <w:pPr>
        <w:numPr>
          <w:ilvl w:val="0"/>
          <w:numId w:val="5"/>
        </w:numPr>
        <w:suppressAutoHyphens w:val="0"/>
        <w:spacing w:after="100" w:afterAutospacing="1"/>
        <w:jc w:val="both"/>
        <w:rPr>
          <w:rFonts w:ascii="Arial" w:hAnsi="Arial" w:cs="Arial"/>
          <w:sz w:val="20"/>
          <w:szCs w:val="20"/>
        </w:rPr>
      </w:pPr>
      <w:r w:rsidRPr="00EB758D">
        <w:rPr>
          <w:rFonts w:ascii="Arial" w:hAnsi="Arial" w:cs="Arial"/>
          <w:sz w:val="20"/>
          <w:szCs w:val="20"/>
        </w:rPr>
        <w:t>druge naloge podobne stopnje zahtevnosti po navodilih vodje.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A83B9A">
        <w:rPr>
          <w:rFonts w:ascii="Arial" w:hAnsi="Arial" w:cs="Arial"/>
          <w:sz w:val="20"/>
          <w:lang w:eastAsia="en-US"/>
        </w:rPr>
        <w:t>ZAUPNO« (nacionalno</w:t>
      </w:r>
      <w:r w:rsidR="00A9093B">
        <w:rPr>
          <w:rFonts w:ascii="Arial" w:hAnsi="Arial" w:cs="Arial"/>
          <w:sz w:val="20"/>
          <w:lang w:eastAsia="en-US"/>
        </w:rPr>
        <w:t xml:space="preserve"> in EU</w:t>
      </w:r>
      <w:r w:rsidRPr="00BE14A1">
        <w:rPr>
          <w:rFonts w:ascii="Arial" w:hAnsi="Arial" w:cs="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A9093B">
        <w:rPr>
          <w:rFonts w:ascii="Arial" w:hAnsi="Arial"/>
          <w:sz w:val="20"/>
          <w:lang w:eastAsia="en-US"/>
        </w:rPr>
        <w:t xml:space="preserve"> in EU</w:t>
      </w:r>
      <w:r w:rsidR="00A83B9A">
        <w:rPr>
          <w:rFonts w:ascii="Arial" w:hAnsi="Arial"/>
          <w:sz w:val="20"/>
          <w:lang w:eastAsia="en-US"/>
        </w:rPr>
        <w:t>)</w:t>
      </w:r>
      <w:r w:rsidRPr="00BE14A1">
        <w:rPr>
          <w:rFonts w:ascii="Arial" w:hAnsi="Arial"/>
          <w:sz w:val="20"/>
          <w:lang w:eastAsia="en-US"/>
        </w:rPr>
        <w:t xml:space="preserve"> do stopnje </w:t>
      </w:r>
      <w:r w:rsidR="00542EB4">
        <w:rPr>
          <w:rFonts w:ascii="Arial" w:hAnsi="Arial" w:cs="Arial"/>
          <w:sz w:val="20"/>
          <w:lang w:eastAsia="en-US"/>
        </w:rPr>
        <w:t>»</w:t>
      </w:r>
      <w:r w:rsidR="00A83B9A">
        <w:rPr>
          <w:rFonts w:ascii="Arial" w:hAnsi="Arial" w:cs="Arial"/>
          <w:sz w:val="20"/>
          <w:lang w:eastAsia="en-US"/>
        </w:rPr>
        <w:t>ZAUP</w:t>
      </w:r>
      <w:r w:rsidRPr="00BE14A1">
        <w:rPr>
          <w:rFonts w:ascii="Arial" w:hAnsi="Arial" w:cs="Arial"/>
          <w:sz w:val="20"/>
          <w:lang w:eastAsia="en-US"/>
        </w:rPr>
        <w:t>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A9093B" w:rsidRDefault="00A83B9A"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 xml:space="preserve">-     </w:t>
      </w:r>
      <w:r w:rsidR="00A9093B">
        <w:rPr>
          <w:rFonts w:ascii="Helv" w:hAnsi="Helv" w:cs="Helv"/>
          <w:color w:val="000000"/>
          <w:sz w:val="20"/>
          <w:szCs w:val="20"/>
          <w:lang w:eastAsia="sl-SI"/>
        </w:rPr>
        <w:t>evidentiranje računov in priprava odredb za izdatke projektov, sofinanciranih s sredstvi EU</w:t>
      </w:r>
      <w:r w:rsidR="00A9093B">
        <w:rPr>
          <w:rFonts w:ascii="Helv" w:hAnsi="Helv" w:cs="Helv"/>
          <w:color w:val="000000"/>
          <w:sz w:val="20"/>
          <w:szCs w:val="20"/>
          <w:lang w:eastAsia="sl-SI"/>
        </w:rPr>
        <w:t>;</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 xml:space="preserve">evidentiranje pogodb in priprava </w:t>
      </w:r>
      <w:proofErr w:type="spellStart"/>
      <w:r>
        <w:rPr>
          <w:rFonts w:ascii="Helv" w:hAnsi="Helv" w:cs="Helv"/>
          <w:color w:val="000000"/>
          <w:sz w:val="20"/>
          <w:szCs w:val="20"/>
          <w:lang w:eastAsia="sl-SI"/>
        </w:rPr>
        <w:t>predobremenitev</w:t>
      </w:r>
      <w:proofErr w:type="spellEnd"/>
      <w:r>
        <w:rPr>
          <w:rFonts w:ascii="Helv" w:hAnsi="Helv" w:cs="Helv"/>
          <w:color w:val="000000"/>
          <w:sz w:val="20"/>
          <w:szCs w:val="20"/>
          <w:lang w:eastAsia="sl-SI"/>
        </w:rPr>
        <w:t xml:space="preserve"> za izdatke projektov, sofinanciranih s sredstvi EU</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predlogov za prerazporeditve</w:t>
      </w:r>
      <w:r>
        <w:rPr>
          <w:rFonts w:ascii="Helv" w:hAnsi="Helv" w:cs="Helv"/>
          <w:color w:val="000000"/>
          <w:sz w:val="20"/>
          <w:szCs w:val="20"/>
          <w:lang w:eastAsia="sl-SI"/>
        </w:rPr>
        <w:t>;</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in usklajevanje finančnih načrtov za potrebe sofinanciranja s sredstvi EU</w:t>
      </w:r>
      <w:r>
        <w:rPr>
          <w:rFonts w:ascii="Helv" w:hAnsi="Helv" w:cs="Helv"/>
          <w:color w:val="000000"/>
          <w:sz w:val="20"/>
          <w:szCs w:val="20"/>
          <w:lang w:eastAsia="sl-SI"/>
        </w:rPr>
        <w:t>;</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vodenje evidenc in upravljanje analitik</w:t>
      </w:r>
      <w:r>
        <w:rPr>
          <w:rFonts w:ascii="Helv" w:hAnsi="Helv" w:cs="Helv"/>
          <w:color w:val="000000"/>
          <w:sz w:val="20"/>
          <w:szCs w:val="20"/>
          <w:lang w:eastAsia="sl-SI"/>
        </w:rPr>
        <w:t>;</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w:t>
      </w:r>
      <w:r>
        <w:rPr>
          <w:rFonts w:ascii="Helv" w:hAnsi="Helv" w:cs="Helv"/>
          <w:color w:val="000000"/>
          <w:sz w:val="20"/>
          <w:szCs w:val="20"/>
          <w:lang w:eastAsia="sl-SI"/>
        </w:rPr>
        <w:tab/>
        <w:t>priprava poročil o realizaciji projektov, sofinanciranih iz EU</w:t>
      </w:r>
    </w:p>
    <w:p w:rsidR="00A9093B" w:rsidRDefault="00A9093B" w:rsidP="00A9093B">
      <w:pPr>
        <w:suppressAutoHyphens w:val="0"/>
        <w:autoSpaceDE w:val="0"/>
        <w:autoSpaceDN w:val="0"/>
        <w:adjustRightInd w:val="0"/>
        <w:ind w:left="720" w:hanging="360"/>
        <w:jc w:val="both"/>
        <w:rPr>
          <w:rFonts w:ascii="Helv" w:hAnsi="Helv" w:cs="Helv"/>
          <w:color w:val="000000"/>
          <w:sz w:val="20"/>
          <w:szCs w:val="20"/>
          <w:lang w:eastAsia="sl-SI"/>
        </w:rPr>
      </w:pPr>
      <w:r>
        <w:rPr>
          <w:rFonts w:ascii="Helv" w:hAnsi="Helv" w:cs="Helv"/>
          <w:color w:val="000000"/>
          <w:sz w:val="20"/>
          <w:szCs w:val="20"/>
          <w:lang w:eastAsia="sl-SI"/>
        </w:rPr>
        <w:t xml:space="preserve">- </w:t>
      </w:r>
      <w:r>
        <w:rPr>
          <w:rFonts w:ascii="Helv" w:hAnsi="Helv" w:cs="Helv"/>
          <w:color w:val="000000"/>
          <w:sz w:val="20"/>
          <w:szCs w:val="20"/>
          <w:lang w:eastAsia="sl-SI"/>
        </w:rPr>
        <w:tab/>
        <w:t xml:space="preserve">vnos finančnih podatkov v </w:t>
      </w:r>
      <w:r>
        <w:rPr>
          <w:rFonts w:ascii="Helv" w:hAnsi="Helv" w:cs="Helv"/>
          <w:color w:val="000000"/>
          <w:sz w:val="20"/>
          <w:szCs w:val="20"/>
          <w:lang w:eastAsia="sl-SI"/>
        </w:rPr>
        <w:t xml:space="preserve">aplikacijo </w:t>
      </w:r>
      <w:r>
        <w:rPr>
          <w:rFonts w:ascii="Helv" w:hAnsi="Helv" w:cs="Helv"/>
          <w:color w:val="000000"/>
          <w:sz w:val="20"/>
          <w:szCs w:val="20"/>
          <w:lang w:eastAsia="sl-SI"/>
        </w:rPr>
        <w:t>M</w:t>
      </w:r>
      <w:r>
        <w:rPr>
          <w:rFonts w:ascii="Helv" w:hAnsi="Helv" w:cs="Helv"/>
          <w:color w:val="000000"/>
          <w:sz w:val="20"/>
          <w:szCs w:val="20"/>
          <w:lang w:eastAsia="sl-SI"/>
        </w:rPr>
        <w:t>IGRA</w:t>
      </w:r>
      <w:r>
        <w:rPr>
          <w:rFonts w:ascii="Helv" w:hAnsi="Helv" w:cs="Helv"/>
          <w:color w:val="000000"/>
          <w:sz w:val="20"/>
          <w:szCs w:val="20"/>
          <w:lang w:eastAsia="sl-SI"/>
        </w:rPr>
        <w:t xml:space="preserve"> in druge informacijske sisteme v podporo upravljanju sredstev EU</w:t>
      </w:r>
      <w:r>
        <w:rPr>
          <w:rFonts w:ascii="Helv" w:hAnsi="Helv" w:cs="Helv"/>
          <w:color w:val="000000"/>
          <w:sz w:val="20"/>
          <w:szCs w:val="20"/>
          <w:lang w:eastAsia="sl-SI"/>
        </w:rPr>
        <w:t>.</w:t>
      </w:r>
    </w:p>
    <w:p w:rsidR="00A9093B" w:rsidRDefault="00A9093B" w:rsidP="00BE14A1">
      <w:pPr>
        <w:suppressAutoHyphens w:val="0"/>
        <w:jc w:val="both"/>
        <w:rPr>
          <w:rFonts w:ascii="Arial" w:hAnsi="Arial" w:cs="Arial"/>
          <w:b/>
          <w:color w:val="000000"/>
          <w:sz w:val="20"/>
          <w:szCs w:val="20"/>
          <w:shd w:val="clear" w:color="auto" w:fill="FFFFFF"/>
          <w:lang w:eastAsia="en-US"/>
        </w:rPr>
      </w:pPr>
    </w:p>
    <w:p w:rsidR="00BE14A1" w:rsidRPr="00BE14A1" w:rsidRDefault="00BE14A1" w:rsidP="00BE14A1">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pri izbiri bodo imeli kandidati z:</w:t>
      </w:r>
    </w:p>
    <w:p w:rsidR="00A83B9A" w:rsidRDefault="00A83B9A" w:rsidP="00A83B9A">
      <w:pPr>
        <w:suppressAutoHyphens w:val="0"/>
        <w:autoSpaceDE w:val="0"/>
        <w:autoSpaceDN w:val="0"/>
        <w:adjustRightInd w:val="0"/>
        <w:jc w:val="both"/>
        <w:rPr>
          <w:rFonts w:ascii="Helv" w:hAnsi="Helv" w:cs="Helv"/>
          <w:color w:val="000000"/>
          <w:sz w:val="20"/>
          <w:szCs w:val="20"/>
          <w:lang w:eastAsia="sl-SI"/>
        </w:rPr>
      </w:pPr>
      <w:r>
        <w:rPr>
          <w:rFonts w:ascii="Helv" w:hAnsi="Helv" w:cs="Helv"/>
          <w:color w:val="000000"/>
          <w:sz w:val="20"/>
          <w:szCs w:val="20"/>
          <w:lang w:eastAsia="sl-SI"/>
        </w:rPr>
        <w:t>- ekonomsko izobrazbo, poznavanjem računovodske aplikacije MF-ERAC in dokumentnega sistema SPIS ali</w:t>
      </w:r>
    </w:p>
    <w:p w:rsidR="00862046" w:rsidRDefault="00A83B9A" w:rsidP="00A83B9A">
      <w:pPr>
        <w:suppressAutoHyphens w:val="0"/>
        <w:spacing w:line="260" w:lineRule="exact"/>
        <w:jc w:val="both"/>
        <w:rPr>
          <w:rFonts w:ascii="Helv" w:hAnsi="Helv" w:cs="Helv"/>
          <w:color w:val="000000"/>
          <w:sz w:val="20"/>
          <w:szCs w:val="20"/>
          <w:lang w:eastAsia="sl-SI"/>
        </w:rPr>
      </w:pPr>
      <w:r>
        <w:rPr>
          <w:rFonts w:ascii="Helv" w:hAnsi="Helv" w:cs="Helv"/>
          <w:color w:val="000000"/>
          <w:sz w:val="20"/>
          <w:szCs w:val="20"/>
          <w:lang w:eastAsia="sl-SI"/>
        </w:rPr>
        <w:t>- dobrim poznavanjem finančnega poslovanja proračunskih uporabnikov.</w:t>
      </w:r>
    </w:p>
    <w:p w:rsidR="00890935" w:rsidRPr="00BE14A1" w:rsidRDefault="00890935" w:rsidP="00890935">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A9093B">
        <w:rPr>
          <w:rFonts w:ascii="Arial" w:hAnsi="Arial"/>
          <w:sz w:val="20"/>
          <w:lang w:eastAsia="en-US"/>
        </w:rPr>
        <w:t>strokovni sodelavec VII/2-II</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v </w:t>
      </w:r>
      <w:r w:rsidR="00A83B9A">
        <w:rPr>
          <w:rFonts w:ascii="Arial" w:hAnsi="Arial"/>
          <w:sz w:val="20"/>
          <w:lang w:eastAsia="en-US"/>
        </w:rPr>
        <w:t>ZFR</w:t>
      </w:r>
      <w:r w:rsidRPr="00BE14A1">
        <w:rPr>
          <w:rFonts w:ascii="Arial" w:hAnsi="Arial"/>
          <w:sz w:val="20"/>
          <w:lang w:eastAsia="en-US"/>
        </w:rPr>
        <w:t xml:space="preserve"> – šifra DM </w:t>
      </w:r>
      <w:r w:rsidR="00A9093B">
        <w:rPr>
          <w:rFonts w:ascii="Arial" w:hAnsi="Arial"/>
          <w:sz w:val="20"/>
          <w:lang w:eastAsia="en-US"/>
        </w:rPr>
        <w:t>2865</w:t>
      </w:r>
      <w:bookmarkStart w:id="0" w:name="_GoBack"/>
      <w:bookmarkEnd w:id="0"/>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w:t>
      </w:r>
      <w:r w:rsidRPr="00BE14A1">
        <w:rPr>
          <w:rFonts w:ascii="Arial" w:hAnsi="Arial"/>
          <w:sz w:val="20"/>
          <w:lang w:eastAsia="en-US"/>
        </w:rPr>
        <w:lastRenderedPageBreak/>
        <w:t xml:space="preserve">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B4" w:rsidRDefault="00542EB4">
      <w:r>
        <w:separator/>
      </w:r>
    </w:p>
  </w:endnote>
  <w:endnote w:type="continuationSeparator" w:id="0">
    <w:p w:rsidR="00542EB4" w:rsidRDefault="0054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774472" w:rsidRDefault="00542EB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9093B">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9093B">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B4" w:rsidRDefault="00542EB4">
      <w:r>
        <w:separator/>
      </w:r>
    </w:p>
  </w:footnote>
  <w:footnote w:type="continuationSeparator" w:id="0">
    <w:p w:rsidR="00542EB4" w:rsidRDefault="0054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B1D79" w:rsidRDefault="00542EB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25A68" w:rsidRDefault="00542EB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231F"/>
    <w:rsid w:val="003E77F3"/>
    <w:rsid w:val="00432982"/>
    <w:rsid w:val="00437444"/>
    <w:rsid w:val="00442816"/>
    <w:rsid w:val="0045001B"/>
    <w:rsid w:val="00456100"/>
    <w:rsid w:val="004746F8"/>
    <w:rsid w:val="00482C50"/>
    <w:rsid w:val="004845FF"/>
    <w:rsid w:val="00495E98"/>
    <w:rsid w:val="00497278"/>
    <w:rsid w:val="004E6803"/>
    <w:rsid w:val="004F3AA3"/>
    <w:rsid w:val="0050553B"/>
    <w:rsid w:val="005113FC"/>
    <w:rsid w:val="00517025"/>
    <w:rsid w:val="00525987"/>
    <w:rsid w:val="00542EB4"/>
    <w:rsid w:val="0055451C"/>
    <w:rsid w:val="0057278F"/>
    <w:rsid w:val="00592C69"/>
    <w:rsid w:val="00592EE4"/>
    <w:rsid w:val="00596320"/>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62046"/>
    <w:rsid w:val="008623B2"/>
    <w:rsid w:val="00890148"/>
    <w:rsid w:val="00890935"/>
    <w:rsid w:val="00890E25"/>
    <w:rsid w:val="008951B1"/>
    <w:rsid w:val="008B0C9F"/>
    <w:rsid w:val="008B53E3"/>
    <w:rsid w:val="008D4172"/>
    <w:rsid w:val="008D53F8"/>
    <w:rsid w:val="008E00D8"/>
    <w:rsid w:val="008F3F77"/>
    <w:rsid w:val="009503D6"/>
    <w:rsid w:val="00951926"/>
    <w:rsid w:val="00955BB4"/>
    <w:rsid w:val="00955C39"/>
    <w:rsid w:val="0096409C"/>
    <w:rsid w:val="00997F3B"/>
    <w:rsid w:val="009B5FD6"/>
    <w:rsid w:val="009C088E"/>
    <w:rsid w:val="009F3952"/>
    <w:rsid w:val="009F45C7"/>
    <w:rsid w:val="009F68DF"/>
    <w:rsid w:val="00A03B0F"/>
    <w:rsid w:val="00A35AF2"/>
    <w:rsid w:val="00A54DF0"/>
    <w:rsid w:val="00A80759"/>
    <w:rsid w:val="00A83B9A"/>
    <w:rsid w:val="00A843EC"/>
    <w:rsid w:val="00A9093B"/>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EF35B2"/>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4:docId w14:val="02B3EC54"/>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89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1331</Words>
  <Characters>7592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3</cp:revision>
  <cp:lastPrinted>2008-01-24T13:26:00Z</cp:lastPrinted>
  <dcterms:created xsi:type="dcterms:W3CDTF">2022-07-13T07:11:00Z</dcterms:created>
  <dcterms:modified xsi:type="dcterms:W3CDTF">2022-07-13T08:14:00Z</dcterms:modified>
</cp:coreProperties>
</file>