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trPr>
          <w:cantSplit/>
          <w:trHeight w:hRule="exact" w:val="847"/>
        </w:trPr>
        <w:tc>
          <w:tcPr>
            <w:tcW w:w="567" w:type="dxa"/>
          </w:tcPr>
          <w:p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tc>
      </w:tr>
    </w:tbl>
    <w:p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AC29C2" w:rsidRPr="0087247A" w:rsidRDefault="00AC29C2">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5B5919">
        <w:rPr>
          <w:rFonts w:cs="Arial"/>
        </w:rPr>
        <w:t>1100-8/2023/1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5B5919">
        <w:rPr>
          <w:rFonts w:cs="Arial"/>
        </w:rPr>
        <w:t>1. 3. 2023</w:t>
      </w:r>
      <w:r w:rsidRPr="00F25235">
        <w:rPr>
          <w:rFonts w:cs="Arial"/>
        </w:rPr>
        <w:t xml:space="preserve"> </w:t>
      </w:r>
    </w:p>
    <w:p w:rsidR="00283B5A" w:rsidRPr="00F25235" w:rsidRDefault="00283B5A" w:rsidP="00283B5A">
      <w:pPr>
        <w:rPr>
          <w:rFonts w:ascii="Arial" w:hAnsi="Arial" w:cs="Arial"/>
          <w:sz w:val="20"/>
          <w:szCs w:val="20"/>
        </w:rPr>
      </w:pPr>
    </w:p>
    <w:p w:rsidR="000359B9" w:rsidRDefault="000359B9" w:rsidP="00540A54">
      <w:pPr>
        <w:suppressAutoHyphens w:val="0"/>
        <w:spacing w:line="260" w:lineRule="exact"/>
        <w:jc w:val="both"/>
        <w:rPr>
          <w:rFonts w:ascii="Arial" w:hAnsi="Arial" w:cs="Arial"/>
          <w:bCs/>
          <w:sz w:val="20"/>
          <w:szCs w:val="20"/>
          <w:lang w:eastAsia="en-US"/>
        </w:rPr>
      </w:pPr>
      <w:r w:rsidRPr="000359B9">
        <w:rPr>
          <w:rFonts w:ascii="Arial" w:hAnsi="Arial" w:cs="Arial"/>
          <w:bCs/>
          <w:sz w:val="20"/>
          <w:szCs w:val="20"/>
          <w:lang w:eastAsia="en-US"/>
        </w:rPr>
        <w:t xml:space="preserve">Na podlagi prvega odstavka 25. člena Zakona o delovnih razmerjih </w:t>
      </w:r>
      <w:r w:rsidR="00540A54" w:rsidRPr="00540A54">
        <w:rPr>
          <w:rFonts w:ascii="Arial" w:hAnsi="Arial" w:cs="Arial"/>
          <w:bCs/>
          <w:sz w:val="20"/>
          <w:szCs w:val="20"/>
          <w:shd w:val="clear" w:color="auto" w:fill="FFFFFF"/>
        </w:rPr>
        <w:t>Uradni list RS, št. </w:t>
      </w:r>
      <w:hyperlink r:id="rId7" w:tgtFrame="_blank" w:tooltip="Zakon o delovnih razmerjih (ZDR-1)" w:history="1">
        <w:r w:rsidR="00540A54" w:rsidRPr="00540A54">
          <w:rPr>
            <w:rFonts w:ascii="Arial" w:hAnsi="Arial" w:cs="Arial"/>
            <w:bCs/>
            <w:sz w:val="20"/>
            <w:szCs w:val="20"/>
            <w:shd w:val="clear" w:color="auto" w:fill="FFFFFF"/>
          </w:rPr>
          <w:t>21/13</w:t>
        </w:r>
      </w:hyperlink>
      <w:r w:rsidR="00540A54" w:rsidRPr="00540A54">
        <w:rPr>
          <w:rFonts w:ascii="Arial" w:hAnsi="Arial" w:cs="Arial"/>
          <w:bCs/>
          <w:sz w:val="20"/>
          <w:szCs w:val="20"/>
          <w:shd w:val="clear" w:color="auto" w:fill="FFFFFF"/>
        </w:rPr>
        <w:t>, </w:t>
      </w:r>
      <w:hyperlink r:id="rId8" w:tgtFrame="_blank" w:tooltip="Popravek Zakona o delovnih razmerjih" w:history="1">
        <w:r w:rsidR="00540A54" w:rsidRPr="00540A54">
          <w:rPr>
            <w:rFonts w:ascii="Arial" w:hAnsi="Arial" w:cs="Arial"/>
            <w:bCs/>
            <w:sz w:val="20"/>
            <w:szCs w:val="20"/>
            <w:shd w:val="clear" w:color="auto" w:fill="FFFFFF"/>
          </w:rPr>
          <w:t>78/13 – popr.</w:t>
        </w:r>
      </w:hyperlink>
      <w:r w:rsidR="00540A54" w:rsidRPr="00540A54">
        <w:rPr>
          <w:rFonts w:ascii="Arial" w:hAnsi="Arial" w:cs="Arial"/>
          <w:bCs/>
          <w:sz w:val="20"/>
          <w:szCs w:val="20"/>
          <w:shd w:val="clear" w:color="auto" w:fill="FFFFFF"/>
        </w:rPr>
        <w:t>, </w:t>
      </w:r>
      <w:hyperlink r:id="rId9" w:tgtFrame="_blank" w:tooltip="Zakon o zaposlovanju, samozaposlovanju in delu tujcev" w:history="1">
        <w:r w:rsidR="00540A54" w:rsidRPr="00540A54">
          <w:rPr>
            <w:rFonts w:ascii="Arial" w:hAnsi="Arial" w:cs="Arial"/>
            <w:bCs/>
            <w:sz w:val="20"/>
            <w:szCs w:val="20"/>
            <w:shd w:val="clear" w:color="auto" w:fill="FFFFFF"/>
          </w:rPr>
          <w:t>47/15</w:t>
        </w:r>
      </w:hyperlink>
      <w:r w:rsidR="00540A54" w:rsidRPr="00540A54">
        <w:rPr>
          <w:rFonts w:ascii="Arial" w:hAnsi="Arial" w:cs="Arial"/>
          <w:bCs/>
          <w:sz w:val="20"/>
          <w:szCs w:val="20"/>
          <w:shd w:val="clear" w:color="auto" w:fill="FFFFFF"/>
        </w:rPr>
        <w:t> – ZZSDT, </w:t>
      </w:r>
      <w:hyperlink r:id="rId10" w:tgtFrame="_blank" w:tooltip="Zakon o spremembah in dopolnitvah Pomorskega zakonika" w:history="1">
        <w:r w:rsidR="00540A54" w:rsidRPr="00540A54">
          <w:rPr>
            <w:rFonts w:ascii="Arial" w:hAnsi="Arial" w:cs="Arial"/>
            <w:bCs/>
            <w:sz w:val="20"/>
            <w:szCs w:val="20"/>
            <w:shd w:val="clear" w:color="auto" w:fill="FFFFFF"/>
          </w:rPr>
          <w:t>33/16</w:t>
        </w:r>
      </w:hyperlink>
      <w:r w:rsidR="00540A54" w:rsidRPr="00540A54">
        <w:rPr>
          <w:rFonts w:ascii="Arial" w:hAnsi="Arial" w:cs="Arial"/>
          <w:bCs/>
          <w:sz w:val="20"/>
          <w:szCs w:val="20"/>
          <w:shd w:val="clear" w:color="auto" w:fill="FFFFFF"/>
        </w:rPr>
        <w:t> – PZ-F, </w:t>
      </w:r>
      <w:hyperlink r:id="rId11" w:tgtFrame="_blank" w:tooltip="Zakon o dopolnitvah Zakona o delovnih razmerjih" w:history="1">
        <w:r w:rsidR="00540A54" w:rsidRPr="00540A54">
          <w:rPr>
            <w:rFonts w:ascii="Arial" w:hAnsi="Arial" w:cs="Arial"/>
            <w:bCs/>
            <w:sz w:val="20"/>
            <w:szCs w:val="20"/>
            <w:shd w:val="clear" w:color="auto" w:fill="FFFFFF"/>
          </w:rPr>
          <w:t>52/16</w:t>
        </w:r>
      </w:hyperlink>
      <w:r w:rsidR="00540A54" w:rsidRPr="00540A54">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540A54" w:rsidRPr="00540A54">
          <w:rPr>
            <w:rFonts w:ascii="Arial" w:hAnsi="Arial" w:cs="Arial"/>
            <w:bCs/>
            <w:sz w:val="20"/>
            <w:szCs w:val="20"/>
            <w:shd w:val="clear" w:color="auto" w:fill="FFFFFF"/>
          </w:rPr>
          <w:t>15/17</w:t>
        </w:r>
      </w:hyperlink>
      <w:r w:rsidR="00540A54" w:rsidRPr="00540A54">
        <w:rPr>
          <w:rFonts w:ascii="Arial" w:hAnsi="Arial" w:cs="Arial"/>
          <w:bCs/>
          <w:sz w:val="20"/>
          <w:szCs w:val="20"/>
          <w:shd w:val="clear" w:color="auto" w:fill="FFFFFF"/>
        </w:rPr>
        <w:t> – odl. US, </w:t>
      </w:r>
      <w:hyperlink r:id="rId13" w:tgtFrame="_blank" w:tooltip="Zakon o poslovni skrivnosti" w:history="1">
        <w:r w:rsidR="00540A54" w:rsidRPr="00540A54">
          <w:rPr>
            <w:rFonts w:ascii="Arial" w:hAnsi="Arial" w:cs="Arial"/>
            <w:bCs/>
            <w:sz w:val="20"/>
            <w:szCs w:val="20"/>
            <w:shd w:val="clear" w:color="auto" w:fill="FFFFFF"/>
          </w:rPr>
          <w:t>22/19</w:t>
        </w:r>
      </w:hyperlink>
      <w:r w:rsidR="00540A54" w:rsidRPr="00540A54">
        <w:rPr>
          <w:rFonts w:ascii="Arial" w:hAnsi="Arial" w:cs="Arial"/>
          <w:bCs/>
          <w:sz w:val="20"/>
          <w:szCs w:val="20"/>
          <w:shd w:val="clear" w:color="auto" w:fill="FFFFFF"/>
        </w:rPr>
        <w:t> – ZPosS, </w:t>
      </w:r>
      <w:hyperlink r:id="rId14" w:tgtFrame="_blank" w:tooltip="Zakon o dopolnitvi Zakona o delovnih razmerjih" w:history="1">
        <w:r w:rsidR="00540A54" w:rsidRPr="00540A54">
          <w:rPr>
            <w:rFonts w:ascii="Arial" w:hAnsi="Arial" w:cs="Arial"/>
            <w:bCs/>
            <w:sz w:val="20"/>
            <w:szCs w:val="20"/>
            <w:shd w:val="clear" w:color="auto" w:fill="FFFFFF"/>
          </w:rPr>
          <w:t>81/19</w:t>
        </w:r>
      </w:hyperlink>
      <w:r w:rsidR="00540A54" w:rsidRPr="00540A54">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00540A54" w:rsidRPr="00540A54">
          <w:rPr>
            <w:rFonts w:ascii="Arial" w:hAnsi="Arial" w:cs="Arial"/>
            <w:bCs/>
            <w:sz w:val="20"/>
            <w:szCs w:val="20"/>
            <w:shd w:val="clear" w:color="auto" w:fill="FFFFFF"/>
          </w:rPr>
          <w:t>203/20</w:t>
        </w:r>
      </w:hyperlink>
      <w:r w:rsidR="00540A54" w:rsidRPr="00540A54">
        <w:rPr>
          <w:rFonts w:ascii="Arial" w:hAnsi="Arial" w:cs="Arial"/>
          <w:bCs/>
          <w:sz w:val="20"/>
          <w:szCs w:val="20"/>
          <w:shd w:val="clear" w:color="auto" w:fill="FFFFFF"/>
        </w:rPr>
        <w:t> – ZIUPOPDVE, </w:t>
      </w:r>
      <w:hyperlink r:id="rId16" w:tgtFrame="_blank" w:tooltip="Zakon o spremembah in dopolnitvah Zakona o čezmejnem izvajanju storitev" w:history="1">
        <w:r w:rsidR="00540A54" w:rsidRPr="00540A54">
          <w:rPr>
            <w:rFonts w:ascii="Arial" w:hAnsi="Arial" w:cs="Arial"/>
            <w:bCs/>
            <w:sz w:val="20"/>
            <w:szCs w:val="20"/>
            <w:shd w:val="clear" w:color="auto" w:fill="FFFFFF"/>
          </w:rPr>
          <w:t>119/21</w:t>
        </w:r>
      </w:hyperlink>
      <w:r w:rsidR="00540A54" w:rsidRPr="00540A54">
        <w:rPr>
          <w:rFonts w:ascii="Arial" w:hAnsi="Arial" w:cs="Arial"/>
          <w:bCs/>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00540A54" w:rsidRPr="00540A54">
          <w:rPr>
            <w:rFonts w:ascii="Arial" w:hAnsi="Arial" w:cs="Arial"/>
            <w:bCs/>
            <w:sz w:val="20"/>
            <w:szCs w:val="20"/>
            <w:shd w:val="clear" w:color="auto" w:fill="FFFFFF"/>
          </w:rPr>
          <w:t>202/21</w:t>
        </w:r>
      </w:hyperlink>
      <w:r w:rsidR="00540A54" w:rsidRPr="00540A54">
        <w:rPr>
          <w:rFonts w:ascii="Arial" w:hAnsi="Arial" w:cs="Arial"/>
          <w:bCs/>
          <w:sz w:val="20"/>
          <w:szCs w:val="20"/>
          <w:shd w:val="clear" w:color="auto" w:fill="FFFFFF"/>
        </w:rPr>
        <w:t> – odl. US, </w:t>
      </w:r>
      <w:hyperlink r:id="rId18" w:tgtFrame="_blank" w:tooltip="Zakon o spremembah Zakona o delovnih razmerjih" w:history="1">
        <w:r w:rsidR="00540A54" w:rsidRPr="00540A54">
          <w:rPr>
            <w:rFonts w:ascii="Arial" w:hAnsi="Arial" w:cs="Arial"/>
            <w:bCs/>
            <w:sz w:val="20"/>
            <w:szCs w:val="20"/>
            <w:shd w:val="clear" w:color="auto" w:fill="FFFFFF"/>
          </w:rPr>
          <w:t>15/22</w:t>
        </w:r>
      </w:hyperlink>
      <w:r w:rsidR="00540A54" w:rsidRPr="00540A54">
        <w:rPr>
          <w:rFonts w:ascii="Arial" w:hAnsi="Arial" w:cs="Arial"/>
          <w:bCs/>
          <w:sz w:val="20"/>
          <w:szCs w:val="20"/>
          <w:shd w:val="clear" w:color="auto" w:fill="FFFFFF"/>
        </w:rPr>
        <w:t> in </w:t>
      </w:r>
      <w:hyperlink r:id="rId19" w:tgtFrame="_blank" w:tooltip="Zakon za urejanje položaja študentov" w:history="1">
        <w:r w:rsidR="00540A54" w:rsidRPr="00540A54">
          <w:rPr>
            <w:rFonts w:ascii="Arial" w:hAnsi="Arial" w:cs="Arial"/>
            <w:bCs/>
            <w:sz w:val="20"/>
            <w:szCs w:val="20"/>
            <w:shd w:val="clear" w:color="auto" w:fill="FFFFFF"/>
          </w:rPr>
          <w:t>54/22</w:t>
        </w:r>
      </w:hyperlink>
      <w:r w:rsidR="00540A54" w:rsidRPr="00540A54">
        <w:rPr>
          <w:rFonts w:ascii="Arial" w:hAnsi="Arial" w:cs="Arial"/>
          <w:bCs/>
          <w:sz w:val="20"/>
          <w:szCs w:val="20"/>
          <w:shd w:val="clear" w:color="auto" w:fill="FFFFFF"/>
        </w:rPr>
        <w:t xml:space="preserve"> – ZUPŠ-1) </w:t>
      </w:r>
      <w:r w:rsidRPr="000359B9">
        <w:rPr>
          <w:rFonts w:ascii="Arial" w:hAnsi="Arial" w:cs="Arial"/>
          <w:bCs/>
          <w:sz w:val="20"/>
          <w:szCs w:val="20"/>
          <w:lang w:eastAsia="en-US"/>
        </w:rPr>
        <w:t>in tretjega odstavka 70. člena Zakona o javnih uslužbencih (</w:t>
      </w:r>
      <w:r w:rsidR="00540A54" w:rsidRPr="00540A54">
        <w:rPr>
          <w:rFonts w:ascii="Arial" w:hAnsi="Arial" w:cs="Arial"/>
          <w:bCs/>
          <w:sz w:val="20"/>
          <w:szCs w:val="20"/>
          <w:shd w:val="clear" w:color="auto" w:fill="FFFFFF"/>
        </w:rPr>
        <w:t>Zakon o javnih uslužbencih (Uradni list RS, št. </w:t>
      </w:r>
      <w:hyperlink r:id="rId20" w:tgtFrame="_blank" w:tooltip="Zakon o javnih uslužbencih (uradno prečiščeno besedilo)" w:history="1">
        <w:r w:rsidR="00540A54" w:rsidRPr="00540A54">
          <w:rPr>
            <w:rStyle w:val="Hyperlink"/>
            <w:rFonts w:ascii="Arial" w:hAnsi="Arial" w:cs="Arial"/>
            <w:bCs/>
            <w:color w:val="auto"/>
            <w:sz w:val="20"/>
            <w:szCs w:val="20"/>
            <w:u w:val="none"/>
            <w:shd w:val="clear" w:color="auto" w:fill="FFFFFF"/>
          </w:rPr>
          <w:t>63/07</w:t>
        </w:r>
      </w:hyperlink>
      <w:r w:rsidR="00540A54" w:rsidRPr="00540A54">
        <w:rPr>
          <w:rFonts w:ascii="Arial" w:hAnsi="Arial" w:cs="Arial"/>
          <w:bCs/>
          <w:sz w:val="20"/>
          <w:szCs w:val="20"/>
          <w:shd w:val="clear" w:color="auto" w:fill="FFFFFF"/>
        </w:rPr>
        <w:t> – uradno prečiščeno besedilo, </w:t>
      </w:r>
      <w:hyperlink r:id="rId21" w:tgtFrame="_blank" w:tooltip="Zakon o spremembah in dopolnitvah Zakona o javnih uslužbencih" w:history="1">
        <w:r w:rsidR="00540A54" w:rsidRPr="00540A54">
          <w:rPr>
            <w:rStyle w:val="Hyperlink"/>
            <w:rFonts w:ascii="Arial" w:hAnsi="Arial" w:cs="Arial"/>
            <w:bCs/>
            <w:color w:val="auto"/>
            <w:sz w:val="20"/>
            <w:szCs w:val="20"/>
            <w:u w:val="none"/>
            <w:shd w:val="clear" w:color="auto" w:fill="FFFFFF"/>
          </w:rPr>
          <w:t>65/08</w:t>
        </w:r>
      </w:hyperlink>
      <w:r w:rsidR="00540A54" w:rsidRPr="00540A54">
        <w:rPr>
          <w:rFonts w:ascii="Arial" w:hAnsi="Arial" w:cs="Arial"/>
          <w:bCs/>
          <w:sz w:val="20"/>
          <w:szCs w:val="20"/>
          <w:shd w:val="clear" w:color="auto" w:fill="FFFFFF"/>
        </w:rPr>
        <w:t>, </w:t>
      </w:r>
      <w:hyperlink r:id="rId22" w:tgtFrame="_blank" w:tooltip="Zakon o spremembah in dopolnitvah Zakona o trgu finančnih instrumentov"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ZTFI-A, </w:t>
      </w:r>
      <w:hyperlink r:id="rId23" w:tgtFrame="_blank" w:tooltip="Zakon o spremembah in dopolnitvah Zakona o zavarovalništvu"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ZZavar-E, </w:t>
      </w:r>
      <w:hyperlink r:id="rId24" w:tgtFrame="_blank" w:tooltip="Zakon za uravnoteženje javnih financ" w:history="1">
        <w:r w:rsidR="00540A54" w:rsidRPr="00540A54">
          <w:rPr>
            <w:rStyle w:val="Hyperlink"/>
            <w:rFonts w:ascii="Arial" w:hAnsi="Arial" w:cs="Arial"/>
            <w:bCs/>
            <w:color w:val="auto"/>
            <w:sz w:val="20"/>
            <w:szCs w:val="20"/>
            <w:u w:val="none"/>
            <w:shd w:val="clear" w:color="auto" w:fill="FFFFFF"/>
          </w:rPr>
          <w:t>40/12</w:t>
        </w:r>
      </w:hyperlink>
      <w:r w:rsidR="00540A54" w:rsidRPr="00540A54">
        <w:rPr>
          <w:rFonts w:ascii="Arial" w:hAnsi="Arial" w:cs="Arial"/>
          <w:bCs/>
          <w:sz w:val="20"/>
          <w:szCs w:val="20"/>
          <w:shd w:val="clear" w:color="auto" w:fill="FFFFFF"/>
        </w:rPr>
        <w:t> – ZUJF, </w:t>
      </w:r>
      <w:hyperlink r:id="rId25" w:tgtFrame="_blank" w:tooltip="Zakon o spremembah in dopolnitvah Zakona o integriteti in preprečevanju korupcije" w:history="1">
        <w:r w:rsidR="00540A54" w:rsidRPr="00540A54">
          <w:rPr>
            <w:rStyle w:val="Hyperlink"/>
            <w:rFonts w:ascii="Arial" w:hAnsi="Arial" w:cs="Arial"/>
            <w:bCs/>
            <w:color w:val="auto"/>
            <w:sz w:val="20"/>
            <w:szCs w:val="20"/>
            <w:u w:val="none"/>
            <w:shd w:val="clear" w:color="auto" w:fill="FFFFFF"/>
          </w:rPr>
          <w:t>158/20</w:t>
        </w:r>
      </w:hyperlink>
      <w:r w:rsidR="00540A54" w:rsidRPr="00540A54">
        <w:rPr>
          <w:rFonts w:ascii="Arial" w:hAnsi="Arial" w:cs="Arial"/>
          <w:bCs/>
          <w:sz w:val="20"/>
          <w:szCs w:val="20"/>
          <w:shd w:val="clear" w:color="auto" w:fill="FFFFFF"/>
        </w:rPr>
        <w:t> – ZIntPK-C, </w:t>
      </w:r>
      <w:hyperlink r:id="rId26" w:tgtFrame="_blank" w:tooltip="Zakon o interventnih ukrepih za pomoč pri omilitvi posledic drugega vala epidemije COVID-19" w:history="1">
        <w:r w:rsidR="00540A54" w:rsidRPr="00540A54">
          <w:rPr>
            <w:rStyle w:val="Hyperlink"/>
            <w:rFonts w:ascii="Arial" w:hAnsi="Arial" w:cs="Arial"/>
            <w:bCs/>
            <w:color w:val="auto"/>
            <w:sz w:val="20"/>
            <w:szCs w:val="20"/>
            <w:u w:val="none"/>
            <w:shd w:val="clear" w:color="auto" w:fill="FFFFFF"/>
          </w:rPr>
          <w:t>203/20</w:t>
        </w:r>
      </w:hyperlink>
      <w:r w:rsidR="00540A54" w:rsidRPr="00540A54">
        <w:rPr>
          <w:rFonts w:ascii="Arial" w:hAnsi="Arial" w:cs="Arial"/>
          <w:bCs/>
          <w:sz w:val="20"/>
          <w:szCs w:val="20"/>
          <w:shd w:val="clear" w:color="auto" w:fill="FFFFFF"/>
        </w:rPr>
        <w:t> – ZIUPOPDVE, </w:t>
      </w:r>
      <w:hyperlink r:id="rId27" w:tgtFrame="_blank" w:tooltip="Odločba o razveljavitvi tretjega, četrtega in petega odstavka 89. člena Zakona o delovnih razmerjih ter 156.a člena Zakona o javnih uslužbencih" w:history="1">
        <w:r w:rsidR="00540A54" w:rsidRPr="00540A54">
          <w:rPr>
            <w:rStyle w:val="Hyperlink"/>
            <w:rFonts w:ascii="Arial" w:hAnsi="Arial" w:cs="Arial"/>
            <w:bCs/>
            <w:color w:val="auto"/>
            <w:sz w:val="20"/>
            <w:szCs w:val="20"/>
            <w:u w:val="none"/>
            <w:shd w:val="clear" w:color="auto" w:fill="FFFFFF"/>
          </w:rPr>
          <w:t>202/21</w:t>
        </w:r>
      </w:hyperlink>
      <w:r w:rsidR="00540A54" w:rsidRPr="00540A54">
        <w:rPr>
          <w:rFonts w:ascii="Arial" w:hAnsi="Arial" w:cs="Arial"/>
          <w:bCs/>
          <w:sz w:val="20"/>
          <w:szCs w:val="20"/>
          <w:shd w:val="clear" w:color="auto" w:fill="FFFFFF"/>
        </w:rPr>
        <w:t> – odl. US in </w:t>
      </w:r>
      <w:hyperlink r:id="rId28" w:tgtFrame="_blank" w:tooltip="Zakon o debirokratizaciji" w:history="1">
        <w:r w:rsidR="00540A54" w:rsidRPr="00540A54">
          <w:rPr>
            <w:rStyle w:val="Hyperlink"/>
            <w:rFonts w:ascii="Arial" w:hAnsi="Arial" w:cs="Arial"/>
            <w:bCs/>
            <w:color w:val="auto"/>
            <w:sz w:val="20"/>
            <w:szCs w:val="20"/>
            <w:u w:val="none"/>
            <w:shd w:val="clear" w:color="auto" w:fill="FFFFFF"/>
          </w:rPr>
          <w:t>3/22</w:t>
        </w:r>
      </w:hyperlink>
      <w:r w:rsidR="00540A54" w:rsidRPr="00540A54">
        <w:rPr>
          <w:rFonts w:ascii="Arial" w:hAnsi="Arial" w:cs="Arial"/>
          <w:bCs/>
          <w:sz w:val="20"/>
          <w:szCs w:val="20"/>
          <w:shd w:val="clear" w:color="auto" w:fill="FFFFFF"/>
        </w:rPr>
        <w:t> – ZDeb</w:t>
      </w:r>
      <w:r w:rsidRPr="000359B9">
        <w:rPr>
          <w:rFonts w:ascii="Arial" w:hAnsi="Arial" w:cs="Arial"/>
          <w:bCs/>
          <w:sz w:val="20"/>
          <w:szCs w:val="20"/>
          <w:lang w:eastAsia="en-US"/>
        </w:rPr>
        <w:t xml:space="preserve">) </w:t>
      </w:r>
      <w:r w:rsidR="00540A54">
        <w:rPr>
          <w:rFonts w:ascii="Arial" w:hAnsi="Arial" w:cs="Arial"/>
          <w:bCs/>
          <w:sz w:val="20"/>
          <w:szCs w:val="20"/>
          <w:lang w:eastAsia="en-US"/>
        </w:rPr>
        <w:t>objavlja Ministrstvo za zunanje in evropske zadeve prosto delovno mesto:</w:t>
      </w:r>
    </w:p>
    <w:p w:rsidR="00540A54" w:rsidRPr="000359B9" w:rsidRDefault="00540A54" w:rsidP="00540A54">
      <w:pPr>
        <w:suppressAutoHyphens w:val="0"/>
        <w:spacing w:line="260" w:lineRule="exact"/>
        <w:jc w:val="both"/>
        <w:rPr>
          <w:rFonts w:ascii="Arial" w:hAnsi="Arial" w:cs="Arial"/>
          <w:bCs/>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540A54">
        <w:rPr>
          <w:rFonts w:ascii="Arial" w:hAnsi="Arial" w:cs="Arial"/>
          <w:b/>
          <w:sz w:val="20"/>
          <w:szCs w:val="20"/>
          <w:lang w:eastAsia="en-US"/>
        </w:rPr>
        <w:t>2</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Sektorju za bilateralno gospodarsko sodelovanje I</w:t>
      </w:r>
      <w:r w:rsidRPr="000359B9">
        <w:rPr>
          <w:rFonts w:ascii="Arial" w:hAnsi="Arial" w:cs="Arial"/>
          <w:sz w:val="20"/>
          <w:szCs w:val="20"/>
          <w:lang w:eastAsia="en-US"/>
        </w:rPr>
        <w:t xml:space="preserve"> </w:t>
      </w:r>
      <w:r w:rsidRPr="000359B9">
        <w:rPr>
          <w:rFonts w:ascii="Arial" w:hAnsi="Arial" w:cs="Arial"/>
          <w:b/>
          <w:sz w:val="20"/>
          <w:szCs w:val="20"/>
          <w:lang w:eastAsia="en-US"/>
        </w:rPr>
        <w:t>(šifra DM 2</w:t>
      </w:r>
      <w:r w:rsidR="00540A54">
        <w:rPr>
          <w:rFonts w:ascii="Arial" w:hAnsi="Arial" w:cs="Arial"/>
          <w:b/>
          <w:sz w:val="20"/>
          <w:szCs w:val="20"/>
          <w:lang w:eastAsia="en-US"/>
        </w:rPr>
        <w:t>077</w:t>
      </w:r>
      <w:r w:rsidRPr="000359B9">
        <w:rPr>
          <w:rFonts w:ascii="Arial" w:hAnsi="Arial" w:cs="Arial"/>
          <w:b/>
          <w:sz w:val="20"/>
          <w:szCs w:val="20"/>
          <w:lang w:eastAsia="en-US"/>
        </w:rPr>
        <w:t xml:space="preserve">) </w:t>
      </w:r>
      <w:r w:rsidR="009C45A5">
        <w:rPr>
          <w:rFonts w:ascii="Arial" w:hAnsi="Arial" w:cs="Arial"/>
          <w:b/>
          <w:sz w:val="20"/>
          <w:szCs w:val="20"/>
          <w:lang w:eastAsia="en-US"/>
        </w:rPr>
        <w:t>– za določen čas za nadomeščanje začasno odsotne javne uslužbenke (cca 1 leto)</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540A54">
        <w:rPr>
          <w:rFonts w:ascii="Arial" w:hAnsi="Arial" w:cs="Arial"/>
          <w:b/>
          <w:sz w:val="20"/>
          <w:szCs w:val="20"/>
          <w:lang w:eastAsia="en-US"/>
        </w:rPr>
        <w:t>2 leti in 8</w:t>
      </w:r>
      <w:r w:rsidRPr="000359B9">
        <w:rPr>
          <w:rFonts w:ascii="Arial" w:hAnsi="Arial" w:cs="Arial"/>
          <w:b/>
          <w:sz w:val="20"/>
          <w:szCs w:val="20"/>
          <w:lang w:eastAsia="en-US"/>
        </w:rPr>
        <w:t xml:space="preserve"> mesecev</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2. z dokazilom, da se je oseba šolala v tujem jeziku (pridobila stopnjo izobrazbe: osnovno, srednjo, do- ali podiplomsko) v državi, v kateri je to materni jezik, če od zaključka šolanja ni preteklo več kot deset let; </w:t>
      </w:r>
    </w:p>
    <w:p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w:t>
      </w:r>
      <w:r w:rsidRPr="000359B9">
        <w:rPr>
          <w:rFonts w:ascii="Arial" w:hAnsi="Arial" w:cs="Arial"/>
          <w:sz w:val="20"/>
          <w:szCs w:val="20"/>
          <w:lang w:eastAsia="en-US"/>
        </w:rPr>
        <w:lastRenderedPageBreak/>
        <w:t>zahtevnosti, kot je delovno mesto, za katero oseba kandidira, pri čemer se upošteva čas opravljanja takega dela in stopnje izobrazbe. Delovne izkušnje se dokazujejo z verodostojnimi listinami, iz katerih sta razvidna čas opravljanja dela in stopnja izobrazbe.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 do stopnje »ZAUPNO«, sicer ga bo moral pridobiti do dneva nastopa dela.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rsidR="000359B9" w:rsidRP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zahtevnih strokovnih opravil s področja zunanjih zadev in s področij, ki sodijo med zunanje zadeve</w:t>
      </w:r>
      <w:r w:rsidR="000359B9" w:rsidRPr="000359B9">
        <w:rPr>
          <w:rFonts w:ascii="Arial" w:hAnsi="Arial" w:cs="Arial"/>
          <w:sz w:val="20"/>
          <w:szCs w:val="20"/>
          <w:lang w:eastAsia="en-US"/>
        </w:rPr>
        <w:t>;</w:t>
      </w:r>
    </w:p>
    <w:p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oblikovanje zahtevnih gradiv in predlogov ukrepov s področja zunanjih zadev;</w:t>
      </w:r>
    </w:p>
    <w:p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sodelovanje v projektnih skupinah;</w:t>
      </w:r>
    </w:p>
    <w:p w:rsid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Pr>
          <w:rFonts w:ascii="Arial" w:hAnsi="Arial" w:cs="Arial"/>
          <w:sz w:val="20"/>
          <w:szCs w:val="20"/>
          <w:lang w:eastAsia="en-US"/>
        </w:rPr>
        <w:t>ih</w:t>
      </w:r>
      <w:r w:rsidR="000359B9" w:rsidRPr="000359B9">
        <w:rPr>
          <w:rFonts w:ascii="Arial" w:hAnsi="Arial" w:cs="Arial"/>
          <w:sz w:val="20"/>
          <w:szCs w:val="20"/>
          <w:lang w:eastAsia="en-US"/>
        </w:rPr>
        <w:t xml:space="preserve"> vodje.</w:t>
      </w:r>
    </w:p>
    <w:p w:rsidR="009855FA" w:rsidRDefault="009855FA" w:rsidP="009855FA">
      <w:pPr>
        <w:suppressAutoHyphens w:val="0"/>
        <w:spacing w:line="260" w:lineRule="exact"/>
        <w:jc w:val="both"/>
        <w:rPr>
          <w:rFonts w:ascii="Arial" w:hAnsi="Arial" w:cs="Arial"/>
          <w:sz w:val="20"/>
          <w:szCs w:val="20"/>
          <w:lang w:eastAsia="en-US"/>
        </w:rPr>
      </w:pPr>
    </w:p>
    <w:p w:rsidR="009855FA" w:rsidRPr="000359B9" w:rsidRDefault="009855FA" w:rsidP="009855FA">
      <w:pPr>
        <w:suppressAutoHyphens w:val="0"/>
        <w:spacing w:line="260" w:lineRule="exact"/>
        <w:jc w:val="both"/>
        <w:rPr>
          <w:rFonts w:ascii="Arial" w:hAnsi="Arial" w:cs="Arial"/>
          <w:sz w:val="20"/>
          <w:szCs w:val="20"/>
          <w:lang w:eastAsia="en-US"/>
        </w:rPr>
      </w:pPr>
      <w:r>
        <w:rPr>
          <w:rFonts w:ascii="Arial" w:hAnsi="Arial" w:cs="Arial"/>
          <w:sz w:val="20"/>
          <w:szCs w:val="20"/>
          <w:lang w:eastAsia="en-US"/>
        </w:rPr>
        <w:t>Izbrani kandidat bo spremljal gospodarsko sodelovanje z državami Zahodnega Balkana, ZDA, Madžarsko, Češko, Slovaško, Poljsko in Hrvaško.</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 potrdilo o znanju angleškega jezika in drugega tujega jezika na višji ravni oz ustrezno dokazilo za priznavanje znanja tujega jezika na višji ravni zaradi šolanja ali opravljanja dela visokošolske zahtevnosti;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5. soglasje kandidata, da za namen tega postopka dovoljuje Ministrstvu za zunanje zadeve pridobitev podatkov iz 1 in 3. točke iz evidenc;</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6.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rsidR="000359B9" w:rsidRPr="000359B9" w:rsidRDefault="000359B9" w:rsidP="000359B9">
      <w:pPr>
        <w:suppressAutoHyphens w:val="0"/>
        <w:spacing w:line="260" w:lineRule="exact"/>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čas </w:t>
      </w:r>
      <w:r w:rsidR="00540A54">
        <w:rPr>
          <w:rFonts w:ascii="Arial" w:hAnsi="Arial" w:cs="Arial"/>
          <w:b/>
          <w:sz w:val="20"/>
          <w:szCs w:val="20"/>
          <w:lang w:eastAsia="en-US"/>
        </w:rPr>
        <w:t>enega leta</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Pr="000359B9">
        <w:rPr>
          <w:rFonts w:ascii="Arial" w:hAnsi="Arial" w:cs="Arial"/>
          <w:sz w:val="20"/>
          <w:szCs w:val="20"/>
          <w:lang w:eastAsia="en-US"/>
        </w:rPr>
        <w:t>, in sicer s polnim delovnim časom in 3-mesečnim poskusnim delom. Poskusno delo se lahko podaljša v primeru začasne odsotnosti z dela.</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elo na delovnem mestu diplomat 2</w:t>
      </w:r>
      <w:r w:rsidRPr="000359B9">
        <w:rPr>
          <w:rFonts w:ascii="Arial" w:hAnsi="Arial" w:cs="Arial"/>
          <w:sz w:val="20"/>
          <w:szCs w:val="20"/>
          <w:lang w:eastAsia="en-US"/>
        </w:rPr>
        <w:t>. ranga o</w:t>
      </w:r>
      <w:r w:rsidR="009855FA">
        <w:rPr>
          <w:rFonts w:ascii="Arial" w:hAnsi="Arial" w:cs="Arial"/>
          <w:sz w:val="20"/>
          <w:szCs w:val="20"/>
          <w:lang w:eastAsia="en-US"/>
        </w:rPr>
        <w:t>pravljal v diplomatskem nazivu I. sekretar</w:t>
      </w:r>
      <w:r w:rsidRPr="000359B9">
        <w:rPr>
          <w:rFonts w:ascii="Arial" w:hAnsi="Arial" w:cs="Arial"/>
          <w:sz w:val="20"/>
          <w:szCs w:val="20"/>
          <w:lang w:eastAsia="en-US"/>
        </w:rPr>
        <w:t>.</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9855FA">
        <w:rPr>
          <w:rFonts w:ascii="Arial" w:hAnsi="Arial" w:cs="Arial"/>
          <w:sz w:val="20"/>
          <w:szCs w:val="20"/>
          <w:lang w:eastAsia="en-US"/>
        </w:rPr>
        <w:t>2</w:t>
      </w:r>
      <w:r w:rsidRPr="000359B9">
        <w:rPr>
          <w:rFonts w:ascii="Arial" w:hAnsi="Arial" w:cs="Arial"/>
          <w:sz w:val="20"/>
          <w:szCs w:val="20"/>
          <w:lang w:eastAsia="en-US"/>
        </w:rPr>
        <w:t>. ranga v Z</w:t>
      </w:r>
      <w:r w:rsidR="009855FA">
        <w:rPr>
          <w:rFonts w:ascii="Arial" w:hAnsi="Arial" w:cs="Arial"/>
          <w:sz w:val="20"/>
          <w:szCs w:val="20"/>
          <w:lang w:eastAsia="en-US"/>
        </w:rPr>
        <w:t>G1</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25, Ljubljana, ali na </w:t>
      </w:r>
      <w:r w:rsidRPr="000359B9">
        <w:rPr>
          <w:rFonts w:ascii="Arial" w:hAnsi="Arial" w:cs="Arial"/>
          <w:b/>
          <w:sz w:val="20"/>
          <w:szCs w:val="20"/>
          <w:lang w:eastAsia="en-US"/>
        </w:rPr>
        <w:t xml:space="preserve">elektronski naslov: </w:t>
      </w:r>
      <w:hyperlink r:id="rId29" w:history="1">
        <w:r w:rsidRPr="000359B9">
          <w:rPr>
            <w:rFonts w:ascii="Arial" w:hAnsi="Arial" w:cs="Arial"/>
            <w:b/>
            <w:color w:val="0000FF"/>
            <w:sz w:val="20"/>
            <w:szCs w:val="20"/>
            <w:u w:val="single"/>
            <w:lang w:eastAsia="en-US"/>
          </w:rPr>
          <w:t>kadrovska.mzz@gov.si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 8 dni</w:t>
      </w:r>
      <w:r w:rsidRPr="000359B9">
        <w:rPr>
          <w:rFonts w:ascii="Arial" w:hAnsi="Arial" w:cs="Arial"/>
          <w:sz w:val="20"/>
          <w:szCs w:val="20"/>
          <w:lang w:eastAsia="en-US"/>
        </w:rPr>
        <w:t xml:space="preserve"> po objavi na skupnem spletnem portalu GOV.SI in Zavoda Republike Slovenije za zaposlovanje.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Dodatne informacije o izvedbi natečaja daje Vesna Rek Kovačič, telefon: 01 478 2298, vsak delavnik od 10:00 do 11:00 ure.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rsidR="009855FA"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v. d. generalne sekretarka</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54" w:rsidRDefault="00540A54">
      <w:r>
        <w:separator/>
      </w:r>
    </w:p>
  </w:endnote>
  <w:endnote w:type="continuationSeparator" w:id="0">
    <w:p w:rsidR="00540A54" w:rsidRDefault="0054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4" w:rsidRDefault="0054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4" w:rsidRPr="00774472" w:rsidRDefault="00540A5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C4148">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C414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4" w:rsidRDefault="00540A5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54" w:rsidRDefault="00540A54">
      <w:r>
        <w:separator/>
      </w:r>
    </w:p>
  </w:footnote>
  <w:footnote w:type="continuationSeparator" w:id="0">
    <w:p w:rsidR="00540A54" w:rsidRDefault="00540A54">
      <w:r>
        <w:continuationSeparator/>
      </w:r>
    </w:p>
  </w:footnote>
  <w:footnote w:id="1">
    <w:p w:rsidR="00540A54" w:rsidRDefault="00540A5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4" w:rsidRDefault="0054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4" w:rsidRPr="001B1D79" w:rsidRDefault="00540A5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54" w:rsidRPr="00125A68" w:rsidRDefault="00540A5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6E26"/>
    <w:rsid w:val="00AA0929"/>
    <w:rsid w:val="00AB3AFF"/>
    <w:rsid w:val="00AC29C2"/>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4148"/>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313a,#00518e,#777"/>
    </o:shapedefaults>
    <o:shapelayout v:ext="edit">
      <o:idmap v:ext="edit" data="1"/>
    </o:shapelayout>
  </w:shapeDefaults>
  <w:decimalSymbol w:val=","/>
  <w:listSeparator w:val=";"/>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3.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mailto:kadrovska.mzz@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9279</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2023-03-06T09:45:00Z</dcterms:created>
  <dcterms:modified xsi:type="dcterms:W3CDTF">2023-03-06T09:45:00Z</dcterms:modified>
</cp:coreProperties>
</file>