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77777777" w:rsidR="006742A2" w:rsidRDefault="006742A2"/>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rsidTr="006742A2">
        <w:trPr>
          <w:cantSplit/>
          <w:trHeight w:hRule="exact" w:val="847"/>
        </w:trPr>
        <w:tc>
          <w:tcPr>
            <w:tcW w:w="649"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6FA73FAA" w:rsidR="00DB0ED8" w:rsidRPr="0077351A" w:rsidRDefault="005E1EE7" w:rsidP="00447FB8">
      <w:pPr>
        <w:autoSpaceDE w:val="0"/>
        <w:autoSpaceDN w:val="0"/>
        <w:adjustRightInd w:val="0"/>
        <w:rPr>
          <w:rFonts w:ascii="Republika" w:hAnsi="Republika"/>
          <w:sz w:val="20"/>
          <w:szCs w:val="20"/>
        </w:rPr>
      </w:pPr>
      <w:r>
        <w:rPr>
          <w:noProof/>
          <w:lang w:eastAsia="sl-SI"/>
        </w:rPr>
        <w:drawing>
          <wp:anchor distT="0" distB="0" distL="114300" distR="114300" simplePos="0" relativeHeight="251658752" behindDoc="1" locked="0" layoutInCell="1" allowOverlap="1" wp14:anchorId="4ABD40E3" wp14:editId="7E42523E">
            <wp:simplePos x="0" y="0"/>
            <wp:positionH relativeFrom="margin">
              <wp:align>right</wp:align>
            </wp:positionH>
            <wp:positionV relativeFrom="paragraph">
              <wp:posOffset>3583</wp:posOffset>
            </wp:positionV>
            <wp:extent cx="2207260" cy="559435"/>
            <wp:effectExtent l="0" t="0" r="2540" b="0"/>
            <wp:wrapTight wrapText="bothSides">
              <wp:wrapPolygon edited="0">
                <wp:start x="0" y="0"/>
                <wp:lineTo x="0" y="20595"/>
                <wp:lineTo x="21438" y="20595"/>
                <wp:lineTo x="214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17220"/>
                    <a:stretch/>
                  </pic:blipFill>
                  <pic:spPr bwMode="auto">
                    <a:xfrm>
                      <a:off x="0" y="0"/>
                      <a:ext cx="220726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0F9"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77777777"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67FF5791"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4D466586"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165D1D8C"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6753C8C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2FD53B7C" w:rsidR="00283B5A" w:rsidRPr="0077351A" w:rsidRDefault="00283B5A" w:rsidP="00283B5A">
      <w:pPr>
        <w:rPr>
          <w:rFonts w:ascii="Arial" w:hAnsi="Arial" w:cs="Arial"/>
          <w:sz w:val="20"/>
          <w:szCs w:val="20"/>
        </w:rPr>
      </w:pPr>
    </w:p>
    <w:p w14:paraId="6D55E3C8" w14:textId="6CBABDFF" w:rsidR="00283B5A" w:rsidRPr="008672B5" w:rsidRDefault="00283B5A" w:rsidP="00283B5A">
      <w:pPr>
        <w:pStyle w:val="datumtevilka"/>
        <w:rPr>
          <w:rFonts w:cs="Arial"/>
        </w:rPr>
      </w:pPr>
      <w:bookmarkStart w:id="0" w:name="_GoBack"/>
      <w:bookmarkEnd w:id="0"/>
      <w:r w:rsidRPr="008672B5">
        <w:rPr>
          <w:rFonts w:cs="Arial"/>
        </w:rPr>
        <w:t xml:space="preserve">Številka: </w:t>
      </w:r>
      <w:r w:rsidR="00C87A78" w:rsidRPr="008672B5">
        <w:rPr>
          <w:rFonts w:cs="Arial"/>
        </w:rPr>
        <w:t>1100-3</w:t>
      </w:r>
      <w:r w:rsidR="00D71FC6" w:rsidRPr="008672B5">
        <w:rPr>
          <w:rFonts w:cs="Arial"/>
        </w:rPr>
        <w:t>5</w:t>
      </w:r>
      <w:r w:rsidR="00C87A78" w:rsidRPr="008672B5">
        <w:rPr>
          <w:rFonts w:cs="Arial"/>
        </w:rPr>
        <w:t>/2023/</w:t>
      </w:r>
      <w:r w:rsidR="0077351A" w:rsidRPr="008672B5">
        <w:rPr>
          <w:rFonts w:cs="Arial"/>
        </w:rPr>
        <w:t>1</w:t>
      </w:r>
      <w:r w:rsidR="008672B5" w:rsidRPr="008672B5">
        <w:rPr>
          <w:rFonts w:cs="Arial"/>
        </w:rPr>
        <w:t>5</w:t>
      </w:r>
    </w:p>
    <w:p w14:paraId="1310575C" w14:textId="2DE86D63" w:rsidR="00B74519" w:rsidRPr="0077351A" w:rsidRDefault="00283B5A" w:rsidP="00283B5A">
      <w:pPr>
        <w:pStyle w:val="datumtevilka"/>
        <w:rPr>
          <w:rFonts w:cs="Arial"/>
        </w:rPr>
      </w:pPr>
      <w:r w:rsidRPr="00E90C7F">
        <w:rPr>
          <w:rFonts w:cs="Arial"/>
        </w:rPr>
        <w:t xml:space="preserve">Datum: </w:t>
      </w:r>
      <w:r w:rsidR="00963277" w:rsidRPr="00E90C7F">
        <w:rPr>
          <w:rFonts w:cs="Arial"/>
        </w:rPr>
        <w:t>24</w:t>
      </w:r>
      <w:r w:rsidR="004B5428" w:rsidRPr="00E90C7F">
        <w:rPr>
          <w:rFonts w:cs="Arial"/>
        </w:rPr>
        <w:t xml:space="preserve">. </w:t>
      </w:r>
      <w:r w:rsidR="00963277" w:rsidRPr="00E90C7F">
        <w:rPr>
          <w:rFonts w:cs="Arial"/>
        </w:rPr>
        <w:t>10</w:t>
      </w:r>
      <w:r w:rsidR="004B5428" w:rsidRPr="00E90C7F">
        <w:rPr>
          <w:rFonts w:cs="Arial"/>
        </w:rPr>
        <w:t>. 2023</w:t>
      </w:r>
      <w:r w:rsidRPr="0077351A">
        <w:rPr>
          <w:rFonts w:cs="Arial"/>
        </w:rPr>
        <w:tab/>
      </w:r>
    </w:p>
    <w:p w14:paraId="74F426E1" w14:textId="77777777" w:rsidR="00B74519" w:rsidRPr="0077351A" w:rsidRDefault="00B74519" w:rsidP="00283B5A">
      <w:pPr>
        <w:pStyle w:val="datumtevilka"/>
        <w:rPr>
          <w:rFonts w:cs="Arial"/>
        </w:rPr>
      </w:pPr>
    </w:p>
    <w:p w14:paraId="7B43FD3E" w14:textId="3FC7C923"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r w:rsidR="00963277">
        <w:rPr>
          <w:rFonts w:cs="Arial"/>
          <w:szCs w:val="20"/>
          <w:lang w:val="sl-SI"/>
        </w:rPr>
        <w:t xml:space="preserve"> - ponovitev</w:t>
      </w:r>
    </w:p>
    <w:p w14:paraId="7A571B12" w14:textId="375E47AA" w:rsidR="00D71FC6" w:rsidRDefault="00D71FC6" w:rsidP="00D71FC6">
      <w:pPr>
        <w:tabs>
          <w:tab w:val="left" w:pos="1701"/>
        </w:tabs>
        <w:rPr>
          <w:rFonts w:ascii="Arial" w:hAnsi="Arial" w:cs="Arial"/>
          <w:b/>
          <w:sz w:val="20"/>
          <w:szCs w:val="20"/>
        </w:rPr>
      </w:pPr>
    </w:p>
    <w:p w14:paraId="36F016BB" w14:textId="516D7827" w:rsidR="005E1EE7" w:rsidRDefault="005E1EE7" w:rsidP="00D71FC6">
      <w:pPr>
        <w:tabs>
          <w:tab w:val="left" w:pos="1701"/>
        </w:tabs>
        <w:rPr>
          <w:rFonts w:ascii="Arial" w:hAnsi="Arial" w:cs="Arial"/>
          <w:b/>
          <w:sz w:val="20"/>
          <w:szCs w:val="20"/>
        </w:rPr>
      </w:pPr>
    </w:p>
    <w:p w14:paraId="7AB682F0" w14:textId="02852628" w:rsidR="00D71FC6" w:rsidRPr="0075769F" w:rsidRDefault="00D71FC6" w:rsidP="00D71FC6">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9"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10"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11"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2"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3"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4"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5"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6"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7"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8"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9"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20"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21"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xml:space="preserve">) Ministrstvo za zunanje </w:t>
      </w:r>
      <w:r>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w:t>
      </w:r>
      <w:r>
        <w:rPr>
          <w:rFonts w:ascii="Arial" w:hAnsi="Arial" w:cs="Arial"/>
          <w:color w:val="000000"/>
          <w:sz w:val="20"/>
          <w:szCs w:val="20"/>
          <w:lang w:eastAsia="en-US"/>
        </w:rPr>
        <w:t xml:space="preserve"> </w:t>
      </w:r>
      <w:r w:rsidRPr="0075769F">
        <w:rPr>
          <w:rFonts w:ascii="Arial" w:hAnsi="Arial" w:cs="Arial"/>
          <w:color w:val="000000"/>
          <w:sz w:val="20"/>
          <w:szCs w:val="20"/>
          <w:lang w:eastAsia="en-US"/>
        </w:rPr>
        <w:t>objavlja prosto delovno mesto:</w:t>
      </w:r>
    </w:p>
    <w:p w14:paraId="46CA25B3"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54152F40" w14:textId="03176775" w:rsidR="00D71FC6" w:rsidRDefault="00D71FC6" w:rsidP="00D71FC6">
      <w:pPr>
        <w:suppressAutoHyphens w:val="0"/>
        <w:spacing w:line="260" w:lineRule="exact"/>
        <w:jc w:val="both"/>
        <w:rPr>
          <w:rFonts w:ascii="Arial" w:hAnsi="Arial"/>
          <w:b/>
          <w:sz w:val="20"/>
          <w:lang w:eastAsia="en-US"/>
        </w:rPr>
      </w:pPr>
      <w:r>
        <w:rPr>
          <w:rFonts w:ascii="Arial" w:hAnsi="Arial"/>
          <w:b/>
          <w:sz w:val="20"/>
          <w:lang w:eastAsia="en-US"/>
        </w:rPr>
        <w:t xml:space="preserve">SEKRETAR </w:t>
      </w:r>
      <w:r w:rsidRPr="00BE14A1">
        <w:rPr>
          <w:rFonts w:ascii="Arial" w:hAnsi="Arial"/>
          <w:b/>
          <w:sz w:val="20"/>
          <w:lang w:eastAsia="en-US"/>
        </w:rPr>
        <w:t xml:space="preserve">(m/ž) v </w:t>
      </w:r>
      <w:r>
        <w:rPr>
          <w:rFonts w:ascii="Arial" w:hAnsi="Arial"/>
          <w:b/>
          <w:sz w:val="20"/>
          <w:lang w:eastAsia="en-US"/>
        </w:rPr>
        <w:t xml:space="preserve">Oddelku za upravljanje EU sredstev v Finančno računovodski službi (šifra delovnega mesta 30286) – PROJEKT </w:t>
      </w:r>
      <w:r w:rsidR="005E1EE7">
        <w:rPr>
          <w:rFonts w:ascii="Arial" w:hAnsi="Arial"/>
          <w:b/>
          <w:sz w:val="20"/>
          <w:lang w:eastAsia="en-US"/>
        </w:rPr>
        <w:t>IUMV</w:t>
      </w:r>
      <w:r w:rsidR="00963277">
        <w:rPr>
          <w:rFonts w:ascii="Arial" w:hAnsi="Arial"/>
          <w:b/>
          <w:sz w:val="20"/>
          <w:lang w:eastAsia="en-US"/>
        </w:rPr>
        <w:t xml:space="preserve"> - PONOVITEV</w:t>
      </w:r>
    </w:p>
    <w:p w14:paraId="4BC28151" w14:textId="77777777" w:rsidR="00D71FC6" w:rsidRPr="00BE14A1" w:rsidRDefault="00D71FC6" w:rsidP="00D71FC6">
      <w:pPr>
        <w:suppressAutoHyphens w:val="0"/>
        <w:spacing w:line="260" w:lineRule="exact"/>
        <w:jc w:val="both"/>
        <w:rPr>
          <w:rFonts w:ascii="Arial" w:hAnsi="Arial"/>
          <w:b/>
          <w:sz w:val="20"/>
          <w:lang w:eastAsia="en-US"/>
        </w:rPr>
      </w:pPr>
    </w:p>
    <w:p w14:paraId="7FE7DCCF" w14:textId="77777777" w:rsidR="00D71FC6" w:rsidRPr="00BE14A1" w:rsidRDefault="00D71FC6" w:rsidP="00D7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7D0EEFF9" w14:textId="79A29930" w:rsidR="00D71FC6" w:rsidRPr="00BE14A1" w:rsidRDefault="00D71FC6" w:rsidP="00D71FC6">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specialistično izobraževanje po visokošolski strokovni izobrazbi (prejšnje)/specializacija po visokošolski strokovni izobrazbi (prejšnja) oziroma magistrsko izobraževanj po visokošolski strokovni izobrazbi (prejšnje)/magisterij po visokošolski strokovni izobrazbi (prejšnja)/magistrsko izobraževanje (druga bolonjska stopnja)/magistrska izobrazba (druga bolonjska stopnja);</w:t>
      </w:r>
    </w:p>
    <w:p w14:paraId="4119308C" w14:textId="608ABC2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A57A2">
        <w:rPr>
          <w:rFonts w:ascii="Arial" w:hAnsi="Arial"/>
          <w:sz w:val="20"/>
          <w:lang w:eastAsia="en-US"/>
        </w:rPr>
        <w:t>7</w:t>
      </w:r>
      <w:r>
        <w:rPr>
          <w:rFonts w:ascii="Arial" w:hAnsi="Arial"/>
          <w:sz w:val="20"/>
          <w:lang w:eastAsia="en-US"/>
        </w:rPr>
        <w:t xml:space="preserve"> </w:t>
      </w:r>
      <w:r w:rsidR="004A57A2">
        <w:rPr>
          <w:rFonts w:ascii="Arial" w:hAnsi="Arial"/>
          <w:sz w:val="20"/>
          <w:lang w:eastAsia="en-US"/>
        </w:rPr>
        <w:t>let</w:t>
      </w:r>
      <w:r w:rsidRPr="00BE14A1">
        <w:rPr>
          <w:rFonts w:ascii="Arial" w:hAnsi="Arial"/>
          <w:sz w:val="20"/>
          <w:lang w:eastAsia="en-US"/>
        </w:rPr>
        <w:t xml:space="preserve"> delovnih izkušenj;</w:t>
      </w:r>
    </w:p>
    <w:p w14:paraId="7E6845E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014E56A2"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355E42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7C362E1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4592BF0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14:paraId="29B70DE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E9CACF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6BE48A97" w14:textId="563FA2DA" w:rsidR="00D71FC6"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samostojno oblikovanje ključnih sistemskih rešitev in drugih najzahtevnejših gradiv;</w:t>
      </w:r>
    </w:p>
    <w:p w14:paraId="05F8E61E" w14:textId="54C78A40"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zagotavljanje oziroma neposredna pomoč pri zagotavljanju razvoja organizacije;</w:t>
      </w:r>
    </w:p>
    <w:p w14:paraId="742E7725"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nalog, ki prispevajo k doseganju ciljev Instrumenta za finančno podporo za upravljanje in vizumsko poslovanje v okviru Sklada za integrirano upravljanje meja;</w:t>
      </w:r>
    </w:p>
    <w:p w14:paraId="782E1642"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sodelovanje pri pripravi konceptov rešitev, priprava specifikacij, delo na postopkih javnega naročanja, skrbništvo pogodb, prevzemanje izdelkov, usklajevanje vsebine s Konzularnim sektorjem na razvojnih projektih;</w:t>
      </w:r>
    </w:p>
    <w:p w14:paraId="4A2A59F9"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delo na vzdrževalnih pogodbah že obstoječih izdelkov nacionalnega vizumskega informacijskega sistema;</w:t>
      </w:r>
    </w:p>
    <w:p w14:paraId="69E6C2AC"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programska podpora IKT strojni opremi;</w:t>
      </w:r>
    </w:p>
    <w:p w14:paraId="060FA167" w14:textId="764D147A"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priprava navodil uporabnikom informacijskega sistema; </w:t>
      </w:r>
    </w:p>
    <w:p w14:paraId="39A5C2E9" w14:textId="733753DA" w:rsidR="00D71FC6" w:rsidRPr="00E3226F" w:rsidRDefault="00D71FC6"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 navodil</w:t>
      </w:r>
      <w:r w:rsidR="004A57A2">
        <w:rPr>
          <w:rFonts w:ascii="Arial" w:hAnsi="Arial"/>
          <w:sz w:val="20"/>
          <w:lang w:eastAsia="en-US"/>
        </w:rPr>
        <w:t>u</w:t>
      </w:r>
      <w:r>
        <w:rPr>
          <w:rFonts w:ascii="Arial" w:hAnsi="Arial"/>
          <w:sz w:val="20"/>
          <w:lang w:eastAsia="en-US"/>
        </w:rPr>
        <w:t xml:space="preserve"> vodje.</w:t>
      </w:r>
      <w:r w:rsidRPr="00E3226F">
        <w:rPr>
          <w:rFonts w:ascii="Arial" w:hAnsi="Arial"/>
          <w:sz w:val="20"/>
          <w:lang w:eastAsia="en-US"/>
        </w:rPr>
        <w:t xml:space="preserve"> </w:t>
      </w:r>
    </w:p>
    <w:p w14:paraId="2733287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70A3D2BD"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14:paraId="57D88C6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298E387C" w14:textId="77777777"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5019BF5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06CD713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127C8527"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E0CD18E"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5CD00AC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zadeve pridobitev podatkov iz 1. in 3. točke iz uradne evidence;</w:t>
      </w:r>
    </w:p>
    <w:p w14:paraId="343963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18AF14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FBE51C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1354B7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4148D80" w14:textId="77777777" w:rsidR="00D71FC6" w:rsidRPr="00BE14A1" w:rsidRDefault="00D71FC6" w:rsidP="00D71FC6">
      <w:pPr>
        <w:suppressAutoHyphens w:val="0"/>
        <w:spacing w:line="260" w:lineRule="exact"/>
        <w:jc w:val="both"/>
        <w:rPr>
          <w:rFonts w:ascii="Arial" w:hAnsi="Arial"/>
          <w:sz w:val="20"/>
          <w:lang w:eastAsia="en-US"/>
        </w:rPr>
      </w:pPr>
    </w:p>
    <w:p w14:paraId="13853953" w14:textId="5D9EEAD5" w:rsidR="00D71FC6" w:rsidRDefault="00D71FC6" w:rsidP="00D71FC6">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Pr>
          <w:rFonts w:ascii="Arial" w:hAnsi="Arial" w:cs="Arial"/>
          <w:sz w:val="20"/>
          <w:lang w:eastAsia="en-US"/>
        </w:rPr>
        <w:t>ZAUPN</w:t>
      </w:r>
      <w:r w:rsidRPr="00BE14A1">
        <w:rPr>
          <w:rFonts w:ascii="Arial" w:hAnsi="Arial" w:cs="Arial"/>
          <w:sz w:val="20"/>
          <w:lang w:eastAsia="en-US"/>
        </w:rPr>
        <w:t>O«, sicer ga bo moral pridobiti do dneva nastopa dela.</w:t>
      </w:r>
    </w:p>
    <w:p w14:paraId="34A3CB91" w14:textId="20FECD9D" w:rsidR="00CB3C08" w:rsidRDefault="00CB3C08" w:rsidP="00D71FC6">
      <w:pPr>
        <w:tabs>
          <w:tab w:val="left" w:pos="1701"/>
        </w:tabs>
        <w:suppressAutoHyphens w:val="0"/>
        <w:spacing w:line="260" w:lineRule="exact"/>
        <w:jc w:val="both"/>
        <w:rPr>
          <w:rFonts w:ascii="Arial" w:hAnsi="Arial" w:cs="Arial"/>
          <w:sz w:val="20"/>
          <w:lang w:eastAsia="en-US"/>
        </w:rPr>
      </w:pPr>
    </w:p>
    <w:p w14:paraId="246E74C6" w14:textId="77777777" w:rsidR="00CD2F63" w:rsidRPr="00BE14A1" w:rsidRDefault="00CD2F63" w:rsidP="00CD2F63">
      <w:pPr>
        <w:tabs>
          <w:tab w:val="left" w:pos="1701"/>
        </w:tabs>
        <w:suppressAutoHyphens w:val="0"/>
        <w:spacing w:line="260" w:lineRule="exact"/>
        <w:jc w:val="both"/>
        <w:rPr>
          <w:rFonts w:ascii="Arial" w:hAnsi="Arial" w:cs="Arial"/>
          <w:sz w:val="20"/>
          <w:lang w:eastAsia="en-US"/>
        </w:rPr>
      </w:pPr>
      <w:r>
        <w:rPr>
          <w:rFonts w:ascii="Helv" w:hAnsi="Helv" w:cs="Helv"/>
          <w:color w:val="000000"/>
          <w:sz w:val="20"/>
          <w:szCs w:val="20"/>
          <w:lang w:eastAsia="sl-SI"/>
        </w:rPr>
        <w:t>Prednost pri izbiri bodo imeli kandidati, ki imajo izkušnje z delom na IT področju kot sistemski inženir.</w:t>
      </w:r>
    </w:p>
    <w:p w14:paraId="20C75531" w14:textId="77777777" w:rsidR="00E90C7F" w:rsidRDefault="00E90C7F" w:rsidP="00D71FC6">
      <w:pPr>
        <w:suppressAutoHyphens w:val="0"/>
        <w:spacing w:line="260" w:lineRule="exact"/>
        <w:jc w:val="both"/>
        <w:rPr>
          <w:rFonts w:ascii="Arial" w:hAnsi="Arial"/>
          <w:sz w:val="20"/>
          <w:lang w:eastAsia="en-US"/>
        </w:rPr>
      </w:pPr>
    </w:p>
    <w:p w14:paraId="662CD2E1" w14:textId="0BCF0A35"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60A2F4C0" w14:textId="77777777" w:rsidR="00D71FC6" w:rsidRDefault="00D71FC6" w:rsidP="00D71FC6">
      <w:pPr>
        <w:suppressAutoHyphens w:val="0"/>
        <w:spacing w:line="260" w:lineRule="exact"/>
        <w:rPr>
          <w:rFonts w:ascii="Arial" w:hAnsi="Arial"/>
          <w:sz w:val="20"/>
          <w:lang w:eastAsia="en-US"/>
        </w:rPr>
      </w:pPr>
    </w:p>
    <w:p w14:paraId="1C444D57" w14:textId="3AB58B09"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C0D85">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C0D85">
        <w:rPr>
          <w:rFonts w:ascii="Arial" w:hAnsi="Arial"/>
          <w:sz w:val="20"/>
          <w:lang w:eastAsia="en-US"/>
        </w:rPr>
        <w:t>sekretar</w:t>
      </w:r>
      <w:r>
        <w:rPr>
          <w:rFonts w:ascii="Arial" w:hAnsi="Arial"/>
          <w:sz w:val="20"/>
          <w:lang w:eastAsia="en-US"/>
        </w:rPr>
        <w:t xml:space="preserve"> (šifra 30</w:t>
      </w:r>
      <w:r w:rsidR="003C0D85">
        <w:rPr>
          <w:rFonts w:ascii="Arial" w:hAnsi="Arial"/>
          <w:sz w:val="20"/>
          <w:lang w:eastAsia="en-US"/>
        </w:rPr>
        <w:t>286</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w:t>
      </w:r>
      <w:r w:rsidR="003C0D85">
        <w:rPr>
          <w:rFonts w:ascii="Arial" w:hAnsi="Arial"/>
          <w:b/>
          <w:sz w:val="20"/>
          <w:lang w:eastAsia="en-US"/>
        </w:rPr>
        <w:t xml:space="preserve">do 4 let </w:t>
      </w:r>
      <w:r>
        <w:rPr>
          <w:rFonts w:ascii="Arial" w:hAnsi="Arial"/>
          <w:b/>
          <w:sz w:val="20"/>
          <w:lang w:eastAsia="en-US"/>
        </w:rPr>
        <w:t xml:space="preserve">za čas trajanja projekta, oz. do najdlje </w:t>
      </w:r>
      <w:r w:rsidRPr="00D21002">
        <w:rPr>
          <w:rFonts w:ascii="Arial" w:hAnsi="Arial"/>
          <w:b/>
          <w:sz w:val="20"/>
          <w:lang w:eastAsia="en-US"/>
        </w:rPr>
        <w:t>do 3</w:t>
      </w:r>
      <w:r>
        <w:rPr>
          <w:rFonts w:ascii="Arial" w:hAnsi="Arial"/>
          <w:b/>
          <w:sz w:val="20"/>
          <w:lang w:eastAsia="en-US"/>
        </w:rPr>
        <w:t>1.1</w:t>
      </w:r>
      <w:r w:rsidR="003C0D85">
        <w:rPr>
          <w:rFonts w:ascii="Arial" w:hAnsi="Arial"/>
          <w:b/>
          <w:sz w:val="20"/>
          <w:lang w:eastAsia="en-US"/>
        </w:rPr>
        <w:t>2</w:t>
      </w:r>
      <w:r w:rsidRPr="00D21002">
        <w:rPr>
          <w:rFonts w:ascii="Arial" w:hAnsi="Arial"/>
          <w:b/>
          <w:sz w:val="20"/>
          <w:lang w:eastAsia="en-US"/>
        </w:rPr>
        <w:t>.202</w:t>
      </w:r>
      <w:r w:rsidR="003C0D85">
        <w:rPr>
          <w:rFonts w:ascii="Arial" w:hAnsi="Arial"/>
          <w:b/>
          <w:sz w:val="20"/>
          <w:lang w:eastAsia="en-US"/>
        </w:rPr>
        <w:t>7</w:t>
      </w:r>
      <w:r>
        <w:rPr>
          <w:rFonts w:ascii="Arial" w:hAnsi="Arial"/>
          <w:b/>
          <w:sz w:val="20"/>
          <w:lang w:eastAsia="en-US"/>
        </w:rPr>
        <w:t xml:space="preserve"> </w:t>
      </w:r>
      <w:r w:rsidRPr="00BE14A1">
        <w:rPr>
          <w:rFonts w:ascii="Arial" w:hAnsi="Arial"/>
          <w:sz w:val="20"/>
          <w:lang w:eastAsia="en-US"/>
        </w:rPr>
        <w:t xml:space="preserve">in sicer s polnim delovnim časom in </w:t>
      </w:r>
      <w:r w:rsidR="003C0D85">
        <w:rPr>
          <w:rFonts w:ascii="Arial" w:hAnsi="Arial"/>
          <w:sz w:val="20"/>
          <w:lang w:eastAsia="en-US"/>
        </w:rPr>
        <w:t>3</w:t>
      </w:r>
      <w:r w:rsidRPr="00BE14A1">
        <w:rPr>
          <w:rFonts w:ascii="Arial" w:hAnsi="Arial"/>
          <w:sz w:val="20"/>
          <w:lang w:eastAsia="en-US"/>
        </w:rPr>
        <w:t>-mesečnim poskusnim delom. Poskusno delo se lahko podaljša v primeru začasne odsotnosti z dela.</w:t>
      </w:r>
    </w:p>
    <w:p w14:paraId="0357C359" w14:textId="77777777" w:rsidR="00D71FC6" w:rsidRPr="00BE14A1" w:rsidRDefault="00D71FC6" w:rsidP="00D71FC6">
      <w:pPr>
        <w:suppressAutoHyphens w:val="0"/>
        <w:spacing w:line="260" w:lineRule="exact"/>
        <w:jc w:val="both"/>
        <w:rPr>
          <w:rFonts w:ascii="Arial" w:hAnsi="Arial"/>
          <w:sz w:val="20"/>
          <w:lang w:eastAsia="en-US"/>
        </w:rPr>
      </w:pPr>
    </w:p>
    <w:p w14:paraId="58EDE9E9" w14:textId="74274C1A"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3C0D85">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3A337729"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6F2414" w14:textId="68F3A279"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3C0D85">
        <w:rPr>
          <w:rFonts w:ascii="Arial" w:hAnsi="Arial"/>
          <w:sz w:val="20"/>
          <w:lang w:eastAsia="en-US"/>
        </w:rPr>
        <w:t>SEKRETAR – PROJEKT BMVI</w:t>
      </w:r>
      <w:r>
        <w:rPr>
          <w:rFonts w:ascii="Arial" w:hAnsi="Arial"/>
          <w:sz w:val="20"/>
          <w:lang w:eastAsia="en-US"/>
        </w:rPr>
        <w:t xml:space="preserve"> (šifra </w:t>
      </w:r>
      <w:r w:rsidR="003C0D85">
        <w:rPr>
          <w:rFonts w:ascii="Arial" w:hAnsi="Arial"/>
          <w:sz w:val="20"/>
          <w:lang w:eastAsia="en-US"/>
        </w:rPr>
        <w:t>30286</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3C0D8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w:t>
      </w:r>
      <w:r w:rsidRPr="00BE14A1">
        <w:rPr>
          <w:rFonts w:ascii="Arial" w:hAnsi="Arial"/>
          <w:sz w:val="20"/>
          <w:lang w:eastAsia="en-US"/>
        </w:rPr>
        <w:lastRenderedPageBreak/>
        <w:t xml:space="preserve">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3C0D85">
        <w:rPr>
          <w:rFonts w:ascii="Arial" w:hAnsi="Arial"/>
          <w:sz w:val="20"/>
          <w:lang w:eastAsia="en-US"/>
        </w:rPr>
        <w:t>e</w:t>
      </w:r>
      <w:r w:rsidRPr="00BE14A1">
        <w:rPr>
          <w:rFonts w:ascii="Arial" w:hAnsi="Arial"/>
          <w:sz w:val="20"/>
          <w:lang w:eastAsia="en-US"/>
        </w:rPr>
        <w:t>z@gov.si, pri čemer veljavnost prijave ni pogojena z elektronskim podpisom.</w:t>
      </w:r>
    </w:p>
    <w:p w14:paraId="39C7F85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78F231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5941B1A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849F38B" w14:textId="77777777" w:rsidR="00D71FC6"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14:paraId="5810F017" w14:textId="77777777" w:rsidR="00D71FC6" w:rsidRPr="00BE14A1" w:rsidRDefault="00D71FC6" w:rsidP="00D71FC6">
      <w:pPr>
        <w:suppressAutoHyphens w:val="0"/>
        <w:spacing w:line="260" w:lineRule="exact"/>
        <w:jc w:val="both"/>
        <w:rPr>
          <w:rFonts w:ascii="Arial" w:hAnsi="Arial"/>
          <w:sz w:val="20"/>
          <w:lang w:eastAsia="en-US"/>
        </w:rPr>
      </w:pPr>
    </w:p>
    <w:p w14:paraId="1CD77EF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122EB70E" w14:textId="77777777" w:rsidR="00D71FC6" w:rsidRDefault="00D71FC6" w:rsidP="00D71FC6">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14:paraId="25314817" w14:textId="77777777" w:rsidR="00D71FC6" w:rsidRDefault="00D71FC6" w:rsidP="00D71FC6">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14:paraId="6EA75014" w14:textId="78E474CC" w:rsidR="00D71FC6" w:rsidRPr="00F96E1B" w:rsidRDefault="00D71FC6" w:rsidP="00D71FC6">
      <w:pPr>
        <w:tabs>
          <w:tab w:val="left" w:pos="1701"/>
        </w:tabs>
        <w:suppressAutoHyphens w:val="0"/>
        <w:spacing w:line="260" w:lineRule="exact"/>
        <w:jc w:val="center"/>
        <w:rPr>
          <w:rFonts w:ascii="Arial" w:hAnsi="Arial"/>
          <w:sz w:val="20"/>
          <w:lang w:eastAsia="en-US"/>
        </w:rPr>
      </w:pPr>
      <w:r>
        <w:rPr>
          <w:rFonts w:ascii="Arial" w:hAnsi="Arial"/>
          <w:b/>
          <w:sz w:val="20"/>
          <w:lang w:eastAsia="en-US"/>
        </w:rPr>
        <w:t>generaln</w:t>
      </w:r>
      <w:r w:rsidR="003C0D85">
        <w:rPr>
          <w:rFonts w:ascii="Arial" w:hAnsi="Arial"/>
          <w:b/>
          <w:sz w:val="20"/>
          <w:lang w:eastAsia="en-US"/>
        </w:rPr>
        <w:t>a</w:t>
      </w:r>
      <w:r>
        <w:rPr>
          <w:rFonts w:ascii="Arial" w:hAnsi="Arial"/>
          <w:b/>
          <w:sz w:val="20"/>
          <w:lang w:eastAsia="en-US"/>
        </w:rPr>
        <w:t xml:space="preserve"> sekretark</w:t>
      </w:r>
      <w:r w:rsidR="003C0D85">
        <w:rPr>
          <w:rFonts w:ascii="Arial" w:hAnsi="Arial"/>
          <w:b/>
          <w:sz w:val="20"/>
          <w:lang w:eastAsia="en-US"/>
        </w:rPr>
        <w:t>a</w:t>
      </w:r>
    </w:p>
    <w:p w14:paraId="23B7F22C" w14:textId="77777777" w:rsidR="00D71FC6" w:rsidRPr="00F25235" w:rsidRDefault="00D71FC6" w:rsidP="00D71FC6">
      <w:pPr>
        <w:suppressAutoHyphens w:val="0"/>
        <w:spacing w:line="260" w:lineRule="exact"/>
        <w:rPr>
          <w:rFonts w:ascii="Arial" w:hAnsi="Arial" w:cs="Arial"/>
          <w:sz w:val="20"/>
          <w:szCs w:val="20"/>
        </w:rPr>
      </w:pPr>
    </w:p>
    <w:p w14:paraId="4023B6BB" w14:textId="77777777" w:rsidR="00AC6B03" w:rsidRPr="000F04AD" w:rsidRDefault="00AC6B03" w:rsidP="00D71FC6">
      <w:pPr>
        <w:pStyle w:val="NoSpacing"/>
        <w:jc w:val="both"/>
        <w:rPr>
          <w:rFonts w:cs="Arial"/>
          <w:szCs w:val="20"/>
        </w:rPr>
      </w:pPr>
    </w:p>
    <w:sectPr w:rsidR="00AC6B03" w:rsidRPr="000F04AD" w:rsidSect="0045001B">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2F059" w14:textId="77777777" w:rsidR="00A4624D" w:rsidRDefault="00A4624D">
      <w:r>
        <w:separator/>
      </w:r>
    </w:p>
  </w:endnote>
  <w:endnote w:type="continuationSeparator" w:id="0">
    <w:p w14:paraId="0EA54382" w14:textId="77777777" w:rsidR="00A4624D" w:rsidRDefault="00A4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Helv">
    <w:panose1 w:val="020B06040202020302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4A57A2" w:rsidRDefault="004A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64F93402" w:rsidR="004A57A2" w:rsidRPr="00774472" w:rsidRDefault="004A57A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8672B5">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8672B5">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4A57A2" w:rsidRDefault="004A57A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DA1F4" w14:textId="77777777" w:rsidR="00A4624D" w:rsidRDefault="00A4624D">
      <w:r>
        <w:separator/>
      </w:r>
    </w:p>
  </w:footnote>
  <w:footnote w:type="continuationSeparator" w:id="0">
    <w:p w14:paraId="29093A08" w14:textId="77777777" w:rsidR="00A4624D" w:rsidRDefault="00A4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4A57A2" w:rsidRDefault="004A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4A57A2" w:rsidRPr="001B1D79" w:rsidRDefault="004A57A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4A57A2" w:rsidRPr="00125A68" w:rsidRDefault="004A57A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3"/>
  </w:num>
  <w:num w:numId="6">
    <w:abstractNumId w:val="9"/>
  </w:num>
  <w:num w:numId="7">
    <w:abstractNumId w:val="11"/>
  </w:num>
  <w:num w:numId="8">
    <w:abstractNumId w:val="7"/>
  </w:num>
  <w:num w:numId="9">
    <w:abstractNumId w:val="2"/>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0F04AD"/>
    <w:rsid w:val="000F1EA1"/>
    <w:rsid w:val="001020CB"/>
    <w:rsid w:val="00105659"/>
    <w:rsid w:val="00106C6A"/>
    <w:rsid w:val="00113372"/>
    <w:rsid w:val="00114309"/>
    <w:rsid w:val="00125A68"/>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3F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C0D85"/>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A57A2"/>
    <w:rsid w:val="004B5428"/>
    <w:rsid w:val="004C5E08"/>
    <w:rsid w:val="004E6803"/>
    <w:rsid w:val="004E728E"/>
    <w:rsid w:val="004F079A"/>
    <w:rsid w:val="0050553B"/>
    <w:rsid w:val="00506914"/>
    <w:rsid w:val="005113FC"/>
    <w:rsid w:val="00525987"/>
    <w:rsid w:val="00536DCA"/>
    <w:rsid w:val="0055451C"/>
    <w:rsid w:val="0055630B"/>
    <w:rsid w:val="0057278F"/>
    <w:rsid w:val="00583A53"/>
    <w:rsid w:val="005924F2"/>
    <w:rsid w:val="00592C69"/>
    <w:rsid w:val="00592EE4"/>
    <w:rsid w:val="005C3194"/>
    <w:rsid w:val="005C78B6"/>
    <w:rsid w:val="005E1EE7"/>
    <w:rsid w:val="00605C89"/>
    <w:rsid w:val="006067B2"/>
    <w:rsid w:val="006228BD"/>
    <w:rsid w:val="00625E86"/>
    <w:rsid w:val="00633542"/>
    <w:rsid w:val="00662E80"/>
    <w:rsid w:val="00666D67"/>
    <w:rsid w:val="006742A2"/>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7815"/>
    <w:rsid w:val="00741D0A"/>
    <w:rsid w:val="007612AD"/>
    <w:rsid w:val="0077351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672B5"/>
    <w:rsid w:val="00876239"/>
    <w:rsid w:val="00890148"/>
    <w:rsid w:val="00890E25"/>
    <w:rsid w:val="008938BA"/>
    <w:rsid w:val="008951B1"/>
    <w:rsid w:val="008B0C9F"/>
    <w:rsid w:val="008B53E3"/>
    <w:rsid w:val="008D308B"/>
    <w:rsid w:val="008D4172"/>
    <w:rsid w:val="008D53F8"/>
    <w:rsid w:val="008E00D8"/>
    <w:rsid w:val="008E3A61"/>
    <w:rsid w:val="008F3F77"/>
    <w:rsid w:val="009141F1"/>
    <w:rsid w:val="00917003"/>
    <w:rsid w:val="00923961"/>
    <w:rsid w:val="0094462F"/>
    <w:rsid w:val="009503D6"/>
    <w:rsid w:val="00951926"/>
    <w:rsid w:val="00955BB4"/>
    <w:rsid w:val="00955C39"/>
    <w:rsid w:val="00963277"/>
    <w:rsid w:val="00971B05"/>
    <w:rsid w:val="00972FEA"/>
    <w:rsid w:val="00997F3B"/>
    <w:rsid w:val="009A4867"/>
    <w:rsid w:val="009B512E"/>
    <w:rsid w:val="009B5FD6"/>
    <w:rsid w:val="009C088E"/>
    <w:rsid w:val="009C64F0"/>
    <w:rsid w:val="009F3952"/>
    <w:rsid w:val="009F45C7"/>
    <w:rsid w:val="00A03B0F"/>
    <w:rsid w:val="00A35AF2"/>
    <w:rsid w:val="00A40742"/>
    <w:rsid w:val="00A419EE"/>
    <w:rsid w:val="00A4624D"/>
    <w:rsid w:val="00A54DF0"/>
    <w:rsid w:val="00A64260"/>
    <w:rsid w:val="00A80759"/>
    <w:rsid w:val="00A843EC"/>
    <w:rsid w:val="00A8471C"/>
    <w:rsid w:val="00A92BD0"/>
    <w:rsid w:val="00A94B44"/>
    <w:rsid w:val="00A96E26"/>
    <w:rsid w:val="00AA0929"/>
    <w:rsid w:val="00AA4616"/>
    <w:rsid w:val="00AB3AFF"/>
    <w:rsid w:val="00AB7784"/>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87A78"/>
    <w:rsid w:val="00C94636"/>
    <w:rsid w:val="00C9494E"/>
    <w:rsid w:val="00CB3C08"/>
    <w:rsid w:val="00CC1069"/>
    <w:rsid w:val="00CD2F63"/>
    <w:rsid w:val="00CE1F65"/>
    <w:rsid w:val="00CE3B51"/>
    <w:rsid w:val="00CF5470"/>
    <w:rsid w:val="00D07CEC"/>
    <w:rsid w:val="00D16073"/>
    <w:rsid w:val="00D17A36"/>
    <w:rsid w:val="00D246E9"/>
    <w:rsid w:val="00D2718B"/>
    <w:rsid w:val="00D50FCA"/>
    <w:rsid w:val="00D53072"/>
    <w:rsid w:val="00D71FC6"/>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90C7F"/>
    <w:rsid w:val="00EA1646"/>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2296" TargetMode="External"/><Relationship Id="rId18" Type="http://schemas.openxmlformats.org/officeDocument/2006/relationships/hyperlink" Target="http://www.uradni-list.si/1/objava.jsp?sop=2021-01-255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uradni-list.si/1/objava.jsp?sop=2022-01-1186" TargetMode="External"/><Relationship Id="rId7" Type="http://schemas.openxmlformats.org/officeDocument/2006/relationships/endnotes" Target="endnotes.xml"/><Relationship Id="rId12" Type="http://schemas.openxmlformats.org/officeDocument/2006/relationships/hyperlink" Target="http://www.uradni-list.si/1/objava.jsp?sop=2016-01-1428" TargetMode="External"/><Relationship Id="rId17" Type="http://schemas.openxmlformats.org/officeDocument/2006/relationships/hyperlink" Target="http://www.uradni-list.si/1/objava.jsp?sop=2020-01-377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9-01-3722" TargetMode="External"/><Relationship Id="rId20" Type="http://schemas.openxmlformats.org/officeDocument/2006/relationships/hyperlink" Target="http://www.uradni-list.si/1/objava.jsp?sop=2022-01-02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09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3-21-2826" TargetMode="External"/><Relationship Id="rId19"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hyperlink" Target="http://www.uradni-list.si/1/objava.jsp?sop=2017-01-0741"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66162-5519-4ABF-BE51-041FA379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7636</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2023-08-31T06:09:00Z</cp:lastPrinted>
  <dcterms:created xsi:type="dcterms:W3CDTF">2023-10-25T08:36:00Z</dcterms:created>
  <dcterms:modified xsi:type="dcterms:W3CDTF">2023-10-25T08:36:00Z</dcterms:modified>
</cp:coreProperties>
</file>