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E692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48271C" w:rsidR="00B65513" w:rsidRPr="0007110E" w:rsidRDefault="0060086B" w:rsidP="00E82667">
                <w:pPr>
                  <w:tabs>
                    <w:tab w:val="left" w:pos="426"/>
                  </w:tabs>
                  <w:spacing w:before="120"/>
                  <w:rPr>
                    <w:bCs/>
                    <w:lang w:val="en-IE" w:eastAsia="en-GB"/>
                  </w:rPr>
                </w:pPr>
                <w:r>
                  <w:rPr>
                    <w:bCs/>
                    <w:lang w:val="en-IE" w:eastAsia="en-GB"/>
                  </w:rPr>
                  <w:t>DG ECFIN, Unit L4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4B50BA2" w:rsidR="00D96984" w:rsidRPr="0007110E" w:rsidRDefault="0060086B" w:rsidP="00E82667">
                <w:pPr>
                  <w:tabs>
                    <w:tab w:val="left" w:pos="426"/>
                  </w:tabs>
                  <w:spacing w:before="120"/>
                  <w:rPr>
                    <w:bCs/>
                    <w:lang w:val="en-IE" w:eastAsia="en-GB"/>
                  </w:rPr>
                </w:pPr>
                <w:r w:rsidRPr="0060086B">
                  <w:rPr>
                    <w:bCs/>
                    <w:lang w:val="en-IE" w:eastAsia="en-GB"/>
                  </w:rPr>
                  <w:t>428184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52D9CEF" w:rsidR="00E21DBD" w:rsidRPr="0007110E" w:rsidRDefault="0060086B" w:rsidP="00E82667">
                <w:pPr>
                  <w:tabs>
                    <w:tab w:val="left" w:pos="426"/>
                  </w:tabs>
                  <w:spacing w:before="120"/>
                  <w:rPr>
                    <w:bCs/>
                    <w:lang w:val="en-IE" w:eastAsia="en-GB"/>
                  </w:rPr>
                </w:pPr>
                <w:r>
                  <w:rPr>
                    <w:bCs/>
                    <w:lang w:val="en-IE" w:eastAsia="en-GB"/>
                  </w:rPr>
                  <w:t xml:space="preserve">Mr Alberto </w:t>
                </w:r>
                <w:proofErr w:type="spellStart"/>
                <w:r>
                  <w:rPr>
                    <w:bCs/>
                    <w:lang w:val="en-IE" w:eastAsia="en-GB"/>
                  </w:rPr>
                  <w:t>Delpino</w:t>
                </w:r>
                <w:proofErr w:type="spellEnd"/>
              </w:p>
            </w:sdtContent>
          </w:sdt>
          <w:p w14:paraId="34CF737A" w14:textId="3E3AC69E" w:rsidR="00E21DBD" w:rsidRPr="0007110E" w:rsidRDefault="00BE692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FC7C9E">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C7C9E">
                  <w:rPr>
                    <w:bCs/>
                    <w:lang w:val="en-IE" w:eastAsia="en-GB"/>
                  </w:rPr>
                  <w:t>2024</w:t>
                </w:r>
              </w:sdtContent>
            </w:sdt>
          </w:p>
          <w:p w14:paraId="158DD156" w14:textId="1E5C2C9C" w:rsidR="00E21DBD" w:rsidRPr="0007110E" w:rsidRDefault="00BE692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7A02E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0086B">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E384AA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8.2pt;height:21.65pt" o:ole="">
                  <v:imagedata r:id="rId15" o:title=""/>
                </v:shape>
                <w:control r:id="rId16" w:name="OptionButton6" w:shapeid="_x0000_i1052"/>
              </w:object>
            </w:r>
            <w:r>
              <w:rPr>
                <w:bCs/>
                <w:szCs w:val="24"/>
                <w:lang w:eastAsia="en-GB"/>
              </w:rPr>
              <w:object w:dxaOrig="225" w:dyaOrig="225" w14:anchorId="1B1CECAE">
                <v:shape id="_x0000_i1039" type="#_x0000_t75" style="width:108.2pt;height:21.6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E533F1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4" type="#_x0000_t75" style="width:108.2pt;height:21.65pt" o:ole="">
                  <v:imagedata r:id="rId19" o:title=""/>
                </v:shape>
                <w:control r:id="rId20" w:name="OptionButton4" w:shapeid="_x0000_i1054"/>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E692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E692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E692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6128E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53" type="#_x0000_t75" style="width:320.45pt;height:21.65pt" o:ole="">
                  <v:imagedata r:id="rId21" o:title=""/>
                </v:shape>
                <w:control r:id="rId22" w:name="OptionButton5" w:shapeid="_x0000_i105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901451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1" type="#_x0000_t75" style="width:108.2pt;height:21.65pt" o:ole="">
                  <v:imagedata r:id="rId23" o:title=""/>
                </v:shape>
                <w:control r:id="rId24" w:name="OptionButton2" w:shapeid="_x0000_i1051"/>
              </w:object>
            </w:r>
            <w:r>
              <w:rPr>
                <w:bCs/>
                <w:szCs w:val="24"/>
                <w:lang w:eastAsia="en-GB"/>
              </w:rPr>
              <w:object w:dxaOrig="225" w:dyaOrig="225" w14:anchorId="0992615F">
                <v:shape id="_x0000_i1047" type="#_x0000_t75" style="width:108.2pt;height:21.6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1D86ADB" w14:textId="77777777" w:rsidR="003A6100" w:rsidRPr="005609BC" w:rsidRDefault="003A6100" w:rsidP="003A6100">
          <w:pPr>
            <w:ind w:left="25"/>
          </w:pPr>
          <w:r w:rsidRPr="005609BC">
            <w:t xml:space="preserve">Our Unit ECFIN.L4 "Investment programmes management" is responsible for the management of the budget, credit risk, revenues, guarantee calls and reporting under InvestEU, the European Fund for Strategic Investments (EFSI) and other financial instruments. The Unit is also responsible for implementing the Partnership Agreement with the EIB Group under InvestEU, for developing and managing the InvestEU Management Information System and for winding down legacy instruments. It is also in charge of evaluations, audits and mid-term reviews of InvestEU, EFSI and other financial instruments. </w:t>
          </w:r>
        </w:p>
        <w:p w14:paraId="30FC622E" w14:textId="77777777" w:rsidR="007A02E7" w:rsidRDefault="003A6100" w:rsidP="003A6100">
          <w:pPr>
            <w:ind w:left="25"/>
          </w:pPr>
          <w:r w:rsidRPr="005609BC">
            <w:lastRenderedPageBreak/>
            <w:t xml:space="preserve">The Unit works closely with the European Investment Bank (EIB), the European Investment Fund (EIF) and other International Financial Institutions and National Promotional Banks. </w:t>
          </w:r>
        </w:p>
        <w:p w14:paraId="59DD0438" w14:textId="46E297F5" w:rsidR="00E21DBD" w:rsidRDefault="003A6100" w:rsidP="007A02E7">
          <w:pPr>
            <w:ind w:left="25"/>
            <w:rPr>
              <w:lang w:val="en-US" w:eastAsia="en-GB"/>
            </w:rPr>
          </w:pPr>
          <w:r w:rsidRPr="005609BC">
            <w:rPr>
              <w:bCs/>
            </w:rPr>
            <w:t xml:space="preserve">The Unit is based mainly in Luxembourg, but also in Brussels. It comprises more than 20 staff members and offers a very dynamic, </w:t>
          </w:r>
          <w:proofErr w:type="gramStart"/>
          <w:r w:rsidRPr="005609BC">
            <w:rPr>
              <w:bCs/>
            </w:rPr>
            <w:t>stimulating</w:t>
          </w:r>
          <w:proofErr w:type="gramEnd"/>
          <w:r w:rsidRPr="005609BC">
            <w:rPr>
              <w:bCs/>
            </w:rPr>
            <w:t xml:space="preserve"> and friendly atmosphere.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066A089" w14:textId="764BB97C" w:rsidR="003A6100" w:rsidRDefault="003A6100" w:rsidP="00C504C7">
          <w:r>
            <w:t xml:space="preserve">The selected candidate will contribute to a dynamic and highly motivated team and will </w:t>
          </w:r>
          <w:proofErr w:type="gramStart"/>
          <w:r>
            <w:t>in particular work</w:t>
          </w:r>
          <w:proofErr w:type="gramEnd"/>
          <w:r>
            <w:t xml:space="preserve"> on budgetary </w:t>
          </w:r>
          <w:r w:rsidR="007A02E7">
            <w:t>tasks</w:t>
          </w:r>
          <w:r>
            <w:t xml:space="preserve"> and </w:t>
          </w:r>
          <w:r w:rsidR="007A02E7">
            <w:t xml:space="preserve">on </w:t>
          </w:r>
          <w:r>
            <w:t xml:space="preserve">the reporting and monitoring framework, with a focus on the InvestEU programme. The candidate will also </w:t>
          </w:r>
          <w:r w:rsidR="007A02E7">
            <w:t>assist</w:t>
          </w:r>
          <w:r>
            <w:t xml:space="preserve"> the implementation of existing legacy programmes and initiatives under the responsibility of the </w:t>
          </w:r>
          <w:r w:rsidR="00110D46">
            <w:t>U</w:t>
          </w:r>
          <w:r>
            <w:t xml:space="preserve">nit. </w:t>
          </w:r>
        </w:p>
        <w:p w14:paraId="7B044C16" w14:textId="3062D8B7" w:rsidR="003A6100" w:rsidRDefault="003A6100" w:rsidP="00C504C7">
          <w:r>
            <w:t>Within this framework</w:t>
          </w:r>
          <w:r w:rsidR="00172002">
            <w:t>,</w:t>
          </w:r>
          <w:r>
            <w:t xml:space="preserve"> the candidate will:</w:t>
          </w:r>
        </w:p>
        <w:p w14:paraId="1D4B14D1" w14:textId="42505272" w:rsidR="004261D6" w:rsidRDefault="004261D6" w:rsidP="00C504C7">
          <w:r>
            <w:t xml:space="preserve">• Contribute to </w:t>
          </w:r>
          <w:r>
            <w:t xml:space="preserve">the financial and budgetary management of the </w:t>
          </w:r>
          <w:r>
            <w:t xml:space="preserve">budgetary </w:t>
          </w:r>
          <w:r>
            <w:t>guarantees and the financial instruments under the responsibility of the Unit</w:t>
          </w:r>
          <w:r>
            <w:t>, including the follow up of calls under legacy instruments as well as</w:t>
          </w:r>
          <w:r w:rsidR="00EB4B4F">
            <w:t xml:space="preserve"> under</w:t>
          </w:r>
          <w:r>
            <w:t xml:space="preserve"> the InvestEU </w:t>
          </w:r>
          <w:proofErr w:type="gramStart"/>
          <w:r>
            <w:t>Fund;</w:t>
          </w:r>
          <w:proofErr w:type="gramEnd"/>
          <w:r>
            <w:t xml:space="preserve"> </w:t>
          </w:r>
        </w:p>
        <w:p w14:paraId="1DF169C6" w14:textId="13EA444E" w:rsidR="003A6100" w:rsidRDefault="003A6100" w:rsidP="00C504C7">
          <w:r>
            <w:t>• Contribute to the development of a framework for reporting and monitoring of performance for the instruments covered by the EU budgetary guarantees including the design of operational and financial reporting</w:t>
          </w:r>
          <w:r w:rsidR="00172002">
            <w:t xml:space="preserve"> as well as the verification of incoming reports and the preparation of </w:t>
          </w:r>
          <w:proofErr w:type="gramStart"/>
          <w:r w:rsidR="00172002">
            <w:t>reports</w:t>
          </w:r>
          <w:r>
            <w:t>;</w:t>
          </w:r>
          <w:proofErr w:type="gramEnd"/>
          <w:r>
            <w:t xml:space="preserve"> </w:t>
          </w:r>
        </w:p>
        <w:p w14:paraId="1BDF11DA" w14:textId="1100728E" w:rsidR="003A6100" w:rsidRDefault="003A6100" w:rsidP="00C504C7">
          <w:r>
            <w:t xml:space="preserve">• Contribute to the preparation of the InvestEU guarantee agreements and to the negotiation of these agreements with implementing </w:t>
          </w:r>
          <w:proofErr w:type="gramStart"/>
          <w:r>
            <w:t>partners;</w:t>
          </w:r>
          <w:proofErr w:type="gramEnd"/>
        </w:p>
        <w:p w14:paraId="409F60C8" w14:textId="3450B161" w:rsidR="00172002" w:rsidRDefault="003A6100" w:rsidP="00C504C7">
          <w:r>
            <w:t>• Contribute to the design, from a business perspective, of the InvestEU Management Information System</w:t>
          </w:r>
          <w:r w:rsidR="003059EA">
            <w:t xml:space="preserve"> (MIS</w:t>
          </w:r>
          <w:proofErr w:type="gramStart"/>
          <w:r w:rsidR="003059EA">
            <w:t>)</w:t>
          </w:r>
          <w:r>
            <w:t>;</w:t>
          </w:r>
          <w:proofErr w:type="gramEnd"/>
          <w:r>
            <w:t xml:space="preserve"> </w:t>
          </w:r>
        </w:p>
        <w:p w14:paraId="4FDC13BB" w14:textId="7A5030A2" w:rsidR="003A6100" w:rsidRDefault="003A6100" w:rsidP="00C504C7">
          <w:r>
            <w:t xml:space="preserve">• Contribute to </w:t>
          </w:r>
          <w:r w:rsidR="009B3BE9">
            <w:t xml:space="preserve">internal and external audits </w:t>
          </w:r>
          <w:r w:rsidR="009B3BE9">
            <w:t>under the responsibility of the Unit</w:t>
          </w:r>
          <w:r w:rsidR="009B3BE9">
            <w:t xml:space="preserve"> as well as </w:t>
          </w:r>
          <w:r>
            <w:t>evaluations, studies</w:t>
          </w:r>
          <w:r w:rsidR="009B3BE9">
            <w:t xml:space="preserve"> </w:t>
          </w:r>
          <w:r>
            <w:t>and mid-term reviews</w:t>
          </w:r>
          <w:r w:rsidR="009B3BE9">
            <w:t xml:space="preserve"> under the responsibility of the </w:t>
          </w:r>
          <w:proofErr w:type="gramStart"/>
          <w:r w:rsidR="009B3BE9">
            <w:t>Unit</w:t>
          </w:r>
          <w:r>
            <w:t>;</w:t>
          </w:r>
          <w:proofErr w:type="gramEnd"/>
        </w:p>
        <w:p w14:paraId="6C361C9D" w14:textId="1E77BC54" w:rsidR="003A6100" w:rsidRDefault="003A6100" w:rsidP="00C504C7">
          <w:r>
            <w:t xml:space="preserve">• Develop and maintain contacts with a network of primarily public sector authorities, financial institutions and institutional investors and actively participate in managing relationships with external </w:t>
          </w:r>
          <w:proofErr w:type="gramStart"/>
          <w:r>
            <w:t>stakeholders;</w:t>
          </w:r>
          <w:proofErr w:type="gramEnd"/>
          <w:r>
            <w:t xml:space="preserve"> </w:t>
          </w:r>
        </w:p>
        <w:p w14:paraId="66CF7601" w14:textId="77777777" w:rsidR="003A6100" w:rsidRDefault="003A6100" w:rsidP="00C504C7">
          <w:r>
            <w:t xml:space="preserve">• Draft policy papers, reports, briefings, background notes and information material on the InvestEU and other initiatives. </w:t>
          </w:r>
        </w:p>
        <w:p w14:paraId="112B11F2" w14:textId="4B5FF36D" w:rsidR="003A6100" w:rsidRPr="00AF7D78" w:rsidRDefault="00172002" w:rsidP="00C504C7">
          <w:pPr>
            <w:rPr>
              <w:lang w:val="en-US" w:eastAsia="en-GB"/>
            </w:rPr>
          </w:pPr>
          <w:r>
            <w:t>T</w:t>
          </w:r>
          <w:r w:rsidR="003A6100">
            <w:t xml:space="preserve">he candidate will </w:t>
          </w:r>
          <w:r>
            <w:t>work under the supervision of an experienced colleague</w:t>
          </w:r>
          <w:r w:rsidR="003A6100">
            <w:t xml:space="preserve"> and</w:t>
          </w:r>
          <w:r>
            <w:t xml:space="preserve"> will be</w:t>
          </w:r>
          <w:r w:rsidR="003A6100">
            <w:t xml:space="preserve"> guided by a friendly and dedicated specialised team, in close collaboration with other units in Directorate L, and other ECFIN units, Commission services and </w:t>
          </w:r>
          <w:r w:rsidR="00A348E2">
            <w:t xml:space="preserve">EU </w:t>
          </w:r>
          <w:r w:rsidR="00EB4B4F">
            <w:t>i</w:t>
          </w:r>
          <w:r w:rsidR="003A6100">
            <w:t>nstitutions.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1AC60F6" w14:textId="58CD6853" w:rsidR="003A6100" w:rsidRDefault="003A6100" w:rsidP="003A6100">
          <w:pPr>
            <w:autoSpaceDE w:val="0"/>
            <w:autoSpaceDN w:val="0"/>
            <w:adjustRightInd w:val="0"/>
            <w:spacing w:after="0"/>
            <w:jc w:val="left"/>
            <w:rPr>
              <w:rFonts w:ascii="Arial" w:hAnsi="Arial" w:cs="Arial"/>
              <w:sz w:val="20"/>
              <w:lang w:val="en-IE"/>
            </w:rPr>
          </w:pPr>
          <w:r>
            <w:rPr>
              <w:rFonts w:ascii="Arial" w:hAnsi="Arial" w:cs="Arial"/>
              <w:sz w:val="20"/>
              <w:lang w:val="en-IE"/>
            </w:rPr>
            <w:t>A dynamic person with very good analytical and numerical skills, able to work within a team but also autonomously. The ideal</w:t>
          </w:r>
          <w:r w:rsidR="00172002">
            <w:rPr>
              <w:rFonts w:ascii="Arial" w:hAnsi="Arial" w:cs="Arial"/>
              <w:sz w:val="20"/>
              <w:lang w:val="en-IE"/>
            </w:rPr>
            <w:t xml:space="preserve"> </w:t>
          </w:r>
          <w:r>
            <w:rPr>
              <w:rFonts w:ascii="Arial" w:hAnsi="Arial" w:cs="Arial"/>
              <w:sz w:val="20"/>
              <w:lang w:val="en-IE"/>
            </w:rPr>
            <w:t>candidate would hold a degree in economics, finance, business studies, accounting or similar.</w:t>
          </w:r>
        </w:p>
        <w:p w14:paraId="5B280F38" w14:textId="77777777" w:rsidR="00FC7C9E" w:rsidRDefault="00FC7C9E" w:rsidP="003A6100">
          <w:pPr>
            <w:autoSpaceDE w:val="0"/>
            <w:autoSpaceDN w:val="0"/>
            <w:adjustRightInd w:val="0"/>
            <w:spacing w:after="0"/>
            <w:jc w:val="left"/>
            <w:rPr>
              <w:rFonts w:ascii="Arial" w:hAnsi="Arial" w:cs="Arial"/>
              <w:sz w:val="20"/>
              <w:lang w:val="en-IE"/>
            </w:rPr>
          </w:pPr>
        </w:p>
        <w:p w14:paraId="0DE8C618" w14:textId="6FB7DF77" w:rsidR="00172002" w:rsidRDefault="003A6100" w:rsidP="003A6100">
          <w:pPr>
            <w:autoSpaceDE w:val="0"/>
            <w:autoSpaceDN w:val="0"/>
            <w:adjustRightInd w:val="0"/>
            <w:spacing w:after="0"/>
            <w:jc w:val="left"/>
            <w:rPr>
              <w:rFonts w:ascii="Arial" w:hAnsi="Arial" w:cs="Arial"/>
              <w:sz w:val="20"/>
              <w:lang w:val="en-IE"/>
            </w:rPr>
          </w:pPr>
          <w:r>
            <w:rPr>
              <w:rFonts w:ascii="Arial" w:hAnsi="Arial" w:cs="Arial"/>
              <w:sz w:val="20"/>
              <w:lang w:val="en-IE"/>
            </w:rPr>
            <w:lastRenderedPageBreak/>
            <w:t xml:space="preserve">At least </w:t>
          </w:r>
          <w:r w:rsidR="001E3485">
            <w:rPr>
              <w:rFonts w:ascii="Arial" w:hAnsi="Arial" w:cs="Arial"/>
              <w:sz w:val="20"/>
              <w:lang w:val="en-IE"/>
            </w:rPr>
            <w:t>5</w:t>
          </w:r>
          <w:r>
            <w:rPr>
              <w:rFonts w:ascii="Arial" w:hAnsi="Arial" w:cs="Arial"/>
              <w:sz w:val="20"/>
              <w:lang w:val="en-IE"/>
            </w:rPr>
            <w:t xml:space="preserve"> </w:t>
          </w:r>
          <w:proofErr w:type="gramStart"/>
          <w:r>
            <w:rPr>
              <w:rFonts w:ascii="Arial" w:hAnsi="Arial" w:cs="Arial"/>
              <w:sz w:val="20"/>
              <w:lang w:val="en-IE"/>
            </w:rPr>
            <w:t>years'</w:t>
          </w:r>
          <w:proofErr w:type="gramEnd"/>
          <w:r>
            <w:rPr>
              <w:rFonts w:ascii="Arial" w:hAnsi="Arial" w:cs="Arial"/>
              <w:sz w:val="20"/>
              <w:lang w:val="en-IE"/>
            </w:rPr>
            <w:t xml:space="preserve"> of relevant professional experience in the financial/banking sector would be desirable. </w:t>
          </w:r>
        </w:p>
        <w:p w14:paraId="37F17581" w14:textId="77777777" w:rsidR="00FC7C9E" w:rsidRDefault="00FC7C9E" w:rsidP="003A6100">
          <w:pPr>
            <w:autoSpaceDE w:val="0"/>
            <w:autoSpaceDN w:val="0"/>
            <w:adjustRightInd w:val="0"/>
            <w:spacing w:after="0"/>
            <w:jc w:val="left"/>
            <w:rPr>
              <w:rFonts w:ascii="Arial" w:hAnsi="Arial" w:cs="Arial"/>
              <w:sz w:val="20"/>
              <w:lang w:val="en-IE"/>
            </w:rPr>
          </w:pPr>
        </w:p>
        <w:p w14:paraId="588E1E03" w14:textId="69E1B01C" w:rsidR="003A6100" w:rsidRDefault="003A6100" w:rsidP="003A6100">
          <w:pPr>
            <w:autoSpaceDE w:val="0"/>
            <w:autoSpaceDN w:val="0"/>
            <w:adjustRightInd w:val="0"/>
            <w:spacing w:after="0"/>
            <w:jc w:val="left"/>
            <w:rPr>
              <w:rFonts w:ascii="Arial" w:hAnsi="Arial" w:cs="Arial"/>
              <w:sz w:val="20"/>
              <w:lang w:val="en-IE"/>
            </w:rPr>
          </w:pPr>
          <w:r>
            <w:rPr>
              <w:rFonts w:ascii="Arial" w:hAnsi="Arial" w:cs="Arial"/>
              <w:sz w:val="20"/>
              <w:lang w:val="en-IE"/>
            </w:rPr>
            <w:t>Demonstrated</w:t>
          </w:r>
          <w:r w:rsidR="00172002">
            <w:rPr>
              <w:rFonts w:ascii="Arial" w:hAnsi="Arial" w:cs="Arial"/>
              <w:sz w:val="20"/>
              <w:lang w:val="en-IE"/>
            </w:rPr>
            <w:t xml:space="preserve"> </w:t>
          </w:r>
          <w:r>
            <w:rPr>
              <w:rFonts w:ascii="Arial" w:hAnsi="Arial" w:cs="Arial"/>
              <w:sz w:val="20"/>
              <w:lang w:val="en-IE"/>
            </w:rPr>
            <w:t xml:space="preserve">experience </w:t>
          </w:r>
          <w:proofErr w:type="gramStart"/>
          <w:r>
            <w:rPr>
              <w:rFonts w:ascii="Arial" w:hAnsi="Arial" w:cs="Arial"/>
              <w:sz w:val="20"/>
              <w:lang w:val="en-IE"/>
            </w:rPr>
            <w:t>in the area of</w:t>
          </w:r>
          <w:proofErr w:type="gramEnd"/>
          <w:r>
            <w:rPr>
              <w:rFonts w:ascii="Arial" w:hAnsi="Arial" w:cs="Arial"/>
              <w:sz w:val="20"/>
              <w:lang w:val="en-IE"/>
            </w:rPr>
            <w:t xml:space="preserve"> reporting and financial management of guarantees and/or</w:t>
          </w:r>
          <w:r w:rsidR="00172002">
            <w:rPr>
              <w:rFonts w:ascii="Arial" w:hAnsi="Arial" w:cs="Arial"/>
              <w:sz w:val="20"/>
              <w:lang w:val="en-IE"/>
            </w:rPr>
            <w:t xml:space="preserve"> </w:t>
          </w:r>
          <w:r>
            <w:rPr>
              <w:rFonts w:ascii="Arial" w:hAnsi="Arial" w:cs="Arial"/>
              <w:sz w:val="20"/>
              <w:lang w:val="en-IE"/>
            </w:rPr>
            <w:t>financial instruments and hands-on experience in working in/with international financial institutions and/or national promotional</w:t>
          </w:r>
          <w:r w:rsidR="00172002">
            <w:rPr>
              <w:rFonts w:ascii="Arial" w:hAnsi="Arial" w:cs="Arial"/>
              <w:sz w:val="20"/>
              <w:lang w:val="en-IE"/>
            </w:rPr>
            <w:t xml:space="preserve"> </w:t>
          </w:r>
          <w:r>
            <w:rPr>
              <w:rFonts w:ascii="Arial" w:hAnsi="Arial" w:cs="Arial"/>
              <w:sz w:val="20"/>
              <w:lang w:val="en-IE"/>
            </w:rPr>
            <w:t>institutions, as well as knowledge</w:t>
          </w:r>
          <w:r w:rsidR="00C25DF9">
            <w:rPr>
              <w:rFonts w:ascii="Arial" w:hAnsi="Arial" w:cs="Arial"/>
              <w:sz w:val="20"/>
              <w:lang w:val="en-IE"/>
            </w:rPr>
            <w:t xml:space="preserve"> of </w:t>
          </w:r>
          <w:bookmarkStart w:id="3" w:name="_Hlk143096354"/>
          <w:r w:rsidR="00C25DF9">
            <w:rPr>
              <w:rFonts w:ascii="Arial" w:hAnsi="Arial" w:cs="Arial"/>
              <w:sz w:val="20"/>
              <w:lang w:val="en-IE"/>
            </w:rPr>
            <w:t xml:space="preserve">the </w:t>
          </w:r>
          <w:r w:rsidR="00314721">
            <w:rPr>
              <w:rFonts w:ascii="Arial" w:hAnsi="Arial" w:cs="Arial"/>
              <w:sz w:val="20"/>
              <w:lang w:val="en-IE"/>
            </w:rPr>
            <w:t>Financial Regulation</w:t>
          </w:r>
          <w:bookmarkEnd w:id="3"/>
          <w:r w:rsidR="00314721">
            <w:rPr>
              <w:rFonts w:ascii="Arial" w:hAnsi="Arial" w:cs="Arial"/>
              <w:sz w:val="20"/>
              <w:lang w:val="en-IE"/>
            </w:rPr>
            <w:t xml:space="preserve">, the </w:t>
          </w:r>
          <w:r w:rsidR="00C25DF9">
            <w:rPr>
              <w:rFonts w:ascii="Arial" w:hAnsi="Arial" w:cs="Arial"/>
              <w:sz w:val="20"/>
              <w:lang w:val="en-IE"/>
            </w:rPr>
            <w:t>EU Budget processes and</w:t>
          </w:r>
          <w:r>
            <w:rPr>
              <w:rFonts w:ascii="Arial" w:hAnsi="Arial" w:cs="Arial"/>
              <w:sz w:val="20"/>
              <w:lang w:val="en-IE"/>
            </w:rPr>
            <w:t xml:space="preserve"> of IFRS/IPSAS accounting frameworks would be a strong advantage.</w:t>
          </w:r>
        </w:p>
        <w:p w14:paraId="5485EE11" w14:textId="77777777" w:rsidR="00FC7C9E" w:rsidRDefault="00FC7C9E" w:rsidP="003A6100">
          <w:pPr>
            <w:autoSpaceDE w:val="0"/>
            <w:autoSpaceDN w:val="0"/>
            <w:adjustRightInd w:val="0"/>
            <w:spacing w:after="0"/>
            <w:jc w:val="left"/>
            <w:rPr>
              <w:rFonts w:ascii="Arial" w:hAnsi="Arial" w:cs="Arial"/>
              <w:sz w:val="20"/>
              <w:lang w:val="en-IE"/>
            </w:rPr>
          </w:pPr>
        </w:p>
        <w:p w14:paraId="2A28BEC3" w14:textId="77777777" w:rsidR="00FC7C9E" w:rsidRDefault="003A6100" w:rsidP="00FC7C9E">
          <w:pPr>
            <w:autoSpaceDE w:val="0"/>
            <w:autoSpaceDN w:val="0"/>
            <w:adjustRightInd w:val="0"/>
            <w:spacing w:after="0"/>
            <w:jc w:val="left"/>
            <w:rPr>
              <w:rFonts w:ascii="Arial" w:hAnsi="Arial" w:cs="Arial"/>
              <w:sz w:val="20"/>
              <w:lang w:val="en-IE"/>
            </w:rPr>
          </w:pPr>
          <w:r>
            <w:rPr>
              <w:rFonts w:ascii="Arial" w:hAnsi="Arial" w:cs="Arial"/>
              <w:sz w:val="20"/>
              <w:lang w:val="en-IE"/>
            </w:rPr>
            <w:t>The person should have the ability to make sound judgments as well as the ability to work to tight deadlines and to respond</w:t>
          </w:r>
          <w:r w:rsidR="00FC7C9E">
            <w:rPr>
              <w:rFonts w:ascii="Arial" w:hAnsi="Arial" w:cs="Arial"/>
              <w:sz w:val="20"/>
              <w:lang w:val="en-IE"/>
            </w:rPr>
            <w:t xml:space="preserve"> </w:t>
          </w:r>
          <w:r>
            <w:rPr>
              <w:rFonts w:ascii="Arial" w:hAnsi="Arial" w:cs="Arial"/>
              <w:sz w:val="20"/>
              <w:lang w:val="en-IE"/>
            </w:rPr>
            <w:t>swiftly and effectively to unforeseen situations. S/he should possess very good drafting and communication skills: ability to</w:t>
          </w:r>
          <w:r w:rsidR="00FC7C9E">
            <w:rPr>
              <w:rFonts w:ascii="Arial" w:hAnsi="Arial" w:cs="Arial"/>
              <w:sz w:val="20"/>
              <w:lang w:val="en-IE"/>
            </w:rPr>
            <w:t xml:space="preserve"> </w:t>
          </w:r>
          <w:r>
            <w:rPr>
              <w:rFonts w:ascii="Arial" w:hAnsi="Arial" w:cs="Arial"/>
              <w:sz w:val="20"/>
              <w:lang w:val="en-IE"/>
            </w:rPr>
            <w:t xml:space="preserve">produce clear and concise reports and an aptitude for communicating with stakeholders inside and outside the Commission, </w:t>
          </w:r>
          <w:proofErr w:type="gramStart"/>
          <w:r>
            <w:rPr>
              <w:rFonts w:ascii="Arial" w:hAnsi="Arial" w:cs="Arial"/>
              <w:sz w:val="20"/>
              <w:lang w:val="en-IE"/>
            </w:rPr>
            <w:t>in</w:t>
          </w:r>
          <w:r w:rsidR="00FC7C9E">
            <w:rPr>
              <w:rFonts w:ascii="Arial" w:hAnsi="Arial" w:cs="Arial"/>
              <w:sz w:val="20"/>
              <w:lang w:val="en-IE"/>
            </w:rPr>
            <w:t xml:space="preserve"> </w:t>
          </w:r>
          <w:r>
            <w:rPr>
              <w:rFonts w:ascii="Arial" w:hAnsi="Arial" w:cs="Arial"/>
              <w:sz w:val="20"/>
              <w:lang w:val="en-IE"/>
            </w:rPr>
            <w:t>particular with</w:t>
          </w:r>
          <w:proofErr w:type="gramEnd"/>
          <w:r>
            <w:rPr>
              <w:rFonts w:ascii="Arial" w:hAnsi="Arial" w:cs="Arial"/>
              <w:sz w:val="20"/>
              <w:lang w:val="en-IE"/>
            </w:rPr>
            <w:t xml:space="preserve"> financial institutions. </w:t>
          </w:r>
        </w:p>
        <w:p w14:paraId="27112BE3" w14:textId="77777777" w:rsidR="00FC7C9E" w:rsidRDefault="00FC7C9E" w:rsidP="00FC7C9E">
          <w:pPr>
            <w:autoSpaceDE w:val="0"/>
            <w:autoSpaceDN w:val="0"/>
            <w:adjustRightInd w:val="0"/>
            <w:spacing w:after="0"/>
            <w:jc w:val="left"/>
            <w:rPr>
              <w:rFonts w:ascii="Arial" w:hAnsi="Arial" w:cs="Arial"/>
              <w:sz w:val="20"/>
              <w:lang w:val="en-IE"/>
            </w:rPr>
          </w:pPr>
        </w:p>
        <w:p w14:paraId="51994EDB" w14:textId="782B0FFC" w:rsidR="002E40A9" w:rsidRPr="00AF7D78" w:rsidRDefault="003A6100" w:rsidP="00FC7C9E">
          <w:pPr>
            <w:autoSpaceDE w:val="0"/>
            <w:autoSpaceDN w:val="0"/>
            <w:adjustRightInd w:val="0"/>
            <w:spacing w:after="0"/>
            <w:jc w:val="left"/>
            <w:rPr>
              <w:lang w:val="en-US" w:eastAsia="en-GB"/>
            </w:rPr>
          </w:pPr>
          <w:r>
            <w:rPr>
              <w:rFonts w:ascii="Arial" w:hAnsi="Arial" w:cs="Arial"/>
              <w:sz w:val="20"/>
              <w:lang w:val="en-IE"/>
            </w:rPr>
            <w:t xml:space="preserve">An excellent command of English is </w:t>
          </w:r>
          <w:proofErr w:type="gramStart"/>
          <w:r>
            <w:rPr>
              <w:rFonts w:ascii="Arial" w:hAnsi="Arial" w:cs="Arial"/>
              <w:sz w:val="20"/>
              <w:lang w:val="en-IE"/>
            </w:rPr>
            <w:t>essential</w:t>
          </w:r>
          <w:proofErr w:type="gramEnd"/>
          <w:r>
            <w:rPr>
              <w:rFonts w:ascii="Arial" w:hAnsi="Arial" w:cs="Arial"/>
              <w:sz w:val="20"/>
              <w:lang w:val="en-IE"/>
            </w:rPr>
            <w:t xml:space="preserve"> and knowledge of other EU languages would</w:t>
          </w:r>
          <w:r w:rsidR="00FC7C9E">
            <w:rPr>
              <w:rFonts w:ascii="Arial" w:hAnsi="Arial" w:cs="Arial"/>
              <w:sz w:val="20"/>
              <w:lang w:val="en-IE"/>
            </w:rPr>
            <w:t xml:space="preserve"> </w:t>
          </w:r>
          <w:r>
            <w:rPr>
              <w:rFonts w:ascii="Arial" w:hAnsi="Arial" w:cs="Arial"/>
              <w:sz w:val="20"/>
              <w:lang w:val="en-IE"/>
            </w:rPr>
            <w:t>be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0B7D" w14:textId="77777777" w:rsidR="0040316B" w:rsidRDefault="0040316B">
      <w:pPr>
        <w:spacing w:after="0"/>
      </w:pPr>
      <w:r>
        <w:separator/>
      </w:r>
    </w:p>
  </w:endnote>
  <w:endnote w:type="continuationSeparator" w:id="0">
    <w:p w14:paraId="4294776A" w14:textId="77777777" w:rsidR="0040316B" w:rsidRDefault="00403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C236" w14:textId="77777777" w:rsidR="0040316B" w:rsidRDefault="0040316B">
      <w:pPr>
        <w:spacing w:after="0"/>
      </w:pPr>
      <w:r>
        <w:separator/>
      </w:r>
    </w:p>
  </w:footnote>
  <w:footnote w:type="continuationSeparator" w:id="0">
    <w:p w14:paraId="5B9DE93A" w14:textId="77777777" w:rsidR="0040316B" w:rsidRDefault="0040316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12515038">
    <w:abstractNumId w:val="1"/>
  </w:num>
  <w:num w:numId="2" w16cid:durableId="1277834671">
    <w:abstractNumId w:val="14"/>
  </w:num>
  <w:num w:numId="3" w16cid:durableId="1164662613">
    <w:abstractNumId w:val="9"/>
  </w:num>
  <w:num w:numId="4" w16cid:durableId="1673026729">
    <w:abstractNumId w:val="15"/>
  </w:num>
  <w:num w:numId="5" w16cid:durableId="1200245918">
    <w:abstractNumId w:val="20"/>
  </w:num>
  <w:num w:numId="6" w16cid:durableId="305625235">
    <w:abstractNumId w:val="22"/>
  </w:num>
  <w:num w:numId="7" w16cid:durableId="536895806">
    <w:abstractNumId w:val="2"/>
  </w:num>
  <w:num w:numId="8" w16cid:durableId="778448085">
    <w:abstractNumId w:val="8"/>
  </w:num>
  <w:num w:numId="9" w16cid:durableId="1930111624">
    <w:abstractNumId w:val="17"/>
  </w:num>
  <w:num w:numId="10" w16cid:durableId="1731997237">
    <w:abstractNumId w:val="3"/>
  </w:num>
  <w:num w:numId="11" w16cid:durableId="613950348">
    <w:abstractNumId w:val="5"/>
  </w:num>
  <w:num w:numId="12" w16cid:durableId="837385868">
    <w:abstractNumId w:val="6"/>
  </w:num>
  <w:num w:numId="13" w16cid:durableId="637953859">
    <w:abstractNumId w:val="10"/>
  </w:num>
  <w:num w:numId="14" w16cid:durableId="1759054339">
    <w:abstractNumId w:val="16"/>
  </w:num>
  <w:num w:numId="15" w16cid:durableId="61564308">
    <w:abstractNumId w:val="19"/>
  </w:num>
  <w:num w:numId="16" w16cid:durableId="1644650676">
    <w:abstractNumId w:val="23"/>
  </w:num>
  <w:num w:numId="17" w16cid:durableId="794064872">
    <w:abstractNumId w:val="11"/>
  </w:num>
  <w:num w:numId="18" w16cid:durableId="646014770">
    <w:abstractNumId w:val="12"/>
  </w:num>
  <w:num w:numId="19" w16cid:durableId="1448770626">
    <w:abstractNumId w:val="24"/>
  </w:num>
  <w:num w:numId="20" w16cid:durableId="716205709">
    <w:abstractNumId w:val="18"/>
  </w:num>
  <w:num w:numId="21" w16cid:durableId="1057389994">
    <w:abstractNumId w:val="21"/>
  </w:num>
  <w:num w:numId="22" w16cid:durableId="1438327222">
    <w:abstractNumId w:val="4"/>
  </w:num>
  <w:num w:numId="23" w16cid:durableId="88308500">
    <w:abstractNumId w:val="7"/>
  </w:num>
  <w:num w:numId="24" w16cid:durableId="925727828">
    <w:abstractNumId w:val="13"/>
  </w:num>
  <w:num w:numId="25" w16cid:durableId="1367100827">
    <w:abstractNumId w:val="3"/>
  </w:num>
  <w:num w:numId="26" w16cid:durableId="784809036">
    <w:abstractNumId w:val="3"/>
  </w:num>
  <w:num w:numId="27" w16cid:durableId="165394543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676351545">
    <w:abstractNumId w:val="3"/>
  </w:num>
  <w:num w:numId="29" w16cid:durableId="527107646">
    <w:abstractNumId w:val="3"/>
  </w:num>
  <w:num w:numId="30" w16cid:durableId="1499151235">
    <w:abstractNumId w:val="3"/>
  </w:num>
  <w:num w:numId="31" w16cid:durableId="343946192">
    <w:abstractNumId w:val="3"/>
  </w:num>
  <w:num w:numId="32" w16cid:durableId="209656441">
    <w:abstractNumId w:val="3"/>
  </w:num>
  <w:num w:numId="33" w16cid:durableId="105277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0D46"/>
    <w:rsid w:val="00111AB6"/>
    <w:rsid w:val="00172002"/>
    <w:rsid w:val="001C685F"/>
    <w:rsid w:val="001D0A81"/>
    <w:rsid w:val="001E3485"/>
    <w:rsid w:val="002109E6"/>
    <w:rsid w:val="00252050"/>
    <w:rsid w:val="002B3CBF"/>
    <w:rsid w:val="002C49D0"/>
    <w:rsid w:val="002E40A9"/>
    <w:rsid w:val="003059EA"/>
    <w:rsid w:val="00314721"/>
    <w:rsid w:val="00390C14"/>
    <w:rsid w:val="00394447"/>
    <w:rsid w:val="003A6100"/>
    <w:rsid w:val="003E50A4"/>
    <w:rsid w:val="0040316B"/>
    <w:rsid w:val="0040388A"/>
    <w:rsid w:val="004261D6"/>
    <w:rsid w:val="00431778"/>
    <w:rsid w:val="00454CC7"/>
    <w:rsid w:val="00476034"/>
    <w:rsid w:val="005168AD"/>
    <w:rsid w:val="0058240F"/>
    <w:rsid w:val="00592CD5"/>
    <w:rsid w:val="005D1B85"/>
    <w:rsid w:val="0060086B"/>
    <w:rsid w:val="00665583"/>
    <w:rsid w:val="00693BC6"/>
    <w:rsid w:val="00696070"/>
    <w:rsid w:val="007A02E7"/>
    <w:rsid w:val="007E531E"/>
    <w:rsid w:val="007F02AC"/>
    <w:rsid w:val="007F7012"/>
    <w:rsid w:val="008D02B7"/>
    <w:rsid w:val="008F0B52"/>
    <w:rsid w:val="008F4BA9"/>
    <w:rsid w:val="009907F8"/>
    <w:rsid w:val="00994062"/>
    <w:rsid w:val="00996CC6"/>
    <w:rsid w:val="009A1EA0"/>
    <w:rsid w:val="009A2F00"/>
    <w:rsid w:val="009B3BE9"/>
    <w:rsid w:val="009C5E27"/>
    <w:rsid w:val="00A033AD"/>
    <w:rsid w:val="00A348E2"/>
    <w:rsid w:val="00AB2CEA"/>
    <w:rsid w:val="00AF6424"/>
    <w:rsid w:val="00B24CC5"/>
    <w:rsid w:val="00B3644B"/>
    <w:rsid w:val="00B65513"/>
    <w:rsid w:val="00B72188"/>
    <w:rsid w:val="00B73F08"/>
    <w:rsid w:val="00B8014C"/>
    <w:rsid w:val="00BE692A"/>
    <w:rsid w:val="00C06724"/>
    <w:rsid w:val="00C25DF9"/>
    <w:rsid w:val="00C3254D"/>
    <w:rsid w:val="00C504C7"/>
    <w:rsid w:val="00C75BA4"/>
    <w:rsid w:val="00CB5B61"/>
    <w:rsid w:val="00CC3BAE"/>
    <w:rsid w:val="00CD2C5A"/>
    <w:rsid w:val="00D03CF4"/>
    <w:rsid w:val="00D12756"/>
    <w:rsid w:val="00D34CE4"/>
    <w:rsid w:val="00D7090C"/>
    <w:rsid w:val="00D84D53"/>
    <w:rsid w:val="00D96984"/>
    <w:rsid w:val="00DD41ED"/>
    <w:rsid w:val="00DF1E49"/>
    <w:rsid w:val="00E21DBD"/>
    <w:rsid w:val="00E342CB"/>
    <w:rsid w:val="00E41704"/>
    <w:rsid w:val="00E44D7F"/>
    <w:rsid w:val="00E82667"/>
    <w:rsid w:val="00EB3147"/>
    <w:rsid w:val="00EB4B4F"/>
    <w:rsid w:val="00EC5D38"/>
    <w:rsid w:val="00F4683D"/>
    <w:rsid w:val="00F6462F"/>
    <w:rsid w:val="00F91B73"/>
    <w:rsid w:val="00F93413"/>
    <w:rsid w:val="00FC7C9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9930594">
    <w:abstractNumId w:val="0"/>
  </w:num>
  <w:num w:numId="2" w16cid:durableId="16771660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45175"/>
    <w:rsid w:val="001E3B1B"/>
    <w:rsid w:val="006212B2"/>
    <w:rsid w:val="006F0611"/>
    <w:rsid w:val="007F7378"/>
    <w:rsid w:val="00893390"/>
    <w:rsid w:val="00894A0C"/>
    <w:rsid w:val="00AA733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7A3C6D55-1AF6-449B-857D-C7A32EBC765D}">
  <ds:schemaRef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20</TotalTime>
  <Pages>4</Pages>
  <Words>1281</Words>
  <Characters>7431</Characters>
  <Application>Microsoft Office Word</Application>
  <DocSecurity>0</DocSecurity>
  <PresentationFormat>Microsoft Word 14.0</PresentationFormat>
  <Lines>181</Lines>
  <Paragraphs>92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TANASA Alina (ECFIN)</cp:lastModifiedBy>
  <cp:revision>10</cp:revision>
  <cp:lastPrinted>2023-04-05T10:36:00Z</cp:lastPrinted>
  <dcterms:created xsi:type="dcterms:W3CDTF">2023-08-16T14:17:00Z</dcterms:created>
  <dcterms:modified xsi:type="dcterms:W3CDTF">2023-08-16T14:45:00Z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