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F7" w:rsidRDefault="00076FF7" w:rsidP="00F3274F">
      <w:pPr>
        <w:tabs>
          <w:tab w:val="center" w:pos="1900"/>
          <w:tab w:val="center" w:pos="6395"/>
        </w:tabs>
        <w:spacing w:after="0" w:line="259" w:lineRule="auto"/>
        <w:ind w:left="57" w:firstLine="0"/>
        <w:jc w:val="left"/>
        <w:rPr>
          <w:rFonts w:ascii="Calibri" w:eastAsia="Calibri" w:hAnsi="Calibri" w:cs="Calibri"/>
          <w:sz w:val="22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095500" cy="448171"/>
            <wp:effectExtent l="0" t="0" r="0" b="9525"/>
            <wp:docPr id="6" name="Picture 6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76FF7" w:rsidRPr="008F3500" w:rsidRDefault="00076FF7" w:rsidP="00F3274F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ind w:left="851" w:firstLine="0"/>
        <w:rPr>
          <w:sz w:val="16"/>
        </w:rPr>
      </w:pPr>
      <w:r>
        <w:rPr>
          <w:sz w:val="16"/>
        </w:rPr>
        <w:t>Prešernova cesta 25</w:t>
      </w:r>
      <w:r w:rsidRPr="008F3500">
        <w:rPr>
          <w:sz w:val="16"/>
        </w:rPr>
        <w:t xml:space="preserve">, </w:t>
      </w:r>
      <w:r>
        <w:rPr>
          <w:sz w:val="16"/>
        </w:rPr>
        <w:t>1000 Ljubljana</w:t>
      </w:r>
      <w:r w:rsidRPr="008F3500">
        <w:rPr>
          <w:sz w:val="16"/>
        </w:rPr>
        <w:tab/>
        <w:t xml:space="preserve">T: </w:t>
      </w:r>
      <w:r>
        <w:rPr>
          <w:sz w:val="16"/>
        </w:rPr>
        <w:t>01 478 2000</w:t>
      </w:r>
    </w:p>
    <w:p w:rsidR="00076FF7" w:rsidRPr="008F3500" w:rsidRDefault="00076FF7" w:rsidP="00F3274F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ind w:left="851" w:firstLine="0"/>
        <w:rPr>
          <w:sz w:val="16"/>
        </w:rPr>
      </w:pPr>
      <w:r w:rsidRPr="008F3500">
        <w:rPr>
          <w:sz w:val="16"/>
        </w:rPr>
        <w:t xml:space="preserve">F: </w:t>
      </w:r>
      <w:r>
        <w:rPr>
          <w:sz w:val="16"/>
        </w:rPr>
        <w:t>01 478 2340, 01 478 2341</w:t>
      </w:r>
      <w:r w:rsidRPr="008F3500">
        <w:rPr>
          <w:sz w:val="16"/>
        </w:rPr>
        <w:t xml:space="preserve"> </w:t>
      </w:r>
    </w:p>
    <w:p w:rsidR="00076FF7" w:rsidRPr="008F3500" w:rsidRDefault="00076FF7" w:rsidP="00F3274F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ind w:left="851" w:firstLine="0"/>
        <w:rPr>
          <w:sz w:val="16"/>
        </w:rPr>
      </w:pPr>
      <w:r w:rsidRPr="008F3500">
        <w:rPr>
          <w:sz w:val="16"/>
        </w:rPr>
        <w:t xml:space="preserve">E: </w:t>
      </w:r>
      <w:r>
        <w:rPr>
          <w:sz w:val="16"/>
        </w:rPr>
        <w:t>gp.mzz@gov.si</w:t>
      </w:r>
    </w:p>
    <w:p w:rsidR="00076FF7" w:rsidRPr="00F00786" w:rsidRDefault="00076FF7" w:rsidP="00F3274F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ind w:left="851" w:firstLine="0"/>
        <w:rPr>
          <w:sz w:val="16"/>
        </w:rPr>
      </w:pPr>
      <w:r>
        <w:rPr>
          <w:sz w:val="16"/>
        </w:rPr>
        <w:t>www.mzz.gov.si</w:t>
      </w:r>
    </w:p>
    <w:p w:rsidR="0077078D" w:rsidRDefault="0077078D" w:rsidP="00F3274F">
      <w:pPr>
        <w:tabs>
          <w:tab w:val="center" w:pos="1900"/>
          <w:tab w:val="center" w:pos="6395"/>
        </w:tabs>
        <w:spacing w:after="43" w:line="259" w:lineRule="auto"/>
        <w:ind w:left="851" w:firstLine="0"/>
        <w:jc w:val="left"/>
      </w:pPr>
    </w:p>
    <w:p w:rsidR="0077078D" w:rsidRDefault="0077078D" w:rsidP="00F3274F">
      <w:pPr>
        <w:spacing w:after="14" w:line="259" w:lineRule="auto"/>
        <w:ind w:left="851" w:firstLine="0"/>
        <w:jc w:val="left"/>
      </w:pPr>
    </w:p>
    <w:p w:rsidR="0077078D" w:rsidRDefault="0077078D" w:rsidP="00F3274F">
      <w:pPr>
        <w:spacing w:after="12" w:line="259" w:lineRule="auto"/>
        <w:ind w:left="851" w:firstLine="0"/>
        <w:jc w:val="left"/>
      </w:pPr>
    </w:p>
    <w:p w:rsidR="0077078D" w:rsidRDefault="0077078D" w:rsidP="00F3274F">
      <w:pPr>
        <w:spacing w:after="25" w:line="259" w:lineRule="auto"/>
        <w:ind w:left="851" w:firstLine="0"/>
        <w:jc w:val="left"/>
      </w:pPr>
    </w:p>
    <w:p w:rsidR="0077078D" w:rsidRDefault="00FE68B9" w:rsidP="00F3274F">
      <w:pPr>
        <w:tabs>
          <w:tab w:val="center" w:pos="1042"/>
          <w:tab w:val="center" w:pos="2922"/>
        </w:tabs>
        <w:spacing w:after="27"/>
        <w:ind w:left="851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A6600">
        <w:t>Datum:</w:t>
      </w:r>
      <w:r w:rsidR="00AA6600">
        <w:tab/>
        <w:t>16. 5. 2024</w:t>
      </w:r>
      <w:r>
        <w:t xml:space="preserve">  </w:t>
      </w:r>
    </w:p>
    <w:p w:rsidR="0077078D" w:rsidRDefault="00FE68B9">
      <w:pPr>
        <w:spacing w:after="12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spacing w:after="14" w:line="259" w:lineRule="auto"/>
        <w:ind w:left="720" w:firstLine="0"/>
        <w:jc w:val="left"/>
      </w:pPr>
      <w:r>
        <w:t xml:space="preserve"> </w:t>
      </w:r>
    </w:p>
    <w:p w:rsidR="0077078D" w:rsidRDefault="00FE68B9" w:rsidP="006A358C">
      <w:pPr>
        <w:spacing w:after="12" w:line="259" w:lineRule="auto"/>
        <w:ind w:left="772" w:firstLine="0"/>
        <w:jc w:val="center"/>
      </w:pPr>
      <w:r>
        <w:t xml:space="preserve"> </w:t>
      </w:r>
    </w:p>
    <w:p w:rsidR="0077078D" w:rsidRDefault="00FE68B9">
      <w:pPr>
        <w:spacing w:after="14" w:line="259" w:lineRule="auto"/>
        <w:ind w:left="772" w:firstLine="0"/>
        <w:jc w:val="center"/>
      </w:pPr>
      <w:r>
        <w:rPr>
          <w:b/>
        </w:rPr>
        <w:t xml:space="preserve"> </w:t>
      </w:r>
    </w:p>
    <w:p w:rsidR="0077078D" w:rsidRDefault="00FE68B9">
      <w:pPr>
        <w:spacing w:line="259" w:lineRule="auto"/>
        <w:ind w:left="725" w:right="3"/>
        <w:jc w:val="center"/>
      </w:pPr>
      <w:r>
        <w:rPr>
          <w:b/>
        </w:rPr>
        <w:t xml:space="preserve">OBVESTILO POSAMEZNIKOM PO 13. ČLENU SPLOŠNE UREDBE O VARSTVU </w:t>
      </w:r>
    </w:p>
    <w:p w:rsidR="0077078D" w:rsidRDefault="00FE68B9">
      <w:pPr>
        <w:spacing w:line="259" w:lineRule="auto"/>
        <w:ind w:left="725"/>
        <w:jc w:val="center"/>
      </w:pPr>
      <w:r>
        <w:rPr>
          <w:b/>
        </w:rPr>
        <w:t>PODATKOV</w:t>
      </w:r>
      <w:r>
        <w:rPr>
          <w:b/>
          <w:vertAlign w:val="superscript"/>
        </w:rPr>
        <w:footnoteReference w:id="1"/>
      </w:r>
      <w:r>
        <w:rPr>
          <w:b/>
        </w:rPr>
        <w:t xml:space="preserve"> GLEDE OBDELAVE OSEBNIH PODATKOV V </w:t>
      </w:r>
    </w:p>
    <w:p w:rsidR="0077078D" w:rsidRDefault="00FE68B9">
      <w:pPr>
        <w:spacing w:after="0" w:line="427" w:lineRule="auto"/>
        <w:ind w:left="720" w:right="7725" w:firstLine="0"/>
        <w:jc w:val="left"/>
      </w:pPr>
      <w:r>
        <w:t xml:space="preserve">  </w:t>
      </w:r>
    </w:p>
    <w:p w:rsidR="0077078D" w:rsidRDefault="00FE68B9">
      <w:pPr>
        <w:pStyle w:val="Heading1"/>
      </w:pPr>
      <w:r>
        <w:t>EVIDENCI VIDEONADZORA NA MINISTRSTVU ZA</w:t>
      </w:r>
      <w:r>
        <w:rPr>
          <w:b w:val="0"/>
          <w:color w:val="000000"/>
          <w:sz w:val="20"/>
        </w:rPr>
        <w:t xml:space="preserve"> </w:t>
      </w:r>
      <w:r>
        <w:t>Z</w:t>
      </w:r>
      <w:r w:rsidR="00153E6F">
        <w:t>UNANJE IN EVROPSKE ZADEVE</w:t>
      </w:r>
    </w:p>
    <w:p w:rsidR="0077078D" w:rsidRDefault="00FE68B9">
      <w:pPr>
        <w:spacing w:after="0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spacing w:after="0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Upravljavec zbirke osebnih podatkov:</w:t>
      </w:r>
      <w:r>
        <w:t xml:space="preserve">  </w:t>
      </w:r>
    </w:p>
    <w:p w:rsidR="0077078D" w:rsidRDefault="00FE68B9" w:rsidP="003B2F9E">
      <w:pPr>
        <w:ind w:left="1435"/>
        <w:jc w:val="left"/>
      </w:pPr>
      <w:r>
        <w:t xml:space="preserve">Ministrstvo za </w:t>
      </w:r>
      <w:r w:rsidR="00201012">
        <w:t>zunanje in evropske zadeve</w:t>
      </w:r>
      <w:r>
        <w:t xml:space="preserve">, </w:t>
      </w:r>
      <w:r w:rsidR="00201012">
        <w:br/>
        <w:t>Prešernova cesta 2</w:t>
      </w:r>
      <w:r w:rsidR="001364F2">
        <w:t xml:space="preserve">5, 1000 Ljubljana, </w:t>
      </w:r>
      <w:r w:rsidR="003B2F9E">
        <w:br/>
      </w:r>
      <w:r w:rsidR="001364F2">
        <w:t>01 478 2341</w:t>
      </w:r>
      <w:r>
        <w:t xml:space="preserve">, </w:t>
      </w:r>
      <w:r>
        <w:rPr>
          <w:color w:val="0000FF"/>
          <w:u w:val="single" w:color="0000FF"/>
        </w:rPr>
        <w:t>gp.mz</w:t>
      </w:r>
      <w:r w:rsidR="00201012">
        <w:rPr>
          <w:color w:val="0000FF"/>
          <w:u w:val="single" w:color="0000FF"/>
        </w:rPr>
        <w:t>z</w:t>
      </w:r>
      <w:r>
        <w:rPr>
          <w:color w:val="0000FF"/>
          <w:u w:val="single" w:color="0000FF"/>
        </w:rPr>
        <w:t>@gov.si</w:t>
      </w:r>
      <w:r>
        <w:t xml:space="preserve">. </w:t>
      </w:r>
    </w:p>
    <w:p w:rsidR="0077078D" w:rsidRDefault="00FE68B9">
      <w:pPr>
        <w:spacing w:after="17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 xml:space="preserve">Kontakti pooblaščene osebe za varstvo osebnih podatkov: </w:t>
      </w:r>
      <w:r>
        <w:rPr>
          <w:b/>
          <w:i/>
        </w:rPr>
        <w:t xml:space="preserve"> </w:t>
      </w:r>
    </w:p>
    <w:p w:rsidR="0077078D" w:rsidRDefault="000E311F">
      <w:pPr>
        <w:ind w:left="1435"/>
      </w:pPr>
      <w:r>
        <w:rPr>
          <w:color w:val="0000FF"/>
          <w:u w:val="single" w:color="0000FF"/>
        </w:rPr>
        <w:t>k</w:t>
      </w:r>
      <w:r w:rsidR="00A21FE8">
        <w:rPr>
          <w:color w:val="0000FF"/>
          <w:u w:val="single" w:color="0000FF"/>
        </w:rPr>
        <w:t>atarina.zajec</w:t>
      </w:r>
      <w:r w:rsidR="00FE68B9">
        <w:rPr>
          <w:color w:val="0000FF"/>
          <w:u w:val="single" w:color="0000FF"/>
        </w:rPr>
        <w:t>@gov.si</w:t>
      </w:r>
      <w:r w:rsidR="00F1380D">
        <w:t>, tel. št. 01 478</w:t>
      </w:r>
      <w:r w:rsidR="00A21FE8">
        <w:t xml:space="preserve"> 2106</w:t>
      </w:r>
      <w:r w:rsidR="00F1380D">
        <w:t xml:space="preserve"> </w:t>
      </w:r>
      <w:r w:rsidR="00FE68B9">
        <w:t xml:space="preserve">. </w:t>
      </w:r>
    </w:p>
    <w:p w:rsidR="0077078D" w:rsidRDefault="00FE68B9">
      <w:pPr>
        <w:spacing w:after="17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ind w:hanging="360"/>
      </w:pPr>
      <w:r>
        <w:rPr>
          <w:b/>
        </w:rPr>
        <w:t xml:space="preserve">Informacija o pravici do vložitve pritožbe pri nadzornem organu:  </w:t>
      </w:r>
      <w:r>
        <w:t xml:space="preserve">Pritožbo lahko podate Informacijskemu pooblaščencu (naslov: Informacijski pooblaščenec, Dunajska cesta 22, 1000 Ljubljana, e-naslov: gp.ip@ip-rs.si, telefon: 012309730, spletna stran: </w:t>
      </w:r>
      <w:hyperlink r:id="rId9">
        <w:r>
          <w:rPr>
            <w:color w:val="0000FF"/>
            <w:u w:val="single" w:color="0000FF"/>
          </w:rPr>
          <w:t>www.ip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rs.si</w:t>
        </w:r>
      </w:hyperlink>
      <w:hyperlink r:id="rId12">
        <w:r>
          <w:t>)</w:t>
        </w:r>
      </w:hyperlink>
      <w:r>
        <w:t xml:space="preserve">. </w:t>
      </w:r>
    </w:p>
    <w:p w:rsidR="0077078D" w:rsidRDefault="00FE68B9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Namen obdelave osebnih podatkov:</w:t>
      </w:r>
      <w:r>
        <w:t xml:space="preserve">  </w:t>
      </w:r>
    </w:p>
    <w:p w:rsidR="0077078D" w:rsidRDefault="00FE68B9">
      <w:pPr>
        <w:ind w:left="1435"/>
      </w:pPr>
      <w:r>
        <w:t>Videonadzor dostopa v poslovne prostore Ministrstva za z</w:t>
      </w:r>
      <w:r w:rsidR="00253A8B">
        <w:t>unanje in evropske zadeve</w:t>
      </w:r>
      <w:r>
        <w:t xml:space="preserve"> se izvaja zaradi zagotavljanja varnosti zaposlenih in obiskovalcev, zagotavljanja nadzora vstopa ali izstopa v poslovne prostore Ministrstva za z</w:t>
      </w:r>
      <w:r w:rsidR="007D057D">
        <w:t>u</w:t>
      </w:r>
      <w:r w:rsidR="00253A8B">
        <w:t>nanje in evropske zadeve</w:t>
      </w:r>
      <w:r>
        <w:t xml:space="preserve"> ter varovanje premoženja. Videonadzor parkirnih mest pred stavbo Ministrstva za z</w:t>
      </w:r>
      <w:r w:rsidR="007D057D">
        <w:t>una</w:t>
      </w:r>
      <w:r w:rsidR="00253A8B">
        <w:t>nje in evropske zadeve</w:t>
      </w:r>
      <w:r>
        <w:t xml:space="preserve"> na </w:t>
      </w:r>
      <w:r w:rsidR="00253A8B">
        <w:t>Prešernovi cesti</w:t>
      </w:r>
      <w:r>
        <w:t xml:space="preserve"> </w:t>
      </w:r>
      <w:r w:rsidR="00253A8B">
        <w:t>2</w:t>
      </w:r>
      <w:r>
        <w:t xml:space="preserve">5, Ljubljana, se izvaja zaradi zagotavljanja varnosti premoženja. </w:t>
      </w:r>
    </w:p>
    <w:p w:rsidR="0077078D" w:rsidRDefault="00FE68B9">
      <w:pPr>
        <w:spacing w:after="0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Pravna podlaga za obdelavo osebnih podatkov</w:t>
      </w:r>
      <w:r>
        <w:t xml:space="preserve">:  </w:t>
      </w:r>
    </w:p>
    <w:p w:rsidR="0077078D" w:rsidRDefault="00FE68B9">
      <w:pPr>
        <w:ind w:left="1435"/>
      </w:pPr>
      <w:r>
        <w:t xml:space="preserve">e) točka prvega odstavka 6. člena Splošne uredbe (EU) 2016/679 Evropskega parlamenta in Sveta z dne 27. aprila 2016 o varstvu posameznikov pri obdelavi osebnih podatkov in o prostem pretoku takih podatkov ter o razveljavitvi Direktive 95/46/ES (v nadaljnjem besedilu: Splošna uredba o varstvu podatkov) v povezavi s 76., 77. in 80. </w:t>
      </w:r>
    </w:p>
    <w:p w:rsidR="0077078D" w:rsidRDefault="00FE68B9">
      <w:pPr>
        <w:ind w:left="1435"/>
      </w:pPr>
      <w:r>
        <w:t xml:space="preserve">členom Zakona o varstvu osebnih podatkov (Uradni list RS, št. 163/22; v nadaljnjem besedilu: ZVOP-2).  </w:t>
      </w:r>
    </w:p>
    <w:p w:rsidR="0077078D" w:rsidRDefault="00FE68B9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 xml:space="preserve">Uporabniki osebnih podatkov:  </w:t>
      </w:r>
    </w:p>
    <w:p w:rsidR="0077078D" w:rsidRDefault="00FE68B9">
      <w:pPr>
        <w:ind w:left="1435"/>
      </w:pPr>
      <w:r>
        <w:t xml:space="preserve">Pogodbena varnostna služba in drugi, z zakonom pooblaščeni uporabniki, ki izkažejo pravno podlago za pridobitev osebnih podatkov. </w:t>
      </w:r>
    </w:p>
    <w:p w:rsidR="0077078D" w:rsidRDefault="00FE68B9">
      <w:pPr>
        <w:spacing w:after="15" w:line="259" w:lineRule="auto"/>
        <w:ind w:left="720" w:firstLine="0"/>
        <w:jc w:val="left"/>
      </w:pPr>
      <w:r>
        <w:rPr>
          <w:b/>
        </w:rP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 xml:space="preserve">Informacije o prenosu osebnih podatkov v tretjo državo ali mednarodno organizacijo: </w:t>
      </w:r>
    </w:p>
    <w:p w:rsidR="0077078D" w:rsidRDefault="00FE68B9" w:rsidP="006C06E4">
      <w:pPr>
        <w:spacing w:after="83"/>
        <w:ind w:left="1435"/>
      </w:pPr>
      <w:r>
        <w:t xml:space="preserve">Osebni podatki se ne prenašajo v tretje države ali mednarodne organizacije.  </w:t>
      </w:r>
    </w:p>
    <w:p w:rsidR="0077078D" w:rsidRDefault="00FE68B9">
      <w:pPr>
        <w:spacing w:after="36" w:line="259" w:lineRule="auto"/>
        <w:ind w:left="720" w:firstLine="0"/>
        <w:jc w:val="left"/>
      </w:pPr>
      <w:r>
        <w:rPr>
          <w:rFonts w:ascii="Republika" w:eastAsia="Republika" w:hAnsi="Republika" w:cs="Republika"/>
          <w:sz w:val="16"/>
        </w:rP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Obdobje hrambe osebnih podatkov</w:t>
      </w:r>
      <w:r>
        <w:t xml:space="preserve">:   </w:t>
      </w:r>
    </w:p>
    <w:p w:rsidR="0077078D" w:rsidRDefault="00FE68B9">
      <w:pPr>
        <w:ind w:left="1435"/>
      </w:pPr>
      <w:r>
        <w:t xml:space="preserve">30 dni. </w:t>
      </w:r>
    </w:p>
    <w:p w:rsidR="0077078D" w:rsidRDefault="00FE68B9">
      <w:pPr>
        <w:spacing w:after="12" w:line="259" w:lineRule="auto"/>
        <w:ind w:left="720" w:firstLine="0"/>
        <w:jc w:val="left"/>
      </w:pPr>
      <w:r>
        <w:rPr>
          <w:b/>
        </w:rP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 xml:space="preserve">Informacije o posebnih vplivih obdelave, zlasti nadaljnje obdelave osebnih podatkov:  </w:t>
      </w:r>
    </w:p>
    <w:p w:rsidR="0077078D" w:rsidRDefault="00FE68B9">
      <w:pPr>
        <w:ind w:left="1435"/>
      </w:pPr>
      <w:r>
        <w:t>Osebni podatki se obdelujejo za namene, za katere se zbirajo.</w:t>
      </w:r>
      <w:r>
        <w:rPr>
          <w:rFonts w:ascii="Calibri" w:eastAsia="Calibri" w:hAnsi="Calibri" w:cs="Calibri"/>
        </w:rPr>
        <w:t xml:space="preserve"> </w:t>
      </w:r>
    </w:p>
    <w:p w:rsidR="0077078D" w:rsidRDefault="00FE68B9">
      <w:pPr>
        <w:spacing w:after="47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 xml:space="preserve">Informacija o neobičajnih nadaljnjih obdelavah osebnih podatkov:  </w:t>
      </w:r>
    </w:p>
    <w:p w:rsidR="0077078D" w:rsidRDefault="00FE68B9">
      <w:pPr>
        <w:ind w:left="1429" w:hanging="425"/>
      </w:pPr>
      <w:r>
        <w:t xml:space="preserve">       Pri izvajanju videonadzora se lahko spremlja dogajanje v živo, brez možnosti zvočne intervencije. </w:t>
      </w:r>
    </w:p>
    <w:p w:rsidR="0077078D" w:rsidRDefault="00FE68B9">
      <w:pPr>
        <w:spacing w:after="0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0" w:line="250" w:lineRule="auto"/>
        <w:ind w:hanging="360"/>
      </w:pPr>
      <w:r>
        <w:rPr>
          <w:b/>
        </w:rPr>
        <w:t>Informacije o obstoju pravic posameznika, da lahko zahteva dostop do osebnih podatkov in popravek ali izbris osebnih podatkov ali omejitev, ali obstoj pravice do ugovora obdelavi in pravice do prenosljivosti podatkov:</w:t>
      </w:r>
      <w:r>
        <w:t xml:space="preserve"> </w:t>
      </w:r>
      <w:r>
        <w:rPr>
          <w:b/>
        </w:rPr>
        <w:t xml:space="preserve"> </w:t>
      </w:r>
    </w:p>
    <w:p w:rsidR="0077078D" w:rsidRDefault="00FE68B9">
      <w:pPr>
        <w:ind w:left="1435"/>
      </w:pPr>
      <w:r>
        <w:t xml:space="preserve">Posameznik lahko zahteva dostop do osebnih podatkov, ki se nanašajo nanj, in ko so za to izpolnjeni pogoji skladno z določbami Splošne uredbe o varstvu podatkov, pravico do izbrisa ali omejitve obdelave. </w:t>
      </w:r>
    </w:p>
    <w:p w:rsidR="0077078D" w:rsidRDefault="00FE68B9">
      <w:pPr>
        <w:spacing w:after="0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0" w:line="250" w:lineRule="auto"/>
        <w:ind w:hanging="360"/>
      </w:pPr>
      <w:r>
        <w:rPr>
          <w:b/>
        </w:rPr>
        <w:t>Informacije o tem, ali je zagotovitev osebnih podatkov zakonska ali pogodbena obveznost</w:t>
      </w:r>
      <w:r>
        <w:t xml:space="preserve">:  </w:t>
      </w:r>
    </w:p>
    <w:p w:rsidR="0077078D" w:rsidRDefault="00FE68B9">
      <w:pPr>
        <w:ind w:left="1435"/>
      </w:pPr>
      <w:r>
        <w:t xml:space="preserve">Zagotovitev osebnih podatkov ni zakonska ali pogodbena obveznost. </w:t>
      </w:r>
    </w:p>
    <w:p w:rsidR="0077078D" w:rsidRDefault="00FE68B9">
      <w:pPr>
        <w:spacing w:after="14" w:line="259" w:lineRule="auto"/>
        <w:ind w:left="1428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Informacija o tem, ali mora posameznik zagotoviti osebne podatke ter kakšne so morebitne posledice, če jih ne zagotovi:</w:t>
      </w:r>
      <w:r>
        <w:t xml:space="preserve">  </w:t>
      </w:r>
    </w:p>
    <w:p w:rsidR="0077078D" w:rsidRDefault="00FE68B9">
      <w:pPr>
        <w:ind w:left="1435"/>
      </w:pPr>
      <w:r>
        <w:t>Ne, vendar pa vstop v poslovne prostore Ministrstva za z</w:t>
      </w:r>
      <w:r w:rsidR="0049375B">
        <w:t>unanje in evropske zadeve</w:t>
      </w:r>
      <w:r>
        <w:t xml:space="preserve"> ni mogoč na način, da bi se posameznik izognil videonadzoru. </w:t>
      </w:r>
    </w:p>
    <w:p w:rsidR="0077078D" w:rsidRDefault="00FE68B9">
      <w:pPr>
        <w:spacing w:after="12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numPr>
          <w:ilvl w:val="0"/>
          <w:numId w:val="1"/>
        </w:numPr>
        <w:spacing w:after="22" w:line="250" w:lineRule="auto"/>
        <w:ind w:hanging="360"/>
      </w:pPr>
      <w:r>
        <w:rPr>
          <w:b/>
        </w:rPr>
        <w:t>Informacije o obstoju avtomatiziranega sprejemanja odločitev, vključno z oblikovanjem profilov ter vsaj v takih primerih smiselne informacije o razlogih zanj, kot tudi pomen in predvidene posledice take obdelave za posameznika, na katerega se nanašajo osebni podatki:</w:t>
      </w:r>
      <w:r>
        <w:t xml:space="preserve">  </w:t>
      </w:r>
    </w:p>
    <w:p w:rsidR="0077078D" w:rsidRDefault="00FE68B9">
      <w:pPr>
        <w:ind w:left="1435"/>
      </w:pPr>
      <w:r>
        <w:t xml:space="preserve">Avtomatizirano odločanje in/ali profiliranje se ne izvajata. </w:t>
      </w:r>
    </w:p>
    <w:p w:rsidR="0077078D" w:rsidRDefault="00FE68B9">
      <w:pPr>
        <w:spacing w:after="12" w:line="259" w:lineRule="auto"/>
        <w:ind w:left="720" w:firstLine="0"/>
        <w:jc w:val="left"/>
      </w:pPr>
      <w:r>
        <w:t xml:space="preserve"> </w:t>
      </w:r>
    </w:p>
    <w:p w:rsidR="0077078D" w:rsidRDefault="00FE68B9">
      <w:pPr>
        <w:spacing w:after="12" w:line="259" w:lineRule="auto"/>
        <w:ind w:left="0" w:firstLine="0"/>
        <w:jc w:val="left"/>
      </w:pPr>
      <w:r>
        <w:t xml:space="preserve"> </w:t>
      </w:r>
    </w:p>
    <w:p w:rsidR="0077078D" w:rsidRDefault="00FE68B9" w:rsidP="00831391">
      <w:pPr>
        <w:spacing w:after="12" w:line="259" w:lineRule="auto"/>
        <w:ind w:left="0" w:firstLine="0"/>
        <w:jc w:val="left"/>
      </w:pPr>
      <w:r>
        <w:t xml:space="preserve">  </w:t>
      </w:r>
    </w:p>
    <w:sectPr w:rsidR="0077078D">
      <w:footnotePr>
        <w:numRestart w:val="eachPage"/>
      </w:footnotePr>
      <w:pgSz w:w="11899" w:h="16841"/>
      <w:pgMar w:top="1603" w:right="1697" w:bottom="794" w:left="9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DE" w:rsidRDefault="009141DE">
      <w:pPr>
        <w:spacing w:after="0" w:line="240" w:lineRule="auto"/>
      </w:pPr>
      <w:r>
        <w:separator/>
      </w:r>
    </w:p>
  </w:endnote>
  <w:endnote w:type="continuationSeparator" w:id="0">
    <w:p w:rsidR="009141DE" w:rsidRDefault="009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DE" w:rsidRDefault="009141DE">
      <w:pPr>
        <w:spacing w:after="100" w:line="301" w:lineRule="auto"/>
        <w:ind w:left="720" w:firstLine="0"/>
      </w:pPr>
      <w:r>
        <w:separator/>
      </w:r>
    </w:p>
  </w:footnote>
  <w:footnote w:type="continuationSeparator" w:id="0">
    <w:p w:rsidR="009141DE" w:rsidRDefault="009141DE">
      <w:pPr>
        <w:spacing w:after="100" w:line="301" w:lineRule="auto"/>
        <w:ind w:left="720" w:firstLine="0"/>
      </w:pPr>
      <w:r>
        <w:continuationSeparator/>
      </w:r>
    </w:p>
  </w:footnote>
  <w:footnote w:id="1">
    <w:p w:rsidR="0077078D" w:rsidRDefault="00FE68B9">
      <w:pPr>
        <w:pStyle w:val="footnotedescription"/>
      </w:pPr>
      <w:r>
        <w:rPr>
          <w:rStyle w:val="footnotemark"/>
        </w:rPr>
        <w:footnoteRef/>
      </w:r>
      <w:r>
        <w:t xml:space="preserve"> Splošna uredba (EU) 2016/679 Evropskega parlamenta in Sveta z dne 27. aprila 2016 o varstvu posameznikov pri obdelavi osebnih podatkov in o prostem pretoku takih podatkov ter o razveljavitvi Direktive 95/46/ES. </w:t>
      </w:r>
    </w:p>
    <w:p w:rsidR="0077078D" w:rsidRDefault="00FE68B9">
      <w:pPr>
        <w:pStyle w:val="footnotedescription"/>
        <w:spacing w:after="0" w:line="259" w:lineRule="auto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6EE4"/>
    <w:multiLevelType w:val="hybridMultilevel"/>
    <w:tmpl w:val="C45EC8CA"/>
    <w:lvl w:ilvl="0" w:tplc="964AFDE6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ECE3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497A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EF4F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0FFC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A66C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B0745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86D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FE7FB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D"/>
    <w:rsid w:val="000177C2"/>
    <w:rsid w:val="00076FF7"/>
    <w:rsid w:val="000E311F"/>
    <w:rsid w:val="001364F2"/>
    <w:rsid w:val="00153E6F"/>
    <w:rsid w:val="001935EC"/>
    <w:rsid w:val="00201012"/>
    <w:rsid w:val="00253A8B"/>
    <w:rsid w:val="00332BA7"/>
    <w:rsid w:val="003B2F9E"/>
    <w:rsid w:val="0049375B"/>
    <w:rsid w:val="006323B2"/>
    <w:rsid w:val="006A358C"/>
    <w:rsid w:val="006C06E4"/>
    <w:rsid w:val="006E6801"/>
    <w:rsid w:val="0077078D"/>
    <w:rsid w:val="007D057D"/>
    <w:rsid w:val="00831391"/>
    <w:rsid w:val="009141DE"/>
    <w:rsid w:val="00A21FE8"/>
    <w:rsid w:val="00AA6600"/>
    <w:rsid w:val="00BA736E"/>
    <w:rsid w:val="00CA71FD"/>
    <w:rsid w:val="00F0760B"/>
    <w:rsid w:val="00F1380D"/>
    <w:rsid w:val="00F23196"/>
    <w:rsid w:val="00F3274F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D9462"/>
  <w15:docId w15:val="{01E7F2E9-722A-4247-ADF0-83268223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73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/>
      <w:jc w:val="center"/>
      <w:outlineLvl w:val="0"/>
    </w:pPr>
    <w:rPr>
      <w:rFonts w:ascii="Arial" w:eastAsia="Arial" w:hAnsi="Arial" w:cs="Arial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00" w:line="301" w:lineRule="auto"/>
      <w:ind w:left="720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Header">
    <w:name w:val="header"/>
    <w:basedOn w:val="Normal"/>
    <w:link w:val="HeaderChar"/>
    <w:rsid w:val="0007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FF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-rs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ECC4-B22B-4CC1-982E-809336B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Skube</dc:creator>
  <cp:keywords/>
  <cp:lastModifiedBy>mzz</cp:lastModifiedBy>
  <cp:revision>22</cp:revision>
  <dcterms:created xsi:type="dcterms:W3CDTF">2024-05-16T11:56:00Z</dcterms:created>
  <dcterms:modified xsi:type="dcterms:W3CDTF">2024-05-17T09:28:00Z</dcterms:modified>
</cp:coreProperties>
</file>