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05" w:rsidRPr="00CB663A" w:rsidRDefault="00A06ADB" w:rsidP="00CB663A">
      <w:pPr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 w:rsidRPr="00CB663A">
        <w:rPr>
          <w:rFonts w:ascii="Arial" w:hAnsi="Arial" w:cs="Arial"/>
          <w:b/>
          <w:sz w:val="20"/>
          <w:szCs w:val="20"/>
        </w:rPr>
        <w:t>OBVESTILO O MOŽNOSTI UVELJAVLJANJA VIŠJE SILE PRI</w:t>
      </w:r>
      <w:r w:rsidR="00C877FE" w:rsidRPr="00CB663A">
        <w:rPr>
          <w:rFonts w:ascii="Arial" w:hAnsi="Arial" w:cs="Arial"/>
          <w:b/>
          <w:sz w:val="20"/>
          <w:szCs w:val="20"/>
        </w:rPr>
        <w:t xml:space="preserve"> OZELENITV</w:t>
      </w:r>
      <w:r w:rsidRPr="00CB663A">
        <w:rPr>
          <w:rFonts w:ascii="Arial" w:hAnsi="Arial" w:cs="Arial"/>
          <w:b/>
          <w:sz w:val="20"/>
          <w:szCs w:val="20"/>
        </w:rPr>
        <w:t>AH</w:t>
      </w:r>
      <w:r w:rsidR="00C877FE" w:rsidRPr="00CB663A">
        <w:rPr>
          <w:rFonts w:ascii="Arial" w:hAnsi="Arial" w:cs="Arial"/>
          <w:b/>
          <w:sz w:val="20"/>
          <w:szCs w:val="20"/>
        </w:rPr>
        <w:t xml:space="preserve"> NJIVSKIH POVRŠIN </w:t>
      </w:r>
      <w:r w:rsidRPr="00CB663A">
        <w:rPr>
          <w:rFonts w:ascii="Arial" w:hAnsi="Arial" w:cs="Arial"/>
          <w:b/>
          <w:sz w:val="20"/>
          <w:szCs w:val="20"/>
        </w:rPr>
        <w:t>PREK ZIME</w:t>
      </w:r>
    </w:p>
    <w:p w:rsidR="00C877FE" w:rsidRDefault="00C877FE" w:rsidP="00CB663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CB663A" w:rsidRDefault="00CB663A" w:rsidP="00CB663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34286E" w:rsidRPr="00CB663A" w:rsidRDefault="0034286E" w:rsidP="00CB663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CB663A" w:rsidRDefault="00C877FE" w:rsidP="00CB663A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CB663A">
        <w:rPr>
          <w:rFonts w:ascii="Arial" w:hAnsi="Arial" w:cs="Arial"/>
          <w:sz w:val="20"/>
          <w:szCs w:val="20"/>
          <w:lang w:eastAsia="sl-SI"/>
        </w:rPr>
        <w:t xml:space="preserve">Po podatkih Agencije RS za okolje (ARSO) je bil letošnji september na območju celotne </w:t>
      </w:r>
      <w:r w:rsidRPr="00CC18F6">
        <w:rPr>
          <w:rFonts w:ascii="Arial" w:hAnsi="Arial" w:cs="Arial"/>
          <w:sz w:val="20"/>
          <w:szCs w:val="20"/>
          <w:lang w:eastAsia="sl-SI"/>
        </w:rPr>
        <w:t>Slovenije nadpovprečno namočen</w:t>
      </w:r>
      <w:r w:rsidR="008D2EC7" w:rsidRPr="00CC18F6">
        <w:rPr>
          <w:rFonts w:ascii="Arial" w:hAnsi="Arial" w:cs="Arial"/>
          <w:sz w:val="20"/>
          <w:szCs w:val="20"/>
          <w:lang w:eastAsia="sl-SI"/>
        </w:rPr>
        <w:t xml:space="preserve"> (</w:t>
      </w:r>
      <w:r w:rsidR="00CB663A" w:rsidRPr="00CC18F6">
        <w:rPr>
          <w:rFonts w:ascii="Arial" w:hAnsi="Arial" w:cs="Arial"/>
          <w:sz w:val="20"/>
          <w:szCs w:val="20"/>
          <w:lang w:eastAsia="sl-SI"/>
        </w:rPr>
        <w:t>meteo.si - Uradna vremenska napoved za Slovenijo - Državna meteorološka služba RS - Podnebne značilnosti zadnjega meseca (gov.si)</w:t>
      </w:r>
      <w:r w:rsidRPr="00CC18F6">
        <w:rPr>
          <w:rFonts w:ascii="Arial" w:hAnsi="Arial" w:cs="Arial"/>
          <w:sz w:val="20"/>
          <w:szCs w:val="20"/>
          <w:lang w:eastAsia="sl-SI"/>
        </w:rPr>
        <w:t>. Kazalnik višine padavin je</w:t>
      </w:r>
      <w:r w:rsidRPr="00CB663A">
        <w:rPr>
          <w:rFonts w:ascii="Arial" w:hAnsi="Arial" w:cs="Arial"/>
          <w:sz w:val="20"/>
          <w:szCs w:val="20"/>
          <w:lang w:eastAsia="sl-SI"/>
        </w:rPr>
        <w:t xml:space="preserve"> znašal 169</w:t>
      </w:r>
      <w:r w:rsidR="00CB663A">
        <w:rPr>
          <w:rFonts w:ascii="Arial" w:hAnsi="Arial" w:cs="Arial"/>
          <w:sz w:val="20"/>
          <w:szCs w:val="20"/>
          <w:lang w:eastAsia="sl-SI"/>
        </w:rPr>
        <w:t> </w:t>
      </w:r>
      <w:r w:rsidRPr="00CB663A">
        <w:rPr>
          <w:rFonts w:ascii="Arial" w:hAnsi="Arial" w:cs="Arial"/>
          <w:sz w:val="20"/>
          <w:szCs w:val="20"/>
          <w:lang w:eastAsia="sl-SI"/>
        </w:rPr>
        <w:t>%, kar letošnji september uvršča na peto mesto najbolj namočenih septembrov od leta 1950. Na državni ravni je višina padavin presegla dolgoletno povprečje. Največ padavin je bilo zabeleženih v severozahodni in severni Sloveniji, Slovenskem primorju ter na Notranjskem, kjer je kazalnik višine padavin znašal med 180 in 220 %, ponekod celo več kot 270</w:t>
      </w:r>
      <w:r w:rsidR="00CB663A">
        <w:rPr>
          <w:rFonts w:ascii="Arial" w:hAnsi="Arial" w:cs="Arial"/>
          <w:sz w:val="20"/>
          <w:szCs w:val="20"/>
          <w:lang w:eastAsia="sl-SI"/>
        </w:rPr>
        <w:t> </w:t>
      </w:r>
      <w:r w:rsidRPr="00CB663A">
        <w:rPr>
          <w:rFonts w:ascii="Arial" w:hAnsi="Arial" w:cs="Arial"/>
          <w:sz w:val="20"/>
          <w:szCs w:val="20"/>
          <w:lang w:eastAsia="sl-SI"/>
        </w:rPr>
        <w:t>%. Obilne padavine so se nadaljevale tudi v mesecu oktobru. Podatki ARSO za mesec oktober na vseh 15 reprezentativnih postajah</w:t>
      </w:r>
      <w:r w:rsidR="004C22FB" w:rsidRPr="00CB663A">
        <w:rPr>
          <w:rFonts w:ascii="Arial" w:hAnsi="Arial" w:cs="Arial"/>
          <w:sz w:val="20"/>
          <w:szCs w:val="20"/>
          <w:lang w:eastAsia="sl-SI"/>
        </w:rPr>
        <w:t xml:space="preserve"> (priloga 1)</w:t>
      </w:r>
      <w:r w:rsidRPr="00CB663A">
        <w:rPr>
          <w:rFonts w:ascii="Arial" w:hAnsi="Arial" w:cs="Arial"/>
          <w:sz w:val="20"/>
          <w:szCs w:val="20"/>
          <w:lang w:eastAsia="sl-SI"/>
        </w:rPr>
        <w:t xml:space="preserve"> izkazujejo nadpovprečno količino padavin</w:t>
      </w:r>
      <w:r w:rsidR="004C22FB" w:rsidRPr="00CB663A">
        <w:rPr>
          <w:rFonts w:ascii="Arial" w:hAnsi="Arial" w:cs="Arial"/>
          <w:sz w:val="20"/>
          <w:szCs w:val="20"/>
          <w:lang w:eastAsia="sl-SI"/>
        </w:rPr>
        <w:t>. Nadpovprečne količine padavin v obeh mesecih so povzročile</w:t>
      </w:r>
      <w:r w:rsidRPr="00CB663A">
        <w:rPr>
          <w:rFonts w:ascii="Arial" w:hAnsi="Arial" w:cs="Arial"/>
          <w:sz w:val="20"/>
          <w:szCs w:val="20"/>
          <w:lang w:eastAsia="sl-SI"/>
        </w:rPr>
        <w:t xml:space="preserve"> močno razmočenost tal in nasičenost z vodo. Na nekaterih območjih so zemljišča še vedno poplavljena, voda pa še naprej odteka s kmetijskih površin. Vremenska napoved napoveduje tudi občasne padavine v prihodnjih dneh. Zaradi nizke </w:t>
      </w:r>
      <w:proofErr w:type="spellStart"/>
      <w:r w:rsidRPr="00CB663A">
        <w:rPr>
          <w:rFonts w:ascii="Arial" w:hAnsi="Arial" w:cs="Arial"/>
          <w:sz w:val="20"/>
          <w:szCs w:val="20"/>
          <w:lang w:eastAsia="sl-SI"/>
        </w:rPr>
        <w:t>evapotranspiracije</w:t>
      </w:r>
      <w:proofErr w:type="spellEnd"/>
      <w:r w:rsidRPr="00CB663A">
        <w:rPr>
          <w:rFonts w:ascii="Arial" w:hAnsi="Arial" w:cs="Arial"/>
          <w:sz w:val="20"/>
          <w:szCs w:val="20"/>
          <w:lang w:eastAsia="sl-SI"/>
        </w:rPr>
        <w:t xml:space="preserve"> se tla ne morejo osušiti in ostajajo nasičena z vodo, ki zelo počasi odteka. To stanje onemogoča spravilo posevkov z njiv, razvoz organskih gnojil, obdelavo in pripravo na setev prezimnih posevkov.</w:t>
      </w:r>
    </w:p>
    <w:p w:rsidR="00C877FE" w:rsidRPr="00CB663A" w:rsidRDefault="00C877FE" w:rsidP="00CB663A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</w:p>
    <w:p w:rsidR="004A7CA3" w:rsidRDefault="00C877FE" w:rsidP="00CB663A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CB663A">
        <w:rPr>
          <w:rFonts w:ascii="Arial" w:hAnsi="Arial" w:cs="Arial"/>
          <w:sz w:val="20"/>
          <w:szCs w:val="20"/>
          <w:lang w:eastAsia="sl-SI"/>
        </w:rPr>
        <w:t xml:space="preserve">Določene operacije ali sheme intervencij </w:t>
      </w:r>
      <w:r w:rsidR="00CB663A">
        <w:rPr>
          <w:rFonts w:ascii="Arial" w:hAnsi="Arial" w:cs="Arial"/>
          <w:sz w:val="20"/>
          <w:szCs w:val="20"/>
          <w:lang w:eastAsia="sl-SI"/>
        </w:rPr>
        <w:t>s</w:t>
      </w:r>
      <w:r w:rsidRPr="00CB663A">
        <w:rPr>
          <w:rFonts w:ascii="Arial" w:hAnsi="Arial" w:cs="Arial"/>
          <w:sz w:val="20"/>
          <w:szCs w:val="20"/>
          <w:lang w:eastAsia="sl-SI"/>
        </w:rPr>
        <w:t>kupne kmetijske politike iz S</w:t>
      </w:r>
      <w:r w:rsidR="00CB663A">
        <w:rPr>
          <w:rFonts w:ascii="Arial" w:hAnsi="Arial" w:cs="Arial"/>
          <w:sz w:val="20"/>
          <w:szCs w:val="20"/>
          <w:lang w:eastAsia="sl-SI"/>
        </w:rPr>
        <w:t>trateškega načrta</w:t>
      </w:r>
      <w:r w:rsidRPr="00CB663A">
        <w:rPr>
          <w:rFonts w:ascii="Arial" w:hAnsi="Arial" w:cs="Arial"/>
          <w:sz w:val="20"/>
          <w:szCs w:val="20"/>
          <w:lang w:eastAsia="sl-SI"/>
        </w:rPr>
        <w:t xml:space="preserve"> 2023</w:t>
      </w:r>
      <w:r w:rsidR="00CB663A">
        <w:rPr>
          <w:rFonts w:ascii="Arial" w:hAnsi="Arial" w:cs="Arial"/>
          <w:sz w:val="20"/>
          <w:szCs w:val="20"/>
          <w:lang w:eastAsia="sl-SI"/>
        </w:rPr>
        <w:t>–</w:t>
      </w:r>
      <w:r w:rsidRPr="00CB663A">
        <w:rPr>
          <w:rFonts w:ascii="Arial" w:hAnsi="Arial" w:cs="Arial"/>
          <w:sz w:val="20"/>
          <w:szCs w:val="20"/>
          <w:lang w:eastAsia="sl-SI"/>
        </w:rPr>
        <w:t>2027 ali zahteve, ki izhajajo iz pogojenosti</w:t>
      </w:r>
      <w:r w:rsidR="00CB663A">
        <w:rPr>
          <w:rFonts w:ascii="Arial" w:hAnsi="Arial" w:cs="Arial"/>
          <w:sz w:val="20"/>
          <w:szCs w:val="20"/>
          <w:lang w:eastAsia="sl-SI"/>
        </w:rPr>
        <w:t>,</w:t>
      </w:r>
      <w:r w:rsidRPr="00CB663A">
        <w:rPr>
          <w:rFonts w:ascii="Arial" w:hAnsi="Arial" w:cs="Arial"/>
          <w:sz w:val="20"/>
          <w:szCs w:val="20"/>
          <w:lang w:eastAsia="sl-SI"/>
        </w:rPr>
        <w:t xml:space="preserve"> zahtevajo pokritost tal v obdobju od 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>15.</w:t>
      </w:r>
      <w:r w:rsidR="00CB663A">
        <w:rPr>
          <w:rFonts w:ascii="Arial" w:hAnsi="Arial" w:cs="Arial"/>
          <w:color w:val="000000"/>
          <w:sz w:val="20"/>
          <w:szCs w:val="20"/>
          <w:lang w:eastAsia="sl-SI"/>
        </w:rPr>
        <w:t> 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novembra </w:t>
      </w:r>
      <w:r w:rsid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tekočega leta 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>do 15.</w:t>
      </w:r>
      <w:r w:rsidR="00CB663A">
        <w:rPr>
          <w:rFonts w:ascii="Arial" w:hAnsi="Arial" w:cs="Arial"/>
          <w:color w:val="000000"/>
          <w:sz w:val="20"/>
          <w:szCs w:val="20"/>
          <w:lang w:eastAsia="sl-SI"/>
        </w:rPr>
        <w:t> 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>februarja</w:t>
      </w:r>
      <w:r w:rsid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 naslednjega leta</w:t>
      </w:r>
      <w:r w:rsidR="004A7CA3"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 Gre za obdobje, ki je zaradi zimskega časa ter obilnih padavin najbolj podvrženo eroziji in spiranju hranil iz tal. 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>Datum obvezne pokritosti tal s prezimnim posevkom se zahteva pri shemi</w:t>
      </w:r>
      <w:r w:rsidR="00CB663A">
        <w:rPr>
          <w:rFonts w:ascii="Arial" w:hAnsi="Arial" w:cs="Arial"/>
          <w:sz w:val="20"/>
          <w:szCs w:val="20"/>
          <w:lang w:eastAsia="sl-SI"/>
        </w:rPr>
        <w:t xml:space="preserve"> SOPO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 xml:space="preserve"> INP 8.06 Ozelenitev ornih površin prek zime (ZEL) ter operacijah NV.</w:t>
      </w:r>
      <w:r w:rsidR="00CB663A">
        <w:rPr>
          <w:rFonts w:ascii="Arial" w:hAnsi="Arial" w:cs="Arial"/>
          <w:sz w:val="20"/>
          <w:szCs w:val="20"/>
          <w:lang w:eastAsia="sl-SI"/>
        </w:rPr>
        <w:t>1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 xml:space="preserve"> Vodni viri (VOD) in NV.13 Varovalni pasovi ob vodotokih (PAS_VOD) v okviru intervencije KOPOP</w:t>
      </w:r>
      <w:r w:rsidR="00CB663A">
        <w:rPr>
          <w:rFonts w:ascii="Arial" w:hAnsi="Arial" w:cs="Arial"/>
          <w:sz w:val="20"/>
          <w:szCs w:val="20"/>
          <w:lang w:eastAsia="sl-SI"/>
        </w:rPr>
        <w:t xml:space="preserve"> – Naravni viri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>. Na datum 15.</w:t>
      </w:r>
      <w:r w:rsidR="00CB663A">
        <w:rPr>
          <w:rFonts w:ascii="Arial" w:hAnsi="Arial" w:cs="Arial"/>
          <w:sz w:val="20"/>
          <w:szCs w:val="20"/>
          <w:lang w:eastAsia="sl-SI"/>
        </w:rPr>
        <w:t> november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 xml:space="preserve"> </w:t>
      </w:r>
      <w:r w:rsidR="00CB663A">
        <w:rPr>
          <w:rFonts w:ascii="Arial" w:hAnsi="Arial" w:cs="Arial"/>
          <w:sz w:val="20"/>
          <w:szCs w:val="20"/>
          <w:lang w:eastAsia="sl-SI"/>
        </w:rPr>
        <w:t>tekočega leta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 xml:space="preserve"> je na podlagi Uredbe o pravilih pogojenosti </w:t>
      </w:r>
      <w:r w:rsidR="00CB663A">
        <w:rPr>
          <w:rFonts w:ascii="Arial" w:hAnsi="Arial" w:cs="Arial"/>
          <w:sz w:val="20"/>
          <w:szCs w:val="20"/>
          <w:lang w:eastAsia="sl-SI"/>
        </w:rPr>
        <w:t xml:space="preserve">(Uradni list RS, št. 2/24 in 30/24) 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>vezana tudi zahteva v okviru DKOP 5 (39. Na ornih površinah, ki imajo srednji naklon 10</w:t>
      </w:r>
      <w:r w:rsidR="00CB663A">
        <w:rPr>
          <w:rFonts w:ascii="Arial" w:hAnsi="Arial" w:cs="Arial"/>
          <w:sz w:val="20"/>
          <w:szCs w:val="20"/>
          <w:lang w:eastAsia="sl-SI"/>
        </w:rPr>
        <w:t> 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>% ali več, je treba med 15.</w:t>
      </w:r>
      <w:r w:rsidR="00CB663A">
        <w:rPr>
          <w:rFonts w:ascii="Arial" w:hAnsi="Arial" w:cs="Arial"/>
          <w:sz w:val="20"/>
          <w:szCs w:val="20"/>
          <w:lang w:eastAsia="sl-SI"/>
        </w:rPr>
        <w:t> 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>novembrom in 15.</w:t>
      </w:r>
      <w:r w:rsidR="00CB663A">
        <w:rPr>
          <w:rFonts w:ascii="Arial" w:hAnsi="Arial" w:cs="Arial"/>
          <w:sz w:val="20"/>
          <w:szCs w:val="20"/>
          <w:lang w:eastAsia="sl-SI"/>
        </w:rPr>
        <w:t> 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>februarjem upoštevati vsaj enega od teh ukrepov: ali oranje po plastnicah ali ohraniti strni5de ali poskrbeti za ozelenitev) ter zahteva v okviru DKOP 6 (42. Talna odeja se vzdržuje na vsaj 80</w:t>
      </w:r>
      <w:r w:rsidR="00CB663A">
        <w:rPr>
          <w:rFonts w:ascii="Arial" w:hAnsi="Arial" w:cs="Arial"/>
          <w:sz w:val="20"/>
          <w:szCs w:val="20"/>
          <w:lang w:eastAsia="sl-SI"/>
        </w:rPr>
        <w:t> 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>% ornih zemljišč in trajnih nasadov kmetijskega gospodarstva v času od 15.</w:t>
      </w:r>
      <w:r w:rsidR="00CB663A">
        <w:rPr>
          <w:rFonts w:ascii="Arial" w:hAnsi="Arial" w:cs="Arial"/>
          <w:sz w:val="20"/>
          <w:szCs w:val="20"/>
          <w:lang w:eastAsia="sl-SI"/>
        </w:rPr>
        <w:t> novembra tekočega leta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 xml:space="preserve"> do 15.</w:t>
      </w:r>
      <w:r w:rsidR="00CB663A">
        <w:rPr>
          <w:rFonts w:ascii="Arial" w:hAnsi="Arial" w:cs="Arial"/>
          <w:sz w:val="20"/>
          <w:szCs w:val="20"/>
          <w:lang w:eastAsia="sl-SI"/>
        </w:rPr>
        <w:t> februarja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 xml:space="preserve"> naslednje</w:t>
      </w:r>
      <w:r w:rsidR="00CB663A">
        <w:rPr>
          <w:rFonts w:ascii="Arial" w:hAnsi="Arial" w:cs="Arial"/>
          <w:sz w:val="20"/>
          <w:szCs w:val="20"/>
          <w:lang w:eastAsia="sl-SI"/>
        </w:rPr>
        <w:t>ga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 xml:space="preserve"> let</w:t>
      </w:r>
      <w:r w:rsidR="00CB663A">
        <w:rPr>
          <w:rFonts w:ascii="Arial" w:hAnsi="Arial" w:cs="Arial"/>
          <w:sz w:val="20"/>
          <w:szCs w:val="20"/>
          <w:lang w:eastAsia="sl-SI"/>
        </w:rPr>
        <w:t>a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>.</w:t>
      </w:r>
    </w:p>
    <w:p w:rsidR="00CB663A" w:rsidRPr="00CB663A" w:rsidRDefault="00CB663A" w:rsidP="00CB663A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877FE" w:rsidRPr="00CB663A" w:rsidRDefault="00C877FE" w:rsidP="00CB663A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Ker zaradi že omenjenih </w:t>
      </w:r>
      <w:r w:rsidR="00D50AEE" w:rsidRPr="00CB663A">
        <w:rPr>
          <w:rFonts w:ascii="Arial" w:hAnsi="Arial" w:cs="Arial"/>
          <w:color w:val="000000"/>
          <w:sz w:val="20"/>
          <w:szCs w:val="20"/>
          <w:lang w:eastAsia="sl-SI"/>
        </w:rPr>
        <w:t>nadpovprečnih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 padavin v mesecu septembru in </w:t>
      </w:r>
      <w:r w:rsidR="00D50AEE" w:rsidRPr="00CB663A">
        <w:rPr>
          <w:rFonts w:ascii="Arial" w:hAnsi="Arial" w:cs="Arial"/>
          <w:color w:val="000000"/>
          <w:sz w:val="20"/>
          <w:szCs w:val="20"/>
          <w:lang w:eastAsia="sl-SI"/>
        </w:rPr>
        <w:t>oktobru</w:t>
      </w:r>
      <w:r w:rsidR="00557B59"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 2024 nosilci kmetijskih gospodarstev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4A7CA3"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ne bodo mogli 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pravočasno </w:t>
      </w:r>
      <w:r w:rsidR="004A7CA3"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izvesti </w:t>
      </w:r>
      <w:r w:rsidR="004A7CA3" w:rsidRPr="00CB663A">
        <w:rPr>
          <w:rFonts w:ascii="Arial" w:hAnsi="Arial" w:cs="Arial"/>
          <w:sz w:val="20"/>
          <w:szCs w:val="20"/>
          <w:lang w:eastAsia="sl-SI"/>
        </w:rPr>
        <w:t>spravilo posevkov z njiv</w:t>
      </w:r>
      <w:r w:rsidR="004A7CA3"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 ali 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>setve ozimnih posevkov zaradi razmočenih tal</w:t>
      </w:r>
      <w:r w:rsidR="00557B59" w:rsidRPr="00CB663A">
        <w:rPr>
          <w:rFonts w:ascii="Arial" w:hAnsi="Arial" w:cs="Arial"/>
          <w:color w:val="000000"/>
          <w:sz w:val="20"/>
          <w:szCs w:val="20"/>
          <w:lang w:eastAsia="sl-SI"/>
        </w:rPr>
        <w:t>, lahko n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>osilec kmetijskega gospodarstva, ki je zavezan k izpolnje</w:t>
      </w:r>
      <w:r w:rsidR="00557B59"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vanju zahtev DKOP 5 ali DKOP 6 ali 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>ki je oddal zahtevek za shemo ZEL ali je vključen v operacije VOD ali PAS</w:t>
      </w:r>
      <w:r w:rsidR="00CB663A">
        <w:rPr>
          <w:rFonts w:ascii="Arial" w:hAnsi="Arial" w:cs="Arial"/>
          <w:color w:val="000000"/>
          <w:sz w:val="20"/>
          <w:szCs w:val="20"/>
          <w:lang w:eastAsia="sl-SI"/>
        </w:rPr>
        <w:t>_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>VOD ter zaradi posledic višje sile ne bo mogel pravočasno izvesti setve za zagotovitev zelenega pokrova v navedenem obdobju</w:t>
      </w:r>
      <w:r w:rsidR="00383E88"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 ali spravila posevkov iz njive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r w:rsidR="00383E88" w:rsidRPr="00CB663A">
        <w:rPr>
          <w:rFonts w:ascii="Arial" w:hAnsi="Arial" w:cs="Arial"/>
          <w:color w:val="000000"/>
          <w:sz w:val="20"/>
          <w:szCs w:val="20"/>
          <w:lang w:eastAsia="sl-SI"/>
        </w:rPr>
        <w:t>to sporoči Age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nciji </w:t>
      </w:r>
      <w:r w:rsid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RS za kmetijske trge in razvoj podeželja (agencija) </w:t>
      </w:r>
      <w:r w:rsidR="00383E88"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prek obrazca za 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višjo silo po običajnem postopku. To lahko stori v </w:t>
      </w:r>
      <w:r w:rsidR="00612376" w:rsidRPr="00612376">
        <w:rPr>
          <w:rFonts w:ascii="Arial" w:hAnsi="Arial" w:cs="Arial"/>
          <w:color w:val="000000"/>
          <w:sz w:val="20"/>
          <w:szCs w:val="20"/>
          <w:lang w:eastAsia="sl-SI"/>
        </w:rPr>
        <w:t>petnajstih delovnih dneh od dneva, ko je upravičenec to zmožen storiti,</w:t>
      </w:r>
      <w:r w:rsidR="00383E88" w:rsidRPr="00CB663A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CB663A">
        <w:rPr>
          <w:rFonts w:ascii="Arial" w:hAnsi="Arial" w:cs="Arial"/>
          <w:color w:val="000000"/>
          <w:sz w:val="20"/>
          <w:szCs w:val="20"/>
          <w:lang w:eastAsia="sl-SI"/>
        </w:rPr>
        <w:t>na predpisanem obrazcu, ki je skupaj z navodili za izpolnjevanje dostopen na povezavi:</w:t>
      </w:r>
    </w:p>
    <w:p w:rsidR="00C877FE" w:rsidRDefault="0034286E" w:rsidP="00CB663A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Pr="00860697">
          <w:rPr>
            <w:rStyle w:val="Hiperpovezava"/>
            <w:rFonts w:ascii="Arial" w:hAnsi="Arial" w:cs="Arial"/>
            <w:sz w:val="20"/>
            <w:szCs w:val="20"/>
          </w:rPr>
          <w:t>https://www.gov.si/assets/organi-v-sestavi/ARSKTRP/SNP/ZV-2024/Obrazec-za-sporocanje-visje-sile.pdf</w:t>
        </w:r>
      </w:hyperlink>
      <w:r w:rsidR="00CB663A" w:rsidRPr="003049B8">
        <w:rPr>
          <w:rFonts w:ascii="Arial" w:hAnsi="Arial" w:cs="Arial"/>
          <w:color w:val="000000"/>
          <w:sz w:val="20"/>
          <w:szCs w:val="20"/>
        </w:rPr>
        <w:t>.</w:t>
      </w:r>
    </w:p>
    <w:p w:rsidR="0034286E" w:rsidRPr="003049B8" w:rsidRDefault="0034286E" w:rsidP="00CB663A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C877FE" w:rsidRPr="00CB663A" w:rsidRDefault="008A5BEB" w:rsidP="00CB663A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Gle</w:t>
      </w:r>
      <w:r w:rsidR="00C877FE" w:rsidRPr="00CB663A">
        <w:rPr>
          <w:rFonts w:ascii="Arial" w:hAnsi="Arial" w:cs="Arial"/>
          <w:b/>
          <w:color w:val="000000"/>
          <w:sz w:val="20"/>
          <w:szCs w:val="20"/>
          <w:lang w:eastAsia="sl-SI"/>
        </w:rPr>
        <w:t>de na podatke ARSO nosilcu kmetijskega gospodarstva pri sporočanju višje sile ni treba prilagati dokazil!</w:t>
      </w:r>
    </w:p>
    <w:p w:rsidR="00CB663A" w:rsidRPr="00CB663A" w:rsidRDefault="00CB663A" w:rsidP="00CB663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</w:p>
    <w:p w:rsidR="00CB663A" w:rsidRPr="00CB663A" w:rsidRDefault="00CB663A" w:rsidP="00CB663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CB663A">
        <w:rPr>
          <w:rFonts w:ascii="Arial" w:hAnsi="Arial" w:cs="Arial"/>
          <w:sz w:val="20"/>
          <w:szCs w:val="20"/>
          <w:lang w:eastAsia="sl-SI"/>
        </w:rPr>
        <w:t xml:space="preserve">POZOR: V primeru zahtevkov za shemo ZEL ter operaciji VOD in PAS_VOD mora nosilec kmetijskega gospodarstva zagotoviti setev primernih kmetijskih rastlin, ki bodo omogočile zeleni pokrov </w:t>
      </w:r>
      <w:r w:rsidR="00BE15A1" w:rsidRPr="00BE15A1">
        <w:rPr>
          <w:rFonts w:ascii="Arial" w:hAnsi="Arial" w:cs="Arial"/>
          <w:sz w:val="20"/>
          <w:szCs w:val="20"/>
          <w:lang w:eastAsia="sl-SI"/>
        </w:rPr>
        <w:t xml:space="preserve">ornih površin še znotraj zahtevanega obdobja </w:t>
      </w:r>
      <w:r w:rsidRPr="00CB663A">
        <w:rPr>
          <w:rFonts w:ascii="Arial" w:hAnsi="Arial" w:cs="Arial"/>
          <w:sz w:val="20"/>
          <w:szCs w:val="20"/>
          <w:lang w:eastAsia="sl-SI"/>
        </w:rPr>
        <w:t>takoj po prenehanju višje sile. Če nosilec kmetijskega gospodarstva setev zaradi višje sile izvede kasneje in pravočasno predloži obrazec za sporočanje višje sile:</w:t>
      </w:r>
    </w:p>
    <w:p w:rsidR="00CB663A" w:rsidRPr="00CB663A" w:rsidRDefault="00CB663A" w:rsidP="00B8278E">
      <w:pPr>
        <w:numPr>
          <w:ilvl w:val="0"/>
          <w:numId w:val="1"/>
        </w:numPr>
        <w:spacing w:after="0" w:line="260" w:lineRule="atLeast"/>
        <w:ind w:left="357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CB663A">
        <w:rPr>
          <w:rFonts w:ascii="Arial" w:hAnsi="Arial" w:cs="Arial"/>
          <w:sz w:val="20"/>
          <w:szCs w:val="20"/>
          <w:lang w:eastAsia="sl-SI"/>
        </w:rPr>
        <w:t>je za shemo ZEL upravičen do celotnega plačila, kljub temu da bo zelen pokrov zaradi višje sile vzpostavljen kasneje in ne bo viden na najmanj 70 % ozelenjene površine, pri čemer pa mora izpolnjevati tudi druge pogoje upravičenosti te sheme;</w:t>
      </w:r>
    </w:p>
    <w:p w:rsidR="00CB663A" w:rsidRPr="00CB663A" w:rsidRDefault="00CB663A" w:rsidP="00B8278E">
      <w:pPr>
        <w:numPr>
          <w:ilvl w:val="0"/>
          <w:numId w:val="1"/>
        </w:numPr>
        <w:spacing w:after="0" w:line="260" w:lineRule="atLeast"/>
        <w:ind w:left="357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CB663A">
        <w:rPr>
          <w:rFonts w:ascii="Arial" w:hAnsi="Arial" w:cs="Arial"/>
          <w:sz w:val="20"/>
          <w:szCs w:val="20"/>
          <w:lang w:eastAsia="sl-SI"/>
        </w:rPr>
        <w:t>se pri operacijah VOD in PAS_VOD plačilo dodeli v celoti ne glede na to, da zaradi višje sile njivske površine ne bodo pokrite z zeleno odejo najmanj 220 dni v koledarskem letu, zelen pokrov pa ne bo viden na najmanj 70 % ozelenjene površine, izpolnjene pa bodo tudi druge zahteve za izvajaje teh operacij.</w:t>
      </w:r>
    </w:p>
    <w:p w:rsidR="00CB663A" w:rsidRPr="00CB663A" w:rsidRDefault="00CB663A" w:rsidP="00E6008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CB663A" w:rsidRPr="00CB663A" w:rsidRDefault="00CB663A" w:rsidP="00E6008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CB663A">
        <w:rPr>
          <w:rFonts w:ascii="Arial" w:hAnsi="Arial" w:cs="Arial"/>
          <w:sz w:val="20"/>
          <w:szCs w:val="20"/>
          <w:lang w:eastAsia="sl-SI"/>
        </w:rPr>
        <w:lastRenderedPageBreak/>
        <w:t>Nosilec kmetijskega gospodarstva mora prenehanje višje sile in izvedbo setve agenciji pisno sporočiti, kar lahko stori prek aplikacije Sopotnik (na ustreznem GERK) ali pa pošlje pisno obvestilo agenciji.</w:t>
      </w:r>
    </w:p>
    <w:p w:rsidR="00CB663A" w:rsidRPr="00CB663A" w:rsidRDefault="00CB663A" w:rsidP="00E6008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</w:p>
    <w:p w:rsidR="00CB663A" w:rsidRPr="00CB663A" w:rsidRDefault="00CB663A" w:rsidP="00E6008A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  <w:lang w:eastAsia="sl-SI"/>
        </w:rPr>
      </w:pPr>
      <w:r w:rsidRPr="00CB663A">
        <w:rPr>
          <w:rFonts w:ascii="Arial" w:hAnsi="Arial" w:cs="Arial"/>
          <w:i/>
          <w:sz w:val="20"/>
          <w:szCs w:val="20"/>
          <w:lang w:eastAsia="sl-SI"/>
        </w:rPr>
        <w:t>Na primer: »Dne XX. YY. 2004, sem lahko za shemo _____ ali operacijo _____ izvedel setev, ker je višja sila, namočenost zemljišča, ki je onemogočala setev, prenehala.«.</w:t>
      </w:r>
    </w:p>
    <w:p w:rsidR="00CB663A" w:rsidRPr="00CB663A" w:rsidRDefault="00CB663A" w:rsidP="00E6008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</w:p>
    <w:p w:rsidR="00CB663A" w:rsidRPr="00CB663A" w:rsidRDefault="00CB663A" w:rsidP="00E6008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CB663A">
        <w:rPr>
          <w:rFonts w:ascii="Arial" w:hAnsi="Arial" w:cs="Arial"/>
          <w:sz w:val="20"/>
          <w:szCs w:val="20"/>
          <w:lang w:eastAsia="sl-SI"/>
        </w:rPr>
        <w:t>Če nosilec kmetijskega gospodarstva ne izvede setve po prenehanju višje sile:</w:t>
      </w:r>
    </w:p>
    <w:p w:rsidR="00CB663A" w:rsidRPr="00CB663A" w:rsidRDefault="00CB663A" w:rsidP="00B8278E">
      <w:pPr>
        <w:numPr>
          <w:ilvl w:val="0"/>
          <w:numId w:val="1"/>
        </w:numPr>
        <w:spacing w:after="0" w:line="260" w:lineRule="atLeast"/>
        <w:ind w:left="357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CB663A">
        <w:rPr>
          <w:rFonts w:ascii="Arial" w:hAnsi="Arial" w:cs="Arial"/>
          <w:sz w:val="20"/>
          <w:szCs w:val="20"/>
          <w:lang w:eastAsia="sl-SI"/>
        </w:rPr>
        <w:t>za shemo ZEL, kljub sporočanju višje sile, ni upravičen do plačila in mora umakniti zahtevek za to shemo;</w:t>
      </w:r>
    </w:p>
    <w:p w:rsidR="00CB663A" w:rsidRPr="00CB663A" w:rsidRDefault="00CB663A" w:rsidP="00B8278E">
      <w:pPr>
        <w:numPr>
          <w:ilvl w:val="0"/>
          <w:numId w:val="1"/>
        </w:numPr>
        <w:spacing w:after="0" w:line="260" w:lineRule="atLeast"/>
        <w:ind w:left="357" w:hanging="357"/>
        <w:jc w:val="both"/>
        <w:rPr>
          <w:rFonts w:ascii="Arial" w:hAnsi="Arial" w:cs="Arial"/>
          <w:sz w:val="20"/>
          <w:szCs w:val="20"/>
          <w:lang w:eastAsia="sl-SI"/>
        </w:rPr>
      </w:pPr>
      <w:r w:rsidRPr="00CB663A">
        <w:rPr>
          <w:rFonts w:ascii="Arial" w:hAnsi="Arial" w:cs="Arial"/>
          <w:sz w:val="20"/>
          <w:szCs w:val="20"/>
          <w:lang w:eastAsia="sl-SI"/>
        </w:rPr>
        <w:t xml:space="preserve">se pri operacijah VOD ali PAS_VOD na podlagi sporočene višje sile prizna izpolnjevanje obveznosti, plačilo za omenjeni operaciji pa se zniža v skladu s Prilogo 6 (Katalog kršitev in upravnih sankcij) Uredbe o plačilih za </w:t>
      </w:r>
      <w:proofErr w:type="spellStart"/>
      <w:r w:rsidRPr="00CB663A">
        <w:rPr>
          <w:rFonts w:ascii="Arial" w:hAnsi="Arial" w:cs="Arial"/>
          <w:sz w:val="20"/>
          <w:szCs w:val="20"/>
          <w:lang w:eastAsia="sl-SI"/>
        </w:rPr>
        <w:t>okoljske</w:t>
      </w:r>
      <w:proofErr w:type="spellEnd"/>
      <w:r w:rsidRPr="00CB663A">
        <w:rPr>
          <w:rFonts w:ascii="Arial" w:hAnsi="Arial" w:cs="Arial"/>
          <w:sz w:val="20"/>
          <w:szCs w:val="20"/>
          <w:lang w:eastAsia="sl-SI"/>
        </w:rPr>
        <w:t xml:space="preserve"> in podnebne obveznosti ter naravne ali druge omejitve iz strateškega načrta skupne kmetijske politike 2023–2027 (Uradni list RS. Št 30/24 in 78/24).</w:t>
      </w:r>
    </w:p>
    <w:p w:rsidR="00CB663A" w:rsidRPr="00CB663A" w:rsidRDefault="00CB663A" w:rsidP="00E6008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</w:p>
    <w:p w:rsidR="00CB663A" w:rsidRPr="0034286E" w:rsidRDefault="00CB663A" w:rsidP="00E6008A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34286E">
        <w:rPr>
          <w:rFonts w:ascii="Arial" w:hAnsi="Arial" w:cs="Arial"/>
          <w:b/>
          <w:sz w:val="20"/>
          <w:szCs w:val="20"/>
          <w:lang w:eastAsia="sl-SI"/>
        </w:rPr>
        <w:t>Nosilec k</w:t>
      </w:r>
      <w:r w:rsidR="00BE15A1" w:rsidRPr="0034286E">
        <w:rPr>
          <w:rFonts w:ascii="Arial" w:hAnsi="Arial" w:cs="Arial"/>
          <w:b/>
          <w:sz w:val="20"/>
          <w:szCs w:val="20"/>
          <w:lang w:eastAsia="sl-SI"/>
        </w:rPr>
        <w:t>metijskega gospodarstva zahtevke za shemo ZEL lahko umakne najpozneje do 28</w:t>
      </w:r>
      <w:r w:rsidRPr="0034286E">
        <w:rPr>
          <w:rFonts w:ascii="Arial" w:hAnsi="Arial" w:cs="Arial"/>
          <w:b/>
          <w:sz w:val="20"/>
          <w:szCs w:val="20"/>
          <w:lang w:eastAsia="sl-SI"/>
        </w:rPr>
        <w:t>. marca 2025, vendar priporočamo, da to stori čim prej zaradi morebitnih pregledov na kraju samem.</w:t>
      </w:r>
    </w:p>
    <w:p w:rsidR="00C877FE" w:rsidRPr="00CB663A" w:rsidRDefault="00C877FE" w:rsidP="00CB663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</w:p>
    <w:p w:rsidR="00CB663A" w:rsidRPr="00CB663A" w:rsidRDefault="00CB663A" w:rsidP="00CB663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A06ADB" w:rsidRPr="00CB663A" w:rsidRDefault="00A06ADB" w:rsidP="00CB663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A06ADB" w:rsidRPr="00CB663A" w:rsidRDefault="00A06ADB" w:rsidP="00CB663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A06ADB" w:rsidRPr="00CB663A" w:rsidRDefault="00A06ADB" w:rsidP="00CB663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E6008A" w:rsidRDefault="00E600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C22FB" w:rsidRPr="00CB663A" w:rsidRDefault="004C22FB" w:rsidP="00CB663A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B663A">
        <w:rPr>
          <w:rFonts w:ascii="Arial" w:hAnsi="Arial" w:cs="Arial"/>
          <w:b/>
          <w:sz w:val="20"/>
          <w:szCs w:val="20"/>
        </w:rPr>
        <w:lastRenderedPageBreak/>
        <w:t xml:space="preserve">Priloga 1: </w:t>
      </w:r>
      <w:r w:rsidRPr="00CB663A">
        <w:rPr>
          <w:rFonts w:ascii="Arial" w:hAnsi="Arial" w:cs="Arial"/>
          <w:color w:val="000000"/>
          <w:sz w:val="20"/>
          <w:szCs w:val="20"/>
        </w:rPr>
        <w:t>Podatki ARSO o padavinah za mesec oktober  (od 1.</w:t>
      </w:r>
      <w:r w:rsidR="007D4B7A">
        <w:rPr>
          <w:rFonts w:ascii="Arial" w:hAnsi="Arial" w:cs="Arial"/>
          <w:color w:val="000000"/>
          <w:sz w:val="20"/>
          <w:szCs w:val="20"/>
        </w:rPr>
        <w:t> </w:t>
      </w:r>
      <w:r w:rsidRPr="00CB663A">
        <w:rPr>
          <w:rFonts w:ascii="Arial" w:hAnsi="Arial" w:cs="Arial"/>
          <w:color w:val="000000"/>
          <w:sz w:val="20"/>
          <w:szCs w:val="20"/>
        </w:rPr>
        <w:t>oktobra do 22.</w:t>
      </w:r>
      <w:r w:rsidR="007D4B7A">
        <w:rPr>
          <w:rFonts w:ascii="Arial" w:hAnsi="Arial" w:cs="Arial"/>
          <w:color w:val="000000"/>
          <w:sz w:val="20"/>
          <w:szCs w:val="20"/>
        </w:rPr>
        <w:t> </w:t>
      </w:r>
      <w:r w:rsidRPr="00CB663A">
        <w:rPr>
          <w:rFonts w:ascii="Arial" w:hAnsi="Arial" w:cs="Arial"/>
          <w:color w:val="000000"/>
          <w:sz w:val="20"/>
          <w:szCs w:val="20"/>
        </w:rPr>
        <w:t>oktobra) za 15 rep</w:t>
      </w:r>
      <w:r w:rsidR="0034286E">
        <w:rPr>
          <w:rFonts w:ascii="Arial" w:hAnsi="Arial" w:cs="Arial"/>
          <w:color w:val="000000"/>
          <w:sz w:val="20"/>
          <w:szCs w:val="20"/>
        </w:rPr>
        <w:t>r</w:t>
      </w:r>
      <w:r w:rsidRPr="00CB663A">
        <w:rPr>
          <w:rFonts w:ascii="Arial" w:hAnsi="Arial" w:cs="Arial"/>
          <w:color w:val="000000"/>
          <w:sz w:val="20"/>
          <w:szCs w:val="20"/>
        </w:rPr>
        <w:t>e</w:t>
      </w:r>
      <w:bookmarkStart w:id="0" w:name="_GoBack"/>
      <w:bookmarkEnd w:id="0"/>
      <w:r w:rsidRPr="00CB663A">
        <w:rPr>
          <w:rFonts w:ascii="Arial" w:hAnsi="Arial" w:cs="Arial"/>
          <w:color w:val="000000"/>
          <w:sz w:val="20"/>
          <w:szCs w:val="20"/>
        </w:rPr>
        <w:t>zentativnih regijskih postaj</w:t>
      </w:r>
    </w:p>
    <w:p w:rsidR="004C22FB" w:rsidRPr="00CB663A" w:rsidRDefault="004C22FB" w:rsidP="00CB663A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2109"/>
        <w:gridCol w:w="1960"/>
        <w:gridCol w:w="1498"/>
      </w:tblGrid>
      <w:tr w:rsidR="007D4B7A" w:rsidRPr="00E6008A" w:rsidTr="007D4B7A">
        <w:trPr>
          <w:trHeight w:val="280"/>
          <w:tblHeader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7E2D91" w:rsidP="00CC18F6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Postaja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Vsota od </w:t>
            </w:r>
            <w:proofErr w:type="spellStart"/>
            <w:r w:rsidRPr="00E600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rr</w:t>
            </w:r>
            <w:proofErr w:type="spellEnd"/>
            <w:r w:rsidRPr="00E600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 (oktober)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Vsota od </w:t>
            </w:r>
            <w:proofErr w:type="spellStart"/>
            <w:r w:rsidRPr="00E600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rr_pov</w:t>
            </w:r>
            <w:proofErr w:type="spellEnd"/>
            <w:r w:rsidRPr="00E600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 (oktober)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Odstopanje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Bilje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199,52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108,1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91,42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Bovec </w:t>
            </w:r>
            <w:r w:rsid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–</w:t>
            </w: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letališče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529,2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233,05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296,15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Celje Medlog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108,59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85,62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22,97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Cerklje </w:t>
            </w:r>
            <w:r w:rsid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–</w:t>
            </w: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letališče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115,7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83,23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32,47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Črnomelj </w:t>
            </w:r>
            <w:r w:rsid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–</w:t>
            </w: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Dobliče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159,98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104,49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55,49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241,42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112,89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128,53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Letališče Jožeta Pučnika Ljubljana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149,92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95,07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54,85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Ljubljana Bežigrad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150,47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110,22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40,25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Maribor </w:t>
            </w:r>
            <w:r w:rsid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–</w:t>
            </w: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letališče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93,47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63,39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30,08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81,1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49,8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31,3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146,8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87,49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59,31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Portorož </w:t>
            </w:r>
            <w:r w:rsid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–</w:t>
            </w: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letališče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178,11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81,7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96,41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200,95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115,82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85,13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Rateče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242,83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129,1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113,73</w:t>
            </w:r>
          </w:p>
        </w:tc>
      </w:tr>
      <w:tr w:rsidR="007D4B7A" w:rsidRPr="00CB663A" w:rsidTr="007D4B7A">
        <w:trPr>
          <w:trHeight w:val="280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CC18F6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Šmartno pri Slovenj Gradcu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140,51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CB663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6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73,88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FB" w:rsidRPr="00E6008A" w:rsidRDefault="004C22FB" w:rsidP="007D4B7A">
            <w:pPr>
              <w:spacing w:after="0" w:line="26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6008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66,63</w:t>
            </w:r>
          </w:p>
        </w:tc>
      </w:tr>
    </w:tbl>
    <w:p w:rsidR="004C22FB" w:rsidRPr="007D4B7A" w:rsidRDefault="004C22FB" w:rsidP="00CC18F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CC18F6" w:rsidRDefault="00CC18F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7D4B7A" w:rsidRPr="007D4B7A" w:rsidRDefault="007D4B7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sectPr w:rsidR="007D4B7A" w:rsidRPr="007D4B7A" w:rsidSect="0034286E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2D5F"/>
    <w:multiLevelType w:val="hybridMultilevel"/>
    <w:tmpl w:val="8F2273E4"/>
    <w:lvl w:ilvl="0" w:tplc="CB0C4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FE"/>
    <w:rsid w:val="00165C8A"/>
    <w:rsid w:val="001777FA"/>
    <w:rsid w:val="003049B8"/>
    <w:rsid w:val="0034286E"/>
    <w:rsid w:val="00383E88"/>
    <w:rsid w:val="004A7CA3"/>
    <w:rsid w:val="004C22FB"/>
    <w:rsid w:val="00557B59"/>
    <w:rsid w:val="00596065"/>
    <w:rsid w:val="00612376"/>
    <w:rsid w:val="007D4B7A"/>
    <w:rsid w:val="007E2D91"/>
    <w:rsid w:val="008A5BEB"/>
    <w:rsid w:val="008D2EC7"/>
    <w:rsid w:val="00A06ADB"/>
    <w:rsid w:val="00B8278E"/>
    <w:rsid w:val="00BE15A1"/>
    <w:rsid w:val="00C877FE"/>
    <w:rsid w:val="00CB663A"/>
    <w:rsid w:val="00CC18F6"/>
    <w:rsid w:val="00D50AEE"/>
    <w:rsid w:val="00E22905"/>
    <w:rsid w:val="00E6008A"/>
    <w:rsid w:val="00F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4FB1"/>
  <w15:chartTrackingRefBased/>
  <w15:docId w15:val="{14710E92-B429-475C-B777-F68195FE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C877F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assets/organi-v-sestavi/ARSKTRP/SNP/ZV-2024/Obrazec-za-sporocanje-visje-si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Valek</dc:creator>
  <cp:keywords/>
  <dc:description/>
  <cp:lastModifiedBy>MKGP</cp:lastModifiedBy>
  <cp:revision>3</cp:revision>
  <dcterms:created xsi:type="dcterms:W3CDTF">2024-10-25T08:41:00Z</dcterms:created>
  <dcterms:modified xsi:type="dcterms:W3CDTF">2024-10-30T07:25:00Z</dcterms:modified>
</cp:coreProperties>
</file>