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FE5" w:rsidRDefault="00504073">
      <w:pPr>
        <w:pStyle w:val="zamik"/>
        <w:pBdr>
          <w:top w:val="none" w:sz="0" w:space="24" w:color="auto"/>
        </w:pBdr>
        <w:spacing w:after="210"/>
        <w:jc w:val="both"/>
        <w:rPr>
          <w:rFonts w:ascii="Arial" w:eastAsia="Arial" w:hAnsi="Arial" w:cs="Arial"/>
          <w:sz w:val="21"/>
          <w:szCs w:val="21"/>
        </w:rPr>
      </w:pPr>
      <w:bookmarkStart w:id="0" w:name="_GoBack"/>
      <w:bookmarkEnd w:id="0"/>
      <w:r>
        <w:rPr>
          <w:rFonts w:ascii="Arial" w:eastAsia="Arial" w:hAnsi="Arial" w:cs="Arial"/>
          <w:sz w:val="21"/>
          <w:szCs w:val="21"/>
        </w:rPr>
        <w:t>Na podlagi 10. in 11.a člena Zakona o kmetijstvu (Uradni list RS, št. 45/08, 57/12, 90/12 – ZdZPVHVVR, 26/14, 32/15, 27/17, 22/18, 86/21 – odl. US, 123/21, 44/22, 130/22 – ZPOmK-2, 18/23 in 78/23) Vlada Republike Slovenije izdaja</w:t>
      </w:r>
    </w:p>
    <w:p w:rsidR="002C1FE5" w:rsidRDefault="00504073">
      <w:pPr>
        <w:pStyle w:val="center"/>
        <w:spacing w:before="210" w:after="210"/>
        <w:rPr>
          <w:rFonts w:ascii="Arial" w:eastAsia="Arial" w:hAnsi="Arial" w:cs="Arial"/>
          <w:b/>
          <w:bCs/>
          <w:caps/>
          <w:sz w:val="21"/>
          <w:szCs w:val="21"/>
        </w:rPr>
      </w:pPr>
      <w:r>
        <w:rPr>
          <w:rFonts w:ascii="Arial" w:eastAsia="Arial" w:hAnsi="Arial" w:cs="Arial"/>
          <w:b/>
          <w:bCs/>
          <w:caps/>
          <w:sz w:val="21"/>
          <w:szCs w:val="21"/>
        </w:rPr>
        <w:t>U R E D B O</w:t>
      </w:r>
    </w:p>
    <w:p w:rsidR="002C1FE5" w:rsidRDefault="00504073">
      <w:pPr>
        <w:pStyle w:val="center"/>
        <w:spacing w:before="210" w:after="210"/>
        <w:rPr>
          <w:rFonts w:ascii="Arial" w:eastAsia="Arial" w:hAnsi="Arial" w:cs="Arial"/>
          <w:b/>
          <w:bCs/>
          <w:caps/>
          <w:sz w:val="21"/>
          <w:szCs w:val="21"/>
        </w:rPr>
      </w:pPr>
      <w:r>
        <w:rPr>
          <w:rFonts w:ascii="Arial" w:eastAsia="Arial" w:hAnsi="Arial" w:cs="Arial"/>
          <w:b/>
          <w:bCs/>
          <w:caps/>
          <w:sz w:val="21"/>
          <w:szCs w:val="21"/>
        </w:rPr>
        <w:t xml:space="preserve">o spremembah </w:t>
      </w:r>
      <w:r>
        <w:rPr>
          <w:rFonts w:ascii="Arial" w:eastAsia="Arial" w:hAnsi="Arial" w:cs="Arial"/>
          <w:b/>
          <w:bCs/>
          <w:caps/>
          <w:sz w:val="21"/>
          <w:szCs w:val="21"/>
        </w:rPr>
        <w:t>in dopolnitvah Uredbe o plačilih za okoljske in podnebne obveznosti ter naravne ali druge omejitve iz strateškega načrta skupne kmetijske politike 2023–2027</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Uredbi o plačilih za okoljske in podnebne obveznosti ter naravne ali druge omejitve iz st</w:t>
      </w:r>
      <w:r>
        <w:rPr>
          <w:rFonts w:ascii="Arial" w:eastAsia="Arial" w:hAnsi="Arial" w:cs="Arial"/>
          <w:sz w:val="21"/>
          <w:szCs w:val="21"/>
        </w:rPr>
        <w:t xml:space="preserve">rateškega načrta skupne kmetijske politike 2023–2027 (Uradni list RS, št. 30/24 in 78/24) se v 1. členu v drugem odstavku v 2. točki besedilo »popravljene s Popravkom (UL L št. 321 z dne 15. 12. 2022, str. 74)« nadomesti z besedilom »spremenjene z </w:t>
      </w:r>
      <w:hyperlink r:id="rId4" w:tgtFrame="_blank" w:tooltip="to EUR-Lex" w:history="1">
        <w:r>
          <w:rPr>
            <w:rFonts w:ascii="Arial" w:eastAsia="Arial" w:hAnsi="Arial" w:cs="Arial"/>
            <w:color w:val="0000EE"/>
            <w:sz w:val="21"/>
            <w:szCs w:val="21"/>
            <w:u w:val="single" w:color="0000EE"/>
          </w:rPr>
          <w:t>Delegirano uredbo Komisije (EU) 2024/2867</w:t>
        </w:r>
      </w:hyperlink>
      <w:r>
        <w:rPr>
          <w:rFonts w:ascii="Arial" w:eastAsia="Arial" w:hAnsi="Arial" w:cs="Arial"/>
          <w:sz w:val="21"/>
          <w:szCs w:val="21"/>
        </w:rPr>
        <w:t xml:space="preserve"> z dne 2. septembra 2024 o spremembi </w:t>
      </w:r>
      <w:hyperlink r:id="rId5" w:tgtFrame="_blank" w:tooltip="to EUR-Lex" w:history="1">
        <w:r>
          <w:rPr>
            <w:rFonts w:ascii="Arial" w:eastAsia="Arial" w:hAnsi="Arial" w:cs="Arial"/>
            <w:color w:val="0000EE"/>
            <w:sz w:val="21"/>
            <w:szCs w:val="21"/>
            <w:u w:val="single" w:color="0000EE"/>
          </w:rPr>
          <w:t>Uredbe (E</w:t>
        </w:r>
        <w:r>
          <w:rPr>
            <w:rFonts w:ascii="Arial" w:eastAsia="Arial" w:hAnsi="Arial" w:cs="Arial"/>
            <w:color w:val="0000EE"/>
            <w:sz w:val="21"/>
            <w:szCs w:val="21"/>
            <w:u w:val="single" w:color="0000EE"/>
          </w:rPr>
          <w:t>U) 2018/848</w:t>
        </w:r>
      </w:hyperlink>
      <w:r>
        <w:rPr>
          <w:rFonts w:ascii="Arial" w:eastAsia="Arial" w:hAnsi="Arial" w:cs="Arial"/>
          <w:sz w:val="21"/>
          <w:szCs w:val="21"/>
        </w:rPr>
        <w:t xml:space="preserve"> Evropskega parlamenta in Sveta glede predstavitve logotipa ekološke pridelave Evropske unije (UL L št. 2024/2867 z dne 11. 11. 2024)«.</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V 4. točki se besedilo » </w:t>
      </w:r>
      <w:hyperlink r:id="rId6" w:tgtFrame="_blank" w:tooltip="to EUR-Lex" w:history="1">
        <w:r>
          <w:rPr>
            <w:rFonts w:ascii="Arial" w:eastAsia="Arial" w:hAnsi="Arial" w:cs="Arial"/>
            <w:color w:val="0000EE"/>
            <w:sz w:val="21"/>
            <w:szCs w:val="21"/>
            <w:u w:val="single" w:color="0000EE"/>
          </w:rPr>
          <w:t>Delegirano uredbo Komisije (EU) 2023/813</w:t>
        </w:r>
      </w:hyperlink>
      <w:r>
        <w:rPr>
          <w:rFonts w:ascii="Arial" w:eastAsia="Arial" w:hAnsi="Arial" w:cs="Arial"/>
          <w:sz w:val="21"/>
          <w:szCs w:val="21"/>
        </w:rPr>
        <w:t xml:space="preserve"> z dne 8. februarja 2023 o spremembi </w:t>
      </w:r>
      <w:hyperlink r:id="rId7" w:tgtFrame="_blank" w:tooltip="to EUR-Lex" w:history="1">
        <w:r>
          <w:rPr>
            <w:rFonts w:ascii="Arial" w:eastAsia="Arial" w:hAnsi="Arial" w:cs="Arial"/>
            <w:color w:val="0000EE"/>
            <w:sz w:val="21"/>
            <w:szCs w:val="21"/>
            <w:u w:val="single" w:color="0000EE"/>
          </w:rPr>
          <w:t>Uredbe (EU) 2021/2115</w:t>
        </w:r>
      </w:hyperlink>
      <w:r>
        <w:rPr>
          <w:rFonts w:ascii="Arial" w:eastAsia="Arial" w:hAnsi="Arial" w:cs="Arial"/>
          <w:sz w:val="21"/>
          <w:szCs w:val="21"/>
        </w:rPr>
        <w:t xml:space="preserve"> Evropskega parlamenta in Sveta glede dodeljenih sredstev držav č</w:t>
      </w:r>
      <w:r>
        <w:rPr>
          <w:rFonts w:ascii="Arial" w:eastAsia="Arial" w:hAnsi="Arial" w:cs="Arial"/>
          <w:sz w:val="21"/>
          <w:szCs w:val="21"/>
        </w:rPr>
        <w:t xml:space="preserve">lanic za neposredna plačila in letne razdelitve podpore Unije za razvoj podeželja po državah članicah (UL L št. 102 z dne 17. 4. 2023, str. 1)« nadomesti z besedilom » </w:t>
      </w:r>
      <w:hyperlink r:id="rId8" w:tgtFrame="_blank" w:tooltip="to EUR-Lex" w:history="1">
        <w:r>
          <w:rPr>
            <w:rFonts w:ascii="Arial" w:eastAsia="Arial" w:hAnsi="Arial" w:cs="Arial"/>
            <w:color w:val="0000EE"/>
            <w:sz w:val="21"/>
            <w:szCs w:val="21"/>
            <w:u w:val="single" w:color="0000EE"/>
          </w:rPr>
          <w:t>U</w:t>
        </w:r>
        <w:r>
          <w:rPr>
            <w:rFonts w:ascii="Arial" w:eastAsia="Arial" w:hAnsi="Arial" w:cs="Arial"/>
            <w:color w:val="0000EE"/>
            <w:sz w:val="21"/>
            <w:szCs w:val="21"/>
            <w:u w:val="single" w:color="0000EE"/>
          </w:rPr>
          <w:t>redbo (EU) 2024/1468</w:t>
        </w:r>
      </w:hyperlink>
      <w:r>
        <w:rPr>
          <w:rFonts w:ascii="Arial" w:eastAsia="Arial" w:hAnsi="Arial" w:cs="Arial"/>
          <w:sz w:val="21"/>
          <w:szCs w:val="21"/>
        </w:rPr>
        <w:t xml:space="preserve"> Evropskega parlamenta in Sveta z dne 14. maja 2024 o spremembi </w:t>
      </w:r>
      <w:hyperlink r:id="rId9" w:tgtFrame="_blank" w:tooltip="to EUR-Lex" w:history="1">
        <w:r>
          <w:rPr>
            <w:rFonts w:ascii="Arial" w:eastAsia="Arial" w:hAnsi="Arial" w:cs="Arial"/>
            <w:color w:val="0000EE"/>
            <w:sz w:val="21"/>
            <w:szCs w:val="21"/>
            <w:u w:val="single" w:color="0000EE"/>
          </w:rPr>
          <w:t>uredb (EU) 2021/2115</w:t>
        </w:r>
      </w:hyperlink>
      <w:r>
        <w:rPr>
          <w:rFonts w:ascii="Arial" w:eastAsia="Arial" w:hAnsi="Arial" w:cs="Arial"/>
          <w:sz w:val="21"/>
          <w:szCs w:val="21"/>
        </w:rPr>
        <w:t xml:space="preserve"> in </w:t>
      </w:r>
      <w:hyperlink r:id="rId10" w:tgtFrame="_blank" w:tooltip="to EUR-Lex" w:history="1">
        <w:r>
          <w:rPr>
            <w:rFonts w:ascii="Arial" w:eastAsia="Arial" w:hAnsi="Arial" w:cs="Arial"/>
            <w:color w:val="0000EE"/>
            <w:sz w:val="21"/>
            <w:szCs w:val="21"/>
            <w:u w:val="single" w:color="0000EE"/>
          </w:rPr>
          <w:t>(EU) 2021/2116</w:t>
        </w:r>
      </w:hyperlink>
      <w:r>
        <w:rPr>
          <w:rFonts w:ascii="Arial" w:eastAsia="Arial" w:hAnsi="Arial" w:cs="Arial"/>
          <w:sz w:val="21"/>
          <w:szCs w:val="21"/>
        </w:rPr>
        <w:t xml:space="preserve"> v zvezi s standardi za dobre kmetijske in okoljske pogoje, shemami za podnebje, okolje in dobrobit živali, spremembami strateških načrtov SKP, pregledom strateških načrtov SKP ter izvzetji iz kontrol in sankcij (UL </w:t>
      </w:r>
      <w:r>
        <w:rPr>
          <w:rFonts w:ascii="Arial" w:eastAsia="Arial" w:hAnsi="Arial" w:cs="Arial"/>
          <w:sz w:val="21"/>
          <w:szCs w:val="21"/>
        </w:rPr>
        <w:t>L št. 2024/1468 z dne 24. 5. 2024)«.</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V 5. točki se besedilo » </w:t>
      </w:r>
      <w:hyperlink r:id="rId11" w:tgtFrame="_blank" w:tooltip="to EUR-Lex" w:history="1">
        <w:r>
          <w:rPr>
            <w:rFonts w:ascii="Arial" w:eastAsia="Arial" w:hAnsi="Arial" w:cs="Arial"/>
            <w:color w:val="0000EE"/>
            <w:sz w:val="21"/>
            <w:szCs w:val="21"/>
            <w:u w:val="single" w:color="0000EE"/>
          </w:rPr>
          <w:t>Delegirano uredbo Komisije (EU) 2022/1408</w:t>
        </w:r>
      </w:hyperlink>
      <w:r>
        <w:rPr>
          <w:rFonts w:ascii="Arial" w:eastAsia="Arial" w:hAnsi="Arial" w:cs="Arial"/>
          <w:sz w:val="21"/>
          <w:szCs w:val="21"/>
        </w:rPr>
        <w:t xml:space="preserve"> z dne 16. junija 2022 o sprememb </w:t>
      </w:r>
      <w:hyperlink r:id="rId12" w:tgtFrame="_blank" w:tooltip="to EUR-Lex" w:history="1">
        <w:r>
          <w:rPr>
            <w:rFonts w:ascii="Arial" w:eastAsia="Arial" w:hAnsi="Arial" w:cs="Arial"/>
            <w:color w:val="0000EE"/>
            <w:sz w:val="21"/>
            <w:szCs w:val="21"/>
            <w:u w:val="single" w:color="0000EE"/>
          </w:rPr>
          <w:t>Uredbe (EU) 2021/2116</w:t>
        </w:r>
      </w:hyperlink>
      <w:r>
        <w:rPr>
          <w:rFonts w:ascii="Arial" w:eastAsia="Arial" w:hAnsi="Arial" w:cs="Arial"/>
          <w:sz w:val="21"/>
          <w:szCs w:val="21"/>
        </w:rPr>
        <w:t xml:space="preserve"> Evropskega parlamenta in Sveta glede izplačevanja predplačil za nekatere intervencije in podporne ukrepe iz </w:t>
      </w:r>
      <w:hyperlink r:id="rId13" w:tgtFrame="_blank" w:tooltip="to EUR-Lex" w:history="1">
        <w:r>
          <w:rPr>
            <w:rFonts w:ascii="Arial" w:eastAsia="Arial" w:hAnsi="Arial" w:cs="Arial"/>
            <w:color w:val="0000EE"/>
            <w:sz w:val="21"/>
            <w:szCs w:val="21"/>
            <w:u w:val="single" w:color="0000EE"/>
          </w:rPr>
          <w:t>uredb (EU) 2021/2115</w:t>
        </w:r>
      </w:hyperlink>
      <w:r>
        <w:rPr>
          <w:rFonts w:ascii="Arial" w:eastAsia="Arial" w:hAnsi="Arial" w:cs="Arial"/>
          <w:sz w:val="21"/>
          <w:szCs w:val="21"/>
        </w:rPr>
        <w:t xml:space="preserve"> in </w:t>
      </w:r>
      <w:hyperlink r:id="rId14" w:tgtFrame="_blank" w:tooltip="to EUR-Lex" w:history="1">
        <w:r>
          <w:rPr>
            <w:rFonts w:ascii="Arial" w:eastAsia="Arial" w:hAnsi="Arial" w:cs="Arial"/>
            <w:color w:val="0000EE"/>
            <w:sz w:val="21"/>
            <w:szCs w:val="21"/>
            <w:u w:val="single" w:color="0000EE"/>
          </w:rPr>
          <w:t>(EU) št 1308/2013</w:t>
        </w:r>
      </w:hyperlink>
      <w:r>
        <w:rPr>
          <w:rFonts w:ascii="Arial" w:eastAsia="Arial" w:hAnsi="Arial" w:cs="Arial"/>
          <w:sz w:val="21"/>
          <w:szCs w:val="21"/>
        </w:rPr>
        <w:t xml:space="preserve"> Evropskega parlamenta in Sveta (UL L št. 216 z dne 19. 8. 2022, str. 1)« nadomest</w:t>
      </w:r>
      <w:r>
        <w:rPr>
          <w:rFonts w:ascii="Arial" w:eastAsia="Arial" w:hAnsi="Arial" w:cs="Arial"/>
          <w:sz w:val="21"/>
          <w:szCs w:val="21"/>
        </w:rPr>
        <w:t xml:space="preserve">i z besedilom » </w:t>
      </w:r>
      <w:hyperlink r:id="rId15" w:tgtFrame="_blank" w:tooltip="to EUR-Lex" w:history="1">
        <w:r>
          <w:rPr>
            <w:rFonts w:ascii="Arial" w:eastAsia="Arial" w:hAnsi="Arial" w:cs="Arial"/>
            <w:color w:val="0000EE"/>
            <w:sz w:val="21"/>
            <w:szCs w:val="21"/>
            <w:u w:val="single" w:color="0000EE"/>
          </w:rPr>
          <w:t>Izvedbeno uredbo Komisije (EU) 2024/2434</w:t>
        </w:r>
      </w:hyperlink>
      <w:r>
        <w:rPr>
          <w:rFonts w:ascii="Arial" w:eastAsia="Arial" w:hAnsi="Arial" w:cs="Arial"/>
          <w:sz w:val="21"/>
          <w:szCs w:val="21"/>
        </w:rPr>
        <w:t xml:space="preserve"> z dne 11. septembra 2024 o odstopanju za leto 2024 od </w:t>
      </w:r>
      <w:hyperlink r:id="rId16" w:tgtFrame="_blank" w:tooltip="to EUR-Lex" w:history="1">
        <w:r>
          <w:rPr>
            <w:rFonts w:ascii="Arial" w:eastAsia="Arial" w:hAnsi="Arial" w:cs="Arial"/>
            <w:color w:val="0000EE"/>
            <w:sz w:val="21"/>
            <w:szCs w:val="21"/>
            <w:u w:val="single" w:color="0000EE"/>
          </w:rPr>
          <w:t>člena 44(2), drugi pododstavek, Uredbe (EU) 2021/2116</w:t>
        </w:r>
      </w:hyperlink>
      <w:r>
        <w:rPr>
          <w:rFonts w:ascii="Arial" w:eastAsia="Arial" w:hAnsi="Arial" w:cs="Arial"/>
          <w:sz w:val="21"/>
          <w:szCs w:val="21"/>
        </w:rPr>
        <w:t xml:space="preserve"> Evropskega parlamenta in Sveta v zvezi s stopnjo predplačil za intervencije v obliki neposrednih plačil ter intervencije za razvoj podeželja na osnovi povr</w:t>
      </w:r>
      <w:r>
        <w:rPr>
          <w:rFonts w:ascii="Arial" w:eastAsia="Arial" w:hAnsi="Arial" w:cs="Arial"/>
          <w:sz w:val="21"/>
          <w:szCs w:val="21"/>
        </w:rPr>
        <w:t>šin in živali (UL L št. 2024/2434 z dne 12. 9. 2024)«.</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2. členu se v 1. točki besedilo »Uradni list RS, št. 17/23, 63/23, 113/23, 2/24 in 30/24« nadomesti z besedilom »Uradni list RS, št. 17/23, 63/23, 113/23, 2/24, 30/24, 83/24 in 2/25«.</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2. to</w:t>
      </w:r>
      <w:r>
        <w:rPr>
          <w:rFonts w:ascii="Arial" w:eastAsia="Arial" w:hAnsi="Arial" w:cs="Arial"/>
          <w:sz w:val="21"/>
          <w:szCs w:val="21"/>
        </w:rPr>
        <w:t>čki se za besedo »politike« doda besedilo »(v nadaljnjem besedilu: uredba za izvajanje intervencij) za tekoče leto«.</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Za 3. točko se doda nova četrta točka, ki se glasi:</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»4. GVŽ je glava velike živine, kot je določeno z zakonom, ki ureja kmetijstvo;«.</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Dosed</w:t>
      </w:r>
      <w:r>
        <w:rPr>
          <w:rFonts w:ascii="Arial" w:eastAsia="Arial" w:hAnsi="Arial" w:cs="Arial"/>
          <w:sz w:val="21"/>
          <w:szCs w:val="21"/>
        </w:rPr>
        <w:t>anja 4. točka postane 5. točka.</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dosedanji 5. točki, ki postane 6. točka, se besedilo »22. točke« nadomesti z besedilom »23. točke«.</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Dosedanje 6. do 9. točka postanejo 7. do 10. točka.</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Dosedanja 10. točka, ki postane 11. točka, se spremeni tako, da se gla</w:t>
      </w:r>
      <w:r>
        <w:rPr>
          <w:rFonts w:ascii="Arial" w:eastAsia="Arial" w:hAnsi="Arial" w:cs="Arial"/>
          <w:sz w:val="21"/>
          <w:szCs w:val="21"/>
        </w:rPr>
        <w:t>si:</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»11. mejica je vsaj 10 metrov dolga ter pri krošnji največ 20 metrov široka, njena površina znaša vsaj 25 m </w:t>
      </w:r>
      <w:r>
        <w:rPr>
          <w:rFonts w:ascii="Arial" w:eastAsia="Arial" w:hAnsi="Arial" w:cs="Arial"/>
          <w:sz w:val="26"/>
          <w:szCs w:val="26"/>
          <w:vertAlign w:val="superscript"/>
        </w:rPr>
        <w:t>2</w:t>
      </w:r>
      <w:r>
        <w:rPr>
          <w:rFonts w:ascii="Arial" w:eastAsia="Arial" w:hAnsi="Arial" w:cs="Arial"/>
          <w:sz w:val="21"/>
          <w:szCs w:val="21"/>
        </w:rPr>
        <w:t>in predstavlja strnjeno, samostojno, neprekinjeno linijo ter je pretežno porasla z lesno vegetacijo in se ne uporablja za proizvodne namene, la</w:t>
      </w:r>
      <w:r>
        <w:rPr>
          <w:rFonts w:ascii="Arial" w:eastAsia="Arial" w:hAnsi="Arial" w:cs="Arial"/>
          <w:sz w:val="21"/>
          <w:szCs w:val="21"/>
        </w:rPr>
        <w:t>hko je v sestavi grmičevja, z drevesi ali brez njih, s suhim zidom (suhozidom), posamezni deli pa so lahko tudi brez lesne vegetacije in porasli z zelmi;«.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Dosedanje 11. do 21. točka postanejo 12. do 22. točka.</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Dosedanja 22. točka, ki postane 23. točka, se</w:t>
      </w:r>
      <w:r>
        <w:rPr>
          <w:rFonts w:ascii="Arial" w:eastAsia="Arial" w:hAnsi="Arial" w:cs="Arial"/>
          <w:sz w:val="21"/>
          <w:szCs w:val="21"/>
        </w:rPr>
        <w:t xml:space="preserve"> spremeni tako, da se glasi:</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»23. skupina kmetijskih rastlin je skupina kmetijskih rastlin v skladu z uredbo za izvajanje intervencij za tekoče leto;«.</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Dosedanje 23. do 26. točka postanejo 24. do 27. točka.</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V 3. členu se v petnajstem odstavku v 1. </w:t>
      </w:r>
      <w:r>
        <w:rPr>
          <w:rFonts w:ascii="Arial" w:eastAsia="Arial" w:hAnsi="Arial" w:cs="Arial"/>
          <w:sz w:val="21"/>
          <w:szCs w:val="21"/>
        </w:rPr>
        <w:t>točki v napovednem stavku beseda »dveh« nadomesti z besedo »treh«.</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1. točki pod b) se v drugi alineji podpičje nadomesti z vejico in doda nova, podtočka c), ki se glasi:</w:t>
      </w:r>
    </w:p>
    <w:p w:rsidR="002C1FE5" w:rsidRDefault="00504073">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»c) stopnja III (v nadaljnjem besedilu: upravljavski NGTR_3);«.</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5. členu s</w:t>
      </w:r>
      <w:r>
        <w:rPr>
          <w:rFonts w:ascii="Arial" w:eastAsia="Arial" w:hAnsi="Arial" w:cs="Arial"/>
          <w:sz w:val="21"/>
          <w:szCs w:val="21"/>
        </w:rPr>
        <w:t xml:space="preserve">e v prvem odstavku v 1. točki besedilo »višini 29,80 %« nadomesti z besedilom »višini </w:t>
      </w:r>
      <w:hyperlink r:id="rId17" w:tgtFrame="_blank" w:tooltip="to EUR-Lex (TOC)" w:history="1">
        <w:r>
          <w:rPr>
            <w:rFonts w:ascii="Arial" w:eastAsia="Arial" w:hAnsi="Arial" w:cs="Arial"/>
            <w:color w:val="0000EE"/>
            <w:sz w:val="21"/>
            <w:szCs w:val="21"/>
            <w:u w:val="single" w:color="0000EE"/>
          </w:rPr>
          <w:t>do 29,80</w:t>
        </w:r>
      </w:hyperlink>
      <w:r>
        <w:rPr>
          <w:rFonts w:ascii="Arial" w:eastAsia="Arial" w:hAnsi="Arial" w:cs="Arial"/>
          <w:sz w:val="21"/>
          <w:szCs w:val="21"/>
        </w:rPr>
        <w:t xml:space="preserve"> %«.</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Drugi odstavek se spremeni tako, da se </w:t>
      </w:r>
      <w:r>
        <w:rPr>
          <w:rFonts w:ascii="Arial" w:eastAsia="Arial" w:hAnsi="Arial" w:cs="Arial"/>
          <w:sz w:val="21"/>
          <w:szCs w:val="21"/>
        </w:rPr>
        <w:t>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Za intervencije razvoja podeželja je skupno namenjenih do 506.593.619,20 eura, od katerih se namenja do:</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1. 5.110.858,23 eura za intervencijo KOPOP_PS;</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108.235.792,00 eura za intervencijo KOPOP_NV;</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37.309.522,20 eura za intervencijo KOPOP</w:t>
      </w:r>
      <w:r>
        <w:rPr>
          <w:rFonts w:ascii="Arial" w:eastAsia="Arial" w:hAnsi="Arial" w:cs="Arial"/>
          <w:sz w:val="21"/>
          <w:szCs w:val="21"/>
        </w:rPr>
        <w:t>_BK;</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91.986.914,00 eura za intervencijo EK;</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1.499.888,00 eura za intervencijo EKČ;</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4.906.930,00 eura za intervencijo HTV;</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15.137.910,00 eura za intervencijo LOPS;</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8. 8.000.000,00 eura za intervencijo BVR;</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9. 234.405.804,84 eura intervencijo OMD</w:t>
      </w:r>
      <w:r>
        <w:rPr>
          <w:rFonts w:ascii="Arial" w:eastAsia="Arial" w:hAnsi="Arial" w:cs="Arial"/>
          <w:sz w:val="21"/>
          <w:szCs w:val="21"/>
        </w:rPr>
        <w:t>.«.</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7. členu se drugi odstavek spremeni tako, da se 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V okviru intervencije KOPOP_NV je mogoče vstopiti v operacije:</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VOD, KOL_1, KOL_2, KOL_3, IPP, IPZ, IPH, IPSO, IPG, BIOTM_TNS, VIN_HERB, VIN_INSK, PGS in SENENA v letu 2024;</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PAS</w:t>
      </w:r>
      <w:r>
        <w:rPr>
          <w:rFonts w:ascii="Arial" w:eastAsia="Arial" w:hAnsi="Arial" w:cs="Arial"/>
          <w:sz w:val="21"/>
          <w:szCs w:val="21"/>
        </w:rPr>
        <w:t>_VOD v letih 2024 in 2025.«.</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Tretji odstavek se spremeni tako, da se 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V operacije intervencije KOPOP_BK je mogoče vstopiti v letih 2024–2027.«.</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Za tretjim odstavkom se doda nov, četrti odstavek, ki se 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Ne glede na prejšnji odstavek je</w:t>
      </w:r>
      <w:r>
        <w:rPr>
          <w:rFonts w:ascii="Arial" w:eastAsia="Arial" w:hAnsi="Arial" w:cs="Arial"/>
          <w:sz w:val="21"/>
          <w:szCs w:val="21"/>
        </w:rPr>
        <w:t xml:space="preserve"> v operaciji ITRV in SUHA_TRAV na območjih iz evidence iz 28. točke prvega odstavka 15. člena te uredbe mogoče vstopiti v letih 2025–2027.«.</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6.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8. členu se v prvem odstavku v napovednem stavku beseda »KOPOP« nadomesti z besedilom »KOPOP_PS in KOPOP_</w:t>
      </w:r>
      <w:r>
        <w:rPr>
          <w:rFonts w:ascii="Arial" w:eastAsia="Arial" w:hAnsi="Arial" w:cs="Arial"/>
          <w:sz w:val="21"/>
          <w:szCs w:val="21"/>
        </w:rPr>
        <w:t>NV«.</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Za prvim odstavkom se doda nov drugi odstavek, ki se 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Obveznost izvajanja intervencije KOPOP_BK traja pet let.«.</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dosedanjem drugem odstavku, ki postane tretji odstavek, se napovedni stavek spremeni tako, da se 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»Odstopanja od </w:t>
      </w:r>
      <w:r>
        <w:rPr>
          <w:rFonts w:ascii="Arial" w:eastAsia="Arial" w:hAnsi="Arial" w:cs="Arial"/>
          <w:sz w:val="21"/>
          <w:szCs w:val="21"/>
        </w:rPr>
        <w:t>obveznosti iz prvega in drugega odstavka tega člena so dovoljena le v primerih:«.</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Dosedanja tretji in četrti odstavek postaneta četrti in peti odstavek.</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dosedanjem petem odstavku, ki postane šesti odstavek, se za besedo »prvega« doda besedilo »in drugega</w:t>
      </w:r>
      <w:r>
        <w:rPr>
          <w:rFonts w:ascii="Arial" w:eastAsia="Arial" w:hAnsi="Arial" w:cs="Arial"/>
          <w:sz w:val="21"/>
          <w:szCs w:val="21"/>
        </w:rPr>
        <w:t>«.</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7.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9. členu se v tretjem odstavku besedilo »2. točke drugega« nadomesti z besedilom »3. točke tretjega«.</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8.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11. členu se v prvem odstavku za besedo »prvega« doda besedilo »in drugega«.</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9.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12. členu se v prvem odstavku za besedo »prv</w:t>
      </w:r>
      <w:r>
        <w:rPr>
          <w:rFonts w:ascii="Arial" w:eastAsia="Arial" w:hAnsi="Arial" w:cs="Arial"/>
          <w:sz w:val="21"/>
          <w:szCs w:val="21"/>
        </w:rPr>
        <w:t>ega« doda besedilo »in drugega«.</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Za tretjim odstavkom se doda nov, četrti odstavek, ki se 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Ne glede na prvi odstavek tega člena se površina, za katero je prevzeta obveznost za operacije VOD, KOL_1, PGS in SENENA, v letih od 2025 do 2028 lahko po</w:t>
      </w:r>
      <w:r>
        <w:rPr>
          <w:rFonts w:ascii="Arial" w:eastAsia="Arial" w:hAnsi="Arial" w:cs="Arial"/>
          <w:sz w:val="21"/>
          <w:szCs w:val="21"/>
        </w:rPr>
        <w:t>veča, vendar se s tem obstoječa obveznost ne poveča. Plačilo se dodeli le za obstoječe površine, ne pa tudi za povečane površine.«.</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10.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13. členu se v prvem in drugem odstavku za besedo »KOPOP« doda besedilo »iz prvega in drugega odstavka 8. člena t</w:t>
      </w:r>
      <w:r>
        <w:rPr>
          <w:rFonts w:ascii="Arial" w:eastAsia="Arial" w:hAnsi="Arial" w:cs="Arial"/>
          <w:sz w:val="21"/>
          <w:szCs w:val="21"/>
        </w:rPr>
        <w:t>e uredbe«.</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11.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14. členu se osmi odstavek spremeni tako, da se 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Agencija v skladu z uredbo za izvajanje intervencij za tekoče leto preverja izpolnjevanje zahteve glede izdelanih analiz tal in gnojilnih načrtov s pregledom na kraju samem.«</w:t>
      </w:r>
      <w:r>
        <w:rPr>
          <w:rFonts w:ascii="Arial" w:eastAsia="Arial" w:hAnsi="Arial" w:cs="Arial"/>
          <w:sz w:val="21"/>
          <w:szCs w:val="21"/>
        </w:rPr>
        <w:t>.</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12.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15. členu se naslov člena spremeni tako, da se glasi:</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»(grafične evidence in območja)«.</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prvem odstavku se napovedni stavek spremeni tako, da se 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»V skladu z uredbo za izvajanje intervencij za tekoče leto se za izvajanje upravnih </w:t>
      </w:r>
      <w:r>
        <w:rPr>
          <w:rFonts w:ascii="Arial" w:eastAsia="Arial" w:hAnsi="Arial" w:cs="Arial"/>
          <w:sz w:val="21"/>
          <w:szCs w:val="21"/>
        </w:rPr>
        <w:t>pregledov intervencij KOPOP uporabljajo podatki o evidencah v digitalni grafični obliki in območij:«.</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22. točka se spremeni tako, da se glasi:</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»22. območja evidence krajinskih značilnosti – KOPOP ohranjanje mejic (v nadaljnjem besedilu: evidenca KOPOP_MEJ)</w:t>
      </w:r>
      <w:r>
        <w:rPr>
          <w:rFonts w:ascii="Arial" w:eastAsia="Arial" w:hAnsi="Arial" w:cs="Arial"/>
          <w:sz w:val="21"/>
          <w:szCs w:val="21"/>
        </w:rPr>
        <w:t>;«.</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28. točka se spremeni tako, da se glasi:</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»28. evidenca območij suhih travišč (v nadaljnjem besedilu: evidenca SUHIT_OBM);«.</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Za 28. točko se dodajo nove, 29., 30., 31., 32. in 33. točka, ki se glasijo:</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»29. evidenca območij suhih travišč – stopnja I (v </w:t>
      </w:r>
      <w:r>
        <w:rPr>
          <w:rFonts w:ascii="Arial" w:eastAsia="Arial" w:hAnsi="Arial" w:cs="Arial"/>
          <w:sz w:val="21"/>
          <w:szCs w:val="21"/>
        </w:rPr>
        <w:t>nadaljnjem besedilu: evidenca SUHIT_1);</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30. evidenca območij suhih travišč – stopnja II (v nadaljnjem besedilu: evidenca SUHIT_2);</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31. evidenca območij suhih travišč – stopnja III (v nadaljnjem besedilu: evidenca SUHIT_3);</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32. varovalni pasovi ob vodnih ze</w:t>
      </w:r>
      <w:r>
        <w:rPr>
          <w:rFonts w:ascii="Arial" w:eastAsia="Arial" w:hAnsi="Arial" w:cs="Arial"/>
          <w:sz w:val="21"/>
          <w:szCs w:val="21"/>
        </w:rPr>
        <w:t>mljiščih (v nadaljnjem besedilu: evidenca VP SLOJ);</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33. varovalni pasovi za osuševalne jarke, širše od dveh metrov (v nadaljnjem besedilu: evidenca DKOP_4_OJ).«.</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tretjem odstavku se za besedilom »iz 5.« dodata vejica in besedilo »32. in 33.«.</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Deseti odst</w:t>
      </w:r>
      <w:r>
        <w:rPr>
          <w:rFonts w:ascii="Arial" w:eastAsia="Arial" w:hAnsi="Arial" w:cs="Arial"/>
          <w:sz w:val="21"/>
          <w:szCs w:val="21"/>
        </w:rPr>
        <w:t>avek se spremeni tako, da se 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»(10) Pri navajanju površin sloja iz evidence iz 5., 32. in 33. točke prvega odstavka tega člena se prikazuje dejanska površina v sloju oziroma površina preseka, pri čemer mora biti površina preseka med GERK in evidenco </w:t>
      </w:r>
      <w:r>
        <w:rPr>
          <w:rFonts w:ascii="Arial" w:eastAsia="Arial" w:hAnsi="Arial" w:cs="Arial"/>
          <w:sz w:val="21"/>
          <w:szCs w:val="21"/>
        </w:rPr>
        <w:t>iz 5. točke prvega odstavka tega člena vsaj 1 ar.«.</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Za štirinajstim odstavkom se doda nov petnajsti odstavek, ki se 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»(15) Evidenco iz 22. točke prvega odstavka tega člena pripravi ministrstvo na način, da iz obstoječe evidence krajinskih značilnosti</w:t>
      </w:r>
      <w:r>
        <w:rPr>
          <w:rFonts w:ascii="Arial" w:eastAsia="Arial" w:hAnsi="Arial" w:cs="Arial"/>
          <w:sz w:val="21"/>
          <w:szCs w:val="21"/>
        </w:rPr>
        <w:t xml:space="preserve"> upošteva le mejice in le območja, kjer se izvaja operacija MEJ.«.</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Za dosedanjim petnajstim odstavkom, ki postane šestnajsti odstavek, se dodata nova, sedemnajsti in osemnajsti odstavek, ki se glasita:</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»(17) Na območjih iz evidence iz 28. točke prvega </w:t>
      </w:r>
      <w:r>
        <w:rPr>
          <w:rFonts w:ascii="Arial" w:eastAsia="Arial" w:hAnsi="Arial" w:cs="Arial"/>
          <w:sz w:val="21"/>
          <w:szCs w:val="21"/>
        </w:rPr>
        <w:t>odstavka tega člena izvajalec javnega naročila za popis stanja suhih travišč (v nadaljnjem besedilu: izvajalec popisa suhih travišč) na podlagi interesa upravičencev izkazanega v skladu s petnajstim odstavkom 22. členom te uredbe, za vstop v operacijo SUHA</w:t>
      </w:r>
      <w:r>
        <w:rPr>
          <w:rFonts w:ascii="Arial" w:eastAsia="Arial" w:hAnsi="Arial" w:cs="Arial"/>
          <w:sz w:val="21"/>
          <w:szCs w:val="21"/>
        </w:rPr>
        <w:t>_TRAV popiše izhodiščno stanje suhih travišč in pripravi evidenco GERK oziroma poljin iz 29. do 31. točke prvega odstavka tega člena, na katerih se lahko izvaja operacija SUHA_TRAV.</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(18) Evidenco GERK oziroma poljin iz prejšnjega odstavka agenciji pošlje m</w:t>
      </w:r>
      <w:r>
        <w:rPr>
          <w:rFonts w:ascii="Arial" w:eastAsia="Arial" w:hAnsi="Arial" w:cs="Arial"/>
          <w:sz w:val="21"/>
          <w:szCs w:val="21"/>
        </w:rPr>
        <w:t>inistrstvo.«.</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dosedanjem šestnajstem odstavku, ki postane devetnajsti odstavek, se za besedo »evidence« doda besedilo »in območja«.</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13.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16. členu se v prvem odstavku v 3. in 6. točki za besedo »prvega« doda besedilo »in drugega«.</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V petem odstavku </w:t>
      </w:r>
      <w:r>
        <w:rPr>
          <w:rFonts w:ascii="Arial" w:eastAsia="Arial" w:hAnsi="Arial" w:cs="Arial"/>
          <w:sz w:val="21"/>
          <w:szCs w:val="21"/>
        </w:rPr>
        <w:t>se beseda »prvega« nadomesti z besedo »drugega«, za besedo »program« pa se doda beseda »predhodnega«.</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Sedmi odstavek se spremeni tako, da se 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Ne glede na prejšnji odstavek se za leto 2025 šteje, da je zahteva iz petega odstavka tega člena izpoln</w:t>
      </w:r>
      <w:r>
        <w:rPr>
          <w:rFonts w:ascii="Arial" w:eastAsia="Arial" w:hAnsi="Arial" w:cs="Arial"/>
          <w:sz w:val="21"/>
          <w:szCs w:val="21"/>
        </w:rPr>
        <w:t>jena tudi, če je upravičenec program usposabljanja v obsegu najmanj štirih ur opravil v okviru projekta EIP Kmetovanje za ohranjanje vrstno pestrih travišč s prenosom znanja na kmeta iz 5. javnega razpisa za podukrep 16.5 Podpora za skupno ukrepanje za bla</w:t>
      </w:r>
      <w:r>
        <w:rPr>
          <w:rFonts w:ascii="Arial" w:eastAsia="Arial" w:hAnsi="Arial" w:cs="Arial"/>
          <w:sz w:val="21"/>
          <w:szCs w:val="21"/>
        </w:rPr>
        <w:t>žitev podnebnih sprememb ali prilagajanje nanje ter za skupne pristope k okoljskim projektom in stalnim okoljskim praksam za projekte EIP (Uradni list RS, št. 167/21), ki se zaključi z letom 2025 (v nadaljnjem besedilu: projekt EIP).«.</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Za sedmim odstavkom </w:t>
      </w:r>
      <w:r>
        <w:rPr>
          <w:rFonts w:ascii="Arial" w:eastAsia="Arial" w:hAnsi="Arial" w:cs="Arial"/>
          <w:sz w:val="21"/>
          <w:szCs w:val="21"/>
        </w:rPr>
        <w:t>se dodata nova osmi in deveti odstavek, ki se glasita:</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Če je upravičenec vključen le v operacijo SUHA_TRAV, se v program usposabljanja iz 3. točke prvega odstavka tega člena šteje tudi usposabljanje iz prejšnjega odstavka in devetnajstega odstavka 22.</w:t>
      </w:r>
      <w:r>
        <w:rPr>
          <w:rFonts w:ascii="Arial" w:eastAsia="Arial" w:hAnsi="Arial" w:cs="Arial"/>
          <w:sz w:val="21"/>
          <w:szCs w:val="21"/>
        </w:rPr>
        <w:t xml:space="preserve"> člena te uredbe. Manjkajoče število ur od zahtevanih 15 ur usposabljanja upravičenec lahko zagotovi z obiski kmetijske svetovalne službe, ki mu nudi podporo pri izvajanju operacije SUHA_TRAV.</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(9) Če je upravičenec vključen v operacijo SUHA_TRAV in hkrati </w:t>
      </w:r>
      <w:r>
        <w:rPr>
          <w:rFonts w:ascii="Arial" w:eastAsia="Arial" w:hAnsi="Arial" w:cs="Arial"/>
          <w:sz w:val="21"/>
          <w:szCs w:val="21"/>
        </w:rPr>
        <w:t>tudi v druge operacije intervencij KOPOP_PS, KOPOP_NV, KOPOP_BK oziroma intervencijo LOPS, se v program usposabljanja iz 3. točke prvega odstavka tega člena šteje tudi usposabljanje iz sedmega odstavka tega člena in devetnajstega odstavka 22. člena te ured</w:t>
      </w:r>
      <w:r>
        <w:rPr>
          <w:rFonts w:ascii="Arial" w:eastAsia="Arial" w:hAnsi="Arial" w:cs="Arial"/>
          <w:sz w:val="21"/>
          <w:szCs w:val="21"/>
        </w:rPr>
        <w:t>be. Manjkajoče število ur od zahtevanih 15 ur usposabljanja upravičenec zagotovi z udeležbo na usposabljanjih v okviru intervencij KOPOP_PS, KOPOP_NV, KOPOP_BK oziroma LOPS.«.</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dosedanjem osmem odstavku, ki postane deseti odstavek, se besedilo »šestega in</w:t>
      </w:r>
      <w:r>
        <w:rPr>
          <w:rFonts w:ascii="Arial" w:eastAsia="Arial" w:hAnsi="Arial" w:cs="Arial"/>
          <w:sz w:val="21"/>
          <w:szCs w:val="21"/>
        </w:rPr>
        <w:t xml:space="preserve"> sedmega« nadomesti z besedilom »šestega, sedmega, osmega in devetega«.</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V dosedanjem devetem odstavku, ki postane enajsti odstavek, se besedilo »sedmega in osmega« nadomesti z besedilom »sedmega, osmega, devetega in desetega«.</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dosedanjem desetem odstavku</w:t>
      </w:r>
      <w:r>
        <w:rPr>
          <w:rFonts w:ascii="Arial" w:eastAsia="Arial" w:hAnsi="Arial" w:cs="Arial"/>
          <w:sz w:val="21"/>
          <w:szCs w:val="21"/>
        </w:rPr>
        <w:t>, ki postane dvanajsti odstavek, se v napovednem stavku beseda »drugega« nadomesti z besedo »tretjega«.</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dosedanjem enajstem in dvanajstem odstavku, ki postaneta trinajsti in štirinajsti odstavek, se beseda »drugega« nadomesti z besedo »tretjega«.</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Dosedan</w:t>
      </w:r>
      <w:r>
        <w:rPr>
          <w:rFonts w:ascii="Arial" w:eastAsia="Arial" w:hAnsi="Arial" w:cs="Arial"/>
          <w:sz w:val="21"/>
          <w:szCs w:val="21"/>
        </w:rPr>
        <w:t>ja trinajsti in štirinajsti odstavek postaneta petnajsti in šestnajsti odstavek.</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dosedanjem petnajstem odstavku, ki postane sedemnajsti odstavek, se besedilo »trinajsti in štirinajsti« nadomesti z besedilom »petnajsti in šestnajsti«.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dosedanjem šestnaj</w:t>
      </w:r>
      <w:r>
        <w:rPr>
          <w:rFonts w:ascii="Arial" w:eastAsia="Arial" w:hAnsi="Arial" w:cs="Arial"/>
          <w:sz w:val="21"/>
          <w:szCs w:val="21"/>
        </w:rPr>
        <w:t>stem odstavku, ki postane osemnajsti odstavek, se beseda »osmega« nadomesti z besedo »petnajstega«.</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14.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17. členu se za drugim odstavkom doda nov tretji odstavek, ki se 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Na rezultatu analize krme mora biti navedeno število vzorcev krme, k</w:t>
      </w:r>
      <w:r>
        <w:rPr>
          <w:rFonts w:ascii="Arial" w:eastAsia="Arial" w:hAnsi="Arial" w:cs="Arial"/>
          <w:sz w:val="21"/>
          <w:szCs w:val="21"/>
        </w:rPr>
        <w:t>i so bili vključeni v analizo.«.</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Dosedanji tretji do šesti odstavek postanejo četrti do sedmi odstavek.</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Dosedanji sedmi odstavek se črta.</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Osmi odstavek se spremeni tako, da se 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»(8) Agencija izpolnjevanje zahteve glede izdelanih analiz krme preverja </w:t>
      </w:r>
      <w:r>
        <w:rPr>
          <w:rFonts w:ascii="Arial" w:eastAsia="Arial" w:hAnsi="Arial" w:cs="Arial"/>
          <w:sz w:val="21"/>
          <w:szCs w:val="21"/>
        </w:rPr>
        <w:t>s pregledom na kraju samem.«.</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15.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18. členu se v šestem odstavku v 1. točki besedilo »reprezentativno izbrane« nadomesti z besedo »reprezentativne«.</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točka se spremeni tako, da se glasi:</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prašiče pitance podatki o številu prašičev pitancev iz </w:t>
      </w:r>
      <w:r>
        <w:rPr>
          <w:rFonts w:ascii="Arial" w:eastAsia="Arial" w:hAnsi="Arial" w:cs="Arial"/>
          <w:sz w:val="21"/>
          <w:szCs w:val="21"/>
        </w:rPr>
        <w:t>Centralnega registra prašičev (v nadaljnjem besedilu: CRPš) po stanju na dan 1. februar tekočega leta in na štiri reprezentativne datume, ki jih določi agencija in objavi na svoji spletni strani, vendar ne prej kot dva tedna po njihovi določitvi, pri čemer</w:t>
      </w:r>
      <w:r>
        <w:rPr>
          <w:rFonts w:ascii="Arial" w:eastAsia="Arial" w:hAnsi="Arial" w:cs="Arial"/>
          <w:sz w:val="21"/>
          <w:szCs w:val="21"/>
        </w:rPr>
        <w:t xml:space="preserve"> se pri kmečki reji prašičev, za katere velja izjema za nekomercialne obrate iz pravilnika, ki ureja identifikacijo in registracijo prašičev, pri prisotnosti posameznega prašiča upošteva pavšalna prisotnost, ki je določena na 90 dni do vključno reprezentat</w:t>
      </w:r>
      <w:r>
        <w:rPr>
          <w:rFonts w:ascii="Arial" w:eastAsia="Arial" w:hAnsi="Arial" w:cs="Arial"/>
          <w:sz w:val="21"/>
          <w:szCs w:val="21"/>
        </w:rPr>
        <w:t xml:space="preserve">ivnega datuma. Podatek o številu prašičev na dan 1. februar tekočega leta in štiri reprezentativne datume </w:t>
      </w:r>
      <w:r>
        <w:rPr>
          <w:rFonts w:ascii="Arial" w:eastAsia="Arial" w:hAnsi="Arial" w:cs="Arial"/>
          <w:sz w:val="21"/>
          <w:szCs w:val="21"/>
        </w:rPr>
        <w:lastRenderedPageBreak/>
        <w:t>agenciji pošlje Uprava za varno hrano, veterinarstvo in varstvo rastlin (v nadaljnjem besedilu: uprava);«.</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3. točki se za besedo »živali« črta vejic</w:t>
      </w:r>
      <w:r>
        <w:rPr>
          <w:rFonts w:ascii="Arial" w:eastAsia="Arial" w:hAnsi="Arial" w:cs="Arial"/>
          <w:sz w:val="21"/>
          <w:szCs w:val="21"/>
        </w:rPr>
        <w:t>a in doda beseda »ter«, besedilo »reprezentativno izbrane« pa se nadomesti z besedo »reprezentativne«.</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16.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19. členu se v četrtem, osmem in desetem odstavku v napovednem stavku beseda »trinajstega« nadomesti z besedo »petnajstega«.</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17.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22. čl</w:t>
      </w:r>
      <w:r>
        <w:rPr>
          <w:rFonts w:ascii="Arial" w:eastAsia="Arial" w:hAnsi="Arial" w:cs="Arial"/>
          <w:sz w:val="21"/>
          <w:szCs w:val="21"/>
        </w:rPr>
        <w:t>enu se v drugem odstavku beseda »prvega« nadomesti z besedo »drugega«.</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Za štirinajstim odstavkom se dodajo novi, petnajsti do osemnajsti odstavek, ki se glasijo:</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»(15) Za vstop v operacijo SUHA_TRAV na območjih iz evidence iz 28. točke prvega odstavka 15. </w:t>
      </w:r>
      <w:r>
        <w:rPr>
          <w:rFonts w:ascii="Arial" w:eastAsia="Arial" w:hAnsi="Arial" w:cs="Arial"/>
          <w:sz w:val="21"/>
          <w:szCs w:val="21"/>
        </w:rPr>
        <w:t>člena te uredbe morajo upravičenci izkazati interes.</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(16) Poziv za izkaz interesa iz prejšnjega odstavka upravičencem pošlje ministrstvo.</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(17) Upravičenci izkaz interesa iz petnajstega odstavka tega člena pošljejo ministrstvu.</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(18) Za izkazan interes iz </w:t>
      </w:r>
      <w:r>
        <w:rPr>
          <w:rFonts w:ascii="Arial" w:eastAsia="Arial" w:hAnsi="Arial" w:cs="Arial"/>
          <w:sz w:val="21"/>
          <w:szCs w:val="21"/>
        </w:rPr>
        <w:t>petnajstega odstavka tega člena se šteje tudi, če je bil interes izkazan v okviru projekta EIP.«.</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18.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Za 22. členom se doda nov, 22.a člen, ki se glasi:</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»22.a člen</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(popis suhih travišč in točkovanje)</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 izvajanje operacije SUHA_TRAV izvajalec popi</w:t>
      </w:r>
      <w:r>
        <w:rPr>
          <w:rFonts w:ascii="Arial" w:eastAsia="Arial" w:hAnsi="Arial" w:cs="Arial"/>
          <w:sz w:val="21"/>
          <w:szCs w:val="21"/>
        </w:rPr>
        <w:t>sa suhih travišč na območjih iz evidence SUHIT_OBM izvede popis pri upravičencih, ki so izkazali interes za vstop v to operacijo, in na podlagi ugotovljenega izhodiščnega stanja za vsak posamezni travnik po kriteriju stanja habitatnih tipov, prisotnosti zn</w:t>
      </w:r>
      <w:r>
        <w:rPr>
          <w:rFonts w:ascii="Arial" w:eastAsia="Arial" w:hAnsi="Arial" w:cs="Arial"/>
          <w:sz w:val="21"/>
          <w:szCs w:val="21"/>
        </w:rPr>
        <w:t>ačilnic in travniških vrst orhidej določi število točk, ki so podlaga za določitev višine plačila iz devetindvajsetega in tridesetega odstavka 25. člena te uredbe za izvajanje operacije SUHA_TRAV v letu vstopa v to operacijo.</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(2) Izvajalec popisa suhih tra</w:t>
      </w:r>
      <w:r>
        <w:rPr>
          <w:rFonts w:ascii="Arial" w:eastAsia="Arial" w:hAnsi="Arial" w:cs="Arial"/>
          <w:sz w:val="21"/>
          <w:szCs w:val="21"/>
        </w:rPr>
        <w:t>višč za vsak travnik zariše linijo popisa znotraj GERK oziroma poljine, v okviru katere mora upravičenec v drugem, tretjem, četrtem in petem letu trajanja obveznosti iz drugega odstavka 8. člena te uredbe najmanj dvakrat letno v času cvetenja pozitivnih zn</w:t>
      </w:r>
      <w:r>
        <w:rPr>
          <w:rFonts w:ascii="Arial" w:eastAsia="Arial" w:hAnsi="Arial" w:cs="Arial"/>
          <w:sz w:val="21"/>
          <w:szCs w:val="21"/>
        </w:rPr>
        <w:t>ačilnic spremljati ohranjenost suhih travišč v mobilni aplikaciji »Moj travnik«. Upravičenec izvaja popis po zarisani liniji popisa s toleranco pet metrov na vsako stran od te linije.</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Na podlagi popisa, ki ga opravi upravičenec iz prejšnjega odstavka, </w:t>
      </w:r>
      <w:r>
        <w:rPr>
          <w:rFonts w:ascii="Arial" w:eastAsia="Arial" w:hAnsi="Arial" w:cs="Arial"/>
          <w:sz w:val="21"/>
          <w:szCs w:val="21"/>
        </w:rPr>
        <w:t>se z aplikacijo »Moj travnik« izračuna število točk, ki so osnova za določitev višine plačila za izvajanje operacije SUHA_TRAV iz devetindvajsetega in tridesetega odstavka 25. člena te uredbe.</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V primeru težav z delovanjem naprave GPS, ki označi popis i</w:t>
      </w:r>
      <w:r>
        <w:rPr>
          <w:rFonts w:ascii="Arial" w:eastAsia="Arial" w:hAnsi="Arial" w:cs="Arial"/>
          <w:sz w:val="21"/>
          <w:szCs w:val="21"/>
        </w:rPr>
        <w:t>zven tolerance iz drugega odstavka tega člena, mora upravičenec kontaktirati naravovarstvenega svetovalca kmetijske svetovalne službe, ki s terenskim ogledom potrdi ustreznost popisa v aplikaciji »Moj travnik«.</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Linija popisa iz drugega odstavka tega čl</w:t>
      </w:r>
      <w:r>
        <w:rPr>
          <w:rFonts w:ascii="Arial" w:eastAsia="Arial" w:hAnsi="Arial" w:cs="Arial"/>
          <w:sz w:val="21"/>
          <w:szCs w:val="21"/>
        </w:rPr>
        <w:t>ena se lahko na predlog upravičenca zaradi ustreznejšega popisa značilnic ob predhodnem soglasju ZRSVN in naravovarstvenega svetovalca kmetijske svetovalne službe prilagodi. Prilagoditev linije popisa v aplikaciji »Moj travnik« izvede ZRSVN.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(6) V drugem, </w:t>
      </w:r>
      <w:r>
        <w:rPr>
          <w:rFonts w:ascii="Arial" w:eastAsia="Arial" w:hAnsi="Arial" w:cs="Arial"/>
          <w:sz w:val="21"/>
          <w:szCs w:val="21"/>
        </w:rPr>
        <w:t xml:space="preserve">tretjem in četrtem letu trajanja obveznosti iz drugega odstavka 8. člena te uredbe se v skladu z uredbo za izvajanje intervencij za tekoče leto preveri stanje ohranjenosti posameznega travnika po kriteriju stanja habitatnih tipov, prisotnosti značilnic in </w:t>
      </w:r>
      <w:r>
        <w:rPr>
          <w:rFonts w:ascii="Arial" w:eastAsia="Arial" w:hAnsi="Arial" w:cs="Arial"/>
          <w:sz w:val="21"/>
          <w:szCs w:val="21"/>
        </w:rPr>
        <w:t>travniških vrst orhidej.</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V petem, zadnjem letu trajanja obveznosti iz drugega odstavka 8. člena te uredbe izvajalec javnega naročila za popis suhih travišč izvede popis in oceni stanje ohranjenosti posameznega travnika ter po kriteriju stanja habitatni</w:t>
      </w:r>
      <w:r>
        <w:rPr>
          <w:rFonts w:ascii="Arial" w:eastAsia="Arial" w:hAnsi="Arial" w:cs="Arial"/>
          <w:sz w:val="21"/>
          <w:szCs w:val="21"/>
        </w:rPr>
        <w:t>h tipov, prisotnosti značilnic in travniških vrst orhidej določi število točk, ki so podlaga za določitev višine plačila iz devetindvajsetega in tridesetega odstavka 25. člena te uredbe za izvajanje operacije SUHA_TRAV v tem letu.</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Evidenco GERK oziroma</w:t>
      </w:r>
      <w:r>
        <w:rPr>
          <w:rFonts w:ascii="Arial" w:eastAsia="Arial" w:hAnsi="Arial" w:cs="Arial"/>
          <w:sz w:val="21"/>
          <w:szCs w:val="21"/>
        </w:rPr>
        <w:t xml:space="preserve"> poljin s pripadajočim številom točk iz prvega, tretjega, šestega in sedmega odstavka tega člena agenciji pošlje ministrstvo najpozneje do 24. februarja po letu določenem v prvem, tretjem, šestem in sedmem odstavku tega člena.«.</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19.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V 24. členu se v </w:t>
      </w:r>
      <w:r>
        <w:rPr>
          <w:rFonts w:ascii="Arial" w:eastAsia="Arial" w:hAnsi="Arial" w:cs="Arial"/>
          <w:sz w:val="21"/>
          <w:szCs w:val="21"/>
        </w:rPr>
        <w:t>dvajsetem odstavku beseda »znašajo« nadomesti z besedo »so«.</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20.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25. členu se devetindvajseti odstavek spremeni tako, da se 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»(29) Plačilo za izvajanje operacije SUHA_TRAV se določi po kriteriju prisotnosti pozitivnih značilnic in se dodeli gl</w:t>
      </w:r>
      <w:r>
        <w:rPr>
          <w:rFonts w:ascii="Arial" w:eastAsia="Arial" w:hAnsi="Arial" w:cs="Arial"/>
          <w:sz w:val="21"/>
          <w:szCs w:val="21"/>
        </w:rPr>
        <w:t>ede na število točk iz prvega, tretjega, šestega in sedmega odstavka 22.a člena te uredbe ter je za:</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stopnjo I – od 50 do 65 točk: 340 eurov na ha letno;</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2. stopnjo II – od 66 do 80 točk: 390 eurov na ha letno;</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stopnjo III – od 81 do 100 točk: 460 eu</w:t>
      </w:r>
      <w:r>
        <w:rPr>
          <w:rFonts w:ascii="Arial" w:eastAsia="Arial" w:hAnsi="Arial" w:cs="Arial"/>
          <w:sz w:val="21"/>
          <w:szCs w:val="21"/>
        </w:rPr>
        <w:t>rov na ha letno.«.</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Za devetindvajsetim odstavkom se doda nov trideseti odstavek, ki se 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»(30) Če je na travniku prisotna travniška vrsta orhidej, se ugotovljeno število točk iz prejšnjega odstavka poveča za 10 točk in se temu ustrezno zviša tudi plač</w:t>
      </w:r>
      <w:r>
        <w:rPr>
          <w:rFonts w:ascii="Arial" w:eastAsia="Arial" w:hAnsi="Arial" w:cs="Arial"/>
          <w:sz w:val="21"/>
          <w:szCs w:val="21"/>
        </w:rPr>
        <w:t>ilo, ki pa ni višje od 460 eurov na ha letno.«.</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Dosedanji trideseti odstavek postane enaintrideseti odstavek.</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dosedanjem enaintridesetem odstavku, ki postane dvaintrideseti odstavek, se 3. točka spremeni tako, da se glasi:</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operacijo SUHA_TRAV plačila</w:t>
      </w:r>
      <w:r>
        <w:rPr>
          <w:rFonts w:ascii="Arial" w:eastAsia="Arial" w:hAnsi="Arial" w:cs="Arial"/>
          <w:sz w:val="21"/>
          <w:szCs w:val="21"/>
        </w:rPr>
        <w:t xml:space="preserve"> iz 3. točke devetindvajsetega odstavka in tridesetega odstavka tega člena.«.</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21.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36. členu se v šestem in štirinajstem odstavku besedilo »25. novembra« nadomesti z besedilom »1. decembra«.</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V desetem odstavku se besedilo »Uprava Republike Slovenije </w:t>
      </w:r>
      <w:r>
        <w:rPr>
          <w:rFonts w:ascii="Arial" w:eastAsia="Arial" w:hAnsi="Arial" w:cs="Arial"/>
          <w:sz w:val="21"/>
          <w:szCs w:val="21"/>
        </w:rPr>
        <w:t>za varno hrano, veterinarstvo in varstvo rastlin (v nadaljnjem besedilu: uprava)« nadomesti z besedo »uprava«.</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22.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37. členu se za trinajstim odstavkom doda nov, štirinajsti odstavek, ki se 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»(14) Če je površina, vključena v intervencijo EK, v</w:t>
      </w:r>
      <w:r>
        <w:rPr>
          <w:rFonts w:ascii="Arial" w:eastAsia="Arial" w:hAnsi="Arial" w:cs="Arial"/>
          <w:sz w:val="21"/>
          <w:szCs w:val="21"/>
        </w:rPr>
        <w:t>ečino obdobja glavnega posevka prazna, vendar je setev opravljena do 31. julija tekočega leta, se šteje, da je zahteva glede obdobja glavnega posevka za plačila iz 2. in 3. točke prvega odstavka tega člena ter 2. in 3. točke drugega odstavka tega člena izp</w:t>
      </w:r>
      <w:r>
        <w:rPr>
          <w:rFonts w:ascii="Arial" w:eastAsia="Arial" w:hAnsi="Arial" w:cs="Arial"/>
          <w:sz w:val="21"/>
          <w:szCs w:val="21"/>
        </w:rPr>
        <w:t>olnjena.«.</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23.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46. členu se v drugem odstavku v 3. točki pika na koncu nadomesti s podpičjem in doda nova, 4. točka, ki se glasi:</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upravljavskega NGTR_1 v upravljavski NGTR_3, ne pa tudi obratno.«.</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Za petim odstavkom se doda nov, šesti odstavek, </w:t>
      </w:r>
      <w:r>
        <w:rPr>
          <w:rFonts w:ascii="Arial" w:eastAsia="Arial" w:hAnsi="Arial" w:cs="Arial"/>
          <w:sz w:val="21"/>
          <w:szCs w:val="21"/>
        </w:rPr>
        <w:t>ki se 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»(6) Upravičenec pri prehodu iz 4. točke drugega odstavka tega člena do zaključka prevzete obveznosti izvaja upravljavski NGTR_3 na vseh površinah, s katerimi je vstopil v upravljavski NGTR_1.«.</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24.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V 47. členu se v prvem odstavku 3. </w:t>
      </w:r>
      <w:r>
        <w:rPr>
          <w:rFonts w:ascii="Arial" w:eastAsia="Arial" w:hAnsi="Arial" w:cs="Arial"/>
          <w:sz w:val="21"/>
          <w:szCs w:val="21"/>
        </w:rPr>
        <w:t>točka spremeni tako, da se glasi:</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evidenca KOSEC;«.</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25.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50. členu se v prvem odstavku v 3. točki pika nadomesti s podpičjem in se za 3. točko doda nova, 4. točka, ki se glasi:</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upravljavski NGTR_3 je za KMG:</w:t>
      </w:r>
    </w:p>
    <w:p w:rsidR="002C1FE5" w:rsidRDefault="00504073">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brez živali: 660 eurov na ha le</w:t>
      </w:r>
      <w:r>
        <w:rPr>
          <w:rFonts w:ascii="Arial" w:eastAsia="Arial" w:hAnsi="Arial" w:cs="Arial"/>
          <w:sz w:val="21"/>
          <w:szCs w:val="21"/>
        </w:rPr>
        <w:t>tno,</w:t>
      </w:r>
    </w:p>
    <w:p w:rsidR="002C1FE5" w:rsidRDefault="00504073">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z živalmi: 700 eurov na ha letno.«.</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26.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53. členu se za besedilom člena, ki se označi kot prvi odstavek, doda nov, drugi odstavek, ki se 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Ne glede na prejšnji odstavek v operacijo SOR v letu 2025 ni mogoče vstopiti.«.</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27.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5</w:t>
      </w:r>
      <w:r>
        <w:rPr>
          <w:rFonts w:ascii="Arial" w:eastAsia="Arial" w:hAnsi="Arial" w:cs="Arial"/>
          <w:sz w:val="21"/>
          <w:szCs w:val="21"/>
        </w:rPr>
        <w:t>9. členu se za drugim odstavkom doda nov, tretji odstavek, ki se 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Ne glede na prvi odstavek tega člena se površina, za katero je prevzeta obveznost, v letih od 2025 do 2028 lahko poveča, vendar se s tem obstoječa obveznost ne poveča. Plačilo se </w:t>
      </w:r>
      <w:r>
        <w:rPr>
          <w:rFonts w:ascii="Arial" w:eastAsia="Arial" w:hAnsi="Arial" w:cs="Arial"/>
          <w:sz w:val="21"/>
          <w:szCs w:val="21"/>
        </w:rPr>
        <w:t>dodeli le za obstoječe površine, ne pa tudi za povečane površine.«.</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28.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61. členu se osmi odstavek spremeni tako, da se 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»(8) Agencija v skladu z uredbo za izvajanje intervencij za tekoče leto preverja izpolnjevanje zahteve glede izdelanih ana</w:t>
      </w:r>
      <w:r>
        <w:rPr>
          <w:rFonts w:ascii="Arial" w:eastAsia="Arial" w:hAnsi="Arial" w:cs="Arial"/>
          <w:sz w:val="21"/>
          <w:szCs w:val="21"/>
        </w:rPr>
        <w:t>liz tal in gnojilnih načrtov s pregledom na kraju samem.«.</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29.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74. členu se v prvem odstavku 2. točka spremeni tako, da se glasi:</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imeti najmanj 1 ha kmetijskih površin v smislu tretjega odstavka 4. člena </w:t>
      </w:r>
      <w:hyperlink r:id="rId18"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pri čemer se upoštevajo tudi GERK, manjši od 0,1 ha, ne pa tudi površine s krajinskimi značilnostmi;«.</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30.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75. členu se v šestem odstavku besedilo »31. marca« nadomesti z besedilom »</w:t>
      </w:r>
      <w:r>
        <w:rPr>
          <w:rFonts w:ascii="Arial" w:eastAsia="Arial" w:hAnsi="Arial" w:cs="Arial"/>
          <w:sz w:val="21"/>
          <w:szCs w:val="21"/>
        </w:rPr>
        <w:t>30. aprila«.</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31.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82. členu se za četrtim odstavkom doda nov peti odstavek, ki se 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Za trajno travinje iz drugega, tretjega in četrtega odstavka tega člena štejejo GERK z vrsto rabe »1300 – trajni travnik«, »1320 – travinje z razpršenimi </w:t>
      </w:r>
      <w:r>
        <w:rPr>
          <w:rFonts w:ascii="Arial" w:eastAsia="Arial" w:hAnsi="Arial" w:cs="Arial"/>
          <w:sz w:val="21"/>
          <w:szCs w:val="21"/>
        </w:rPr>
        <w:t>neupravičenimi značilnostmi« in »1222 – ekstenzivni sadovnjak«.«.</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Dosedanji peti do sedmi odstavek postanejo šesti do osmi odstavek.</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32.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84. členu se v prvem odstavku besedilo »prvega odstavka 8. člena« nadomesti z besedilom »prvega in drugega odsta</w:t>
      </w:r>
      <w:r>
        <w:rPr>
          <w:rFonts w:ascii="Arial" w:eastAsia="Arial" w:hAnsi="Arial" w:cs="Arial"/>
          <w:sz w:val="21"/>
          <w:szCs w:val="21"/>
        </w:rPr>
        <w:t>vka 8. člena«.</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33.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86. členu se v tretjem odstavku beseda »trinajstega« nadomesti z besedo »petnajstega«.</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devetem odstavku se besedilo »osmega odstavka 16. člena« nadomesti z besedilom »petnajstega odstavka 16. člena«.</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34.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V 92. členu se </w:t>
      </w:r>
      <w:r>
        <w:rPr>
          <w:rFonts w:ascii="Arial" w:eastAsia="Arial" w:hAnsi="Arial" w:cs="Arial"/>
          <w:sz w:val="21"/>
          <w:szCs w:val="21"/>
        </w:rPr>
        <w:t>naslov člena spremeni tako, da se glasi:</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»(kombinacije intervencij razvoja podeželja in plačila)«.</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35.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93. členu se v četrtem odstavku besedilo »prvega odstavka 8. člena« nadomesti z besedilom »prvega in drugega odstavka 8. člena«.</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36.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Priloga </w:t>
      </w:r>
      <w:r>
        <w:rPr>
          <w:rFonts w:ascii="Arial" w:eastAsia="Arial" w:hAnsi="Arial" w:cs="Arial"/>
          <w:sz w:val="21"/>
          <w:szCs w:val="21"/>
        </w:rPr>
        <w:t>2 se nadomesti z novo Prilogo 2, ki je kot Priloga sestavni del te uredbe.</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37.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Prilogi 4 se v 1. oddelku I. poglavja drugi odstavek spremeni tako, da se 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V obdobju, ko so živali, ki jih je upravičenec vključil v operacije SENENA, S50, ZVE</w:t>
      </w:r>
      <w:r>
        <w:rPr>
          <w:rFonts w:ascii="Arial" w:eastAsia="Arial" w:hAnsi="Arial" w:cs="Arial"/>
          <w:sz w:val="21"/>
          <w:szCs w:val="21"/>
        </w:rPr>
        <w:t xml:space="preserve"> in PP ter intervencije EK, HTV in OMD, na paši na planini oziroma skupnem pašniku, se za te živali šteje, da ne zmanjšujejo števila živali na osnovnem KMG.«.</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Naslov II. poglavja se spremeni tako, da se glasi:</w:t>
      </w:r>
    </w:p>
    <w:p w:rsidR="002C1FE5" w:rsidRDefault="00504073">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»OPERACIJE SENENA, S50, ZVE IN PP TER INTERVEN</w:t>
      </w:r>
      <w:r>
        <w:rPr>
          <w:rFonts w:ascii="Arial" w:eastAsia="Arial" w:hAnsi="Arial" w:cs="Arial"/>
          <w:caps/>
          <w:sz w:val="21"/>
          <w:szCs w:val="21"/>
        </w:rPr>
        <w:t>CIJA HTV«.</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1. oddelku se v prvem odstavku za besedo »ZVE« doda besedilo »ter intervencijo HTV za KMG z živalmi«.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2. oddelku se v prvem odstavku v napovednem stavku za besedo »ZVE« doda besedilo »ter intervencijo HTV za KMG z živalmi«.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3. oddelku se p</w:t>
      </w:r>
      <w:r>
        <w:rPr>
          <w:rFonts w:ascii="Arial" w:eastAsia="Arial" w:hAnsi="Arial" w:cs="Arial"/>
          <w:sz w:val="21"/>
          <w:szCs w:val="21"/>
        </w:rPr>
        <w:t>rvi odstavek spremeni tako, da se 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Za KMG, za katera je izveden pregled na kraju samem, se v izračunu povprečne letne obtežbe za operacije SENENA, S50 in ZVE ter intervencijo HTV za KMG z živalmi upošteva tudi število vseh travojedih živali, ki </w:t>
      </w:r>
      <w:r>
        <w:rPr>
          <w:rFonts w:ascii="Arial" w:eastAsia="Arial" w:hAnsi="Arial" w:cs="Arial"/>
          <w:sz w:val="21"/>
          <w:szCs w:val="21"/>
        </w:rPr>
        <w:t>jih na dan pregleda na kraju samem ugotovi kontrolor.«.</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38. člen</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Prilogi 6 se v preglednici 2:</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za zahtevo HAB_1, HAB_2 s kršitvijo »Na površini GERK, vključeni v HAB_1 ali HAB_2, je več kot 30 % površine prerasle z invazivnimi tujerodnimi rastlinskimi</w:t>
      </w:r>
      <w:r>
        <w:rPr>
          <w:rFonts w:ascii="Arial" w:eastAsia="Arial" w:hAnsi="Arial" w:cs="Arial"/>
          <w:sz w:val="21"/>
          <w:szCs w:val="21"/>
        </w:rPr>
        <w:t xml:space="preserve"> vrstami.« doda nova vrstica, ki se glasi:</w:t>
      </w:r>
    </w:p>
    <w:p w:rsidR="002C1FE5" w:rsidRDefault="00504073">
      <w:pPr>
        <w:pStyle w:val="rocnivnos"/>
        <w:spacing w:before="210" w:after="210"/>
        <w:rPr>
          <w:rFonts w:ascii="Arial" w:eastAsia="Arial" w:hAnsi="Arial" w:cs="Arial"/>
          <w:sz w:val="21"/>
          <w:szCs w:val="21"/>
        </w:rPr>
      </w:pPr>
      <w:r>
        <w:rPr>
          <w:rFonts w:ascii="Arial" w:eastAsia="Arial" w:hAnsi="Arial" w:cs="Arial"/>
          <w:sz w:val="21"/>
          <w:szCs w:val="21"/>
        </w:rPr>
        <w:t>»</w:t>
      </w:r>
    </w:p>
    <w:tbl>
      <w:tblPr>
        <w:tblW w:w="5000" w:type="pct"/>
        <w:tblCellSpacing w:w="15" w:type="dxa"/>
        <w:tblInd w:w="25" w:type="dxa"/>
        <w:tblCellMar>
          <w:top w:w="15" w:type="dxa"/>
          <w:left w:w="15" w:type="dxa"/>
          <w:bottom w:w="15" w:type="dxa"/>
          <w:right w:w="15" w:type="dxa"/>
        </w:tblCellMar>
        <w:tblLook w:val="04A0" w:firstRow="1" w:lastRow="0" w:firstColumn="1" w:lastColumn="0" w:noHBand="0" w:noVBand="1"/>
      </w:tblPr>
      <w:tblGrid>
        <w:gridCol w:w="1722"/>
        <w:gridCol w:w="7329"/>
        <w:gridCol w:w="429"/>
      </w:tblGrid>
      <w:tr w:rsidR="002C1FE5">
        <w:trPr>
          <w:tblCellSpacing w:w="15" w:type="dxa"/>
        </w:trPr>
        <w:tc>
          <w:tcPr>
            <w:tcW w:w="89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2C1FE5" w:rsidRDefault="00504073">
            <w:pPr>
              <w:rPr>
                <w:rFonts w:ascii="Arial" w:eastAsia="Arial" w:hAnsi="Arial" w:cs="Arial"/>
                <w:color w:val="000000"/>
              </w:rPr>
            </w:pPr>
            <w:r>
              <w:rPr>
                <w:rFonts w:ascii="Arial" w:eastAsia="Arial" w:hAnsi="Arial" w:cs="Arial"/>
                <w:color w:val="000000"/>
              </w:rPr>
              <w:t xml:space="preserve">HAB_1, HAB_2 </w:t>
            </w:r>
          </w:p>
        </w:tc>
        <w:tc>
          <w:tcPr>
            <w:tcW w:w="389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bottom"/>
            <w:hideMark/>
          </w:tcPr>
          <w:p w:rsidR="002C1FE5" w:rsidRDefault="00504073">
            <w:pPr>
              <w:rPr>
                <w:rFonts w:ascii="Arial" w:eastAsia="Arial" w:hAnsi="Arial" w:cs="Arial"/>
                <w:color w:val="000000"/>
              </w:rPr>
            </w:pPr>
            <w:r>
              <w:rPr>
                <w:rFonts w:ascii="Arial" w:eastAsia="Arial" w:hAnsi="Arial" w:cs="Arial"/>
                <w:color w:val="000000"/>
              </w:rPr>
              <w:t xml:space="preserve">Pri HAB_1 ali HAB_2 se na površini z zahtevkom izravnava zemljišča, krči grmovje in drevesa, izravnava mikrodepresije, nasipava zemljina, apni oziroma ureja manjša odvodnjavanja. </w:t>
            </w:r>
          </w:p>
        </w:tc>
        <w:tc>
          <w:tcPr>
            <w:tcW w:w="20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2C1FE5" w:rsidRDefault="00504073">
            <w:pPr>
              <w:jc w:val="center"/>
              <w:rPr>
                <w:rFonts w:ascii="Arial" w:eastAsia="Arial" w:hAnsi="Arial" w:cs="Arial"/>
                <w:color w:val="000000"/>
              </w:rPr>
            </w:pPr>
            <w:r>
              <w:rPr>
                <w:rFonts w:ascii="Arial" w:eastAsia="Arial" w:hAnsi="Arial" w:cs="Arial"/>
                <w:color w:val="000000"/>
              </w:rPr>
              <w:t xml:space="preserve">VI </w:t>
            </w:r>
          </w:p>
        </w:tc>
      </w:tr>
    </w:tbl>
    <w:p w:rsidR="002C1FE5" w:rsidRDefault="00504073">
      <w:pPr>
        <w:pStyle w:val="rocnivnos"/>
        <w:spacing w:before="210" w:after="210"/>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sz w:val="21"/>
          <w:szCs w:val="21"/>
        </w:rPr>
        <w:t>                                                                                                                                                                                       «;</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za zahtevo MET_1, MET_2 s kršitvijo »Na površini GERK, vključeni v </w:t>
      </w:r>
      <w:r>
        <w:rPr>
          <w:rFonts w:ascii="Arial" w:eastAsia="Arial" w:hAnsi="Arial" w:cs="Arial"/>
          <w:sz w:val="21"/>
          <w:szCs w:val="21"/>
        </w:rPr>
        <w:t>MET_1 ali MET_2, je več kot 30 % površine prerasle z invazivnimi tujerodnimi rastlinskimi vrstami.« doda nova vrstica, ki se glasi:</w:t>
      </w:r>
    </w:p>
    <w:p w:rsidR="002C1FE5" w:rsidRDefault="00504073">
      <w:pPr>
        <w:pStyle w:val="rocnivnos"/>
        <w:spacing w:before="210" w:after="210"/>
        <w:rPr>
          <w:rFonts w:ascii="Arial" w:eastAsia="Arial" w:hAnsi="Arial" w:cs="Arial"/>
          <w:sz w:val="21"/>
          <w:szCs w:val="21"/>
        </w:rPr>
      </w:pPr>
      <w:r>
        <w:rPr>
          <w:rFonts w:ascii="Arial" w:eastAsia="Arial" w:hAnsi="Arial" w:cs="Arial"/>
          <w:sz w:val="21"/>
          <w:szCs w:val="21"/>
        </w:rPr>
        <w:t>»</w:t>
      </w:r>
    </w:p>
    <w:tbl>
      <w:tblPr>
        <w:tblW w:w="5000" w:type="pct"/>
        <w:tblCellSpacing w:w="15" w:type="dxa"/>
        <w:tblInd w:w="25" w:type="dxa"/>
        <w:tblCellMar>
          <w:top w:w="15" w:type="dxa"/>
          <w:left w:w="15" w:type="dxa"/>
          <w:bottom w:w="15" w:type="dxa"/>
          <w:right w:w="15" w:type="dxa"/>
        </w:tblCellMar>
        <w:tblLook w:val="04A0" w:firstRow="1" w:lastRow="0" w:firstColumn="1" w:lastColumn="0" w:noHBand="0" w:noVBand="1"/>
      </w:tblPr>
      <w:tblGrid>
        <w:gridCol w:w="1722"/>
        <w:gridCol w:w="7329"/>
        <w:gridCol w:w="429"/>
      </w:tblGrid>
      <w:tr w:rsidR="002C1FE5">
        <w:trPr>
          <w:tblCellSpacing w:w="15" w:type="dxa"/>
        </w:trPr>
        <w:tc>
          <w:tcPr>
            <w:tcW w:w="89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2C1FE5" w:rsidRDefault="00504073">
            <w:pPr>
              <w:rPr>
                <w:rFonts w:ascii="Arial" w:eastAsia="Arial" w:hAnsi="Arial" w:cs="Arial"/>
                <w:color w:val="000000"/>
              </w:rPr>
            </w:pPr>
            <w:r>
              <w:rPr>
                <w:rFonts w:ascii="Arial" w:eastAsia="Arial" w:hAnsi="Arial" w:cs="Arial"/>
                <w:color w:val="000000"/>
              </w:rPr>
              <w:t xml:space="preserve">MET_1, MET_2 </w:t>
            </w:r>
          </w:p>
        </w:tc>
        <w:tc>
          <w:tcPr>
            <w:tcW w:w="389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bottom"/>
            <w:hideMark/>
          </w:tcPr>
          <w:p w:rsidR="002C1FE5" w:rsidRDefault="00504073">
            <w:pPr>
              <w:rPr>
                <w:rFonts w:ascii="Arial" w:eastAsia="Arial" w:hAnsi="Arial" w:cs="Arial"/>
                <w:color w:val="000000"/>
              </w:rPr>
            </w:pPr>
            <w:r>
              <w:rPr>
                <w:rFonts w:ascii="Arial" w:eastAsia="Arial" w:hAnsi="Arial" w:cs="Arial"/>
                <w:color w:val="000000"/>
              </w:rPr>
              <w:t>Pri MET_1 ali MET_2 se na površini z zahtevkom izravnava zemljišča, krči grmovje in drevesa, izravnava mikro</w:t>
            </w:r>
            <w:r>
              <w:rPr>
                <w:rFonts w:ascii="Arial" w:eastAsia="Arial" w:hAnsi="Arial" w:cs="Arial"/>
                <w:color w:val="000000"/>
              </w:rPr>
              <w:t xml:space="preserve">depresije, nasipava zemljina, apni oziroma ureja manjša odvodnjavanja. </w:t>
            </w:r>
          </w:p>
        </w:tc>
        <w:tc>
          <w:tcPr>
            <w:tcW w:w="20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2C1FE5" w:rsidRDefault="00504073">
            <w:pPr>
              <w:jc w:val="center"/>
              <w:rPr>
                <w:rFonts w:ascii="Arial" w:eastAsia="Arial" w:hAnsi="Arial" w:cs="Arial"/>
                <w:color w:val="000000"/>
              </w:rPr>
            </w:pPr>
            <w:r>
              <w:rPr>
                <w:rFonts w:ascii="Arial" w:eastAsia="Arial" w:hAnsi="Arial" w:cs="Arial"/>
                <w:color w:val="000000"/>
              </w:rPr>
              <w:t xml:space="preserve">VI </w:t>
            </w:r>
          </w:p>
        </w:tc>
      </w:tr>
    </w:tbl>
    <w:p w:rsidR="002C1FE5" w:rsidRDefault="00504073">
      <w:pPr>
        <w:pStyle w:val="rocnivnos"/>
        <w:spacing w:before="210" w:after="210"/>
        <w:rPr>
          <w:rFonts w:ascii="Arial" w:eastAsia="Arial" w:hAnsi="Arial" w:cs="Arial"/>
          <w:sz w:val="21"/>
          <w:szCs w:val="21"/>
        </w:rPr>
      </w:pPr>
      <w:r>
        <w:rPr>
          <w:rFonts w:ascii="Arial" w:eastAsia="Arial" w:hAnsi="Arial" w:cs="Arial"/>
          <w:sz w:val="21"/>
          <w:szCs w:val="21"/>
        </w:rPr>
        <w:t>                                                                                                                                                                                   </w:t>
      </w:r>
      <w:r>
        <w:rPr>
          <w:rFonts w:ascii="Arial" w:eastAsia="Arial" w:hAnsi="Arial" w:cs="Arial"/>
          <w:sz w:val="21"/>
          <w:szCs w:val="21"/>
        </w:rPr>
        <w:t>             «;</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za zahtevo STE_1, STE_2 s kršitvijo »Na površini GERK, vključeni v STE_1 ali STE_2, je več kot 30 % površine prerasle z invazivnimi tujerodnimi rastlinskimi vrstami.« doda nova vrstica, ki se glasi:</w:t>
      </w:r>
    </w:p>
    <w:p w:rsidR="002C1FE5" w:rsidRDefault="00504073">
      <w:pPr>
        <w:pStyle w:val="rocnivnos"/>
        <w:spacing w:before="210" w:after="210"/>
        <w:rPr>
          <w:rFonts w:ascii="Arial" w:eastAsia="Arial" w:hAnsi="Arial" w:cs="Arial"/>
          <w:sz w:val="21"/>
          <w:szCs w:val="21"/>
        </w:rPr>
      </w:pPr>
      <w:r>
        <w:rPr>
          <w:rFonts w:ascii="Arial" w:eastAsia="Arial" w:hAnsi="Arial" w:cs="Arial"/>
          <w:sz w:val="21"/>
          <w:szCs w:val="21"/>
        </w:rPr>
        <w:t>»</w:t>
      </w:r>
    </w:p>
    <w:tbl>
      <w:tblPr>
        <w:tblW w:w="5000" w:type="pct"/>
        <w:tblCellSpacing w:w="15" w:type="dxa"/>
        <w:tblInd w:w="25" w:type="dxa"/>
        <w:tblCellMar>
          <w:top w:w="15" w:type="dxa"/>
          <w:left w:w="15" w:type="dxa"/>
          <w:bottom w:w="15" w:type="dxa"/>
          <w:right w:w="15" w:type="dxa"/>
        </w:tblCellMar>
        <w:tblLook w:val="04A0" w:firstRow="1" w:lastRow="0" w:firstColumn="1" w:lastColumn="0" w:noHBand="0" w:noVBand="1"/>
      </w:tblPr>
      <w:tblGrid>
        <w:gridCol w:w="1722"/>
        <w:gridCol w:w="7329"/>
        <w:gridCol w:w="429"/>
      </w:tblGrid>
      <w:tr w:rsidR="002C1FE5">
        <w:trPr>
          <w:tblCellSpacing w:w="15" w:type="dxa"/>
        </w:trPr>
        <w:tc>
          <w:tcPr>
            <w:tcW w:w="89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2C1FE5" w:rsidRDefault="00504073">
            <w:pPr>
              <w:rPr>
                <w:rFonts w:ascii="Arial" w:eastAsia="Arial" w:hAnsi="Arial" w:cs="Arial"/>
                <w:color w:val="000000"/>
              </w:rPr>
            </w:pPr>
            <w:r>
              <w:rPr>
                <w:rFonts w:ascii="Arial" w:eastAsia="Arial" w:hAnsi="Arial" w:cs="Arial"/>
                <w:color w:val="000000"/>
              </w:rPr>
              <w:t xml:space="preserve">STE_1, STE_2 </w:t>
            </w:r>
          </w:p>
        </w:tc>
        <w:tc>
          <w:tcPr>
            <w:tcW w:w="389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bottom"/>
            <w:hideMark/>
          </w:tcPr>
          <w:p w:rsidR="002C1FE5" w:rsidRDefault="00504073">
            <w:pPr>
              <w:rPr>
                <w:rFonts w:ascii="Arial" w:eastAsia="Arial" w:hAnsi="Arial" w:cs="Arial"/>
                <w:color w:val="000000"/>
              </w:rPr>
            </w:pPr>
            <w:r>
              <w:rPr>
                <w:rFonts w:ascii="Arial" w:eastAsia="Arial" w:hAnsi="Arial" w:cs="Arial"/>
                <w:color w:val="000000"/>
              </w:rPr>
              <w:t xml:space="preserve">Pri STE_1 ali STE_2 se na površini z zahtevkom izravnava zemljišča, krči grmovje in drevesa, izravnava mikrodepresije, nasipava zemljina, apni oziroma ureja manjša odvodnjavanja. </w:t>
            </w:r>
          </w:p>
        </w:tc>
        <w:tc>
          <w:tcPr>
            <w:tcW w:w="20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2C1FE5" w:rsidRDefault="00504073">
            <w:pPr>
              <w:jc w:val="center"/>
              <w:rPr>
                <w:rFonts w:ascii="Arial" w:eastAsia="Arial" w:hAnsi="Arial" w:cs="Arial"/>
                <w:color w:val="000000"/>
              </w:rPr>
            </w:pPr>
            <w:r>
              <w:rPr>
                <w:rFonts w:ascii="Arial" w:eastAsia="Arial" w:hAnsi="Arial" w:cs="Arial"/>
                <w:color w:val="000000"/>
              </w:rPr>
              <w:t xml:space="preserve">VI </w:t>
            </w:r>
          </w:p>
        </w:tc>
      </w:tr>
    </w:tbl>
    <w:p w:rsidR="002C1FE5" w:rsidRDefault="00504073">
      <w:pPr>
        <w:pStyle w:val="rocnivnos"/>
        <w:spacing w:before="210" w:after="210"/>
        <w:rPr>
          <w:rFonts w:ascii="Arial" w:eastAsia="Arial" w:hAnsi="Arial" w:cs="Arial"/>
          <w:sz w:val="21"/>
          <w:szCs w:val="21"/>
        </w:rPr>
      </w:pPr>
      <w:r>
        <w:rPr>
          <w:rFonts w:ascii="Arial" w:eastAsia="Arial" w:hAnsi="Arial" w:cs="Arial"/>
          <w:sz w:val="21"/>
          <w:szCs w:val="21"/>
        </w:rPr>
        <w:t>                                                                       </w:t>
      </w:r>
      <w:r>
        <w:rPr>
          <w:rFonts w:ascii="Arial" w:eastAsia="Arial" w:hAnsi="Arial" w:cs="Arial"/>
          <w:sz w:val="21"/>
          <w:szCs w:val="21"/>
        </w:rPr>
        <w:t>                                                                                                                             «;</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za zahtevo HABM_1, HABM_2 s kršitvijo »Na površini GERK, vključeni v HABM_1 ali HABM_2, je več kot 30 % površine prerasle z i</w:t>
      </w:r>
      <w:r>
        <w:rPr>
          <w:rFonts w:ascii="Arial" w:eastAsia="Arial" w:hAnsi="Arial" w:cs="Arial"/>
          <w:sz w:val="21"/>
          <w:szCs w:val="21"/>
        </w:rPr>
        <w:t>nvazivnimi tujerodnimi rastlinskimi vrstami.« doda nova vrstica, ki se glasi:</w:t>
      </w:r>
    </w:p>
    <w:p w:rsidR="002C1FE5" w:rsidRDefault="00504073">
      <w:pPr>
        <w:pStyle w:val="rocnivnos"/>
        <w:spacing w:before="210" w:after="210"/>
        <w:rPr>
          <w:rFonts w:ascii="Arial" w:eastAsia="Arial" w:hAnsi="Arial" w:cs="Arial"/>
          <w:sz w:val="21"/>
          <w:szCs w:val="21"/>
        </w:rPr>
      </w:pPr>
      <w:r>
        <w:rPr>
          <w:rFonts w:ascii="Arial" w:eastAsia="Arial" w:hAnsi="Arial" w:cs="Arial"/>
          <w:sz w:val="21"/>
          <w:szCs w:val="21"/>
        </w:rPr>
        <w:t>»</w:t>
      </w:r>
    </w:p>
    <w:tbl>
      <w:tblPr>
        <w:tblW w:w="5000" w:type="pct"/>
        <w:tblCellSpacing w:w="15" w:type="dxa"/>
        <w:tblInd w:w="25" w:type="dxa"/>
        <w:tblCellMar>
          <w:top w:w="15" w:type="dxa"/>
          <w:left w:w="15" w:type="dxa"/>
          <w:bottom w:w="15" w:type="dxa"/>
          <w:right w:w="15" w:type="dxa"/>
        </w:tblCellMar>
        <w:tblLook w:val="04A0" w:firstRow="1" w:lastRow="0" w:firstColumn="1" w:lastColumn="0" w:noHBand="0" w:noVBand="1"/>
      </w:tblPr>
      <w:tblGrid>
        <w:gridCol w:w="1722"/>
        <w:gridCol w:w="7329"/>
        <w:gridCol w:w="429"/>
      </w:tblGrid>
      <w:tr w:rsidR="002C1FE5">
        <w:trPr>
          <w:tblCellSpacing w:w="15" w:type="dxa"/>
        </w:trPr>
        <w:tc>
          <w:tcPr>
            <w:tcW w:w="89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2C1FE5" w:rsidRDefault="00504073">
            <w:pPr>
              <w:rPr>
                <w:rFonts w:ascii="Arial" w:eastAsia="Arial" w:hAnsi="Arial" w:cs="Arial"/>
                <w:color w:val="000000"/>
              </w:rPr>
            </w:pPr>
            <w:r>
              <w:rPr>
                <w:rFonts w:ascii="Arial" w:eastAsia="Arial" w:hAnsi="Arial" w:cs="Arial"/>
                <w:color w:val="000000"/>
              </w:rPr>
              <w:lastRenderedPageBreak/>
              <w:t xml:space="preserve">HABM_1, HABM_2 </w:t>
            </w:r>
          </w:p>
        </w:tc>
        <w:tc>
          <w:tcPr>
            <w:tcW w:w="389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bottom"/>
            <w:hideMark/>
          </w:tcPr>
          <w:p w:rsidR="002C1FE5" w:rsidRDefault="00504073">
            <w:pPr>
              <w:rPr>
                <w:rFonts w:ascii="Arial" w:eastAsia="Arial" w:hAnsi="Arial" w:cs="Arial"/>
                <w:color w:val="000000"/>
              </w:rPr>
            </w:pPr>
            <w:r>
              <w:rPr>
                <w:rFonts w:ascii="Arial" w:eastAsia="Arial" w:hAnsi="Arial" w:cs="Arial"/>
                <w:color w:val="000000"/>
              </w:rPr>
              <w:t>Pri HABM_1 ali HABM_2 se na površini z zahtevkom izravnava zemljišča, krči grmovje in drevesa, izravnava mikrodepresije, nasipava zemljina, apni oziroma ureja m</w:t>
            </w:r>
            <w:r>
              <w:rPr>
                <w:rFonts w:ascii="Arial" w:eastAsia="Arial" w:hAnsi="Arial" w:cs="Arial"/>
                <w:color w:val="000000"/>
              </w:rPr>
              <w:t xml:space="preserve">anjša odvodnjavanja. </w:t>
            </w:r>
          </w:p>
        </w:tc>
        <w:tc>
          <w:tcPr>
            <w:tcW w:w="20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2C1FE5" w:rsidRDefault="00504073">
            <w:pPr>
              <w:jc w:val="center"/>
              <w:rPr>
                <w:rFonts w:ascii="Arial" w:eastAsia="Arial" w:hAnsi="Arial" w:cs="Arial"/>
                <w:color w:val="000000"/>
              </w:rPr>
            </w:pPr>
            <w:r>
              <w:rPr>
                <w:rFonts w:ascii="Arial" w:eastAsia="Arial" w:hAnsi="Arial" w:cs="Arial"/>
                <w:color w:val="000000"/>
              </w:rPr>
              <w:t xml:space="preserve">VI </w:t>
            </w:r>
          </w:p>
        </w:tc>
      </w:tr>
    </w:tbl>
    <w:p w:rsidR="002C1FE5" w:rsidRDefault="00504073">
      <w:pPr>
        <w:pStyle w:val="rocnivnos"/>
        <w:spacing w:before="210" w:after="210"/>
        <w:rPr>
          <w:rFonts w:ascii="Arial" w:eastAsia="Arial" w:hAnsi="Arial" w:cs="Arial"/>
          <w:sz w:val="21"/>
          <w:szCs w:val="21"/>
        </w:rPr>
      </w:pPr>
      <w:r>
        <w:rPr>
          <w:rFonts w:ascii="Arial" w:eastAsia="Arial" w:hAnsi="Arial" w:cs="Arial"/>
          <w:sz w:val="21"/>
          <w:szCs w:val="21"/>
        </w:rPr>
        <w:t>                                                                                                                                                                                                   «;</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za zahtevo MOKR_BAR s kršitv</w:t>
      </w:r>
      <w:r>
        <w:rPr>
          <w:rFonts w:ascii="Arial" w:eastAsia="Arial" w:hAnsi="Arial" w:cs="Arial"/>
          <w:sz w:val="21"/>
          <w:szCs w:val="21"/>
        </w:rPr>
        <w:t>ijo »Na površini GERK, vključeni v MOKR_BAR, je več kot 30 % površine prerasle z invazivnimi tujerodnimi rastlinskimi vrstami.« doda nova vrstica, ki se glasi:</w:t>
      </w:r>
    </w:p>
    <w:p w:rsidR="002C1FE5" w:rsidRDefault="00504073">
      <w:pPr>
        <w:pStyle w:val="rocnivnos"/>
        <w:spacing w:before="210" w:after="210"/>
        <w:rPr>
          <w:rFonts w:ascii="Arial" w:eastAsia="Arial" w:hAnsi="Arial" w:cs="Arial"/>
          <w:sz w:val="21"/>
          <w:szCs w:val="21"/>
        </w:rPr>
      </w:pPr>
      <w:r>
        <w:rPr>
          <w:rFonts w:ascii="Arial" w:eastAsia="Arial" w:hAnsi="Arial" w:cs="Arial"/>
          <w:sz w:val="21"/>
          <w:szCs w:val="21"/>
        </w:rPr>
        <w:t>»</w:t>
      </w:r>
    </w:p>
    <w:tbl>
      <w:tblPr>
        <w:tblW w:w="5000" w:type="pct"/>
        <w:tblCellSpacing w:w="15" w:type="dxa"/>
        <w:tblInd w:w="25" w:type="dxa"/>
        <w:tblCellMar>
          <w:top w:w="15" w:type="dxa"/>
          <w:left w:w="15" w:type="dxa"/>
          <w:bottom w:w="15" w:type="dxa"/>
          <w:right w:w="15" w:type="dxa"/>
        </w:tblCellMar>
        <w:tblLook w:val="04A0" w:firstRow="1" w:lastRow="0" w:firstColumn="1" w:lastColumn="0" w:noHBand="0" w:noVBand="1"/>
      </w:tblPr>
      <w:tblGrid>
        <w:gridCol w:w="1722"/>
        <w:gridCol w:w="7329"/>
        <w:gridCol w:w="429"/>
      </w:tblGrid>
      <w:tr w:rsidR="002C1FE5">
        <w:trPr>
          <w:tblCellSpacing w:w="15" w:type="dxa"/>
        </w:trPr>
        <w:tc>
          <w:tcPr>
            <w:tcW w:w="89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2C1FE5" w:rsidRDefault="00504073">
            <w:pPr>
              <w:rPr>
                <w:rFonts w:ascii="Arial" w:eastAsia="Arial" w:hAnsi="Arial" w:cs="Arial"/>
                <w:color w:val="000000"/>
              </w:rPr>
            </w:pPr>
            <w:r>
              <w:rPr>
                <w:rFonts w:ascii="Arial" w:eastAsia="Arial" w:hAnsi="Arial" w:cs="Arial"/>
                <w:color w:val="000000"/>
              </w:rPr>
              <w:t xml:space="preserve">MOKR_BAR </w:t>
            </w:r>
          </w:p>
        </w:tc>
        <w:tc>
          <w:tcPr>
            <w:tcW w:w="389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bottom"/>
            <w:hideMark/>
          </w:tcPr>
          <w:p w:rsidR="002C1FE5" w:rsidRDefault="00504073">
            <w:pPr>
              <w:rPr>
                <w:rFonts w:ascii="Arial" w:eastAsia="Arial" w:hAnsi="Arial" w:cs="Arial"/>
                <w:color w:val="000000"/>
              </w:rPr>
            </w:pPr>
            <w:r>
              <w:rPr>
                <w:rFonts w:ascii="Arial" w:eastAsia="Arial" w:hAnsi="Arial" w:cs="Arial"/>
                <w:color w:val="000000"/>
              </w:rPr>
              <w:t xml:space="preserve">Pri MOKR_BAR se na površini z zahtevkom izravnava zemljišča, krči grmovje in drevesa, izravnava mikrodepresije, nasipava zemljina, apni oziroma ureja manjša odvodnjavanja. </w:t>
            </w:r>
          </w:p>
        </w:tc>
        <w:tc>
          <w:tcPr>
            <w:tcW w:w="20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2C1FE5" w:rsidRDefault="00504073">
            <w:pPr>
              <w:jc w:val="center"/>
              <w:rPr>
                <w:rFonts w:ascii="Arial" w:eastAsia="Arial" w:hAnsi="Arial" w:cs="Arial"/>
                <w:color w:val="000000"/>
              </w:rPr>
            </w:pPr>
            <w:r>
              <w:rPr>
                <w:rFonts w:ascii="Arial" w:eastAsia="Arial" w:hAnsi="Arial" w:cs="Arial"/>
                <w:color w:val="000000"/>
              </w:rPr>
              <w:t xml:space="preserve">VI </w:t>
            </w:r>
          </w:p>
        </w:tc>
      </w:tr>
    </w:tbl>
    <w:p w:rsidR="002C1FE5" w:rsidRDefault="00504073">
      <w:pPr>
        <w:pStyle w:val="rocnivnos"/>
        <w:spacing w:before="210" w:after="210"/>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sz w:val="21"/>
          <w:szCs w:val="21"/>
        </w:rPr>
        <w:t>                                                                                                                     «;</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6. za zahtevo SUHI_KTP s kršitvijo »Na površini GERK, vključeni v SUHI_KTP, je več kot 30 % površine prerasle z invazivnimi tujerodnimi </w:t>
      </w:r>
      <w:r>
        <w:rPr>
          <w:rFonts w:ascii="Arial" w:eastAsia="Arial" w:hAnsi="Arial" w:cs="Arial"/>
          <w:sz w:val="21"/>
          <w:szCs w:val="21"/>
        </w:rPr>
        <w:t>rastlinskimi vrstami.« doda nova vrstica, ki se glasi:</w:t>
      </w:r>
    </w:p>
    <w:p w:rsidR="002C1FE5" w:rsidRDefault="00504073">
      <w:pPr>
        <w:pStyle w:val="rocnivnos"/>
        <w:spacing w:before="210" w:after="210"/>
        <w:rPr>
          <w:rFonts w:ascii="Arial" w:eastAsia="Arial" w:hAnsi="Arial" w:cs="Arial"/>
          <w:sz w:val="21"/>
          <w:szCs w:val="21"/>
        </w:rPr>
      </w:pPr>
      <w:r>
        <w:rPr>
          <w:rFonts w:ascii="Arial" w:eastAsia="Arial" w:hAnsi="Arial" w:cs="Arial"/>
          <w:sz w:val="21"/>
          <w:szCs w:val="21"/>
        </w:rPr>
        <w:t>»</w:t>
      </w:r>
    </w:p>
    <w:tbl>
      <w:tblPr>
        <w:tblW w:w="5000" w:type="pct"/>
        <w:tblCellSpacing w:w="15" w:type="dxa"/>
        <w:tblInd w:w="25" w:type="dxa"/>
        <w:tblCellMar>
          <w:top w:w="15" w:type="dxa"/>
          <w:left w:w="15" w:type="dxa"/>
          <w:bottom w:w="15" w:type="dxa"/>
          <w:right w:w="15" w:type="dxa"/>
        </w:tblCellMar>
        <w:tblLook w:val="04A0" w:firstRow="1" w:lastRow="0" w:firstColumn="1" w:lastColumn="0" w:noHBand="0" w:noVBand="1"/>
      </w:tblPr>
      <w:tblGrid>
        <w:gridCol w:w="1722"/>
        <w:gridCol w:w="7329"/>
        <w:gridCol w:w="429"/>
      </w:tblGrid>
      <w:tr w:rsidR="002C1FE5">
        <w:trPr>
          <w:tblCellSpacing w:w="15" w:type="dxa"/>
        </w:trPr>
        <w:tc>
          <w:tcPr>
            <w:tcW w:w="89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2C1FE5" w:rsidRDefault="00504073">
            <w:pPr>
              <w:rPr>
                <w:rFonts w:ascii="Arial" w:eastAsia="Arial" w:hAnsi="Arial" w:cs="Arial"/>
                <w:color w:val="000000"/>
              </w:rPr>
            </w:pPr>
            <w:r>
              <w:rPr>
                <w:rFonts w:ascii="Arial" w:eastAsia="Arial" w:hAnsi="Arial" w:cs="Arial"/>
                <w:color w:val="000000"/>
              </w:rPr>
              <w:t xml:space="preserve">SUHI_KTP </w:t>
            </w:r>
          </w:p>
        </w:tc>
        <w:tc>
          <w:tcPr>
            <w:tcW w:w="389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bottom"/>
            <w:hideMark/>
          </w:tcPr>
          <w:p w:rsidR="002C1FE5" w:rsidRDefault="00504073">
            <w:pPr>
              <w:rPr>
                <w:rFonts w:ascii="Arial" w:eastAsia="Arial" w:hAnsi="Arial" w:cs="Arial"/>
                <w:color w:val="000000"/>
              </w:rPr>
            </w:pPr>
            <w:r>
              <w:rPr>
                <w:rFonts w:ascii="Arial" w:eastAsia="Arial" w:hAnsi="Arial" w:cs="Arial"/>
                <w:color w:val="000000"/>
              </w:rPr>
              <w:t xml:space="preserve">Pri HSUHI_KTP se na površini z zahtevkom izravnava zemljišča, krči grmovje in drevesa, izravnava mikrodepresije, nasipava zemljina, apni oziroma ureja manjša odvodnjavanja. </w:t>
            </w:r>
          </w:p>
        </w:tc>
        <w:tc>
          <w:tcPr>
            <w:tcW w:w="20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2C1FE5" w:rsidRDefault="00504073">
            <w:pPr>
              <w:jc w:val="center"/>
              <w:rPr>
                <w:rFonts w:ascii="Arial" w:eastAsia="Arial" w:hAnsi="Arial" w:cs="Arial"/>
                <w:color w:val="000000"/>
              </w:rPr>
            </w:pPr>
            <w:r>
              <w:rPr>
                <w:rFonts w:ascii="Arial" w:eastAsia="Arial" w:hAnsi="Arial" w:cs="Arial"/>
                <w:color w:val="000000"/>
              </w:rPr>
              <w:t xml:space="preserve">VI </w:t>
            </w:r>
          </w:p>
        </w:tc>
      </w:tr>
    </w:tbl>
    <w:p w:rsidR="002C1FE5" w:rsidRDefault="00504073">
      <w:pPr>
        <w:pStyle w:val="rocnivnos"/>
        <w:spacing w:before="210" w:after="210"/>
        <w:rPr>
          <w:rFonts w:ascii="Arial" w:eastAsia="Arial" w:hAnsi="Arial" w:cs="Arial"/>
          <w:sz w:val="21"/>
          <w:szCs w:val="21"/>
        </w:rPr>
      </w:pPr>
      <w:r>
        <w:rPr>
          <w:rFonts w:ascii="Arial" w:eastAsia="Arial" w:hAnsi="Arial" w:cs="Arial"/>
          <w:sz w:val="21"/>
          <w:szCs w:val="21"/>
        </w:rPr>
        <w:t>          </w:t>
      </w:r>
      <w:r>
        <w:rPr>
          <w:rFonts w:ascii="Arial" w:eastAsia="Arial" w:hAnsi="Arial" w:cs="Arial"/>
          <w:sz w:val="21"/>
          <w:szCs w:val="21"/>
        </w:rPr>
        <w:t>                                                                                                                                                                                          «;</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za zahtevo VTR_1, VTR_2 s kršitvijo »Na površini GERK, vključeni</w:t>
      </w:r>
      <w:r>
        <w:rPr>
          <w:rFonts w:ascii="Arial" w:eastAsia="Arial" w:hAnsi="Arial" w:cs="Arial"/>
          <w:sz w:val="21"/>
          <w:szCs w:val="21"/>
        </w:rPr>
        <w:t xml:space="preserve"> v VTR_1 ali VTR_2, je več kot 30 % površine prerasle z invazivnimi tujerodnimi rastlinskimi vrstami.« doda nova vrstica, ki se glasi:</w:t>
      </w:r>
    </w:p>
    <w:p w:rsidR="002C1FE5" w:rsidRDefault="00504073">
      <w:pPr>
        <w:pStyle w:val="rocnivnos"/>
        <w:spacing w:before="210" w:after="210"/>
        <w:rPr>
          <w:rFonts w:ascii="Arial" w:eastAsia="Arial" w:hAnsi="Arial" w:cs="Arial"/>
          <w:sz w:val="21"/>
          <w:szCs w:val="21"/>
        </w:rPr>
      </w:pPr>
      <w:r>
        <w:rPr>
          <w:rFonts w:ascii="Arial" w:eastAsia="Arial" w:hAnsi="Arial" w:cs="Arial"/>
          <w:sz w:val="21"/>
          <w:szCs w:val="21"/>
        </w:rPr>
        <w:t>»</w:t>
      </w:r>
    </w:p>
    <w:tbl>
      <w:tblPr>
        <w:tblW w:w="5000" w:type="pct"/>
        <w:tblCellSpacing w:w="15" w:type="dxa"/>
        <w:tblInd w:w="25" w:type="dxa"/>
        <w:tblCellMar>
          <w:top w:w="15" w:type="dxa"/>
          <w:left w:w="15" w:type="dxa"/>
          <w:bottom w:w="15" w:type="dxa"/>
          <w:right w:w="15" w:type="dxa"/>
        </w:tblCellMar>
        <w:tblLook w:val="04A0" w:firstRow="1" w:lastRow="0" w:firstColumn="1" w:lastColumn="0" w:noHBand="0" w:noVBand="1"/>
      </w:tblPr>
      <w:tblGrid>
        <w:gridCol w:w="1722"/>
        <w:gridCol w:w="7329"/>
        <w:gridCol w:w="429"/>
      </w:tblGrid>
      <w:tr w:rsidR="002C1FE5">
        <w:trPr>
          <w:tblCellSpacing w:w="15" w:type="dxa"/>
        </w:trPr>
        <w:tc>
          <w:tcPr>
            <w:tcW w:w="89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2C1FE5" w:rsidRDefault="00504073">
            <w:pPr>
              <w:rPr>
                <w:rFonts w:ascii="Arial" w:eastAsia="Arial" w:hAnsi="Arial" w:cs="Arial"/>
                <w:color w:val="000000"/>
              </w:rPr>
            </w:pPr>
            <w:r>
              <w:rPr>
                <w:rFonts w:ascii="Arial" w:eastAsia="Arial" w:hAnsi="Arial" w:cs="Arial"/>
                <w:color w:val="000000"/>
              </w:rPr>
              <w:t xml:space="preserve">VTR_1, VTR_2 </w:t>
            </w:r>
          </w:p>
        </w:tc>
        <w:tc>
          <w:tcPr>
            <w:tcW w:w="389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bottom"/>
            <w:hideMark/>
          </w:tcPr>
          <w:p w:rsidR="002C1FE5" w:rsidRDefault="00504073">
            <w:pPr>
              <w:rPr>
                <w:rFonts w:ascii="Arial" w:eastAsia="Arial" w:hAnsi="Arial" w:cs="Arial"/>
                <w:color w:val="000000"/>
              </w:rPr>
            </w:pPr>
            <w:r>
              <w:rPr>
                <w:rFonts w:ascii="Arial" w:eastAsia="Arial" w:hAnsi="Arial" w:cs="Arial"/>
                <w:color w:val="000000"/>
              </w:rPr>
              <w:t xml:space="preserve">Pri VTR_1 ali VTR_2 se na površini z zahtevkom izravnava zemljišča, krči grmovje in drevesa, izravnava mikrodepresije, nasipava zemljina, apni oziroma ureja manjša odvodnjavanja. </w:t>
            </w:r>
          </w:p>
        </w:tc>
        <w:tc>
          <w:tcPr>
            <w:tcW w:w="20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2C1FE5" w:rsidRDefault="00504073">
            <w:pPr>
              <w:jc w:val="center"/>
              <w:rPr>
                <w:rFonts w:ascii="Arial" w:eastAsia="Arial" w:hAnsi="Arial" w:cs="Arial"/>
                <w:color w:val="000000"/>
              </w:rPr>
            </w:pPr>
            <w:r>
              <w:rPr>
                <w:rFonts w:ascii="Arial" w:eastAsia="Arial" w:hAnsi="Arial" w:cs="Arial"/>
                <w:color w:val="000000"/>
              </w:rPr>
              <w:t xml:space="preserve">VI </w:t>
            </w:r>
          </w:p>
        </w:tc>
      </w:tr>
    </w:tbl>
    <w:p w:rsidR="002C1FE5" w:rsidRDefault="00504073">
      <w:pPr>
        <w:pStyle w:val="rocnivnos"/>
        <w:spacing w:before="210" w:after="210"/>
        <w:rPr>
          <w:rFonts w:ascii="Arial" w:eastAsia="Arial" w:hAnsi="Arial" w:cs="Arial"/>
          <w:sz w:val="21"/>
          <w:szCs w:val="21"/>
        </w:rPr>
      </w:pPr>
      <w:r>
        <w:rPr>
          <w:rFonts w:ascii="Arial" w:eastAsia="Arial" w:hAnsi="Arial" w:cs="Arial"/>
          <w:sz w:val="21"/>
          <w:szCs w:val="21"/>
        </w:rPr>
        <w:t>                                                                       </w:t>
      </w:r>
      <w:r>
        <w:rPr>
          <w:rFonts w:ascii="Arial" w:eastAsia="Arial" w:hAnsi="Arial" w:cs="Arial"/>
          <w:sz w:val="21"/>
          <w:szCs w:val="21"/>
        </w:rPr>
        <w:t>                                                                                                                                 «;</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8. pri zahtevi HAB_2 besedilo kršitve »Pri HAB_2 je nepokošeni pas manjši od 5 % površine z zahtevkom HAB_2.« nadomesti z be</w:t>
      </w:r>
      <w:r>
        <w:rPr>
          <w:rFonts w:ascii="Arial" w:eastAsia="Arial" w:hAnsi="Arial" w:cs="Arial"/>
          <w:sz w:val="21"/>
          <w:szCs w:val="21"/>
        </w:rPr>
        <w:t>sedilom »Pri HAB_2 je nepokošeni pas manjši od 5 % površine z zahtevkom HAB_2 ali od 0,05 ha, če je pas v več delih.«;</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9. pri zahtevi HAB_2 besedilo kršitve »Pri HAB_2 je nepokošeni pas večji od 10 % površine z zahtevkom HAB_2.« nadomesti z besedilom »Pri </w:t>
      </w:r>
      <w:r>
        <w:rPr>
          <w:rFonts w:ascii="Arial" w:eastAsia="Arial" w:hAnsi="Arial" w:cs="Arial"/>
          <w:sz w:val="21"/>
          <w:szCs w:val="21"/>
        </w:rPr>
        <w:t>HAB_2 je nepokošeni pas večji od 10 % površine z zahtevkom HAB_2 ali od enega ha, če je pas v več delih.«;</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10. pri zahtevi MET_2 besedilo kršitve »Pri MET_2 je nepokošeni pas manjši od 5 % površine z zahtevkom MET_2.« nadomesti z besedilom »Pri MET_2 je ne</w:t>
      </w:r>
      <w:r>
        <w:rPr>
          <w:rFonts w:ascii="Arial" w:eastAsia="Arial" w:hAnsi="Arial" w:cs="Arial"/>
          <w:sz w:val="21"/>
          <w:szCs w:val="21"/>
        </w:rPr>
        <w:t>pokošeni pas manjši od 5 % površine z zahtevkom MET_2 ali od 0,05 ha, če je pas v več delih.«;</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11. pri zahtevi MET_2 besedilo kršitve »Pri MET_2 je nepokošeni pas večji od 10 % površine z zahtevkom MET_2.« nadomesti z besedilom »Pri MET_2 je nepokošeni pas</w:t>
      </w:r>
      <w:r>
        <w:rPr>
          <w:rFonts w:ascii="Arial" w:eastAsia="Arial" w:hAnsi="Arial" w:cs="Arial"/>
          <w:sz w:val="21"/>
          <w:szCs w:val="21"/>
        </w:rPr>
        <w:t xml:space="preserve"> večji od 10 % površine z zahtevkom MET_2 ali od enega ha, če je pas v več delih.«;</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12. pri zahtevi HABM_2 besedilo kršitve »Pri HABM_2 je nepokošeni pas manjši od 5 % površine z zahtevkom HABM_2.« nadomesti z besedilom »Pri HABM_2 je nepokošeni pas manjši</w:t>
      </w:r>
      <w:r>
        <w:rPr>
          <w:rFonts w:ascii="Arial" w:eastAsia="Arial" w:hAnsi="Arial" w:cs="Arial"/>
          <w:sz w:val="21"/>
          <w:szCs w:val="21"/>
        </w:rPr>
        <w:t xml:space="preserve"> od 5 % površine z zahtevkom HABM_2 ali od 0,05 ha, če je pas v več delih.«;</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13. pri zahtevi HABM_2 besedilo kršitve »Pri HABM_2 je nepokošeni pas večji od 10 % površine z zahtevkom HABM_2.« nadomesti z besedilom »Pri HABM_2 je nepokošeni pas večji od 10 %</w:t>
      </w:r>
      <w:r>
        <w:rPr>
          <w:rFonts w:ascii="Arial" w:eastAsia="Arial" w:hAnsi="Arial" w:cs="Arial"/>
          <w:sz w:val="21"/>
          <w:szCs w:val="21"/>
        </w:rPr>
        <w:t xml:space="preserve"> površine z zahtevkom HABM_2 ali od enega ha, če je pas v več delih.«;</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14. pri zahtevi VTR_2 besedilo kršitve »Pri VTR_2 je nepokošeni pas manjši od 5 % površine ali od 0,05 ha, če je pas v več delih.« nadomesti z besedilom »Pri VTR_2 je nepokošeni pas man</w:t>
      </w:r>
      <w:r>
        <w:rPr>
          <w:rFonts w:ascii="Arial" w:eastAsia="Arial" w:hAnsi="Arial" w:cs="Arial"/>
          <w:sz w:val="21"/>
          <w:szCs w:val="21"/>
        </w:rPr>
        <w:t>jši od 5 % površine z zahtevkom VTR_2 ali od 0,05 ha, če je pas v več delih.«;</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15. pri zahtevi VTR_2 besedilo kršitve »Pri VTR_2 je nepokošeni pas večji od 10 % površine ali od 1 ha, če je pas v več delih.« nadomesti z besedilom »Pri VTR_2 je nepokošeni pa</w:t>
      </w:r>
      <w:r>
        <w:rPr>
          <w:rFonts w:ascii="Arial" w:eastAsia="Arial" w:hAnsi="Arial" w:cs="Arial"/>
          <w:sz w:val="21"/>
          <w:szCs w:val="21"/>
        </w:rPr>
        <w:t>s večji od 10 % površine z zahtevkom VTR_2 ali od enega ha, če je pas v več delih.«.;</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16. pri zahtevi ZVE_OGRM besedilo kršitve Pri ZVE_OGRM je višina elektromreže nižja od predpisane (160 cm).« nadomesti z besedilom »Pri ZVE_OGRM je višina elektromreže ni</w:t>
      </w:r>
      <w:r>
        <w:rPr>
          <w:rFonts w:ascii="Arial" w:eastAsia="Arial" w:hAnsi="Arial" w:cs="Arial"/>
          <w:sz w:val="21"/>
          <w:szCs w:val="21"/>
        </w:rPr>
        <w:t>žja od predpisane (145 cm).«;</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17. za zahtevo NGTR_1, NGTR_2_30_6, NGTR_2_10_7 s kršitvijo »Na GERK, vključenem v NGTR_1 ali NGTR_2_30_6 ali NGTR_2_10_7, so se v tekočem letu uporabljala FFS.« doda nova vrstica, ki se glasi:</w:t>
      </w:r>
    </w:p>
    <w:p w:rsidR="002C1FE5" w:rsidRDefault="00504073">
      <w:pPr>
        <w:pStyle w:val="rocnivnos"/>
        <w:spacing w:before="210" w:after="210"/>
        <w:rPr>
          <w:rFonts w:ascii="Arial" w:eastAsia="Arial" w:hAnsi="Arial" w:cs="Arial"/>
          <w:sz w:val="21"/>
          <w:szCs w:val="21"/>
        </w:rPr>
      </w:pPr>
      <w:r>
        <w:rPr>
          <w:rFonts w:ascii="Arial" w:eastAsia="Arial" w:hAnsi="Arial" w:cs="Arial"/>
          <w:sz w:val="21"/>
          <w:szCs w:val="21"/>
        </w:rPr>
        <w:t>»</w:t>
      </w:r>
    </w:p>
    <w:tbl>
      <w:tblPr>
        <w:tblW w:w="5000" w:type="pct"/>
        <w:tblCellSpacing w:w="15" w:type="dxa"/>
        <w:tblInd w:w="25" w:type="dxa"/>
        <w:tblCellMar>
          <w:top w:w="15" w:type="dxa"/>
          <w:left w:w="15" w:type="dxa"/>
          <w:bottom w:w="15" w:type="dxa"/>
          <w:right w:w="15" w:type="dxa"/>
        </w:tblCellMar>
        <w:tblLook w:val="04A0" w:firstRow="1" w:lastRow="0" w:firstColumn="1" w:lastColumn="0" w:noHBand="0" w:noVBand="1"/>
      </w:tblPr>
      <w:tblGrid>
        <w:gridCol w:w="2273"/>
        <w:gridCol w:w="6638"/>
        <w:gridCol w:w="569"/>
      </w:tblGrid>
      <w:tr w:rsidR="002C1FE5">
        <w:trPr>
          <w:tblCellSpacing w:w="15" w:type="dxa"/>
        </w:trPr>
        <w:tc>
          <w:tcPr>
            <w:tcW w:w="1190"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2C1FE5" w:rsidRDefault="00504073">
            <w:pPr>
              <w:rPr>
                <w:rFonts w:ascii="Arial" w:eastAsia="Arial" w:hAnsi="Arial" w:cs="Arial"/>
                <w:color w:val="000000"/>
              </w:rPr>
            </w:pPr>
            <w:r>
              <w:rPr>
                <w:rFonts w:ascii="Arial" w:eastAsia="Arial" w:hAnsi="Arial" w:cs="Arial"/>
                <w:color w:val="000000"/>
              </w:rPr>
              <w:t xml:space="preserve">NGTR_1, NGTR_2_30_6, NGTR_2_10_7, NGTR_3 </w:t>
            </w:r>
          </w:p>
        </w:tc>
        <w:tc>
          <w:tcPr>
            <w:tcW w:w="3530"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bottom"/>
            <w:hideMark/>
          </w:tcPr>
          <w:p w:rsidR="002C1FE5" w:rsidRDefault="00504073">
            <w:pPr>
              <w:rPr>
                <w:rFonts w:ascii="Arial" w:eastAsia="Arial" w:hAnsi="Arial" w:cs="Arial"/>
                <w:color w:val="000000"/>
              </w:rPr>
            </w:pPr>
            <w:r>
              <w:rPr>
                <w:rFonts w:ascii="Arial" w:eastAsia="Arial" w:hAnsi="Arial" w:cs="Arial"/>
                <w:color w:val="000000"/>
              </w:rPr>
              <w:t xml:space="preserve">Pri NGTR_1, NGTR_2_30_6, NGTR_2_10_7 in NGTR_3 na KMG z živalmi minimalna obtežba odstopa do 0,1 GVŽ travojedih živali na ha površin trajnega travinja z zahtevkom NGTR_1, NGTR_2_30_6, NGTR_2_10_7 in NGTR_3. </w:t>
            </w:r>
          </w:p>
        </w:tc>
        <w:tc>
          <w:tcPr>
            <w:tcW w:w="280"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2C1FE5" w:rsidRDefault="00504073">
            <w:pPr>
              <w:jc w:val="center"/>
              <w:rPr>
                <w:rFonts w:ascii="Arial" w:eastAsia="Arial" w:hAnsi="Arial" w:cs="Arial"/>
                <w:color w:val="000000"/>
              </w:rPr>
            </w:pPr>
            <w:r>
              <w:rPr>
                <w:rFonts w:ascii="Arial" w:eastAsia="Arial" w:hAnsi="Arial" w:cs="Arial"/>
                <w:color w:val="000000"/>
              </w:rPr>
              <w:t xml:space="preserve">III </w:t>
            </w:r>
          </w:p>
        </w:tc>
      </w:tr>
    </w:tbl>
    <w:p w:rsidR="002C1FE5" w:rsidRDefault="00504073">
      <w:pPr>
        <w:pStyle w:val="rocnivnos"/>
        <w:spacing w:before="210" w:after="210"/>
        <w:rPr>
          <w:rFonts w:ascii="Arial" w:eastAsia="Arial" w:hAnsi="Arial" w:cs="Arial"/>
          <w:sz w:val="21"/>
          <w:szCs w:val="21"/>
        </w:rPr>
      </w:pPr>
      <w:r>
        <w:rPr>
          <w:rFonts w:ascii="Arial" w:eastAsia="Arial" w:hAnsi="Arial" w:cs="Arial"/>
          <w:sz w:val="21"/>
          <w:szCs w:val="21"/>
        </w:rPr>
        <w:t>                                                                                                                                                                                                        «;</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18. za zahtevo GORTR s kršitvijo »Pri GORTR se na KMG</w:t>
      </w:r>
      <w:r>
        <w:rPr>
          <w:rFonts w:ascii="Arial" w:eastAsia="Arial" w:hAnsi="Arial" w:cs="Arial"/>
          <w:sz w:val="21"/>
          <w:szCs w:val="21"/>
        </w:rPr>
        <w:t xml:space="preserve"> ne hranijo skice travnika z vrisanim načinom košnje.« doda nova vrstica, ki se glasi:</w:t>
      </w:r>
    </w:p>
    <w:p w:rsidR="002C1FE5" w:rsidRDefault="00504073">
      <w:pPr>
        <w:pStyle w:val="rocnivnos"/>
        <w:spacing w:before="210" w:after="210"/>
        <w:rPr>
          <w:rFonts w:ascii="Arial" w:eastAsia="Arial" w:hAnsi="Arial" w:cs="Arial"/>
          <w:sz w:val="21"/>
          <w:szCs w:val="21"/>
        </w:rPr>
      </w:pPr>
      <w:r>
        <w:rPr>
          <w:rFonts w:ascii="Arial" w:eastAsia="Arial" w:hAnsi="Arial" w:cs="Arial"/>
          <w:sz w:val="21"/>
          <w:szCs w:val="21"/>
        </w:rPr>
        <w:t>»</w:t>
      </w:r>
    </w:p>
    <w:tbl>
      <w:tblPr>
        <w:tblW w:w="5000" w:type="pct"/>
        <w:tblCellSpacing w:w="15" w:type="dxa"/>
        <w:tblInd w:w="25" w:type="dxa"/>
        <w:tblCellMar>
          <w:top w:w="15" w:type="dxa"/>
          <w:left w:w="15" w:type="dxa"/>
          <w:bottom w:w="15" w:type="dxa"/>
          <w:right w:w="15" w:type="dxa"/>
        </w:tblCellMar>
        <w:tblLook w:val="04A0" w:firstRow="1" w:lastRow="0" w:firstColumn="1" w:lastColumn="0" w:noHBand="0" w:noVBand="1"/>
      </w:tblPr>
      <w:tblGrid>
        <w:gridCol w:w="1590"/>
        <w:gridCol w:w="7321"/>
        <w:gridCol w:w="569"/>
      </w:tblGrid>
      <w:tr w:rsidR="002C1FE5">
        <w:trPr>
          <w:tblCellSpacing w:w="15" w:type="dxa"/>
        </w:trPr>
        <w:tc>
          <w:tcPr>
            <w:tcW w:w="82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2C1FE5" w:rsidRDefault="00504073">
            <w:pPr>
              <w:rPr>
                <w:rFonts w:ascii="Arial" w:eastAsia="Arial" w:hAnsi="Arial" w:cs="Arial"/>
                <w:color w:val="000000"/>
              </w:rPr>
            </w:pPr>
            <w:r>
              <w:rPr>
                <w:rFonts w:ascii="Arial" w:eastAsia="Arial" w:hAnsi="Arial" w:cs="Arial"/>
                <w:color w:val="000000"/>
              </w:rPr>
              <w:t xml:space="preserve">GORTR </w:t>
            </w:r>
          </w:p>
        </w:tc>
        <w:tc>
          <w:tcPr>
            <w:tcW w:w="389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bottom"/>
            <w:hideMark/>
          </w:tcPr>
          <w:p w:rsidR="002C1FE5" w:rsidRDefault="00504073">
            <w:pPr>
              <w:rPr>
                <w:rFonts w:ascii="Arial" w:eastAsia="Arial" w:hAnsi="Arial" w:cs="Arial"/>
                <w:color w:val="000000"/>
              </w:rPr>
            </w:pPr>
            <w:r>
              <w:rPr>
                <w:rFonts w:ascii="Arial" w:eastAsia="Arial" w:hAnsi="Arial" w:cs="Arial"/>
                <w:color w:val="000000"/>
              </w:rPr>
              <w:t xml:space="preserve">Pri GORTR na KMG z živalmi minimalna obtežba odstopa do 0,1 GVŽ travojedih živali na ha površin trajnega travinja z zahtevkom GORTR. </w:t>
            </w:r>
          </w:p>
        </w:tc>
        <w:tc>
          <w:tcPr>
            <w:tcW w:w="280"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2C1FE5" w:rsidRDefault="00504073">
            <w:pPr>
              <w:jc w:val="center"/>
              <w:rPr>
                <w:rFonts w:ascii="Arial" w:eastAsia="Arial" w:hAnsi="Arial" w:cs="Arial"/>
                <w:color w:val="000000"/>
              </w:rPr>
            </w:pPr>
            <w:r>
              <w:rPr>
                <w:rFonts w:ascii="Arial" w:eastAsia="Arial" w:hAnsi="Arial" w:cs="Arial"/>
                <w:color w:val="000000"/>
              </w:rPr>
              <w:t xml:space="preserve">III </w:t>
            </w:r>
          </w:p>
        </w:tc>
      </w:tr>
    </w:tbl>
    <w:p w:rsidR="002C1FE5" w:rsidRDefault="00504073">
      <w:pPr>
        <w:pStyle w:val="rocnivnos"/>
        <w:spacing w:before="210" w:after="210"/>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sz w:val="21"/>
          <w:szCs w:val="21"/>
        </w:rPr>
        <w:t>                                                                                                                                                                                      «;</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19. pri zahtevi LOPS_SOR besedilo kršitve »Pri SOR za neprezimne posevk</w:t>
      </w:r>
      <w:r>
        <w:rPr>
          <w:rFonts w:ascii="Arial" w:eastAsia="Arial" w:hAnsi="Arial" w:cs="Arial"/>
          <w:sz w:val="21"/>
          <w:szCs w:val="21"/>
        </w:rPr>
        <w:t>e kmetijska rastlina lokalne sorte iz Priloge 2 te uredbe na površini z zahtevkom ni bila prisotna od 15. avgusta do najmanj 15. oktobra tekočega leta.« nadomesti z besedilom »Pri SOR za neprezimne posevke kmetijska rastlina lokalne sorte iz Priloge 2 te u</w:t>
      </w:r>
      <w:r>
        <w:rPr>
          <w:rFonts w:ascii="Arial" w:eastAsia="Arial" w:hAnsi="Arial" w:cs="Arial"/>
          <w:sz w:val="21"/>
          <w:szCs w:val="21"/>
        </w:rPr>
        <w:t>redbe na površini z zahtevkom ni bila prisotna od najmanj 15. avgusta do najmanj 20. septembra tekočega leta.«;</w:t>
      </w:r>
    </w:p>
    <w:p w:rsidR="002C1FE5" w:rsidRDefault="0050407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20. črta vrstica:</w:t>
      </w:r>
    </w:p>
    <w:p w:rsidR="002C1FE5" w:rsidRDefault="00504073">
      <w:pPr>
        <w:pStyle w:val="rocnivnos"/>
        <w:spacing w:before="210" w:after="210"/>
        <w:rPr>
          <w:rFonts w:ascii="Arial" w:eastAsia="Arial" w:hAnsi="Arial" w:cs="Arial"/>
          <w:sz w:val="21"/>
          <w:szCs w:val="21"/>
        </w:rPr>
      </w:pPr>
      <w:r>
        <w:rPr>
          <w:rFonts w:ascii="Arial" w:eastAsia="Arial" w:hAnsi="Arial" w:cs="Arial"/>
          <w:sz w:val="21"/>
          <w:szCs w:val="21"/>
        </w:rPr>
        <w:t>»</w:t>
      </w:r>
    </w:p>
    <w:tbl>
      <w:tblPr>
        <w:tblW w:w="5000" w:type="pct"/>
        <w:tblCellSpacing w:w="15" w:type="dxa"/>
        <w:tblInd w:w="25" w:type="dxa"/>
        <w:tblCellMar>
          <w:top w:w="15" w:type="dxa"/>
          <w:left w:w="15" w:type="dxa"/>
          <w:bottom w:w="15" w:type="dxa"/>
          <w:right w:w="15" w:type="dxa"/>
        </w:tblCellMar>
        <w:tblLook w:val="04A0" w:firstRow="1" w:lastRow="0" w:firstColumn="1" w:lastColumn="0" w:noHBand="0" w:noVBand="1"/>
      </w:tblPr>
      <w:tblGrid>
        <w:gridCol w:w="1590"/>
        <w:gridCol w:w="7321"/>
        <w:gridCol w:w="569"/>
      </w:tblGrid>
      <w:tr w:rsidR="002C1FE5">
        <w:trPr>
          <w:tblCellSpacing w:w="15" w:type="dxa"/>
        </w:trPr>
        <w:tc>
          <w:tcPr>
            <w:tcW w:w="82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2C1FE5" w:rsidRDefault="00504073">
            <w:pPr>
              <w:rPr>
                <w:rFonts w:ascii="Arial" w:eastAsia="Arial" w:hAnsi="Arial" w:cs="Arial"/>
                <w:color w:val="000000"/>
              </w:rPr>
            </w:pPr>
            <w:r>
              <w:rPr>
                <w:rFonts w:ascii="Arial" w:eastAsia="Arial" w:hAnsi="Arial" w:cs="Arial"/>
                <w:color w:val="000000"/>
              </w:rPr>
              <w:t xml:space="preserve">LOPS_SOR </w:t>
            </w:r>
          </w:p>
        </w:tc>
        <w:tc>
          <w:tcPr>
            <w:tcW w:w="3895"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bottom"/>
            <w:hideMark/>
          </w:tcPr>
          <w:p w:rsidR="002C1FE5" w:rsidRDefault="00504073">
            <w:pPr>
              <w:rPr>
                <w:rFonts w:ascii="Arial" w:eastAsia="Arial" w:hAnsi="Arial" w:cs="Arial"/>
                <w:color w:val="000000"/>
              </w:rPr>
            </w:pPr>
            <w:r>
              <w:rPr>
                <w:rFonts w:ascii="Arial" w:eastAsia="Arial" w:hAnsi="Arial" w:cs="Arial"/>
                <w:color w:val="000000"/>
              </w:rPr>
              <w:t xml:space="preserve">Pri SOR za prezimne posevke kmetijska rastlina lokalne sorte iz Priloge 2 te uredbe na površini  </w:t>
            </w:r>
          </w:p>
          <w:p w:rsidR="002C1FE5" w:rsidRDefault="00504073">
            <w:pPr>
              <w:rPr>
                <w:rFonts w:ascii="Arial" w:eastAsia="Arial" w:hAnsi="Arial" w:cs="Arial"/>
                <w:color w:val="000000"/>
              </w:rPr>
            </w:pPr>
            <w:r>
              <w:rPr>
                <w:rFonts w:ascii="Arial" w:eastAsia="Arial" w:hAnsi="Arial" w:cs="Arial"/>
                <w:color w:val="000000"/>
              </w:rPr>
              <w:t>z zahtevkom ni b</w:t>
            </w:r>
            <w:r>
              <w:rPr>
                <w:rFonts w:ascii="Arial" w:eastAsia="Arial" w:hAnsi="Arial" w:cs="Arial"/>
                <w:color w:val="000000"/>
              </w:rPr>
              <w:t xml:space="preserve">ila prisotna od 1. septembra do najmanj 30. oktobra tekočega leta. </w:t>
            </w:r>
          </w:p>
        </w:tc>
        <w:tc>
          <w:tcPr>
            <w:tcW w:w="280"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2C1FE5" w:rsidRDefault="00504073">
            <w:pPr>
              <w:jc w:val="center"/>
              <w:rPr>
                <w:rFonts w:ascii="Arial" w:eastAsia="Arial" w:hAnsi="Arial" w:cs="Arial"/>
                <w:color w:val="000000"/>
              </w:rPr>
            </w:pPr>
            <w:r>
              <w:rPr>
                <w:rFonts w:ascii="Arial" w:eastAsia="Arial" w:hAnsi="Arial" w:cs="Arial"/>
                <w:color w:val="000000"/>
              </w:rPr>
              <w:t xml:space="preserve">II </w:t>
            </w:r>
          </w:p>
        </w:tc>
      </w:tr>
    </w:tbl>
    <w:p w:rsidR="002C1FE5" w:rsidRDefault="00504073">
      <w:pPr>
        <w:pStyle w:val="rocnivnos"/>
        <w:spacing w:before="210" w:after="210"/>
        <w:rPr>
          <w:rFonts w:ascii="Arial" w:eastAsia="Arial" w:hAnsi="Arial" w:cs="Arial"/>
          <w:sz w:val="21"/>
          <w:szCs w:val="21"/>
        </w:rPr>
      </w:pPr>
      <w:r>
        <w:rPr>
          <w:rFonts w:ascii="Arial" w:eastAsia="Arial" w:hAnsi="Arial" w:cs="Arial"/>
          <w:sz w:val="21"/>
          <w:szCs w:val="21"/>
        </w:rPr>
        <w:t>                                                                                                                                                                                       </w:t>
      </w:r>
      <w:r>
        <w:rPr>
          <w:rFonts w:ascii="Arial" w:eastAsia="Arial" w:hAnsi="Arial" w:cs="Arial"/>
          <w:sz w:val="21"/>
          <w:szCs w:val="21"/>
        </w:rPr>
        <w:t>                     «.</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Enaindvajseti odstavek se spremeni tako, da se glasi: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»(21) Če je s pregledom na kraju samem iz osmega odstavka 14. člena oziroma osmega odstavka 61. člena te uredbe ugotovljena neveljavnost analiz tal in gnojilnih načrtov, se v tek</w:t>
      </w:r>
      <w:r>
        <w:rPr>
          <w:rFonts w:ascii="Arial" w:eastAsia="Arial" w:hAnsi="Arial" w:cs="Arial"/>
          <w:sz w:val="21"/>
          <w:szCs w:val="21"/>
        </w:rPr>
        <w:t>očem letu plačilo za intervencije KOPOP oziroma intervencijo LOPS zavrne za površino z ugotovljeno kršitvijo.«.</w:t>
      </w:r>
    </w:p>
    <w:p w:rsidR="002C1FE5" w:rsidRDefault="00504073">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PREHODNA IN KONČNA DOLOČBA</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39. člen</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(prilagoditev obveznosti)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V letu 2025 se upravičencem, ki so petletne obveznosti za izvajanje operacij </w:t>
      </w:r>
      <w:r>
        <w:rPr>
          <w:rFonts w:ascii="Arial" w:eastAsia="Arial" w:hAnsi="Arial" w:cs="Arial"/>
          <w:sz w:val="21"/>
          <w:szCs w:val="21"/>
        </w:rPr>
        <w:t>VOD, KOL_1, PGS in SOR prevzeli na podlagi Uredbe o plačilih za okoljske in podnebne obveznosti, naravne ali druge omejitve ter Natura 2000 iz strateškega načrta skupne kmetijske politike 2023–2027 (Uradni list RS, št. 34/23, 107/23 in 124/23) oziroma na p</w:t>
      </w:r>
      <w:r>
        <w:rPr>
          <w:rFonts w:ascii="Arial" w:eastAsia="Arial" w:hAnsi="Arial" w:cs="Arial"/>
          <w:sz w:val="21"/>
          <w:szCs w:val="21"/>
        </w:rPr>
        <w:t>odlagi Uredbe o plačilih za okoljske in podnebne obveznosti ter naravne ali druge omejitve iz strateškega načrta skupne kmetijske politike 2023–2027 (Uradni list RS, št. 30/24 in 78/24), te obveznosti za preostali čas trajanja obveznosti prilagodijo v skla</w:t>
      </w:r>
      <w:r>
        <w:rPr>
          <w:rFonts w:ascii="Arial" w:eastAsia="Arial" w:hAnsi="Arial" w:cs="Arial"/>
          <w:sz w:val="21"/>
          <w:szCs w:val="21"/>
        </w:rPr>
        <w:t>du s četrtim odstavkom 12. člena uredbe, tretjim odstavkom 59. člena uredbe in s petim odstavkom 1. oddelka II. poglavja Priloge 2 uredbe.</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Če se upravičenci s prilagoditvijo iz prejšnjega odstavka ne strinjajo, lahko v letu 2025 odstopijo od izvajanja </w:t>
      </w:r>
      <w:r>
        <w:rPr>
          <w:rFonts w:ascii="Arial" w:eastAsia="Arial" w:hAnsi="Arial" w:cs="Arial"/>
          <w:sz w:val="21"/>
          <w:szCs w:val="21"/>
        </w:rPr>
        <w:t>obveznosti za operacije VOD, KOL_1, PGS, SENENA oziroma SOR, prevzetih v letu 2023 na podlagi Uredbe o plačilih za okoljske in podnebne obveznosti, naravne ali druge omejitve ter Natura 2000 iz strateškega načrta skupne kmetijske politike 2023–2027 (Uradni</w:t>
      </w:r>
      <w:r>
        <w:rPr>
          <w:rFonts w:ascii="Arial" w:eastAsia="Arial" w:hAnsi="Arial" w:cs="Arial"/>
          <w:sz w:val="21"/>
          <w:szCs w:val="21"/>
        </w:rPr>
        <w:t xml:space="preserve"> list RS, št. 34/23, 107/23 in 124/23) oziroma v letu 2024 na podlagi Uredbe o plačilih za okoljske in podnebne obveznosti ter naravne ali druge omejitve iz strateškega načrta skupne kmetijske politike 2023–2027 (Uradni list RS, št. 30/24 in 78/24).</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(3) Up</w:t>
      </w:r>
      <w:r>
        <w:rPr>
          <w:rFonts w:ascii="Arial" w:eastAsia="Arial" w:hAnsi="Arial" w:cs="Arial"/>
          <w:sz w:val="21"/>
          <w:szCs w:val="21"/>
        </w:rPr>
        <w:t>ravičenci, ki v letu 2025 odstopijo od izvajanja posamezne operacije iz prejšnjega odstavka, morajo izstopiti z vsemi površinami, za katere so za posamezno operacijo prevzeli obveznost v letu 2023 ali 2024.</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40. člen</w:t>
      </w:r>
    </w:p>
    <w:p w:rsidR="002C1FE5" w:rsidRDefault="00504073">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(začetek veljavnosti)</w:t>
      </w:r>
    </w:p>
    <w:p w:rsidR="002C1FE5" w:rsidRDefault="00504073">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Ta uredba začne ve</w:t>
      </w:r>
      <w:r>
        <w:rPr>
          <w:rFonts w:ascii="Arial" w:eastAsia="Arial" w:hAnsi="Arial" w:cs="Arial"/>
          <w:sz w:val="21"/>
          <w:szCs w:val="21"/>
        </w:rPr>
        <w:t>ljati naslednji dan po objavi v Uradnem listu Republike Slovenije.</w:t>
      </w:r>
    </w:p>
    <w:p w:rsidR="002C1FE5" w:rsidRDefault="00504073">
      <w:pPr>
        <w:pStyle w:val="evidencnastevilka"/>
        <w:spacing w:before="480" w:after="210"/>
        <w:rPr>
          <w:rFonts w:ascii="Arial" w:eastAsia="Arial" w:hAnsi="Arial" w:cs="Arial"/>
          <w:sz w:val="21"/>
          <w:szCs w:val="21"/>
        </w:rPr>
      </w:pPr>
      <w:r>
        <w:rPr>
          <w:rFonts w:ascii="Arial" w:eastAsia="Arial" w:hAnsi="Arial" w:cs="Arial"/>
          <w:sz w:val="21"/>
          <w:szCs w:val="21"/>
        </w:rPr>
        <w:t>Št. 00704-415/2024</w:t>
      </w:r>
    </w:p>
    <w:p w:rsidR="002C1FE5" w:rsidRDefault="00504073">
      <w:pPr>
        <w:pStyle w:val="krajdatumsprejetja"/>
        <w:spacing w:before="480" w:after="210"/>
        <w:rPr>
          <w:rFonts w:ascii="Arial" w:eastAsia="Arial" w:hAnsi="Arial" w:cs="Arial"/>
          <w:sz w:val="21"/>
          <w:szCs w:val="21"/>
        </w:rPr>
      </w:pPr>
      <w:r>
        <w:rPr>
          <w:rFonts w:ascii="Arial" w:eastAsia="Arial" w:hAnsi="Arial" w:cs="Arial"/>
          <w:sz w:val="21"/>
          <w:szCs w:val="21"/>
        </w:rPr>
        <w:t>Ljubljana, dne 9. januarja 2025</w:t>
      </w:r>
    </w:p>
    <w:p w:rsidR="002C1FE5" w:rsidRDefault="00504073">
      <w:pPr>
        <w:pStyle w:val="evidencnastevilka"/>
        <w:spacing w:before="480" w:after="210"/>
        <w:rPr>
          <w:rFonts w:ascii="Arial" w:eastAsia="Arial" w:hAnsi="Arial" w:cs="Arial"/>
          <w:sz w:val="21"/>
          <w:szCs w:val="21"/>
        </w:rPr>
      </w:pPr>
      <w:r>
        <w:rPr>
          <w:rFonts w:ascii="Arial" w:eastAsia="Arial" w:hAnsi="Arial" w:cs="Arial"/>
          <w:sz w:val="21"/>
          <w:szCs w:val="21"/>
        </w:rPr>
        <w:t>EVA 2024-2330-0160</w:t>
      </w:r>
    </w:p>
    <w:p w:rsidR="002C1FE5" w:rsidRDefault="00504073">
      <w:pPr>
        <w:pStyle w:val="podpisnik"/>
        <w:spacing w:before="480" w:after="210"/>
        <w:ind w:left="5669"/>
        <w:rPr>
          <w:rFonts w:ascii="Arial" w:eastAsia="Arial" w:hAnsi="Arial" w:cs="Arial"/>
          <w:sz w:val="21"/>
          <w:szCs w:val="21"/>
        </w:rPr>
      </w:pPr>
      <w:r>
        <w:rPr>
          <w:rFonts w:ascii="Arial" w:eastAsia="Arial" w:hAnsi="Arial" w:cs="Arial"/>
          <w:sz w:val="21"/>
          <w:szCs w:val="21"/>
        </w:rPr>
        <w:t xml:space="preserve">Vlada Republike Slovenije </w:t>
      </w:r>
    </w:p>
    <w:p w:rsidR="002C1FE5" w:rsidRDefault="00504073">
      <w:pPr>
        <w:rPr>
          <w:rFonts w:ascii="Arial" w:eastAsia="Arial" w:hAnsi="Arial" w:cs="Arial"/>
        </w:rPr>
      </w:pPr>
      <w:r>
        <w:rPr>
          <w:rFonts w:ascii="Arial" w:eastAsia="Arial" w:hAnsi="Arial" w:cs="Arial"/>
        </w:rPr>
        <w:t xml:space="preserve">dr. Robert Golob </w:t>
      </w:r>
    </w:p>
    <w:p w:rsidR="002C1FE5" w:rsidRDefault="00504073">
      <w:pPr>
        <w:rPr>
          <w:rFonts w:ascii="Arial" w:eastAsia="Arial" w:hAnsi="Arial" w:cs="Arial"/>
        </w:rPr>
      </w:pPr>
      <w:r>
        <w:rPr>
          <w:rFonts w:ascii="Arial" w:eastAsia="Arial" w:hAnsi="Arial" w:cs="Arial"/>
        </w:rPr>
        <w:t xml:space="preserve">predsednik </w:t>
      </w:r>
    </w:p>
    <w:p w:rsidR="002C1FE5" w:rsidRDefault="00504073">
      <w:pPr>
        <w:pStyle w:val="priloga"/>
        <w:spacing w:before="210" w:after="210"/>
        <w:rPr>
          <w:rFonts w:ascii="Arial" w:eastAsia="Arial" w:hAnsi="Arial" w:cs="Arial"/>
          <w:sz w:val="21"/>
          <w:szCs w:val="21"/>
        </w:rPr>
      </w:pPr>
      <w:hyperlink r:id="rId19" w:history="1">
        <w:r>
          <w:rPr>
            <w:rFonts w:ascii="Arial" w:eastAsia="Arial" w:hAnsi="Arial" w:cs="Arial"/>
            <w:color w:val="0000EE"/>
            <w:sz w:val="21"/>
            <w:szCs w:val="21"/>
            <w:u w:val="single" w:color="0000EE"/>
          </w:rPr>
          <w:t>Priloga</w:t>
        </w:r>
      </w:hyperlink>
    </w:p>
    <w:p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C1FE5"/>
    <w:rsid w:val="00504073"/>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8B248F-7F1A-477E-BDD3-90CB7047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ainText">
    <w:name w:val="mainText"/>
    <w:basedOn w:val="Navaden"/>
  </w:style>
  <w:style w:type="paragraph" w:customStyle="1" w:styleId="zamik">
    <w:name w:val="zamik"/>
    <w:basedOn w:val="Navaden"/>
    <w:pPr>
      <w:ind w:firstLine="1021"/>
    </w:pPr>
  </w:style>
  <w:style w:type="paragraph" w:customStyle="1" w:styleId="center">
    <w:name w:val="center"/>
    <w:basedOn w:val="Navaden"/>
    <w:pPr>
      <w:jc w:val="center"/>
    </w:pPr>
  </w:style>
  <w:style w:type="paragraph" w:customStyle="1" w:styleId="crkovnatockazastevilcnotocko">
    <w:name w:val="crkovna_tocka_za_stevilcno_tocko"/>
    <w:basedOn w:val="Navaden"/>
    <w:pPr>
      <w:ind w:hanging="356"/>
      <w:jc w:val="both"/>
    </w:pPr>
  </w:style>
  <w:style w:type="paragraph" w:customStyle="1" w:styleId="rocnivnos">
    <w:name w:val="rocni_vnos"/>
    <w:basedOn w:val="Navaden"/>
  </w:style>
  <w:style w:type="paragraph" w:customStyle="1" w:styleId="tabela">
    <w:name w:val="tabela"/>
    <w:basedOn w:val="Navaden"/>
  </w:style>
  <w:style w:type="paragraph" w:customStyle="1" w:styleId="p">
    <w:name w:val="p"/>
    <w:basedOn w:val="Navaden"/>
    <w:rPr>
      <w:sz w:val="21"/>
      <w:szCs w:val="21"/>
    </w:rPr>
  </w:style>
  <w:style w:type="paragraph" w:customStyle="1" w:styleId="evidencnastevilka">
    <w:name w:val="evidencna_stevilka"/>
    <w:basedOn w:val="Navaden"/>
    <w:pPr>
      <w:jc w:val="both"/>
    </w:pPr>
  </w:style>
  <w:style w:type="paragraph" w:customStyle="1" w:styleId="krajdatumsprejetja">
    <w:name w:val="kraj_datum_sprejetja"/>
    <w:basedOn w:val="Navaden"/>
  </w:style>
  <w:style w:type="paragraph" w:customStyle="1" w:styleId="podpisnik">
    <w:name w:val="podpisnik"/>
    <w:basedOn w:val="Navaden"/>
    <w:pPr>
      <w:jc w:val="center"/>
    </w:pPr>
  </w:style>
  <w:style w:type="paragraph" w:customStyle="1" w:styleId="priloga">
    <w:name w:val="priloga"/>
    <w:basedOn w:val="Navaden"/>
    <w:pPr>
      <w:pBdr>
        <w:top w:val="none" w:sz="0" w:space="24" w:color="auto"/>
        <w:bottom w:val="none" w:sz="0" w:space="3" w:color="auto"/>
      </w:pBdr>
      <w:spacing w:line="2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ata.europa.eu/eli/reg/2024/1468/oj" TargetMode="External"/><Relationship Id="rId13" Type="http://schemas.openxmlformats.org/officeDocument/2006/relationships/hyperlink" Target="http://data.europa.eu/eli/reg/2021/2115/oj" TargetMode="External"/><Relationship Id="rId18" Type="http://schemas.openxmlformats.org/officeDocument/2006/relationships/hyperlink" Target="http://data.europa.eu/eli/reg/2021/2115/oj"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data.europa.eu/eli/reg/2021/2115/oj" TargetMode="External"/><Relationship Id="rId12" Type="http://schemas.openxmlformats.org/officeDocument/2006/relationships/hyperlink" Target="http://data.europa.eu/eli/reg/2021/2116/oj" TargetMode="External"/><Relationship Id="rId17" Type="http://schemas.openxmlformats.org/officeDocument/2006/relationships/hyperlink" Target="https://eur-lex.europa.eu/legal-content/EN/TXT/?uri=OJ:P:80:029:TOC" TargetMode="External"/><Relationship Id="rId2" Type="http://schemas.openxmlformats.org/officeDocument/2006/relationships/settings" Target="settings.xml"/><Relationship Id="rId16" Type="http://schemas.openxmlformats.org/officeDocument/2006/relationships/hyperlink" Target="http://data.europa.eu/eli/reg/2021/2116/art_44/par_2/oj"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ata.europa.eu/eli/reg_del/2023/813/oj" TargetMode="External"/><Relationship Id="rId11" Type="http://schemas.openxmlformats.org/officeDocument/2006/relationships/hyperlink" Target="http://data.europa.eu/eli/reg_del/2022/1408/oj" TargetMode="External"/><Relationship Id="rId5" Type="http://schemas.openxmlformats.org/officeDocument/2006/relationships/hyperlink" Target="http://data.europa.eu/eli/reg/2018/848/oj" TargetMode="External"/><Relationship Id="rId15" Type="http://schemas.openxmlformats.org/officeDocument/2006/relationships/hyperlink" Target="http://data.europa.eu/eli/reg_impl/2024/2434/oj" TargetMode="External"/><Relationship Id="rId10" Type="http://schemas.openxmlformats.org/officeDocument/2006/relationships/hyperlink" Target="http://data.europa.eu/eli/reg/2021/2116/oj" TargetMode="External"/><Relationship Id="rId19" Type="http://schemas.openxmlformats.org/officeDocument/2006/relationships/hyperlink" Target="https://pisrs.si/api/datoteke/integracije/198139923" TargetMode="External"/><Relationship Id="rId4" Type="http://schemas.openxmlformats.org/officeDocument/2006/relationships/hyperlink" Target="http://data.europa.eu/eli/reg_del/2024/2867/oj" TargetMode="External"/><Relationship Id="rId9" Type="http://schemas.openxmlformats.org/officeDocument/2006/relationships/hyperlink" Target="http://data.europa.eu/eli/reg/2021/2115/oj" TargetMode="External"/><Relationship Id="rId14" Type="http://schemas.openxmlformats.org/officeDocument/2006/relationships/hyperlink" Target="http://data.europa.eu/eli/reg/2013/1308/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5345</Words>
  <Characters>30467</Characters>
  <Application>Microsoft Office Word</Application>
  <DocSecurity>0</DocSecurity>
  <Lines>253</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URED9258 NPB0</vt:lpstr>
      <vt:lpstr/>
    </vt:vector>
  </TitlesOfParts>
  <Company/>
  <LinksUpToDate>false</LinksUpToDate>
  <CharactersWithSpaces>35741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URED9258 NPB0</dc:title>
  <dc:creator>Mojca Bozovičar</dc:creator>
  <cp:lastModifiedBy>Mojca Bozovičar</cp:lastModifiedBy>
  <cp:revision>2</cp:revision>
  <dcterms:created xsi:type="dcterms:W3CDTF">2025-01-14T09:44:00Z</dcterms:created>
  <dcterms:modified xsi:type="dcterms:W3CDTF">2025-01-14T09:44:00Z</dcterms:modified>
</cp:coreProperties>
</file>