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A79D221"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B23D30">
        <w:rPr>
          <w:rFonts w:cs="Arial"/>
          <w:b w:val="0"/>
          <w:sz w:val="20"/>
          <w:szCs w:val="20"/>
        </w:rPr>
        <w:t>47804-</w:t>
      </w:r>
      <w:r w:rsidR="00B23D30">
        <w:rPr>
          <w:rFonts w:cs="Arial"/>
          <w:b w:val="0"/>
          <w:sz w:val="20"/>
          <w:szCs w:val="20"/>
        </w:rPr>
        <w:t>60/2024</w:t>
      </w:r>
    </w:p>
    <w:p w14:paraId="4C019C57" w14:textId="17FBF230"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34481B">
        <w:rPr>
          <w:rFonts w:cs="Arial"/>
          <w:szCs w:val="20"/>
          <w:lang w:eastAsia="sl-SI"/>
        </w:rPr>
        <w:t>1</w:t>
      </w:r>
      <w:r w:rsidR="000B42A2">
        <w:rPr>
          <w:rFonts w:cs="Arial"/>
          <w:szCs w:val="20"/>
          <w:lang w:eastAsia="sl-SI"/>
        </w:rPr>
        <w:t>7</w:t>
      </w:r>
      <w:bookmarkStart w:id="0" w:name="_GoBack"/>
      <w:bookmarkEnd w:id="0"/>
      <w:r w:rsidR="00B23D30">
        <w:rPr>
          <w:rFonts w:cs="Arial"/>
          <w:szCs w:val="20"/>
          <w:lang w:eastAsia="sl-SI"/>
        </w:rPr>
        <w:t>. 1. 202</w:t>
      </w:r>
      <w:r w:rsidR="006366C1">
        <w:rPr>
          <w:rFonts w:cs="Arial"/>
          <w:szCs w:val="20"/>
          <w:lang w:eastAsia="sl-SI"/>
        </w:rPr>
        <w:t>5</w:t>
      </w:r>
      <w:proofErr w:type="gramEnd"/>
    </w:p>
    <w:p w14:paraId="74D79FED" w14:textId="77777777" w:rsidR="00086214" w:rsidRPr="00086214" w:rsidRDefault="00086214" w:rsidP="00086214">
      <w:pPr>
        <w:rPr>
          <w:rFonts w:cs="Arial"/>
          <w:szCs w:val="20"/>
          <w:lang w:eastAsia="sl-SI"/>
        </w:rPr>
      </w:pPr>
    </w:p>
    <w:p w14:paraId="0F1F3DA3" w14:textId="5AE83310"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B23D30">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B23D30">
        <w:rPr>
          <w:rFonts w:ascii="Arial" w:hAnsi="Arial" w:cs="Arial"/>
          <w:sz w:val="20"/>
          <w:lang w:val="sl-SI"/>
        </w:rPr>
        <w:t xml:space="preserve">, </w:t>
      </w:r>
      <w:r w:rsidR="002C73FB">
        <w:rPr>
          <w:rFonts w:ascii="Arial" w:hAnsi="Arial" w:cs="Arial"/>
          <w:sz w:val="20"/>
          <w:lang w:val="sl-SI"/>
        </w:rPr>
        <w:t>79/18</w:t>
      </w:r>
      <w:r w:rsidR="00B23D30">
        <w:rPr>
          <w:rFonts w:ascii="Arial" w:hAnsi="Arial" w:cs="Arial"/>
          <w:sz w:val="20"/>
          <w:lang w:val="sl-SI"/>
        </w:rPr>
        <w:t xml:space="preserve"> </w:t>
      </w:r>
      <w:r w:rsidR="00B23D30" w:rsidRPr="00B23D30">
        <w:rPr>
          <w:rFonts w:ascii="Arial" w:hAnsi="Arial" w:cs="Arial"/>
          <w:sz w:val="20"/>
          <w:lang w:val="sl-SI"/>
        </w:rPr>
        <w:t>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EA1203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B23D30">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30AE1B88"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r w:rsidR="00DE436E">
        <w:rPr>
          <w:rFonts w:ascii="Arial" w:hAnsi="Arial" w:cs="Arial"/>
          <w:b/>
          <w:sz w:val="20"/>
          <w:lang w:val="sl-SI"/>
        </w:rPr>
        <w:t>in drugi pogoji prodaje</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EF56296"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B23D30">
        <w:rPr>
          <w:rFonts w:ascii="Arial" w:hAnsi="Arial" w:cs="Arial"/>
          <w:sz w:val="20"/>
          <w:lang w:val="sl-SI"/>
        </w:rPr>
        <w:t xml:space="preserve">so </w:t>
      </w:r>
      <w:r w:rsidR="00B23D30" w:rsidRPr="00B23D30">
        <w:rPr>
          <w:rFonts w:ascii="Arial" w:hAnsi="Arial" w:cs="Arial"/>
          <w:b/>
          <w:bCs/>
          <w:sz w:val="20"/>
          <w:lang w:val="sl-SI"/>
        </w:rPr>
        <w:t>nepremičnine:</w:t>
      </w:r>
    </w:p>
    <w:p w14:paraId="7EB86D6E" w14:textId="77777777" w:rsidR="000B67A1" w:rsidRPr="000B67A1" w:rsidRDefault="003837A2" w:rsidP="00B23D30">
      <w:pPr>
        <w:pStyle w:val="BodyText"/>
        <w:numPr>
          <w:ilvl w:val="0"/>
          <w:numId w:val="38"/>
        </w:numPr>
        <w:tabs>
          <w:tab w:val="left" w:pos="360"/>
        </w:tabs>
        <w:spacing w:before="0" w:after="0"/>
        <w:rPr>
          <w:rFonts w:ascii="Arial" w:hAnsi="Arial" w:cs="Arial"/>
          <w:sz w:val="20"/>
          <w:lang w:val="sl-SI"/>
        </w:rPr>
      </w:pPr>
      <w:proofErr w:type="spellStart"/>
      <w:proofErr w:type="gramStart"/>
      <w:r w:rsidRPr="000B67A1">
        <w:rPr>
          <w:rFonts w:ascii="Arial" w:hAnsi="Arial" w:cs="Arial"/>
          <w:b/>
          <w:sz w:val="20"/>
          <w:lang w:val="sl-SI"/>
        </w:rPr>
        <w:t>parc</w:t>
      </w:r>
      <w:proofErr w:type="spellEnd"/>
      <w:proofErr w:type="gramEnd"/>
      <w:r w:rsidRPr="000B67A1">
        <w:rPr>
          <w:rFonts w:ascii="Arial" w:hAnsi="Arial" w:cs="Arial"/>
          <w:b/>
          <w:sz w:val="20"/>
          <w:lang w:val="sl-SI"/>
        </w:rPr>
        <w:t xml:space="preserve">. št. </w:t>
      </w:r>
      <w:r w:rsidR="00201432">
        <w:rPr>
          <w:rFonts w:ascii="Arial" w:hAnsi="Arial" w:cs="Arial"/>
          <w:b/>
          <w:sz w:val="20"/>
          <w:lang w:val="sl-SI"/>
        </w:rPr>
        <w:t xml:space="preserve">2106/69 </w:t>
      </w:r>
      <w:proofErr w:type="gramStart"/>
      <w:r w:rsidR="00201432">
        <w:rPr>
          <w:rFonts w:ascii="Arial" w:hAnsi="Arial" w:cs="Arial"/>
          <w:b/>
          <w:sz w:val="20"/>
          <w:lang w:val="sl-SI"/>
        </w:rPr>
        <w:t>k.</w:t>
      </w:r>
      <w:proofErr w:type="gramEnd"/>
      <w:r w:rsidR="00201432">
        <w:rPr>
          <w:rFonts w:ascii="Arial" w:hAnsi="Arial" w:cs="Arial"/>
          <w:b/>
          <w:sz w:val="20"/>
          <w:lang w:val="sl-SI"/>
        </w:rPr>
        <w:t>o. 1737 Tabor s površino</w:t>
      </w:r>
      <w:r w:rsidR="000B67A1">
        <w:rPr>
          <w:rFonts w:ascii="Arial" w:hAnsi="Arial" w:cs="Arial"/>
          <w:b/>
          <w:sz w:val="20"/>
          <w:lang w:val="sl-SI"/>
        </w:rPr>
        <w:t xml:space="preserve"> 530 m</w:t>
      </w:r>
      <w:r w:rsidR="000B67A1">
        <w:rPr>
          <w:rFonts w:ascii="Arial" w:hAnsi="Arial" w:cs="Arial"/>
          <w:b/>
          <w:sz w:val="20"/>
          <w:vertAlign w:val="superscript"/>
          <w:lang w:val="sl-SI"/>
        </w:rPr>
        <w:t>2</w:t>
      </w:r>
      <w:r w:rsidR="000B67A1">
        <w:rPr>
          <w:rFonts w:ascii="Arial" w:hAnsi="Arial" w:cs="Arial"/>
          <w:b/>
          <w:sz w:val="20"/>
          <w:lang w:val="sl-SI"/>
        </w:rPr>
        <w:t>,</w:t>
      </w:r>
    </w:p>
    <w:p w14:paraId="3F25EC4A" w14:textId="2C532333" w:rsidR="000B67A1" w:rsidRPr="000B67A1" w:rsidRDefault="000B67A1" w:rsidP="000B67A1">
      <w:pPr>
        <w:pStyle w:val="BodyText"/>
        <w:numPr>
          <w:ilvl w:val="0"/>
          <w:numId w:val="38"/>
        </w:numPr>
        <w:tabs>
          <w:tab w:val="left" w:pos="360"/>
        </w:tabs>
        <w:spacing w:before="0" w:after="0"/>
        <w:rPr>
          <w:rFonts w:ascii="Arial" w:hAnsi="Arial" w:cs="Arial"/>
          <w:b/>
          <w:sz w:val="20"/>
          <w:lang w:val="sl-SI"/>
        </w:rPr>
      </w:pPr>
      <w:proofErr w:type="spellStart"/>
      <w:proofErr w:type="gramStart"/>
      <w:r w:rsidRPr="000B67A1">
        <w:rPr>
          <w:rFonts w:ascii="Arial" w:hAnsi="Arial" w:cs="Arial"/>
          <w:b/>
          <w:sz w:val="20"/>
          <w:lang w:val="sl-SI"/>
        </w:rPr>
        <w:t>parc</w:t>
      </w:r>
      <w:proofErr w:type="spellEnd"/>
      <w:proofErr w:type="gramEnd"/>
      <w:r w:rsidRPr="000B67A1">
        <w:rPr>
          <w:rFonts w:ascii="Arial" w:hAnsi="Arial" w:cs="Arial"/>
          <w:b/>
          <w:sz w:val="20"/>
          <w:lang w:val="sl-SI"/>
        </w:rPr>
        <w:t xml:space="preserve">. št. </w:t>
      </w:r>
      <w:r w:rsidR="009901D9">
        <w:rPr>
          <w:rFonts w:ascii="Arial" w:hAnsi="Arial" w:cs="Arial"/>
          <w:b/>
          <w:sz w:val="20"/>
          <w:lang w:val="sl-SI"/>
        </w:rPr>
        <w:t>2139</w:t>
      </w:r>
      <w:r w:rsidRPr="000B67A1">
        <w:rPr>
          <w:rFonts w:ascii="Arial" w:hAnsi="Arial" w:cs="Arial"/>
          <w:b/>
          <w:sz w:val="20"/>
          <w:lang w:val="sl-SI"/>
        </w:rPr>
        <w:t>/</w:t>
      </w:r>
      <w:r w:rsidR="009901D9">
        <w:rPr>
          <w:rFonts w:ascii="Arial" w:hAnsi="Arial" w:cs="Arial"/>
          <w:b/>
          <w:sz w:val="20"/>
          <w:lang w:val="sl-SI"/>
        </w:rPr>
        <w:t>1</w:t>
      </w:r>
      <w:r w:rsidRPr="000B67A1">
        <w:rPr>
          <w:rFonts w:ascii="Arial" w:hAnsi="Arial" w:cs="Arial"/>
          <w:b/>
          <w:sz w:val="20"/>
          <w:lang w:val="sl-SI"/>
        </w:rPr>
        <w:t xml:space="preserve"> </w:t>
      </w:r>
      <w:proofErr w:type="gramStart"/>
      <w:r w:rsidRPr="000B67A1">
        <w:rPr>
          <w:rFonts w:ascii="Arial" w:hAnsi="Arial" w:cs="Arial"/>
          <w:b/>
          <w:sz w:val="20"/>
          <w:lang w:val="sl-SI"/>
        </w:rPr>
        <w:t>k.</w:t>
      </w:r>
      <w:proofErr w:type="gramEnd"/>
      <w:r w:rsidRPr="000B67A1">
        <w:rPr>
          <w:rFonts w:ascii="Arial" w:hAnsi="Arial" w:cs="Arial"/>
          <w:b/>
          <w:sz w:val="20"/>
          <w:lang w:val="sl-SI"/>
        </w:rPr>
        <w:t xml:space="preserve">o. 1737 Tabor s površino </w:t>
      </w:r>
      <w:r w:rsidR="009901D9">
        <w:rPr>
          <w:rFonts w:ascii="Arial" w:hAnsi="Arial" w:cs="Arial"/>
          <w:b/>
          <w:sz w:val="20"/>
          <w:lang w:val="sl-SI"/>
        </w:rPr>
        <w:t>263</w:t>
      </w:r>
      <w:r w:rsidRPr="000B67A1">
        <w:rPr>
          <w:rFonts w:ascii="Arial" w:hAnsi="Arial" w:cs="Arial"/>
          <w:b/>
          <w:sz w:val="20"/>
          <w:lang w:val="sl-SI"/>
        </w:rPr>
        <w:t xml:space="preserve"> m</w:t>
      </w:r>
      <w:r w:rsidRPr="000B67A1">
        <w:rPr>
          <w:rFonts w:ascii="Arial" w:hAnsi="Arial" w:cs="Arial"/>
          <w:b/>
          <w:sz w:val="20"/>
          <w:vertAlign w:val="superscript"/>
          <w:lang w:val="sl-SI"/>
        </w:rPr>
        <w:t>2</w:t>
      </w:r>
      <w:r w:rsidRPr="000B67A1">
        <w:rPr>
          <w:rFonts w:ascii="Arial" w:hAnsi="Arial" w:cs="Arial"/>
          <w:b/>
          <w:sz w:val="20"/>
          <w:lang w:val="sl-SI"/>
        </w:rPr>
        <w:t>,</w:t>
      </w:r>
    </w:p>
    <w:p w14:paraId="234678BF" w14:textId="1A9BDB18" w:rsidR="000B67A1" w:rsidRPr="000B67A1" w:rsidRDefault="000B67A1" w:rsidP="000B67A1">
      <w:pPr>
        <w:pStyle w:val="BodyText"/>
        <w:numPr>
          <w:ilvl w:val="0"/>
          <w:numId w:val="38"/>
        </w:numPr>
        <w:tabs>
          <w:tab w:val="left" w:pos="360"/>
        </w:tabs>
        <w:spacing w:before="0" w:after="0"/>
        <w:rPr>
          <w:rFonts w:ascii="Arial" w:hAnsi="Arial" w:cs="Arial"/>
          <w:sz w:val="20"/>
          <w:lang w:val="sl-SI"/>
        </w:rPr>
      </w:pPr>
      <w:proofErr w:type="spellStart"/>
      <w:proofErr w:type="gramStart"/>
      <w:r w:rsidRPr="000B67A1">
        <w:rPr>
          <w:rFonts w:ascii="Arial" w:hAnsi="Arial" w:cs="Arial"/>
          <w:b/>
          <w:sz w:val="20"/>
          <w:lang w:val="sl-SI"/>
        </w:rPr>
        <w:t>parc</w:t>
      </w:r>
      <w:proofErr w:type="spellEnd"/>
      <w:proofErr w:type="gramEnd"/>
      <w:r w:rsidRPr="000B67A1">
        <w:rPr>
          <w:rFonts w:ascii="Arial" w:hAnsi="Arial" w:cs="Arial"/>
          <w:b/>
          <w:sz w:val="20"/>
          <w:lang w:val="sl-SI"/>
        </w:rPr>
        <w:t xml:space="preserve">. št. </w:t>
      </w:r>
      <w:r w:rsidR="009901D9">
        <w:rPr>
          <w:rFonts w:ascii="Arial" w:hAnsi="Arial" w:cs="Arial"/>
          <w:b/>
          <w:sz w:val="20"/>
          <w:lang w:val="sl-SI"/>
        </w:rPr>
        <w:t>2142</w:t>
      </w:r>
      <w:r>
        <w:rPr>
          <w:rFonts w:ascii="Arial" w:hAnsi="Arial" w:cs="Arial"/>
          <w:b/>
          <w:sz w:val="20"/>
          <w:lang w:val="sl-SI"/>
        </w:rPr>
        <w:t>/</w:t>
      </w:r>
      <w:r w:rsidR="009901D9">
        <w:rPr>
          <w:rFonts w:ascii="Arial" w:hAnsi="Arial" w:cs="Arial"/>
          <w:b/>
          <w:sz w:val="20"/>
          <w:lang w:val="sl-SI"/>
        </w:rPr>
        <w:t>2</w:t>
      </w:r>
      <w:r>
        <w:rPr>
          <w:rFonts w:ascii="Arial" w:hAnsi="Arial" w:cs="Arial"/>
          <w:b/>
          <w:sz w:val="20"/>
          <w:lang w:val="sl-SI"/>
        </w:rPr>
        <w:t xml:space="preserve"> </w:t>
      </w:r>
      <w:proofErr w:type="gramStart"/>
      <w:r>
        <w:rPr>
          <w:rFonts w:ascii="Arial" w:hAnsi="Arial" w:cs="Arial"/>
          <w:b/>
          <w:sz w:val="20"/>
          <w:lang w:val="sl-SI"/>
        </w:rPr>
        <w:t>k.</w:t>
      </w:r>
      <w:proofErr w:type="gramEnd"/>
      <w:r>
        <w:rPr>
          <w:rFonts w:ascii="Arial" w:hAnsi="Arial" w:cs="Arial"/>
          <w:b/>
          <w:sz w:val="20"/>
          <w:lang w:val="sl-SI"/>
        </w:rPr>
        <w:t xml:space="preserve">o. 1737 Tabor s površino </w:t>
      </w:r>
      <w:r w:rsidR="009901D9">
        <w:rPr>
          <w:rFonts w:ascii="Arial" w:hAnsi="Arial" w:cs="Arial"/>
          <w:b/>
          <w:sz w:val="20"/>
          <w:lang w:val="sl-SI"/>
        </w:rPr>
        <w:t>119</w:t>
      </w:r>
      <w:r>
        <w:rPr>
          <w:rFonts w:ascii="Arial" w:hAnsi="Arial" w:cs="Arial"/>
          <w:b/>
          <w:sz w:val="20"/>
          <w:lang w:val="sl-SI"/>
        </w:rPr>
        <w:t xml:space="preserve"> m</w:t>
      </w:r>
      <w:r>
        <w:rPr>
          <w:rFonts w:ascii="Arial" w:hAnsi="Arial" w:cs="Arial"/>
          <w:b/>
          <w:sz w:val="20"/>
          <w:vertAlign w:val="superscript"/>
          <w:lang w:val="sl-SI"/>
        </w:rPr>
        <w:t>2</w:t>
      </w:r>
      <w:r>
        <w:rPr>
          <w:rFonts w:ascii="Arial" w:hAnsi="Arial" w:cs="Arial"/>
          <w:b/>
          <w:sz w:val="20"/>
          <w:lang w:val="sl-SI"/>
        </w:rPr>
        <w:t>,</w:t>
      </w:r>
    </w:p>
    <w:p w14:paraId="6192EBFC" w14:textId="383DF47C" w:rsidR="000B67A1" w:rsidRPr="000B67A1" w:rsidRDefault="000B67A1" w:rsidP="000B67A1">
      <w:pPr>
        <w:pStyle w:val="BodyText"/>
        <w:numPr>
          <w:ilvl w:val="0"/>
          <w:numId w:val="38"/>
        </w:numPr>
        <w:tabs>
          <w:tab w:val="left" w:pos="360"/>
        </w:tabs>
        <w:spacing w:before="0" w:after="0"/>
        <w:rPr>
          <w:rFonts w:ascii="Arial" w:hAnsi="Arial" w:cs="Arial"/>
          <w:sz w:val="20"/>
          <w:lang w:val="sl-SI"/>
        </w:rPr>
      </w:pPr>
      <w:proofErr w:type="spellStart"/>
      <w:proofErr w:type="gramStart"/>
      <w:r w:rsidRPr="000B67A1">
        <w:rPr>
          <w:rFonts w:ascii="Arial" w:hAnsi="Arial" w:cs="Arial"/>
          <w:b/>
          <w:sz w:val="20"/>
          <w:lang w:val="sl-SI"/>
        </w:rPr>
        <w:t>parc</w:t>
      </w:r>
      <w:proofErr w:type="spellEnd"/>
      <w:proofErr w:type="gramEnd"/>
      <w:r w:rsidRPr="000B67A1">
        <w:rPr>
          <w:rFonts w:ascii="Arial" w:hAnsi="Arial" w:cs="Arial"/>
          <w:b/>
          <w:sz w:val="20"/>
          <w:lang w:val="sl-SI"/>
        </w:rPr>
        <w:t xml:space="preserve">. št. </w:t>
      </w:r>
      <w:r w:rsidR="009901D9">
        <w:rPr>
          <w:rFonts w:ascii="Arial" w:hAnsi="Arial" w:cs="Arial"/>
          <w:b/>
          <w:sz w:val="20"/>
          <w:lang w:val="sl-SI"/>
        </w:rPr>
        <w:t>2143/2</w:t>
      </w:r>
      <w:r>
        <w:rPr>
          <w:rFonts w:ascii="Arial" w:hAnsi="Arial" w:cs="Arial"/>
          <w:b/>
          <w:sz w:val="20"/>
          <w:lang w:val="sl-SI"/>
        </w:rPr>
        <w:t xml:space="preserve"> </w:t>
      </w:r>
      <w:proofErr w:type="gramStart"/>
      <w:r>
        <w:rPr>
          <w:rFonts w:ascii="Arial" w:hAnsi="Arial" w:cs="Arial"/>
          <w:b/>
          <w:sz w:val="20"/>
          <w:lang w:val="sl-SI"/>
        </w:rPr>
        <w:t>k.</w:t>
      </w:r>
      <w:proofErr w:type="gramEnd"/>
      <w:r>
        <w:rPr>
          <w:rFonts w:ascii="Arial" w:hAnsi="Arial" w:cs="Arial"/>
          <w:b/>
          <w:sz w:val="20"/>
          <w:lang w:val="sl-SI"/>
        </w:rPr>
        <w:t xml:space="preserve">o. 1737 Tabor s površino </w:t>
      </w:r>
      <w:r w:rsidR="009901D9">
        <w:rPr>
          <w:rFonts w:ascii="Arial" w:hAnsi="Arial" w:cs="Arial"/>
          <w:b/>
          <w:sz w:val="20"/>
          <w:lang w:val="sl-SI"/>
        </w:rPr>
        <w:t>448</w:t>
      </w:r>
      <w:r>
        <w:rPr>
          <w:rFonts w:ascii="Arial" w:hAnsi="Arial" w:cs="Arial"/>
          <w:b/>
          <w:sz w:val="20"/>
          <w:lang w:val="sl-SI"/>
        </w:rPr>
        <w:t xml:space="preserve"> m</w:t>
      </w:r>
      <w:r>
        <w:rPr>
          <w:rFonts w:ascii="Arial" w:hAnsi="Arial" w:cs="Arial"/>
          <w:b/>
          <w:sz w:val="20"/>
          <w:vertAlign w:val="superscript"/>
          <w:lang w:val="sl-SI"/>
        </w:rPr>
        <w:t>2</w:t>
      </w:r>
      <w:r>
        <w:rPr>
          <w:rFonts w:ascii="Arial" w:hAnsi="Arial" w:cs="Arial"/>
          <w:b/>
          <w:sz w:val="20"/>
          <w:lang w:val="sl-SI"/>
        </w:rPr>
        <w:t>,</w:t>
      </w:r>
    </w:p>
    <w:p w14:paraId="5C741004" w14:textId="713B0FAB" w:rsidR="000B67A1" w:rsidRPr="000B67A1" w:rsidRDefault="000B67A1" w:rsidP="000B67A1">
      <w:pPr>
        <w:pStyle w:val="BodyText"/>
        <w:numPr>
          <w:ilvl w:val="0"/>
          <w:numId w:val="38"/>
        </w:numPr>
        <w:tabs>
          <w:tab w:val="left" w:pos="360"/>
        </w:tabs>
        <w:spacing w:before="0" w:after="0"/>
        <w:rPr>
          <w:rFonts w:ascii="Arial" w:hAnsi="Arial" w:cs="Arial"/>
          <w:sz w:val="20"/>
          <w:lang w:val="sl-SI"/>
        </w:rPr>
      </w:pPr>
      <w:proofErr w:type="spellStart"/>
      <w:proofErr w:type="gramStart"/>
      <w:r w:rsidRPr="000B67A1">
        <w:rPr>
          <w:rFonts w:ascii="Arial" w:hAnsi="Arial" w:cs="Arial"/>
          <w:b/>
          <w:sz w:val="20"/>
          <w:lang w:val="sl-SI"/>
        </w:rPr>
        <w:t>parc</w:t>
      </w:r>
      <w:proofErr w:type="spellEnd"/>
      <w:proofErr w:type="gramEnd"/>
      <w:r w:rsidRPr="000B67A1">
        <w:rPr>
          <w:rFonts w:ascii="Arial" w:hAnsi="Arial" w:cs="Arial"/>
          <w:b/>
          <w:sz w:val="20"/>
          <w:lang w:val="sl-SI"/>
        </w:rPr>
        <w:t xml:space="preserve">. št. </w:t>
      </w:r>
      <w:r w:rsidR="009901D9">
        <w:rPr>
          <w:rFonts w:ascii="Arial" w:hAnsi="Arial" w:cs="Arial"/>
          <w:b/>
          <w:sz w:val="20"/>
          <w:lang w:val="sl-SI"/>
        </w:rPr>
        <w:t>2141/1</w:t>
      </w:r>
      <w:r>
        <w:rPr>
          <w:rFonts w:ascii="Arial" w:hAnsi="Arial" w:cs="Arial"/>
          <w:b/>
          <w:sz w:val="20"/>
          <w:lang w:val="sl-SI"/>
        </w:rPr>
        <w:t xml:space="preserve"> </w:t>
      </w:r>
      <w:proofErr w:type="gramStart"/>
      <w:r>
        <w:rPr>
          <w:rFonts w:ascii="Arial" w:hAnsi="Arial" w:cs="Arial"/>
          <w:b/>
          <w:sz w:val="20"/>
          <w:lang w:val="sl-SI"/>
        </w:rPr>
        <w:t>k.</w:t>
      </w:r>
      <w:proofErr w:type="gramEnd"/>
      <w:r>
        <w:rPr>
          <w:rFonts w:ascii="Arial" w:hAnsi="Arial" w:cs="Arial"/>
          <w:b/>
          <w:sz w:val="20"/>
          <w:lang w:val="sl-SI"/>
        </w:rPr>
        <w:t xml:space="preserve">o. 1737 Tabor s površino </w:t>
      </w:r>
      <w:r w:rsidR="009901D9">
        <w:rPr>
          <w:rFonts w:ascii="Arial" w:hAnsi="Arial" w:cs="Arial"/>
          <w:b/>
          <w:sz w:val="20"/>
          <w:lang w:val="sl-SI"/>
        </w:rPr>
        <w:t>62</w:t>
      </w:r>
      <w:r>
        <w:rPr>
          <w:rFonts w:ascii="Arial" w:hAnsi="Arial" w:cs="Arial"/>
          <w:b/>
          <w:sz w:val="20"/>
          <w:lang w:val="sl-SI"/>
        </w:rPr>
        <w:t xml:space="preserve"> m</w:t>
      </w:r>
      <w:r>
        <w:rPr>
          <w:rFonts w:ascii="Arial" w:hAnsi="Arial" w:cs="Arial"/>
          <w:b/>
          <w:sz w:val="20"/>
          <w:vertAlign w:val="superscript"/>
          <w:lang w:val="sl-SI"/>
        </w:rPr>
        <w:t>2</w:t>
      </w:r>
      <w:r>
        <w:rPr>
          <w:rFonts w:ascii="Arial" w:hAnsi="Arial" w:cs="Arial"/>
          <w:b/>
          <w:sz w:val="20"/>
          <w:lang w:val="sl-SI"/>
        </w:rPr>
        <w:t>,</w:t>
      </w:r>
    </w:p>
    <w:p w14:paraId="43F73B8C" w14:textId="3AEE213C" w:rsidR="0060282E" w:rsidRPr="000B67A1" w:rsidRDefault="000B67A1" w:rsidP="000B67A1">
      <w:pPr>
        <w:pStyle w:val="BodyText"/>
        <w:numPr>
          <w:ilvl w:val="0"/>
          <w:numId w:val="38"/>
        </w:numPr>
        <w:tabs>
          <w:tab w:val="left" w:pos="360"/>
        </w:tabs>
        <w:spacing w:before="0" w:after="0"/>
        <w:rPr>
          <w:rFonts w:ascii="Arial" w:hAnsi="Arial" w:cs="Arial"/>
          <w:sz w:val="20"/>
          <w:lang w:val="sl-SI"/>
        </w:rPr>
      </w:pPr>
      <w:proofErr w:type="spellStart"/>
      <w:proofErr w:type="gramStart"/>
      <w:r w:rsidRPr="000B67A1">
        <w:rPr>
          <w:rFonts w:ascii="Arial" w:hAnsi="Arial" w:cs="Arial"/>
          <w:b/>
          <w:sz w:val="20"/>
          <w:lang w:val="sl-SI"/>
        </w:rPr>
        <w:t>parc</w:t>
      </w:r>
      <w:proofErr w:type="spellEnd"/>
      <w:proofErr w:type="gramEnd"/>
      <w:r w:rsidRPr="000B67A1">
        <w:rPr>
          <w:rFonts w:ascii="Arial" w:hAnsi="Arial" w:cs="Arial"/>
          <w:b/>
          <w:sz w:val="20"/>
          <w:lang w:val="sl-SI"/>
        </w:rPr>
        <w:t xml:space="preserve">. št. </w:t>
      </w:r>
      <w:r w:rsidR="009901D9">
        <w:rPr>
          <w:rFonts w:ascii="Arial" w:hAnsi="Arial" w:cs="Arial"/>
          <w:b/>
          <w:sz w:val="20"/>
          <w:lang w:val="sl-SI"/>
        </w:rPr>
        <w:t>2150/14</w:t>
      </w:r>
      <w:r>
        <w:rPr>
          <w:rFonts w:ascii="Arial" w:hAnsi="Arial" w:cs="Arial"/>
          <w:b/>
          <w:sz w:val="20"/>
          <w:lang w:val="sl-SI"/>
        </w:rPr>
        <w:t xml:space="preserve"> </w:t>
      </w:r>
      <w:proofErr w:type="gramStart"/>
      <w:r>
        <w:rPr>
          <w:rFonts w:ascii="Arial" w:hAnsi="Arial" w:cs="Arial"/>
          <w:b/>
          <w:sz w:val="20"/>
          <w:lang w:val="sl-SI"/>
        </w:rPr>
        <w:t>k.</w:t>
      </w:r>
      <w:proofErr w:type="gramEnd"/>
      <w:r>
        <w:rPr>
          <w:rFonts w:ascii="Arial" w:hAnsi="Arial" w:cs="Arial"/>
          <w:b/>
          <w:sz w:val="20"/>
          <w:lang w:val="sl-SI"/>
        </w:rPr>
        <w:t xml:space="preserve">o. 1737 Tabor s površino </w:t>
      </w:r>
      <w:r w:rsidR="009901D9">
        <w:rPr>
          <w:rFonts w:ascii="Arial" w:hAnsi="Arial" w:cs="Arial"/>
          <w:b/>
          <w:sz w:val="20"/>
          <w:lang w:val="sl-SI"/>
        </w:rPr>
        <w:t>59</w:t>
      </w:r>
      <w:r>
        <w:rPr>
          <w:rFonts w:ascii="Arial" w:hAnsi="Arial" w:cs="Arial"/>
          <w:b/>
          <w:sz w:val="20"/>
          <w:lang w:val="sl-SI"/>
        </w:rPr>
        <w:t xml:space="preserve"> m</w:t>
      </w:r>
      <w:r>
        <w:rPr>
          <w:rFonts w:ascii="Arial" w:hAnsi="Arial" w:cs="Arial"/>
          <w:b/>
          <w:sz w:val="20"/>
          <w:vertAlign w:val="superscript"/>
          <w:lang w:val="sl-SI"/>
        </w:rPr>
        <w:t>2</w:t>
      </w:r>
      <w:r>
        <w:rPr>
          <w:rFonts w:ascii="Arial" w:hAnsi="Arial" w:cs="Arial"/>
          <w:b/>
          <w:sz w:val="20"/>
          <w:lang w:val="sl-SI"/>
        </w:rPr>
        <w:t>,</w:t>
      </w:r>
    </w:p>
    <w:p w14:paraId="5321C054" w14:textId="177357CB" w:rsidR="008A5859" w:rsidRDefault="0060282E" w:rsidP="000B67A1">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000B67A1">
        <w:rPr>
          <w:rFonts w:ascii="Arial" w:hAnsi="Arial" w:cs="Arial"/>
          <w:sz w:val="20"/>
        </w:rPr>
        <w:t>skupaj</w:t>
      </w:r>
      <w:proofErr w:type="spellEnd"/>
      <w:r w:rsidR="000B67A1">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01432">
        <w:rPr>
          <w:rFonts w:ascii="Arial" w:hAnsi="Arial" w:cs="Arial"/>
          <w:sz w:val="20"/>
          <w:lang w:val="sl-SI"/>
        </w:rPr>
        <w:t>jo</w:t>
      </w:r>
      <w:r w:rsidR="002A5F13" w:rsidRPr="0060282E">
        <w:rPr>
          <w:rFonts w:ascii="Arial" w:hAnsi="Arial" w:cs="Arial"/>
          <w:sz w:val="20"/>
          <w:lang w:val="sl-SI"/>
        </w:rPr>
        <w:t xml:space="preserve"> </w:t>
      </w:r>
      <w:r w:rsidR="009901D9">
        <w:rPr>
          <w:rFonts w:ascii="Arial" w:hAnsi="Arial" w:cs="Arial"/>
          <w:sz w:val="20"/>
          <w:lang w:val="sl-SI"/>
        </w:rPr>
        <w:t>površino ob objektu železniške postaje v Ljubljani</w:t>
      </w:r>
      <w:r w:rsidR="002A5F13" w:rsidRPr="0060282E">
        <w:rPr>
          <w:rFonts w:ascii="Arial" w:hAnsi="Arial" w:cs="Arial"/>
          <w:sz w:val="20"/>
          <w:lang w:val="sl-SI"/>
        </w:rPr>
        <w:t xml:space="preserve">. </w:t>
      </w:r>
    </w:p>
    <w:p w14:paraId="61F04AF5" w14:textId="77777777" w:rsidR="000B67A1" w:rsidRDefault="000B67A1" w:rsidP="000B67A1">
      <w:pPr>
        <w:pStyle w:val="BodyText"/>
        <w:tabs>
          <w:tab w:val="left" w:pos="360"/>
        </w:tabs>
        <w:spacing w:before="0" w:after="0"/>
        <w:rPr>
          <w:rFonts w:ascii="Arial" w:hAnsi="Arial" w:cs="Arial"/>
          <w:sz w:val="20"/>
          <w:lang w:val="sl-SI"/>
        </w:rPr>
      </w:pPr>
    </w:p>
    <w:p w14:paraId="5D5E51A9" w14:textId="769F6A4A" w:rsidR="000B67A1" w:rsidRPr="0060282E" w:rsidRDefault="000B67A1" w:rsidP="000B67A1">
      <w:pPr>
        <w:pStyle w:val="BodyText"/>
        <w:tabs>
          <w:tab w:val="left" w:pos="360"/>
        </w:tabs>
        <w:spacing w:before="0" w:after="0"/>
        <w:rPr>
          <w:rFonts w:ascii="Arial" w:hAnsi="Arial" w:cs="Arial"/>
          <w:sz w:val="20"/>
          <w:lang w:val="sl-SI"/>
        </w:rPr>
      </w:pPr>
      <w:r>
        <w:rPr>
          <w:rFonts w:ascii="Arial" w:hAnsi="Arial" w:cs="Arial"/>
          <w:sz w:val="20"/>
          <w:lang w:val="sl-SI"/>
        </w:rPr>
        <w:t>Nepremičnine se prodajajo kot celota.</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5BC48927"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6F6EAB">
        <w:rPr>
          <w:rFonts w:ascii="Arial" w:hAnsi="Arial" w:cs="Arial"/>
          <w:sz w:val="20"/>
          <w:lang w:val="sl-SI"/>
        </w:rPr>
        <w:t>3515-1992/2024-2-JV</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6F6EAB">
        <w:rPr>
          <w:rFonts w:ascii="Arial" w:hAnsi="Arial" w:cs="Arial"/>
          <w:sz w:val="20"/>
          <w:lang w:val="sl-SI"/>
        </w:rPr>
        <w:t>2. 9. 2024</w:t>
      </w:r>
      <w:r w:rsidR="00B43A7F" w:rsidRPr="00985928">
        <w:rPr>
          <w:rFonts w:ascii="Arial" w:hAnsi="Arial" w:cs="Arial"/>
          <w:sz w:val="20"/>
          <w:lang w:val="sl-SI"/>
        </w:rPr>
        <w:t xml:space="preserve"> izdala </w:t>
      </w:r>
      <w:r w:rsidR="0060282E" w:rsidRPr="009901D9">
        <w:rPr>
          <w:rFonts w:ascii="Arial" w:hAnsi="Arial" w:cs="Arial"/>
          <w:sz w:val="20"/>
          <w:lang w:val="sl-SI"/>
        </w:rPr>
        <w:t>Mestna občina Ljubljana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proofErr w:type="gramStart"/>
      <w:r w:rsidR="00C31408">
        <w:rPr>
          <w:rFonts w:ascii="Arial" w:hAnsi="Arial" w:cs="Arial"/>
          <w:sz w:val="20"/>
          <w:lang w:val="sl-SI"/>
        </w:rPr>
        <w:t>se</w:t>
      </w:r>
      <w:r w:rsidR="00D10670">
        <w:rPr>
          <w:rFonts w:ascii="Arial" w:hAnsi="Arial" w:cs="Arial"/>
          <w:sz w:val="20"/>
          <w:lang w:val="sl-SI"/>
        </w:rPr>
        <w:t xml:space="preserve"> zemljišč</w:t>
      </w:r>
      <w:r w:rsidR="009901D9">
        <w:rPr>
          <w:rFonts w:ascii="Arial" w:hAnsi="Arial" w:cs="Arial"/>
          <w:sz w:val="20"/>
          <w:lang w:val="sl-SI"/>
        </w:rPr>
        <w:t>a</w:t>
      </w:r>
      <w:r w:rsidR="00DE631D">
        <w:rPr>
          <w:rFonts w:ascii="Arial" w:hAnsi="Arial" w:cs="Arial"/>
          <w:sz w:val="20"/>
          <w:lang w:val="sl-SI"/>
        </w:rPr>
        <w:t xml:space="preserve"> nahaja</w:t>
      </w:r>
      <w:r w:rsidR="009901D9">
        <w:rPr>
          <w:rFonts w:ascii="Arial" w:hAnsi="Arial" w:cs="Arial"/>
          <w:sz w:val="20"/>
          <w:lang w:val="sl-SI"/>
        </w:rPr>
        <w:t>jo</w:t>
      </w:r>
      <w:proofErr w:type="gramEnd"/>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9901D9">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58AE8F27" w:rsidR="001C0E7A" w:rsidRPr="00985928" w:rsidRDefault="00B531D4" w:rsidP="0060282E">
      <w:pPr>
        <w:pStyle w:val="BodyText"/>
        <w:tabs>
          <w:tab w:val="left" w:pos="360"/>
        </w:tabs>
        <w:spacing w:before="0" w:after="0"/>
        <w:rPr>
          <w:rFonts w:ascii="Arial" w:hAnsi="Arial" w:cs="Arial"/>
          <w:sz w:val="20"/>
          <w:lang w:val="sl-SI"/>
        </w:rPr>
      </w:pPr>
      <w:r>
        <w:rPr>
          <w:rFonts w:ascii="Arial" w:hAnsi="Arial" w:cs="Arial"/>
          <w:sz w:val="20"/>
          <w:lang w:val="sl-SI"/>
        </w:rPr>
        <w:t>Obravnavane nepremičnine ležijo</w:t>
      </w:r>
      <w:r w:rsidR="0060282E" w:rsidRPr="0060282E">
        <w:rPr>
          <w:rFonts w:ascii="Arial" w:hAnsi="Arial" w:cs="Arial"/>
          <w:sz w:val="20"/>
          <w:lang w:val="sl-SI"/>
        </w:rPr>
        <w:t xml:space="preserve"> na območju predkupne pravice občine po </w:t>
      </w:r>
      <w:r w:rsidR="0060282E" w:rsidRPr="009901D9">
        <w:rPr>
          <w:rFonts w:ascii="Arial" w:hAnsi="Arial" w:cs="Arial"/>
          <w:sz w:val="20"/>
          <w:lang w:val="sl-SI"/>
        </w:rPr>
        <w:t>Odloku o predkupni pravici Mestne občine Ljubljana.</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7B7382E" w:rsidR="00EE0317" w:rsidRDefault="009F5D52" w:rsidP="008D595C">
      <w:pPr>
        <w:pStyle w:val="BodyText"/>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147E9125" w14:textId="6E528682" w:rsidR="00D17395" w:rsidRDefault="00D17395" w:rsidP="008D595C">
      <w:pPr>
        <w:pStyle w:val="BodyText"/>
        <w:tabs>
          <w:tab w:val="left" w:pos="360"/>
        </w:tabs>
        <w:spacing w:before="0" w:after="0"/>
        <w:rPr>
          <w:rFonts w:ascii="Arial" w:hAnsi="Arial" w:cs="Arial"/>
          <w:sz w:val="20"/>
          <w:lang w:val="sl-SI"/>
        </w:rPr>
      </w:pPr>
    </w:p>
    <w:p w14:paraId="6EFF14AC" w14:textId="5731922E" w:rsidR="00D17395" w:rsidRDefault="00D17395" w:rsidP="008D595C">
      <w:pPr>
        <w:pStyle w:val="BodyText"/>
        <w:tabs>
          <w:tab w:val="left" w:pos="360"/>
        </w:tabs>
        <w:spacing w:before="0" w:after="0"/>
        <w:rPr>
          <w:rFonts w:ascii="Arial" w:hAnsi="Arial" w:cs="Arial"/>
          <w:sz w:val="20"/>
          <w:lang w:val="sl-SI"/>
        </w:rPr>
      </w:pPr>
      <w:r>
        <w:rPr>
          <w:rFonts w:ascii="Arial" w:hAnsi="Arial" w:cs="Arial"/>
          <w:sz w:val="20"/>
          <w:lang w:val="sl-SI"/>
        </w:rPr>
        <w:t>Na nepremičninah so vpisane stvarne služnosti</w:t>
      </w:r>
      <w:r w:rsidR="00FB7BA8">
        <w:rPr>
          <w:rFonts w:ascii="Arial" w:hAnsi="Arial" w:cs="Arial"/>
          <w:sz w:val="20"/>
          <w:lang w:val="sl-SI"/>
        </w:rPr>
        <w:t>.</w:t>
      </w:r>
    </w:p>
    <w:p w14:paraId="4A25C03C" w14:textId="77777777" w:rsidR="00DE436E" w:rsidRDefault="00DE436E" w:rsidP="008D595C">
      <w:pPr>
        <w:pStyle w:val="BodyText"/>
        <w:tabs>
          <w:tab w:val="left" w:pos="360"/>
        </w:tabs>
        <w:spacing w:before="0" w:after="0"/>
        <w:rPr>
          <w:rFonts w:ascii="Arial" w:hAnsi="Arial" w:cs="Arial"/>
          <w:sz w:val="20"/>
          <w:lang w:val="sl-SI"/>
        </w:rPr>
      </w:pPr>
    </w:p>
    <w:p w14:paraId="6009E097" w14:textId="525810A7" w:rsidR="00FB7BA8" w:rsidRDefault="00FB7BA8" w:rsidP="00B653B3">
      <w:pPr>
        <w:autoSpaceDE w:val="0"/>
        <w:autoSpaceDN w:val="0"/>
        <w:adjustRightInd w:val="0"/>
        <w:spacing w:line="240" w:lineRule="auto"/>
        <w:jc w:val="both"/>
        <w:rPr>
          <w:rFonts w:ascii="Helv" w:hAnsi="Helv" w:cs="Helv"/>
          <w:color w:val="000000"/>
          <w:szCs w:val="20"/>
          <w:lang w:eastAsia="sl-SI"/>
        </w:rPr>
      </w:pPr>
      <w:r>
        <w:rPr>
          <w:rFonts w:cs="Arial"/>
        </w:rPr>
        <w:t xml:space="preserve">Najugodnejši dražitelj bo moral na zemljiščih ustanoviti </w:t>
      </w:r>
      <w:r w:rsidR="00B653B3">
        <w:rPr>
          <w:rFonts w:cs="Arial"/>
        </w:rPr>
        <w:t xml:space="preserve">brezplačno </w:t>
      </w:r>
      <w:r>
        <w:rPr>
          <w:rFonts w:cs="Arial"/>
        </w:rPr>
        <w:t xml:space="preserve">služnostno pravico </w:t>
      </w:r>
      <w:r>
        <w:rPr>
          <w:rFonts w:ascii="Helv" w:hAnsi="Helv" w:cs="Helv"/>
          <w:color w:val="000000"/>
          <w:szCs w:val="20"/>
          <w:lang w:eastAsia="sl-SI"/>
        </w:rPr>
        <w:t xml:space="preserve">za potrebe organizacije gradbišča za projekt Nadgradnja železniške postaje Ljubljana – fazi B in C (postavitev bivalnih in skladiščnih </w:t>
      </w:r>
      <w:proofErr w:type="gramStart"/>
      <w:r>
        <w:rPr>
          <w:rFonts w:ascii="Helv" w:hAnsi="Helv" w:cs="Helv"/>
          <w:color w:val="000000"/>
          <w:szCs w:val="20"/>
          <w:lang w:eastAsia="sl-SI"/>
        </w:rPr>
        <w:t>kontejnerjev</w:t>
      </w:r>
      <w:proofErr w:type="gramEnd"/>
      <w:r>
        <w:rPr>
          <w:rFonts w:ascii="Helv" w:hAnsi="Helv" w:cs="Helv"/>
          <w:color w:val="000000"/>
          <w:szCs w:val="20"/>
          <w:lang w:eastAsia="sl-SI"/>
        </w:rPr>
        <w:t xml:space="preserve">, </w:t>
      </w:r>
      <w:r w:rsidR="005107E0">
        <w:rPr>
          <w:rFonts w:ascii="Helv" w:hAnsi="Helv" w:cs="Helv"/>
          <w:color w:val="000000"/>
          <w:szCs w:val="20"/>
          <w:lang w:eastAsia="sl-SI"/>
        </w:rPr>
        <w:t>služnost hoje in vožnje z vsemi vozili</w:t>
      </w:r>
      <w:r>
        <w:rPr>
          <w:rFonts w:ascii="Helv" w:hAnsi="Helv" w:cs="Helv"/>
          <w:color w:val="000000"/>
          <w:szCs w:val="20"/>
          <w:lang w:eastAsia="sl-SI"/>
        </w:rPr>
        <w:t xml:space="preserve">, </w:t>
      </w:r>
      <w:r w:rsidR="005107E0">
        <w:rPr>
          <w:rFonts w:ascii="Helv" w:hAnsi="Helv" w:cs="Helv"/>
          <w:color w:val="000000"/>
          <w:szCs w:val="20"/>
          <w:lang w:eastAsia="sl-SI"/>
        </w:rPr>
        <w:t xml:space="preserve">ustanovitev </w:t>
      </w:r>
      <w:r>
        <w:rPr>
          <w:rFonts w:ascii="Helv" w:hAnsi="Helv" w:cs="Helv"/>
          <w:color w:val="000000"/>
          <w:szCs w:val="20"/>
          <w:lang w:eastAsia="sl-SI"/>
        </w:rPr>
        <w:t>začasnih deponij</w:t>
      </w:r>
      <w:r w:rsidR="00B653B3">
        <w:rPr>
          <w:rFonts w:ascii="Helv" w:hAnsi="Helv" w:cs="Helv"/>
          <w:color w:val="000000"/>
          <w:szCs w:val="20"/>
          <w:lang w:eastAsia="sl-SI"/>
        </w:rPr>
        <w:t xml:space="preserve"> in </w:t>
      </w:r>
      <w:r w:rsidR="005107E0">
        <w:rPr>
          <w:rFonts w:ascii="Helv" w:hAnsi="Helv" w:cs="Helv"/>
          <w:color w:val="000000"/>
          <w:szCs w:val="20"/>
          <w:lang w:eastAsia="sl-SI"/>
        </w:rPr>
        <w:t xml:space="preserve">dostopnost za </w:t>
      </w:r>
      <w:r w:rsidR="00B653B3">
        <w:rPr>
          <w:rFonts w:ascii="Helv" w:hAnsi="Helv" w:cs="Helv"/>
          <w:color w:val="000000"/>
          <w:szCs w:val="20"/>
          <w:lang w:eastAsia="sl-SI"/>
        </w:rPr>
        <w:t>potrebne komunalne oskrbe) z veljavnostjo do 30. septembra 2026.</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464E58FB" w:rsidR="008A5859" w:rsidRDefault="008A5859" w:rsidP="00397FEB">
      <w:pPr>
        <w:pStyle w:val="BodyText"/>
        <w:tabs>
          <w:tab w:val="left" w:pos="0"/>
        </w:tabs>
        <w:spacing w:before="0" w:after="0"/>
        <w:rPr>
          <w:rFonts w:ascii="Arial" w:hAnsi="Arial" w:cs="Arial"/>
          <w:b/>
          <w:sz w:val="20"/>
          <w:lang w:val="sl-SI"/>
        </w:rPr>
      </w:pPr>
    </w:p>
    <w:p w14:paraId="46B881D4" w14:textId="650393B0" w:rsidR="004D41FD" w:rsidRDefault="004D41FD" w:rsidP="00397FEB">
      <w:pPr>
        <w:pStyle w:val="BodyText"/>
        <w:tabs>
          <w:tab w:val="left" w:pos="0"/>
        </w:tabs>
        <w:spacing w:before="0" w:after="0"/>
        <w:rPr>
          <w:rFonts w:ascii="Arial" w:hAnsi="Arial" w:cs="Arial"/>
          <w:b/>
          <w:sz w:val="20"/>
          <w:lang w:val="sl-SI"/>
        </w:rPr>
      </w:pPr>
    </w:p>
    <w:p w14:paraId="5545B96D" w14:textId="77777777" w:rsidR="004D41FD" w:rsidRPr="00985928" w:rsidRDefault="004D41FD"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lastRenderedPageBreak/>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DE18011"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B531D4">
        <w:rPr>
          <w:rFonts w:ascii="Arial" w:hAnsi="Arial" w:cs="Arial"/>
          <w:b/>
          <w:sz w:val="20"/>
          <w:lang w:val="sl-SI"/>
        </w:rPr>
        <w:t>806.000,00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51DAA70B"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6366C1">
        <w:rPr>
          <w:rFonts w:ascii="Arial" w:hAnsi="Arial" w:cs="Arial"/>
          <w:sz w:val="20"/>
          <w:lang w:val="sl-SI"/>
        </w:rPr>
        <w:t>10.0</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392B6F4A"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B531D4">
        <w:rPr>
          <w:rFonts w:ascii="Arial" w:hAnsi="Arial" w:cs="Arial"/>
          <w:b/>
          <w:sz w:val="20"/>
          <w:lang w:val="sl-SI"/>
        </w:rPr>
        <w:t>80.600,00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2212F79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6366C1">
        <w:rPr>
          <w:rFonts w:ascii="Arial" w:hAnsi="Arial" w:cs="Arial"/>
          <w:b/>
          <w:sz w:val="20"/>
          <w:lang w:val="sl-SI"/>
        </w:rPr>
        <w:t>6</w:t>
      </w:r>
      <w:r w:rsidR="00DE41F3">
        <w:rPr>
          <w:rFonts w:ascii="Arial" w:hAnsi="Arial" w:cs="Arial"/>
          <w:b/>
          <w:sz w:val="20"/>
          <w:lang w:val="sl-SI"/>
        </w:rPr>
        <w:t xml:space="preserve">. </w:t>
      </w:r>
      <w:r w:rsidR="006366C1">
        <w:rPr>
          <w:rFonts w:ascii="Arial" w:hAnsi="Arial" w:cs="Arial"/>
          <w:b/>
          <w:sz w:val="20"/>
          <w:lang w:val="sl-SI"/>
        </w:rPr>
        <w:t>2</w:t>
      </w:r>
      <w:r w:rsidR="00DE41F3">
        <w:rPr>
          <w:rFonts w:ascii="Arial" w:hAnsi="Arial" w:cs="Arial"/>
          <w:b/>
          <w:sz w:val="20"/>
          <w:lang w:val="sl-SI"/>
        </w:rPr>
        <w:t>. 202</w:t>
      </w:r>
      <w:r w:rsidR="006366C1">
        <w:rPr>
          <w:rFonts w:ascii="Arial" w:hAnsi="Arial" w:cs="Arial"/>
          <w:b/>
          <w:sz w:val="20"/>
          <w:lang w:val="sl-SI"/>
        </w:rPr>
        <w:t>5</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366C1">
        <w:rPr>
          <w:rFonts w:ascii="Arial" w:hAnsi="Arial" w:cs="Arial"/>
          <w:sz w:val="20"/>
          <w:lang w:val="sl-SI"/>
        </w:rPr>
        <w:t>47804-</w:t>
      </w:r>
      <w:r w:rsidR="006366C1">
        <w:rPr>
          <w:rFonts w:ascii="Arial" w:hAnsi="Arial" w:cs="Arial"/>
          <w:sz w:val="20"/>
          <w:lang w:val="sl-SI"/>
        </w:rPr>
        <w:t>60/2024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4DA0534A"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6366C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38F8CC0"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6366C1">
        <w:rPr>
          <w:rFonts w:ascii="Arial" w:hAnsi="Arial" w:cs="Arial"/>
          <w:b/>
          <w:sz w:val="20"/>
          <w:lang w:val="sl-SI"/>
        </w:rPr>
        <w:t>dne</w:t>
      </w:r>
      <w:proofErr w:type="gramEnd"/>
      <w:r w:rsidR="001C173A" w:rsidRPr="006366C1">
        <w:rPr>
          <w:rFonts w:ascii="Arial" w:hAnsi="Arial" w:cs="Arial"/>
          <w:b/>
          <w:sz w:val="20"/>
          <w:lang w:val="sl-SI"/>
        </w:rPr>
        <w:t xml:space="preserve"> </w:t>
      </w:r>
      <w:r w:rsidR="006366C1" w:rsidRPr="006366C1">
        <w:rPr>
          <w:rFonts w:ascii="Arial" w:hAnsi="Arial" w:cs="Arial"/>
          <w:b/>
          <w:sz w:val="20"/>
          <w:lang w:val="sl-SI"/>
        </w:rPr>
        <w:t>10. 2. 2025</w:t>
      </w:r>
      <w:r w:rsidR="006261ED" w:rsidRPr="006366C1">
        <w:rPr>
          <w:rFonts w:ascii="Arial" w:hAnsi="Arial" w:cs="Arial"/>
          <w:b/>
          <w:sz w:val="20"/>
          <w:lang w:val="sl-SI"/>
        </w:rPr>
        <w:t xml:space="preserve"> </w:t>
      </w:r>
      <w:r w:rsidRPr="006366C1">
        <w:rPr>
          <w:rFonts w:ascii="Arial" w:hAnsi="Arial" w:cs="Arial"/>
          <w:b/>
          <w:sz w:val="20"/>
          <w:lang w:val="sl-SI"/>
        </w:rPr>
        <w:t xml:space="preserve">s pričetkom ob </w:t>
      </w:r>
      <w:r w:rsidR="003E56F5" w:rsidRPr="006366C1">
        <w:rPr>
          <w:rFonts w:ascii="Arial" w:hAnsi="Arial" w:cs="Arial"/>
          <w:b/>
          <w:sz w:val="20"/>
          <w:lang w:val="sl-SI"/>
        </w:rPr>
        <w:t>9.</w:t>
      </w:r>
      <w:r w:rsidR="006366C1" w:rsidRPr="006366C1">
        <w:rPr>
          <w:rFonts w:ascii="Arial" w:hAnsi="Arial" w:cs="Arial"/>
          <w:b/>
          <w:sz w:val="20"/>
          <w:lang w:val="sl-SI"/>
        </w:rPr>
        <w:t>30.</w:t>
      </w:r>
      <w:r w:rsidRPr="006366C1">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A3194DD"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6366C1">
        <w:rPr>
          <w:rFonts w:ascii="Arial" w:hAnsi="Arial" w:cs="Arial"/>
          <w:sz w:val="20"/>
          <w:lang w:val="sl-SI"/>
        </w:rPr>
        <w:t xml:space="preserve"> </w:t>
      </w:r>
      <w:r w:rsidRPr="006A4565">
        <w:rPr>
          <w:rFonts w:ascii="Arial" w:hAnsi="Arial" w:cs="Arial"/>
          <w:sz w:val="20"/>
          <w:lang w:val="sl-SI"/>
        </w:rPr>
        <w:t>dipl.</w:t>
      </w:r>
      <w:r w:rsidR="006366C1">
        <w:rPr>
          <w:rFonts w:ascii="Arial" w:hAnsi="Arial" w:cs="Arial"/>
          <w:sz w:val="20"/>
          <w:lang w:val="sl-SI"/>
        </w:rPr>
        <w:t xml:space="preserve"> </w:t>
      </w:r>
      <w:r w:rsidRPr="006A4565">
        <w:rPr>
          <w:rFonts w:ascii="Arial" w:hAnsi="Arial" w:cs="Arial"/>
          <w:sz w:val="20"/>
          <w:lang w:val="sl-SI"/>
        </w:rPr>
        <w:t xml:space="preserve">prav., sekretarka, </w:t>
      </w:r>
      <w:r w:rsidR="00B23D30">
        <w:rPr>
          <w:rFonts w:ascii="Arial" w:hAnsi="Arial" w:cs="Arial"/>
          <w:sz w:val="20"/>
          <w:lang w:val="sl-SI"/>
        </w:rPr>
        <w:t>Tadeja Vengar</w:t>
      </w:r>
      <w:r w:rsidR="00DE41F3">
        <w:rPr>
          <w:rFonts w:ascii="Arial" w:hAnsi="Arial" w:cs="Arial"/>
          <w:sz w:val="20"/>
          <w:lang w:val="sl-SI"/>
        </w:rPr>
        <w:t xml:space="preserve">, </w:t>
      </w:r>
      <w:r w:rsidR="00DE41F3" w:rsidRPr="00EA73B0">
        <w:rPr>
          <w:rFonts w:ascii="Arial" w:hAnsi="Arial" w:cs="Arial"/>
          <w:sz w:val="20"/>
          <w:lang w:val="sl-SI"/>
        </w:rPr>
        <w:t>univ.</w:t>
      </w:r>
      <w:r w:rsidR="00B23D30" w:rsidRPr="00EA73B0">
        <w:rPr>
          <w:rFonts w:ascii="Arial" w:hAnsi="Arial" w:cs="Arial"/>
          <w:sz w:val="20"/>
          <w:lang w:val="sl-SI"/>
        </w:rPr>
        <w:t xml:space="preserve"> </w:t>
      </w:r>
      <w:r w:rsidR="00DE41F3" w:rsidRPr="00EA73B0">
        <w:rPr>
          <w:rFonts w:ascii="Arial" w:hAnsi="Arial" w:cs="Arial"/>
          <w:sz w:val="20"/>
          <w:lang w:val="sl-SI"/>
        </w:rPr>
        <w:t>dipl.</w:t>
      </w:r>
      <w:r w:rsidR="00B23D30" w:rsidRPr="00EA73B0">
        <w:rPr>
          <w:rFonts w:ascii="Arial" w:hAnsi="Arial" w:cs="Arial"/>
          <w:sz w:val="20"/>
          <w:lang w:val="sl-SI"/>
        </w:rPr>
        <w:t xml:space="preserve"> </w:t>
      </w:r>
      <w:r w:rsidR="00DE41F3" w:rsidRPr="00EA73B0">
        <w:rPr>
          <w:rFonts w:ascii="Arial" w:hAnsi="Arial" w:cs="Arial"/>
          <w:sz w:val="20"/>
          <w:lang w:val="sl-SI"/>
        </w:rPr>
        <w:t>inž.</w:t>
      </w:r>
      <w:r w:rsidR="00B23D30" w:rsidRPr="00EA73B0">
        <w:rPr>
          <w:rFonts w:ascii="Arial" w:hAnsi="Arial" w:cs="Arial"/>
          <w:sz w:val="20"/>
          <w:lang w:val="sl-SI"/>
        </w:rPr>
        <w:t xml:space="preserve"> </w:t>
      </w:r>
      <w:r w:rsidR="00DE41F3" w:rsidRPr="00EA73B0">
        <w:rPr>
          <w:rFonts w:ascii="Arial" w:hAnsi="Arial" w:cs="Arial"/>
          <w:sz w:val="20"/>
          <w:lang w:val="sl-SI"/>
        </w:rPr>
        <w:lastRenderedPageBreak/>
        <w:t>geo</w:t>
      </w:r>
      <w:r w:rsidR="001C0123">
        <w:rPr>
          <w:rFonts w:ascii="Arial" w:hAnsi="Arial" w:cs="Arial"/>
          <w:sz w:val="20"/>
          <w:lang w:val="sl-SI"/>
        </w:rPr>
        <w:t>d</w:t>
      </w:r>
      <w:r w:rsidRPr="00EA73B0">
        <w:rPr>
          <w:rFonts w:ascii="Arial" w:hAnsi="Arial" w:cs="Arial"/>
          <w:sz w:val="20"/>
          <w:lang w:val="sl-SI"/>
        </w:rPr>
        <w:t>., sekretar</w:t>
      </w:r>
      <w:r w:rsidR="00B23D30" w:rsidRPr="00EA73B0">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AA9D77D"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w:t>
      </w:r>
      <w:r w:rsidR="006366C1">
        <w:rPr>
          <w:rFonts w:ascii="Arial" w:hAnsi="Arial" w:cs="Arial"/>
          <w:sz w:val="20"/>
          <w:lang w:val="sl-SI"/>
        </w:rPr>
        <w:t>a</w:t>
      </w:r>
      <w:r w:rsidRPr="006A4565">
        <w:rPr>
          <w:rFonts w:ascii="Arial" w:hAnsi="Arial" w:cs="Arial"/>
          <w:sz w:val="20"/>
          <w:lang w:val="sl-SI"/>
        </w:rPr>
        <w:t xml:space="preserve"> </w:t>
      </w:r>
      <w:r w:rsidR="006366C1">
        <w:rPr>
          <w:rFonts w:ascii="Arial" w:hAnsi="Arial" w:cs="Arial"/>
          <w:sz w:val="20"/>
          <w:lang w:val="sl-SI"/>
        </w:rPr>
        <w:t>Sinja Bandelj, dipl. inž. geod., cenilka stvarnega premoženja-nepremičnine</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4054D24"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6366C1">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1BF5A00"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366C1">
        <w:rPr>
          <w:rFonts w:ascii="Arial" w:hAnsi="Arial" w:cs="Arial"/>
          <w:b/>
          <w:sz w:val="20"/>
          <w:lang w:val="sl-SI"/>
        </w:rPr>
        <w:t>6</w:t>
      </w:r>
      <w:r w:rsidR="00DE41F3">
        <w:rPr>
          <w:rFonts w:ascii="Arial" w:hAnsi="Arial" w:cs="Arial"/>
          <w:b/>
          <w:sz w:val="20"/>
          <w:lang w:val="sl-SI"/>
        </w:rPr>
        <w:t xml:space="preserve">. </w:t>
      </w:r>
      <w:r w:rsidR="006366C1">
        <w:rPr>
          <w:rFonts w:ascii="Arial" w:hAnsi="Arial" w:cs="Arial"/>
          <w:b/>
          <w:sz w:val="20"/>
          <w:lang w:val="sl-SI"/>
        </w:rPr>
        <w:t>2</w:t>
      </w:r>
      <w:r w:rsidR="00DE41F3">
        <w:rPr>
          <w:rFonts w:ascii="Arial" w:hAnsi="Arial" w:cs="Arial"/>
          <w:b/>
          <w:sz w:val="20"/>
          <w:lang w:val="sl-SI"/>
        </w:rPr>
        <w:t>. 202</w:t>
      </w:r>
      <w:r w:rsidR="006366C1">
        <w:rPr>
          <w:rFonts w:ascii="Arial" w:hAnsi="Arial" w:cs="Arial"/>
          <w:b/>
          <w:sz w:val="20"/>
          <w:lang w:val="sl-SI"/>
        </w:rPr>
        <w:t>5</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6366C1">
        <w:rPr>
          <w:rFonts w:ascii="Arial" w:hAnsi="Arial" w:cs="Arial"/>
          <w:b/>
          <w:sz w:val="20"/>
          <w:lang w:val="sl-SI"/>
        </w:rPr>
        <w:t>47804-</w:t>
      </w:r>
      <w:r w:rsidR="006366C1">
        <w:rPr>
          <w:rFonts w:ascii="Arial" w:hAnsi="Arial" w:cs="Arial"/>
          <w:b/>
          <w:sz w:val="20"/>
          <w:lang w:val="sl-SI"/>
        </w:rPr>
        <w:t>60/2024</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8373F02"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A792151" w14:textId="48160178" w:rsidR="009F5D52" w:rsidRDefault="009F5D52" w:rsidP="009F5D52">
      <w:pPr>
        <w:pStyle w:val="BodyText"/>
        <w:spacing w:before="0" w:after="0"/>
        <w:rPr>
          <w:rFonts w:ascii="Arial" w:hAnsi="Arial" w:cs="Arial"/>
          <w:sz w:val="20"/>
          <w:lang w:val="sl-SI"/>
        </w:rPr>
      </w:pPr>
    </w:p>
    <w:p w14:paraId="0F4329D2" w14:textId="3EBF4B5D" w:rsidR="009F5D52" w:rsidRDefault="009F5D52" w:rsidP="009F5D52">
      <w:pPr>
        <w:pStyle w:val="BodyText"/>
        <w:spacing w:before="0" w:after="0"/>
        <w:rPr>
          <w:rFonts w:ascii="Arial" w:hAnsi="Arial" w:cs="Arial"/>
          <w:sz w:val="20"/>
          <w:lang w:val="sl-SI"/>
        </w:rPr>
      </w:pPr>
      <w:r>
        <w:rPr>
          <w:rFonts w:ascii="Arial" w:hAnsi="Arial" w:cs="Arial"/>
          <w:sz w:val="20"/>
          <w:lang w:val="sl-SI"/>
        </w:rPr>
        <w:t xml:space="preserve">Pogoj za sodelovanje na javni dražbi je tudi, da se dražitelj strinja, da bo na zemljiščih ustanovil </w:t>
      </w:r>
      <w:r w:rsidRPr="009F5D52">
        <w:rPr>
          <w:rFonts w:ascii="Arial" w:hAnsi="Arial" w:cs="Arial"/>
          <w:sz w:val="20"/>
          <w:lang w:val="sl-SI"/>
        </w:rPr>
        <w:t xml:space="preserve">brezplačno služnostno pravico za potrebe organizacije gradbišča za projekt Nadgradnja železniške postaje Ljubljana – fazi B in C (postavitev bivalnih in skladiščnih </w:t>
      </w:r>
      <w:proofErr w:type="gramStart"/>
      <w:r w:rsidRPr="009F5D52">
        <w:rPr>
          <w:rFonts w:ascii="Arial" w:hAnsi="Arial" w:cs="Arial"/>
          <w:sz w:val="20"/>
          <w:lang w:val="sl-SI"/>
        </w:rPr>
        <w:t>kontejnerjev</w:t>
      </w:r>
      <w:proofErr w:type="gramEnd"/>
      <w:r w:rsidRPr="009F5D52">
        <w:rPr>
          <w:rFonts w:ascii="Arial" w:hAnsi="Arial" w:cs="Arial"/>
          <w:sz w:val="20"/>
          <w:lang w:val="sl-SI"/>
        </w:rPr>
        <w:t>, služnost hoje in vožnje z vsemi vozili, ustanovitev začasnih deponij in dostopnost za potrebne komunalne oskrbe) z veljavnostjo do 30. septembra 2</w:t>
      </w:r>
      <w:r>
        <w:rPr>
          <w:rFonts w:ascii="Arial" w:hAnsi="Arial" w:cs="Arial"/>
          <w:sz w:val="20"/>
          <w:lang w:val="sl-SI"/>
        </w:rPr>
        <w:t>026 v korist Republike Slovenije</w:t>
      </w:r>
      <w:r w:rsidR="003822D5">
        <w:rPr>
          <w:rFonts w:ascii="Arial" w:hAnsi="Arial" w:cs="Arial"/>
          <w:sz w:val="20"/>
          <w:lang w:val="sl-SI"/>
        </w:rPr>
        <w:t xml:space="preserve"> (Direkcije RS za infrastrukturo)</w:t>
      </w:r>
      <w:r>
        <w:rPr>
          <w:rFonts w:ascii="Arial" w:hAnsi="Arial" w:cs="Arial"/>
          <w:sz w:val="20"/>
          <w:lang w:val="sl-SI"/>
        </w:rPr>
        <w:t xml:space="preserve"> in izvajalcev</w:t>
      </w:r>
      <w:r w:rsidR="003822D5">
        <w:rPr>
          <w:rFonts w:ascii="Arial" w:hAnsi="Arial" w:cs="Arial"/>
          <w:sz w:val="20"/>
          <w:lang w:val="sl-SI"/>
        </w:rPr>
        <w:t xml:space="preserve"> del. Ustanovitev služnosti bo dogovorjena v kupoprodajni pogodbi</w:t>
      </w:r>
      <w:r>
        <w:rPr>
          <w:rFonts w:ascii="Arial" w:hAnsi="Arial" w:cs="Arial"/>
          <w:sz w:val="20"/>
          <w:lang w:val="sl-SI"/>
        </w:rPr>
        <w:t xml:space="preserve">. </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A6720C3" w14:textId="77777777" w:rsidR="00B23D30" w:rsidRPr="00985928" w:rsidRDefault="00B23D30" w:rsidP="00526821">
      <w:pPr>
        <w:pStyle w:val="BodyText"/>
        <w:spacing w:before="0" w:after="0"/>
        <w:rPr>
          <w:rFonts w:ascii="Arial" w:hAnsi="Arial" w:cs="Arial"/>
          <w:sz w:val="20"/>
          <w:lang w:val="sl-SI"/>
        </w:rPr>
      </w:pPr>
    </w:p>
    <w:p w14:paraId="6E207DBE" w14:textId="77777777" w:rsidR="00A75551" w:rsidRPr="006366C1" w:rsidRDefault="00A75551" w:rsidP="00A75551">
      <w:pPr>
        <w:pStyle w:val="BodyText"/>
        <w:spacing w:before="0" w:after="0"/>
        <w:rPr>
          <w:rFonts w:ascii="Arial" w:hAnsi="Arial" w:cs="Arial"/>
          <w:color w:val="000000"/>
          <w:sz w:val="20"/>
          <w:shd w:val="clear" w:color="auto" w:fill="FFFFFF"/>
          <w:lang w:val="sl-SI"/>
        </w:rPr>
      </w:pPr>
      <w:r w:rsidRPr="006366C1">
        <w:rPr>
          <w:rFonts w:ascii="Arial" w:hAnsi="Arial" w:cs="Arial"/>
          <w:sz w:val="20"/>
          <w:lang w:val="sl-SI"/>
        </w:rPr>
        <w:t xml:space="preserve">V primeru uspešne javne dražbe bo pogodba z najugodnejšim dražiteljem sklenjena v roku 15 dni </w:t>
      </w:r>
      <w:r w:rsidRPr="006366C1">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6366C1">
        <w:rPr>
          <w:rFonts w:ascii="Arial" w:hAnsi="Arial" w:cs="Arial"/>
          <w:sz w:val="20"/>
          <w:lang w:val="sl-SI"/>
        </w:rPr>
        <w:t>ne sprejema ponudbe</w:t>
      </w:r>
      <w:r w:rsidRPr="006366C1">
        <w:rPr>
          <w:rFonts w:ascii="Arial" w:hAnsi="Arial" w:cs="Arial"/>
          <w:color w:val="000000"/>
          <w:sz w:val="20"/>
          <w:shd w:val="clear" w:color="auto" w:fill="FFFFFF"/>
          <w:lang w:val="sl-SI"/>
        </w:rPr>
        <w:t xml:space="preserve">. Če se nosilec predkupne pravice v roku 15 dni od dneva prejema ponudbe ne izjavi o sprejetju ali zavrnitvi </w:t>
      </w:r>
      <w:r w:rsidRPr="006366C1">
        <w:rPr>
          <w:rFonts w:ascii="Arial" w:hAnsi="Arial" w:cs="Arial"/>
          <w:color w:val="000000"/>
          <w:sz w:val="20"/>
          <w:shd w:val="clear" w:color="auto" w:fill="FFFFFF"/>
          <w:lang w:val="sl-SI"/>
        </w:rPr>
        <w:lastRenderedPageBreak/>
        <w:t xml:space="preserve">ponudbe, se šteje, da ponudbe ne sprejema. Nosilcu predkupne pravice se bo nepremičnina ponudila v odkup pod enakimi pogoji. </w:t>
      </w:r>
    </w:p>
    <w:p w14:paraId="6F84C454" w14:textId="77777777" w:rsidR="00A75551" w:rsidRPr="00B23D30"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B23D30" w:rsidRDefault="00A75551" w:rsidP="00A75551">
      <w:pPr>
        <w:pStyle w:val="BodyText"/>
        <w:spacing w:before="0" w:after="0"/>
        <w:rPr>
          <w:rFonts w:ascii="Arial" w:hAnsi="Arial" w:cs="Arial"/>
          <w:color w:val="000000"/>
          <w:sz w:val="20"/>
          <w:shd w:val="clear" w:color="auto" w:fill="FFFFFF"/>
        </w:rPr>
      </w:pPr>
      <w:r w:rsidRPr="00B23D30">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6B6CCA9C"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B653B3">
        <w:rPr>
          <w:rFonts w:ascii="Arial" w:hAnsi="Arial" w:cs="Arial"/>
          <w:sz w:val="20"/>
        </w:rPr>
        <w:t xml:space="preserve"> in </w:t>
      </w:r>
      <w:proofErr w:type="spellStart"/>
      <w:r w:rsidR="00B653B3">
        <w:rPr>
          <w:rFonts w:ascii="Arial" w:hAnsi="Arial" w:cs="Arial"/>
          <w:sz w:val="20"/>
        </w:rPr>
        <w:t>služnostne</w:t>
      </w:r>
      <w:proofErr w:type="spellEnd"/>
      <w:r w:rsidR="00B653B3">
        <w:rPr>
          <w:rFonts w:ascii="Arial" w:hAnsi="Arial" w:cs="Arial"/>
          <w:sz w:val="20"/>
        </w:rPr>
        <w:t xml:space="preserve"> </w:t>
      </w:r>
      <w:proofErr w:type="spellStart"/>
      <w:r w:rsidR="00B653B3">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40C42DE5"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A5235" w:rsidRPr="00B653B3">
        <w:rPr>
          <w:rFonts w:ascii="Arial" w:hAnsi="Arial" w:cs="Arial"/>
          <w:sz w:val="20"/>
        </w:rPr>
        <w:t>219,60</w:t>
      </w:r>
      <w:r w:rsidRPr="00B653B3">
        <w:rPr>
          <w:rFonts w:ascii="Arial" w:hAnsi="Arial" w:cs="Arial"/>
          <w:sz w:val="20"/>
        </w:rPr>
        <w:t xml:space="preserve">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3380CAA5"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w:t>
      </w:r>
      <w:r w:rsidR="009F5D52">
        <w:rPr>
          <w:rFonts w:ascii="Arial" w:hAnsi="Arial" w:cs="Arial"/>
          <w:sz w:val="20"/>
          <w:lang w:val="sl-SI"/>
        </w:rPr>
        <w:t>tevilki 01 478 8014</w:t>
      </w:r>
      <w:r w:rsidRPr="003A70B7">
        <w:rPr>
          <w:rFonts w:ascii="Arial" w:hAnsi="Arial" w:cs="Arial"/>
          <w:sz w:val="20"/>
          <w:lang w:val="sl-SI"/>
        </w:rPr>
        <w:t xml:space="preserve">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D19AB7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6366C1">
        <w:rPr>
          <w:rFonts w:ascii="Arial" w:hAnsi="Arial" w:cs="Arial"/>
          <w:sz w:val="20"/>
          <w:lang w:val="sl-SI"/>
        </w:rPr>
        <w:t>4</w:t>
      </w:r>
      <w:r w:rsidR="000F188A">
        <w:rPr>
          <w:rFonts w:ascii="Arial" w:hAnsi="Arial" w:cs="Arial"/>
          <w:sz w:val="20"/>
          <w:lang w:val="sl-SI"/>
        </w:rPr>
        <w:t xml:space="preserve">. </w:t>
      </w:r>
      <w:r w:rsidR="006366C1">
        <w:rPr>
          <w:rFonts w:ascii="Arial" w:hAnsi="Arial" w:cs="Arial"/>
          <w:sz w:val="20"/>
          <w:lang w:val="sl-SI"/>
        </w:rPr>
        <w:t>2</w:t>
      </w:r>
      <w:r w:rsidR="000F188A">
        <w:rPr>
          <w:rFonts w:ascii="Arial" w:hAnsi="Arial" w:cs="Arial"/>
          <w:sz w:val="20"/>
          <w:lang w:val="sl-SI"/>
        </w:rPr>
        <w:t>. 202</w:t>
      </w:r>
      <w:r w:rsidR="006366C1">
        <w:rPr>
          <w:rFonts w:ascii="Arial" w:hAnsi="Arial" w:cs="Arial"/>
          <w:sz w:val="20"/>
          <w:lang w:val="sl-SI"/>
        </w:rPr>
        <w:t>5</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09DDC298" w:rsidR="00086214" w:rsidRPr="00086214" w:rsidRDefault="00201432"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FC73" w14:textId="77777777" w:rsidR="0039572B" w:rsidRDefault="0039572B">
      <w:r>
        <w:separator/>
      </w:r>
    </w:p>
  </w:endnote>
  <w:endnote w:type="continuationSeparator" w:id="0">
    <w:p w14:paraId="58493D5D" w14:textId="77777777" w:rsidR="0039572B" w:rsidRDefault="0039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41730F19"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0B42A2">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B42A2">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A400" w14:textId="77777777" w:rsidR="0039572B" w:rsidRDefault="0039572B">
      <w:r>
        <w:separator/>
      </w:r>
    </w:p>
  </w:footnote>
  <w:footnote w:type="continuationSeparator" w:id="0">
    <w:p w14:paraId="24516074" w14:textId="77777777" w:rsidR="0039572B" w:rsidRDefault="0039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B42A2"/>
    <w:rsid w:val="000B67A1"/>
    <w:rsid w:val="000E17F7"/>
    <w:rsid w:val="000E3702"/>
    <w:rsid w:val="000F188A"/>
    <w:rsid w:val="000F190C"/>
    <w:rsid w:val="00105DD5"/>
    <w:rsid w:val="001142A0"/>
    <w:rsid w:val="00117A0F"/>
    <w:rsid w:val="0012553F"/>
    <w:rsid w:val="00127D9B"/>
    <w:rsid w:val="00132001"/>
    <w:rsid w:val="001357B2"/>
    <w:rsid w:val="001560DD"/>
    <w:rsid w:val="00157FC0"/>
    <w:rsid w:val="0016234E"/>
    <w:rsid w:val="00164659"/>
    <w:rsid w:val="001674CF"/>
    <w:rsid w:val="00172A03"/>
    <w:rsid w:val="00173C9C"/>
    <w:rsid w:val="0017478F"/>
    <w:rsid w:val="001A1DAC"/>
    <w:rsid w:val="001A4750"/>
    <w:rsid w:val="001C0123"/>
    <w:rsid w:val="001C0E7A"/>
    <w:rsid w:val="001C173A"/>
    <w:rsid w:val="001C4EDC"/>
    <w:rsid w:val="001C5D18"/>
    <w:rsid w:val="001E5218"/>
    <w:rsid w:val="001F56E7"/>
    <w:rsid w:val="001F67DD"/>
    <w:rsid w:val="00200533"/>
    <w:rsid w:val="00200E63"/>
    <w:rsid w:val="00201432"/>
    <w:rsid w:val="00202A77"/>
    <w:rsid w:val="00202C3B"/>
    <w:rsid w:val="00204E2F"/>
    <w:rsid w:val="00206094"/>
    <w:rsid w:val="00207A80"/>
    <w:rsid w:val="00214EF3"/>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B2E03"/>
    <w:rsid w:val="002C73FB"/>
    <w:rsid w:val="002C7C7D"/>
    <w:rsid w:val="002E6A07"/>
    <w:rsid w:val="00315A50"/>
    <w:rsid w:val="0031639B"/>
    <w:rsid w:val="00322509"/>
    <w:rsid w:val="0032293F"/>
    <w:rsid w:val="003404F2"/>
    <w:rsid w:val="0034481B"/>
    <w:rsid w:val="00345096"/>
    <w:rsid w:val="0035034F"/>
    <w:rsid w:val="00350F05"/>
    <w:rsid w:val="003526C9"/>
    <w:rsid w:val="00357E67"/>
    <w:rsid w:val="00362E5A"/>
    <w:rsid w:val="003636BF"/>
    <w:rsid w:val="00371442"/>
    <w:rsid w:val="003822D5"/>
    <w:rsid w:val="003837A2"/>
    <w:rsid w:val="003845B4"/>
    <w:rsid w:val="00387B1A"/>
    <w:rsid w:val="0039572B"/>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179"/>
    <w:rsid w:val="00437941"/>
    <w:rsid w:val="00444EE2"/>
    <w:rsid w:val="0044797C"/>
    <w:rsid w:val="004511A0"/>
    <w:rsid w:val="004556F7"/>
    <w:rsid w:val="00461531"/>
    <w:rsid w:val="004657EE"/>
    <w:rsid w:val="0047408F"/>
    <w:rsid w:val="004766B8"/>
    <w:rsid w:val="00483E28"/>
    <w:rsid w:val="00495AFC"/>
    <w:rsid w:val="004A76EC"/>
    <w:rsid w:val="004D41FD"/>
    <w:rsid w:val="004D6EAA"/>
    <w:rsid w:val="004E0A51"/>
    <w:rsid w:val="004E59B2"/>
    <w:rsid w:val="004F6B26"/>
    <w:rsid w:val="005107E0"/>
    <w:rsid w:val="00515C6A"/>
    <w:rsid w:val="00522EAA"/>
    <w:rsid w:val="00526246"/>
    <w:rsid w:val="00526821"/>
    <w:rsid w:val="005270BB"/>
    <w:rsid w:val="00542C7D"/>
    <w:rsid w:val="00567106"/>
    <w:rsid w:val="005707AD"/>
    <w:rsid w:val="005863D7"/>
    <w:rsid w:val="005939FB"/>
    <w:rsid w:val="005A0774"/>
    <w:rsid w:val="005A60FA"/>
    <w:rsid w:val="005C6C3A"/>
    <w:rsid w:val="005C77CD"/>
    <w:rsid w:val="005D1C27"/>
    <w:rsid w:val="005E0F6B"/>
    <w:rsid w:val="005E1D3C"/>
    <w:rsid w:val="005E740E"/>
    <w:rsid w:val="0060282E"/>
    <w:rsid w:val="00625AE6"/>
    <w:rsid w:val="006261ED"/>
    <w:rsid w:val="0063064E"/>
    <w:rsid w:val="00632253"/>
    <w:rsid w:val="006366C1"/>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6E71AC"/>
    <w:rsid w:val="006F6EAB"/>
    <w:rsid w:val="00701E72"/>
    <w:rsid w:val="00717E64"/>
    <w:rsid w:val="007258E7"/>
    <w:rsid w:val="00726327"/>
    <w:rsid w:val="0073154E"/>
    <w:rsid w:val="00733017"/>
    <w:rsid w:val="00733C13"/>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24399"/>
    <w:rsid w:val="00826CAA"/>
    <w:rsid w:val="00826FC5"/>
    <w:rsid w:val="008445DA"/>
    <w:rsid w:val="008467A6"/>
    <w:rsid w:val="0086453F"/>
    <w:rsid w:val="00877020"/>
    <w:rsid w:val="0088043C"/>
    <w:rsid w:val="008805C4"/>
    <w:rsid w:val="00884889"/>
    <w:rsid w:val="008906C9"/>
    <w:rsid w:val="008A5859"/>
    <w:rsid w:val="008B2DA5"/>
    <w:rsid w:val="008B320A"/>
    <w:rsid w:val="008C5738"/>
    <w:rsid w:val="008C6884"/>
    <w:rsid w:val="008C6A83"/>
    <w:rsid w:val="008D04F0"/>
    <w:rsid w:val="008D595C"/>
    <w:rsid w:val="008E36B4"/>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01D9"/>
    <w:rsid w:val="00995E06"/>
    <w:rsid w:val="00996929"/>
    <w:rsid w:val="009A5154"/>
    <w:rsid w:val="009C39EA"/>
    <w:rsid w:val="009C740A"/>
    <w:rsid w:val="009D7245"/>
    <w:rsid w:val="009E22F8"/>
    <w:rsid w:val="009E68C2"/>
    <w:rsid w:val="009F372E"/>
    <w:rsid w:val="009F40B7"/>
    <w:rsid w:val="009F5630"/>
    <w:rsid w:val="009F5D52"/>
    <w:rsid w:val="00A01D0F"/>
    <w:rsid w:val="00A064DC"/>
    <w:rsid w:val="00A06AAF"/>
    <w:rsid w:val="00A125C5"/>
    <w:rsid w:val="00A14CCC"/>
    <w:rsid w:val="00A231D9"/>
    <w:rsid w:val="00A2451C"/>
    <w:rsid w:val="00A27E4E"/>
    <w:rsid w:val="00A32C73"/>
    <w:rsid w:val="00A35313"/>
    <w:rsid w:val="00A529C7"/>
    <w:rsid w:val="00A60ABB"/>
    <w:rsid w:val="00A65EE7"/>
    <w:rsid w:val="00A70133"/>
    <w:rsid w:val="00A71D94"/>
    <w:rsid w:val="00A71FDB"/>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07B3F"/>
    <w:rsid w:val="00B17141"/>
    <w:rsid w:val="00B23D30"/>
    <w:rsid w:val="00B31575"/>
    <w:rsid w:val="00B32842"/>
    <w:rsid w:val="00B32A81"/>
    <w:rsid w:val="00B34166"/>
    <w:rsid w:val="00B43A7F"/>
    <w:rsid w:val="00B45DB7"/>
    <w:rsid w:val="00B531D4"/>
    <w:rsid w:val="00B647A1"/>
    <w:rsid w:val="00B64D8C"/>
    <w:rsid w:val="00B653B3"/>
    <w:rsid w:val="00B678D2"/>
    <w:rsid w:val="00B72BF5"/>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17E9"/>
    <w:rsid w:val="00C42436"/>
    <w:rsid w:val="00C507DC"/>
    <w:rsid w:val="00C55B69"/>
    <w:rsid w:val="00C61B9F"/>
    <w:rsid w:val="00C63C15"/>
    <w:rsid w:val="00C70D6F"/>
    <w:rsid w:val="00C830CA"/>
    <w:rsid w:val="00C84C7A"/>
    <w:rsid w:val="00C87E7A"/>
    <w:rsid w:val="00C92898"/>
    <w:rsid w:val="00CA4340"/>
    <w:rsid w:val="00CB0E2F"/>
    <w:rsid w:val="00CB3D63"/>
    <w:rsid w:val="00CC136F"/>
    <w:rsid w:val="00CC68F9"/>
    <w:rsid w:val="00CD2381"/>
    <w:rsid w:val="00CE5238"/>
    <w:rsid w:val="00CE6BFD"/>
    <w:rsid w:val="00CE7514"/>
    <w:rsid w:val="00CF4F9C"/>
    <w:rsid w:val="00D04B92"/>
    <w:rsid w:val="00D04E4C"/>
    <w:rsid w:val="00D10670"/>
    <w:rsid w:val="00D17395"/>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436E"/>
    <w:rsid w:val="00DE631D"/>
    <w:rsid w:val="00E012BB"/>
    <w:rsid w:val="00E0357D"/>
    <w:rsid w:val="00E13325"/>
    <w:rsid w:val="00E25773"/>
    <w:rsid w:val="00E3026E"/>
    <w:rsid w:val="00E8152B"/>
    <w:rsid w:val="00E83206"/>
    <w:rsid w:val="00E8651C"/>
    <w:rsid w:val="00E922C1"/>
    <w:rsid w:val="00EA73B0"/>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6314"/>
    <w:rsid w:val="00F47C47"/>
    <w:rsid w:val="00F57FED"/>
    <w:rsid w:val="00F919CA"/>
    <w:rsid w:val="00FA310B"/>
    <w:rsid w:val="00FA5235"/>
    <w:rsid w:val="00FA7565"/>
    <w:rsid w:val="00FB7BA8"/>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 w:type="character" w:customStyle="1" w:styleId="UnresolvedMention">
    <w:name w:val="Unresolved Mention"/>
    <w:basedOn w:val="DefaultParagraphFont"/>
    <w:uiPriority w:val="99"/>
    <w:semiHidden/>
    <w:unhideWhenUsed/>
    <w:rsid w:val="00B2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3BF5-E1CB-4D4C-80FC-0B2356F2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1540</Words>
  <Characters>8780</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10300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11</cp:revision>
  <cp:lastPrinted>2025-01-15T09:29:00Z</cp:lastPrinted>
  <dcterms:created xsi:type="dcterms:W3CDTF">2025-01-13T17:47:00Z</dcterms:created>
  <dcterms:modified xsi:type="dcterms:W3CDTF">2025-01-17T09:23:00Z</dcterms:modified>
</cp:coreProperties>
</file>