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028EA" w14:textId="6975F8BC" w:rsidR="003C4E33" w:rsidRPr="007E4326" w:rsidRDefault="003C4E33" w:rsidP="00ED0AD0">
      <w:pPr>
        <w:jc w:val="both"/>
        <w:rPr>
          <w:rFonts w:cstheme="minorHAnsi"/>
          <w:b/>
          <w:bCs/>
        </w:rPr>
      </w:pPr>
      <w:r w:rsidRPr="007E4326">
        <w:rPr>
          <w:rFonts w:cstheme="minorHAnsi"/>
          <w:b/>
          <w:bCs/>
          <w:color w:val="212529"/>
          <w:shd w:val="clear" w:color="auto" w:fill="FFFFFF"/>
        </w:rPr>
        <w:t xml:space="preserve">Razosebljeni podatki o poslovanju fizičnih oseb, ki opravljajo dejavnost </w:t>
      </w:r>
      <w:r w:rsidR="007E4326" w:rsidRPr="007E4326">
        <w:rPr>
          <w:rFonts w:cstheme="minorHAnsi"/>
          <w:b/>
          <w:bCs/>
          <w:color w:val="212529"/>
          <w:shd w:val="clear" w:color="auto" w:fill="FFFFFF"/>
        </w:rPr>
        <w:t>in ugotavljajo davčno osnovo na podlagi normiranih odhodkov, ter fizičnih oseb, ki opravljajo dejavnost in ugotavljajo davčno osnovo na podlagi dejanskih odhodkov in za njih ne velja obveznost javne objave podatkov o poslovanju.</w:t>
      </w:r>
    </w:p>
    <w:p w14:paraId="42615083" w14:textId="77777777" w:rsidR="003C4E33" w:rsidRPr="007E4326" w:rsidRDefault="003C4E33" w:rsidP="00ED0AD0">
      <w:pPr>
        <w:jc w:val="both"/>
        <w:rPr>
          <w:rFonts w:cstheme="minorHAnsi"/>
          <w:b/>
          <w:bCs/>
        </w:rPr>
      </w:pPr>
    </w:p>
    <w:p w14:paraId="75B15DE5" w14:textId="75D2D494" w:rsidR="00262D82" w:rsidRDefault="003C4E33" w:rsidP="00ED0AD0">
      <w:pPr>
        <w:jc w:val="both"/>
        <w:rPr>
          <w:rFonts w:cstheme="minorHAnsi"/>
        </w:rPr>
      </w:pPr>
      <w:r w:rsidRPr="007E4326">
        <w:rPr>
          <w:rFonts w:cstheme="minorHAnsi"/>
        </w:rPr>
        <w:t>Finančna uprava RS je na spletni strani objavila</w:t>
      </w:r>
      <w:r w:rsidR="00BA2A4B" w:rsidRPr="007E4326">
        <w:rPr>
          <w:rFonts w:cstheme="minorHAnsi"/>
        </w:rPr>
        <w:t xml:space="preserve"> razosebljen</w:t>
      </w:r>
      <w:r w:rsidRPr="007E4326">
        <w:rPr>
          <w:rFonts w:cstheme="minorHAnsi"/>
        </w:rPr>
        <w:t>e</w:t>
      </w:r>
      <w:r w:rsidR="00BA2A4B" w:rsidRPr="007E4326">
        <w:rPr>
          <w:rFonts w:cstheme="minorHAnsi"/>
        </w:rPr>
        <w:t xml:space="preserve"> individualn</w:t>
      </w:r>
      <w:r w:rsidRPr="007E4326">
        <w:rPr>
          <w:rFonts w:cstheme="minorHAnsi"/>
        </w:rPr>
        <w:t>e</w:t>
      </w:r>
      <w:r w:rsidR="00BA2A4B" w:rsidRPr="007E4326">
        <w:rPr>
          <w:rFonts w:cstheme="minorHAnsi"/>
        </w:rPr>
        <w:t xml:space="preserve"> podatk</w:t>
      </w:r>
      <w:r w:rsidRPr="007E4326">
        <w:rPr>
          <w:rFonts w:cstheme="minorHAnsi"/>
        </w:rPr>
        <w:t>e o prihodkih</w:t>
      </w:r>
      <w:r w:rsidR="00BA2A4B" w:rsidRPr="007E4326">
        <w:rPr>
          <w:rFonts w:cstheme="minorHAnsi"/>
        </w:rPr>
        <w:t xml:space="preserve"> fizičnih oseb, ki </w:t>
      </w:r>
      <w:r w:rsidR="00E331F7" w:rsidRPr="007E4326">
        <w:rPr>
          <w:rFonts w:cstheme="minorHAnsi"/>
        </w:rPr>
        <w:t xml:space="preserve">opravljajo dejavnost in </w:t>
      </w:r>
      <w:r w:rsidR="00BA2A4B" w:rsidRPr="007E4326">
        <w:rPr>
          <w:rFonts w:cstheme="minorHAnsi"/>
        </w:rPr>
        <w:t>ugotavljajo davčno osnovo na podlagi normiranih odhodkov</w:t>
      </w:r>
      <w:r w:rsidR="007E4326" w:rsidRPr="007E4326">
        <w:rPr>
          <w:rFonts w:cstheme="minorHAnsi"/>
        </w:rPr>
        <w:t xml:space="preserve"> (v nadaljevanju: </w:t>
      </w:r>
      <w:proofErr w:type="spellStart"/>
      <w:r w:rsidR="007E4326" w:rsidRPr="007E4326">
        <w:rPr>
          <w:rFonts w:cstheme="minorHAnsi"/>
        </w:rPr>
        <w:t>normiranci</w:t>
      </w:r>
      <w:proofErr w:type="spellEnd"/>
      <w:r w:rsidR="007E4326" w:rsidRPr="007E4326">
        <w:rPr>
          <w:rFonts w:cstheme="minorHAnsi"/>
        </w:rPr>
        <w:t>)</w:t>
      </w:r>
      <w:r w:rsidR="00ED0AD0" w:rsidRPr="007E4326">
        <w:rPr>
          <w:rFonts w:cstheme="minorHAnsi"/>
        </w:rPr>
        <w:t xml:space="preserve"> </w:t>
      </w:r>
      <w:r w:rsidR="0010016A" w:rsidRPr="007E4326">
        <w:rPr>
          <w:rFonts w:cstheme="minorHAnsi"/>
        </w:rPr>
        <w:t xml:space="preserve">ter </w:t>
      </w:r>
      <w:r w:rsidR="00ED0AD0" w:rsidRPr="007E4326">
        <w:rPr>
          <w:rFonts w:cstheme="minorHAnsi"/>
        </w:rPr>
        <w:t xml:space="preserve">fizičnih oseb, ki opravljajo dejavnost </w:t>
      </w:r>
      <w:r w:rsidR="00E331F7" w:rsidRPr="007E4326">
        <w:rPr>
          <w:rFonts w:cstheme="minorHAnsi"/>
        </w:rPr>
        <w:t xml:space="preserve">in ugotavljajo davčno osnovo </w:t>
      </w:r>
      <w:r w:rsidR="00ED0AD0" w:rsidRPr="007E4326">
        <w:rPr>
          <w:rFonts w:cstheme="minorHAnsi"/>
        </w:rPr>
        <w:t>na podlagi dejanskih odhodkov in za njih ne velja obveznost javne objave podatkov o poslovanju</w:t>
      </w:r>
      <w:r w:rsidR="005326E8">
        <w:rPr>
          <w:rFonts w:cstheme="minorHAnsi"/>
        </w:rPr>
        <w:t xml:space="preserve"> (v nadaljevanju: dejanski, brez javne objave). Objavljeni so podatki o poslovanju v davčnih obdobjih 2021, 2022 in 2023</w:t>
      </w:r>
      <w:r w:rsidR="00031C30">
        <w:rPr>
          <w:rFonts w:cstheme="minorHAnsi"/>
        </w:rPr>
        <w:t xml:space="preserve">, ki jih je Finančna uprava prejela z davčnimi obračuni dohodnine in akontacije dohodnine od dohodka iz opravljanja dejavnosti (v nadaljevanju: davčni obračuni </w:t>
      </w:r>
      <w:proofErr w:type="spellStart"/>
      <w:r w:rsidR="00031C30">
        <w:rPr>
          <w:rFonts w:cstheme="minorHAnsi"/>
        </w:rPr>
        <w:t>DohDej</w:t>
      </w:r>
      <w:proofErr w:type="spellEnd"/>
      <w:r w:rsidR="00031C30">
        <w:rPr>
          <w:rFonts w:cstheme="minorHAnsi"/>
        </w:rPr>
        <w:t>)</w:t>
      </w:r>
      <w:r w:rsidR="005326E8">
        <w:rPr>
          <w:rFonts w:cstheme="minorHAnsi"/>
        </w:rPr>
        <w:t>.</w:t>
      </w:r>
    </w:p>
    <w:p w14:paraId="31E25533" w14:textId="34E14505" w:rsidR="003C4E33" w:rsidRPr="007E4326" w:rsidRDefault="005326E8" w:rsidP="00ED0AD0">
      <w:pPr>
        <w:jc w:val="both"/>
        <w:rPr>
          <w:rFonts w:cstheme="minorHAnsi"/>
        </w:rPr>
      </w:pPr>
      <w:r>
        <w:rPr>
          <w:rFonts w:cstheme="minorHAnsi"/>
        </w:rPr>
        <w:t xml:space="preserve">Pri </w:t>
      </w:r>
      <w:proofErr w:type="spellStart"/>
      <w:r>
        <w:rPr>
          <w:rFonts w:cstheme="minorHAnsi"/>
        </w:rPr>
        <w:t>normirancih</w:t>
      </w:r>
      <w:proofErr w:type="spellEnd"/>
      <w:r>
        <w:rPr>
          <w:rFonts w:cstheme="minorHAnsi"/>
        </w:rPr>
        <w:t xml:space="preserve"> tabela vključuje podatek o </w:t>
      </w:r>
      <w:r w:rsidR="003C4E33" w:rsidRPr="007E4326">
        <w:rPr>
          <w:rFonts w:cstheme="minorHAnsi"/>
        </w:rPr>
        <w:t>prihodkih</w:t>
      </w:r>
      <w:r>
        <w:rPr>
          <w:rFonts w:cstheme="minorHAnsi"/>
        </w:rPr>
        <w:t xml:space="preserve"> na podlagi računovodskih predpisov</w:t>
      </w:r>
      <w:r w:rsidR="003C4E33" w:rsidRPr="007E4326">
        <w:rPr>
          <w:rFonts w:cstheme="minorHAnsi"/>
        </w:rPr>
        <w:t>,</w:t>
      </w:r>
      <w:r w:rsidR="00031C30">
        <w:rPr>
          <w:rFonts w:cstheme="minorHAnsi"/>
        </w:rPr>
        <w:t xml:space="preserve"> p</w:t>
      </w:r>
      <w:r>
        <w:rPr>
          <w:rFonts w:cstheme="minorHAnsi"/>
        </w:rPr>
        <w:t xml:space="preserve">ri dejanskih brez javne objave </w:t>
      </w:r>
      <w:r w:rsidR="00031C30">
        <w:rPr>
          <w:rFonts w:cstheme="minorHAnsi"/>
        </w:rPr>
        <w:t>pa</w:t>
      </w:r>
      <w:r>
        <w:rPr>
          <w:rFonts w:cstheme="minorHAnsi"/>
        </w:rPr>
        <w:t xml:space="preserve"> vključuje podatek o </w:t>
      </w:r>
      <w:r w:rsidR="000F78BB">
        <w:rPr>
          <w:rFonts w:cstheme="minorHAnsi"/>
        </w:rPr>
        <w:t xml:space="preserve">prihodkih, odhodkih in dobičku ali izgubi na podlagi računovodskih predpisov. </w:t>
      </w:r>
      <w:r w:rsidR="00E3622C">
        <w:rPr>
          <w:rFonts w:cstheme="minorHAnsi"/>
        </w:rPr>
        <w:t>Pri obeh skupinah računovodske podatke dopolnjujejo podatki o vrsti</w:t>
      </w:r>
      <w:r w:rsidR="00E3622C" w:rsidRPr="007E4326">
        <w:rPr>
          <w:rFonts w:cstheme="minorHAnsi"/>
        </w:rPr>
        <w:t xml:space="preserve"> organizacijske oblike, regij</w:t>
      </w:r>
      <w:r w:rsidR="00E3622C">
        <w:rPr>
          <w:rFonts w:cstheme="minorHAnsi"/>
        </w:rPr>
        <w:t>i</w:t>
      </w:r>
      <w:r w:rsidR="00E3622C" w:rsidRPr="007E4326">
        <w:rPr>
          <w:rFonts w:cstheme="minorHAnsi"/>
        </w:rPr>
        <w:t xml:space="preserve"> in SKD</w:t>
      </w:r>
      <w:r w:rsidR="00E3622C">
        <w:rPr>
          <w:rFonts w:cstheme="minorHAnsi"/>
        </w:rPr>
        <w:t xml:space="preserve"> oddelku glavne dejavnosti.</w:t>
      </w:r>
    </w:p>
    <w:p w14:paraId="25FC5C4C" w14:textId="7FA195BC" w:rsidR="00BA2A4B" w:rsidRPr="007E4326" w:rsidRDefault="00BA2A4B" w:rsidP="00466D8D">
      <w:pPr>
        <w:jc w:val="both"/>
        <w:rPr>
          <w:rFonts w:cstheme="minorHAnsi"/>
        </w:rPr>
      </w:pPr>
      <w:r w:rsidRPr="007E4326">
        <w:rPr>
          <w:rFonts w:cstheme="minorHAnsi"/>
        </w:rPr>
        <w:t xml:space="preserve">V Sloveniji je na zadnji dan leta 2024 registriranih </w:t>
      </w:r>
      <w:r w:rsidRPr="007E4326">
        <w:rPr>
          <w:rFonts w:cstheme="minorHAnsi"/>
          <w:b/>
          <w:bCs/>
        </w:rPr>
        <w:t>135.978 fizičnih oseb, ki opravljajo dejavnost</w:t>
      </w:r>
      <w:r w:rsidRPr="007E4326">
        <w:rPr>
          <w:rFonts w:cstheme="minorHAnsi"/>
        </w:rPr>
        <w:t>, od tega j</w:t>
      </w:r>
      <w:r w:rsidR="00ED0AD0" w:rsidRPr="007E4326">
        <w:rPr>
          <w:rFonts w:cstheme="minorHAnsi"/>
        </w:rPr>
        <w:t>e</w:t>
      </w:r>
      <w:r w:rsidRPr="007E4326">
        <w:rPr>
          <w:rFonts w:cstheme="minorHAnsi"/>
        </w:rPr>
        <w:t xml:space="preserve"> 122.254 ali </w:t>
      </w:r>
      <w:r w:rsidRPr="007E4326">
        <w:rPr>
          <w:rFonts w:cstheme="minorHAnsi"/>
          <w:b/>
          <w:bCs/>
        </w:rPr>
        <w:t>90% samostojni</w:t>
      </w:r>
      <w:r w:rsidR="00ED0AD0" w:rsidRPr="007E4326">
        <w:rPr>
          <w:rFonts w:cstheme="minorHAnsi"/>
          <w:b/>
          <w:bCs/>
        </w:rPr>
        <w:t>h</w:t>
      </w:r>
      <w:r w:rsidRPr="007E4326">
        <w:rPr>
          <w:rFonts w:cstheme="minorHAnsi"/>
          <w:b/>
          <w:bCs/>
        </w:rPr>
        <w:t xml:space="preserve"> podjetnikov posameznikov</w:t>
      </w:r>
      <w:r w:rsidRPr="007E4326">
        <w:rPr>
          <w:rFonts w:cstheme="minorHAnsi"/>
        </w:rPr>
        <w:t xml:space="preserve">, ostalih 10% zavezancev </w:t>
      </w:r>
      <w:r w:rsidR="00ED0AD0" w:rsidRPr="007E4326">
        <w:rPr>
          <w:rFonts w:cstheme="minorHAnsi"/>
        </w:rPr>
        <w:t xml:space="preserve">pa </w:t>
      </w:r>
      <w:r w:rsidRPr="007E4326">
        <w:rPr>
          <w:rFonts w:cstheme="minorHAnsi"/>
        </w:rPr>
        <w:t>opravlja dejavnost kot samostojni poklic</w:t>
      </w:r>
      <w:r w:rsidR="00ED0AD0" w:rsidRPr="007E4326">
        <w:rPr>
          <w:rFonts w:cstheme="minorHAnsi"/>
        </w:rPr>
        <w:t xml:space="preserve"> oziroma v okviru druge vrste dejavnosti (sobodajalci, dopolnilno delo na kmetiji, ipd.).</w:t>
      </w:r>
    </w:p>
    <w:p w14:paraId="2A731CB0" w14:textId="000E8ACB" w:rsidR="00027C5D" w:rsidRDefault="00ED0AD0" w:rsidP="00441E94">
      <w:pPr>
        <w:jc w:val="both"/>
        <w:rPr>
          <w:rFonts w:cstheme="minorHAnsi"/>
        </w:rPr>
      </w:pPr>
      <w:r w:rsidRPr="007E4326">
        <w:rPr>
          <w:rFonts w:cstheme="minorHAnsi"/>
        </w:rPr>
        <w:t>Od 135.978 fizičnih oseb, ki opravljajo dejavnost</w:t>
      </w:r>
      <w:r w:rsidR="00466D8D" w:rsidRPr="007E4326">
        <w:rPr>
          <w:rFonts w:cstheme="minorHAnsi"/>
        </w:rPr>
        <w:t xml:space="preserve">, jih </w:t>
      </w:r>
      <w:r w:rsidR="00CD0701" w:rsidRPr="007E4326">
        <w:rPr>
          <w:rFonts w:cstheme="minorHAnsi"/>
        </w:rPr>
        <w:t xml:space="preserve">je konec leta 2024 že </w:t>
      </w:r>
      <w:r w:rsidR="00466D8D" w:rsidRPr="007E4326">
        <w:rPr>
          <w:rFonts w:cstheme="minorHAnsi"/>
          <w:b/>
          <w:bCs/>
        </w:rPr>
        <w:t>62,8% ugotavlja</w:t>
      </w:r>
      <w:r w:rsidR="001A2B68" w:rsidRPr="007E4326">
        <w:rPr>
          <w:rFonts w:cstheme="minorHAnsi"/>
          <w:b/>
          <w:bCs/>
        </w:rPr>
        <w:t>lo</w:t>
      </w:r>
      <w:r w:rsidR="00466D8D" w:rsidRPr="007E4326">
        <w:rPr>
          <w:rFonts w:cstheme="minorHAnsi"/>
          <w:b/>
          <w:bCs/>
        </w:rPr>
        <w:t xml:space="preserve"> davčno osnovo na podlagi normiranih odhodkov</w:t>
      </w:r>
      <w:r w:rsidR="00466D8D" w:rsidRPr="007E4326">
        <w:rPr>
          <w:rFonts w:cstheme="minorHAnsi"/>
        </w:rPr>
        <w:t>. Ti zavezanci niso zavezani k javni objavi podatkov o svojem poslovanju. Ker predstavljajo iz leta v leto večji delež med vsemi fizičnimi osebami z dejavnostjo</w:t>
      </w:r>
      <w:r w:rsidR="00441E94" w:rsidRPr="007E4326">
        <w:rPr>
          <w:rFonts w:cstheme="minorHAnsi"/>
        </w:rPr>
        <w:t xml:space="preserve">, se je Finančna uprava RS odločila za </w:t>
      </w:r>
      <w:r w:rsidR="00441E94" w:rsidRPr="007E4326">
        <w:rPr>
          <w:rFonts w:cstheme="minorHAnsi"/>
          <w:b/>
          <w:bCs/>
        </w:rPr>
        <w:t>objavo razosebljenih podatkov o prihodkih</w:t>
      </w:r>
      <w:r w:rsidR="00441E94" w:rsidRPr="007E4326">
        <w:rPr>
          <w:rFonts w:cstheme="minorHAnsi"/>
        </w:rPr>
        <w:t xml:space="preserve">, ki jih na podlagi računovodskih pravil, dosegajo ti zavezanci, in so izkazani v predloženih davčnih obračunih </w:t>
      </w:r>
      <w:proofErr w:type="spellStart"/>
      <w:r w:rsidR="00441E94" w:rsidRPr="007E4326">
        <w:rPr>
          <w:rFonts w:cstheme="minorHAnsi"/>
        </w:rPr>
        <w:t>DohDej</w:t>
      </w:r>
      <w:proofErr w:type="spellEnd"/>
      <w:r w:rsidR="00441E94" w:rsidRPr="007E4326">
        <w:rPr>
          <w:rFonts w:cstheme="minorHAnsi"/>
        </w:rPr>
        <w:t xml:space="preserve"> za zadnja tri leta in so na voljo na tej </w:t>
      </w:r>
      <w:hyperlink r:id="rId6" w:anchor="c4622" w:history="1">
        <w:r w:rsidR="00441E94" w:rsidRPr="00027C5D">
          <w:rPr>
            <w:rStyle w:val="Hiperpovezava"/>
            <w:rFonts w:cstheme="minorHAnsi"/>
          </w:rPr>
          <w:t>povezavi</w:t>
        </w:r>
      </w:hyperlink>
      <w:r w:rsidR="00441E94" w:rsidRPr="00027C5D">
        <w:rPr>
          <w:rFonts w:cstheme="minorHAnsi"/>
        </w:rPr>
        <w:t>.</w:t>
      </w:r>
      <w:r w:rsidR="0066582A" w:rsidRPr="00027C5D">
        <w:rPr>
          <w:rFonts w:cstheme="minorHAnsi"/>
        </w:rPr>
        <w:t xml:space="preserve"> Podatki </w:t>
      </w:r>
      <w:r w:rsidR="00027C5D" w:rsidRPr="00027C5D">
        <w:rPr>
          <w:rFonts w:cstheme="minorHAnsi"/>
        </w:rPr>
        <w:t>so</w:t>
      </w:r>
      <w:r w:rsidR="0066582A" w:rsidRPr="00027C5D">
        <w:rPr>
          <w:rFonts w:cstheme="minorHAnsi"/>
        </w:rPr>
        <w:t xml:space="preserve"> objavljeni tudi na odprtem portalu OPSI</w:t>
      </w:r>
      <w:r w:rsidR="00027C5D" w:rsidRPr="00027C5D">
        <w:rPr>
          <w:rFonts w:cstheme="minorHAnsi"/>
        </w:rPr>
        <w:t xml:space="preserve"> </w:t>
      </w:r>
      <w:r w:rsidR="00F711B2">
        <w:rPr>
          <w:rFonts w:cstheme="minorHAnsi"/>
        </w:rPr>
        <w:t xml:space="preserve">na povezavah </w:t>
      </w:r>
      <w:hyperlink r:id="rId7" w:history="1">
        <w:r w:rsidR="00516774" w:rsidRPr="00C90D83">
          <w:rPr>
            <w:rStyle w:val="Hiperpovezava"/>
            <w:kern w:val="0"/>
            <w14:ligatures w14:val="none"/>
          </w:rPr>
          <w:t>OPSI portal – FOD normirani</w:t>
        </w:r>
      </w:hyperlink>
      <w:r w:rsidR="00516774">
        <w:rPr>
          <w:kern w:val="0"/>
          <w14:ligatures w14:val="none"/>
        </w:rPr>
        <w:t xml:space="preserve"> in </w:t>
      </w:r>
      <w:hyperlink r:id="rId8" w:history="1">
        <w:r w:rsidR="00516774" w:rsidRPr="00516774">
          <w:rPr>
            <w:rStyle w:val="Hiperpovezava"/>
            <w:kern w:val="0"/>
            <w14:ligatures w14:val="none"/>
          </w:rPr>
          <w:t>OPSI portal - FOD dejanski</w:t>
        </w:r>
      </w:hyperlink>
    </w:p>
    <w:p w14:paraId="1F8D7DA5" w14:textId="1D20572B" w:rsidR="00060091" w:rsidRDefault="00060091" w:rsidP="00441E94">
      <w:pPr>
        <w:jc w:val="both"/>
        <w:rPr>
          <w:rFonts w:cstheme="minorHAnsi"/>
        </w:rPr>
      </w:pPr>
      <w:r w:rsidRPr="007E4326">
        <w:rPr>
          <w:rFonts w:cstheme="minorHAnsi"/>
        </w:rPr>
        <w:t xml:space="preserve">Na navedeni povezavi so objavljeni tudi </w:t>
      </w:r>
      <w:r w:rsidRPr="007E4326">
        <w:rPr>
          <w:rFonts w:cstheme="minorHAnsi"/>
          <w:b/>
          <w:bCs/>
        </w:rPr>
        <w:t>razosebljeni podatki o poslovanju fizičnih oseb, ki ugotavljajo davčno osnovo na podlagi dejanskih prihodkov in dejanskih odhodkov</w:t>
      </w:r>
      <w:r w:rsidRPr="007E4326">
        <w:rPr>
          <w:rFonts w:cstheme="minorHAnsi"/>
        </w:rPr>
        <w:t xml:space="preserve"> (podatki o prihodkih, odhodkih in razliki, </w:t>
      </w:r>
      <w:proofErr w:type="spellStart"/>
      <w:r w:rsidRPr="007E4326">
        <w:rPr>
          <w:rFonts w:cstheme="minorHAnsi"/>
        </w:rPr>
        <w:t>t.j</w:t>
      </w:r>
      <w:proofErr w:type="spellEnd"/>
      <w:r w:rsidRPr="007E4326">
        <w:rPr>
          <w:rFonts w:cstheme="minorHAnsi"/>
        </w:rPr>
        <w:t xml:space="preserve">. dobičku oziroma izgubi), </w:t>
      </w:r>
      <w:r w:rsidRPr="007E4326">
        <w:rPr>
          <w:rFonts w:cstheme="minorHAnsi"/>
          <w:b/>
          <w:bCs/>
        </w:rPr>
        <w:t>vendar dejavnosti ne opravljajo kot samostojni podjetniki posamezniki</w:t>
      </w:r>
      <w:r w:rsidRPr="007E4326">
        <w:rPr>
          <w:rFonts w:cstheme="minorHAnsi"/>
        </w:rPr>
        <w:t>, ampak v okviru druge vrste dejavnosti. Tudi navedeni zavezanci namreč niso zavezani k javni objavi podatkov o svojem poslovanju.</w:t>
      </w:r>
    </w:p>
    <w:p w14:paraId="351A4ED2" w14:textId="77777777" w:rsidR="00FA14DE" w:rsidRPr="007E4326" w:rsidRDefault="00FA14DE" w:rsidP="00FA14DE">
      <w:pPr>
        <w:jc w:val="both"/>
        <w:rPr>
          <w:rFonts w:cstheme="minorHAnsi"/>
          <w:b/>
          <w:bCs/>
        </w:rPr>
      </w:pPr>
      <w:r w:rsidRPr="007E4326">
        <w:rPr>
          <w:rFonts w:cstheme="minorHAnsi"/>
        </w:rPr>
        <w:t xml:space="preserve">Podatki za </w:t>
      </w:r>
      <w:r>
        <w:rPr>
          <w:rFonts w:cstheme="minorHAnsi"/>
        </w:rPr>
        <w:t xml:space="preserve">preteklo </w:t>
      </w:r>
      <w:r w:rsidRPr="007E4326">
        <w:rPr>
          <w:rFonts w:cstheme="minorHAnsi"/>
        </w:rPr>
        <w:t xml:space="preserve">leto bodo objavljeni po 31. </w:t>
      </w:r>
      <w:r>
        <w:rPr>
          <w:rFonts w:cstheme="minorHAnsi"/>
        </w:rPr>
        <w:t>5</w:t>
      </w:r>
      <w:r w:rsidRPr="007E4326">
        <w:rPr>
          <w:rFonts w:cstheme="minorHAnsi"/>
        </w:rPr>
        <w:t xml:space="preserve">. </w:t>
      </w:r>
      <w:r>
        <w:rPr>
          <w:rFonts w:cstheme="minorHAnsi"/>
        </w:rPr>
        <w:t>tekočega leta,</w:t>
      </w:r>
      <w:r w:rsidRPr="007E4326">
        <w:rPr>
          <w:rFonts w:cstheme="minorHAnsi"/>
        </w:rPr>
        <w:t xml:space="preserve"> ko</w:t>
      </w:r>
      <w:r>
        <w:rPr>
          <w:rFonts w:cstheme="minorHAnsi"/>
        </w:rPr>
        <w:t xml:space="preserve"> Finančna uprava po</w:t>
      </w:r>
      <w:r w:rsidRPr="007E4326">
        <w:rPr>
          <w:rFonts w:cstheme="minorHAnsi"/>
        </w:rPr>
        <w:t xml:space="preserve"> rok</w:t>
      </w:r>
      <w:r>
        <w:rPr>
          <w:rFonts w:cstheme="minorHAnsi"/>
        </w:rPr>
        <w:t>u</w:t>
      </w:r>
      <w:r w:rsidRPr="007E4326">
        <w:rPr>
          <w:rFonts w:cstheme="minorHAnsi"/>
        </w:rPr>
        <w:t xml:space="preserve"> za oddajo obračunov </w:t>
      </w:r>
      <w:proofErr w:type="spellStart"/>
      <w:r w:rsidRPr="007E4326">
        <w:rPr>
          <w:rFonts w:cstheme="minorHAnsi"/>
        </w:rPr>
        <w:t>DohDej</w:t>
      </w:r>
      <w:proofErr w:type="spellEnd"/>
      <w:r w:rsidRPr="007E4326">
        <w:rPr>
          <w:rFonts w:cstheme="minorHAnsi"/>
        </w:rPr>
        <w:t xml:space="preserve"> za </w:t>
      </w:r>
      <w:r>
        <w:rPr>
          <w:rFonts w:cstheme="minorHAnsi"/>
        </w:rPr>
        <w:t xml:space="preserve">preteklo </w:t>
      </w:r>
      <w:r w:rsidRPr="007E4326">
        <w:rPr>
          <w:rFonts w:cstheme="minorHAnsi"/>
        </w:rPr>
        <w:t xml:space="preserve">leto </w:t>
      </w:r>
      <w:r>
        <w:rPr>
          <w:rFonts w:cstheme="minorHAnsi"/>
        </w:rPr>
        <w:t>prejme še pretežni del popravkov obračunov in obračunov z zamudo</w:t>
      </w:r>
      <w:r w:rsidRPr="007E4326">
        <w:rPr>
          <w:rFonts w:cstheme="minorHAnsi"/>
        </w:rPr>
        <w:t>.</w:t>
      </w:r>
    </w:p>
    <w:p w14:paraId="4CFA001F" w14:textId="2DE3944F" w:rsidR="0026070F" w:rsidRDefault="0026070F">
      <w:pPr>
        <w:rPr>
          <w:rFonts w:cstheme="minorHAnsi"/>
        </w:rPr>
      </w:pPr>
      <w:r>
        <w:rPr>
          <w:rFonts w:cstheme="minorHAnsi"/>
        </w:rPr>
        <w:br w:type="page"/>
      </w:r>
    </w:p>
    <w:p w14:paraId="16AC5D43" w14:textId="33629010" w:rsidR="00441E94" w:rsidRPr="007E4326" w:rsidRDefault="0026070F">
      <w:pPr>
        <w:rPr>
          <w:rFonts w:cstheme="minorHAnsi"/>
        </w:rPr>
      </w:pPr>
      <w:r w:rsidRPr="00E44F8A">
        <w:rPr>
          <w:rFonts w:cstheme="minorHAnsi"/>
          <w:b/>
          <w:bCs/>
        </w:rPr>
        <w:lastRenderedPageBreak/>
        <w:t>GRAF 1:</w:t>
      </w:r>
      <w:r w:rsidR="00BA2D5E">
        <w:rPr>
          <w:rFonts w:cstheme="minorHAnsi"/>
        </w:rPr>
        <w:t xml:space="preserve"> </w:t>
      </w:r>
      <w:r>
        <w:rPr>
          <w:rFonts w:cstheme="minorHAnsi"/>
        </w:rPr>
        <w:t>Š</w:t>
      </w:r>
      <w:r w:rsidR="0066582A" w:rsidRPr="007E4326">
        <w:rPr>
          <w:rFonts w:cstheme="minorHAnsi"/>
        </w:rPr>
        <w:t>tevil</w:t>
      </w:r>
      <w:r>
        <w:rPr>
          <w:rFonts w:cstheme="minorHAnsi"/>
        </w:rPr>
        <w:t>o</w:t>
      </w:r>
      <w:r w:rsidR="0066582A" w:rsidRPr="007E4326">
        <w:rPr>
          <w:rFonts w:cstheme="minorHAnsi"/>
        </w:rPr>
        <w:t xml:space="preserve"> oddanih obračunov </w:t>
      </w:r>
      <w:proofErr w:type="spellStart"/>
      <w:r w:rsidR="0066582A" w:rsidRPr="007E4326">
        <w:rPr>
          <w:rFonts w:cstheme="minorHAnsi"/>
        </w:rPr>
        <w:t>DohDej</w:t>
      </w:r>
      <w:proofErr w:type="spellEnd"/>
      <w:r w:rsidR="0066582A" w:rsidRPr="007E4326">
        <w:rPr>
          <w:rFonts w:cstheme="minorHAnsi"/>
        </w:rPr>
        <w:t>, ločeno po zavezancih, ki ugotavljajo davčno osnovo na podlagi dejanskih prihodkov in dejanskih odhodkov ter na podlagi dejanskih prihodkov in normiranih odhodkov, po letih, od 2019 dalje:</w:t>
      </w:r>
    </w:p>
    <w:p w14:paraId="470FD6B6" w14:textId="03CCB984" w:rsidR="00441E94" w:rsidRPr="007E4326" w:rsidRDefault="00441E94">
      <w:pPr>
        <w:rPr>
          <w:rFonts w:cstheme="minorHAnsi"/>
        </w:rPr>
      </w:pPr>
      <w:r w:rsidRPr="007E4326">
        <w:rPr>
          <w:rFonts w:cstheme="minorHAnsi"/>
          <w:noProof/>
        </w:rPr>
        <w:drawing>
          <wp:inline distT="0" distB="0" distL="0" distR="0" wp14:anchorId="5FF5A3B0" wp14:editId="585314EA">
            <wp:extent cx="5105400" cy="2590800"/>
            <wp:effectExtent l="0" t="0" r="0" b="0"/>
            <wp:docPr id="235931780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A5EACFF8-D708-6C41-9B91-3DEF8C9CE25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AE94B71" w14:textId="79053FC4" w:rsidR="004E6312" w:rsidRDefault="004E6312" w:rsidP="0041429A">
      <w:pPr>
        <w:pStyle w:val="Navadensplet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BA2D5E"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Iz zgornjega grafa je razvidno, da število oddanih obračunov </w:t>
      </w:r>
      <w:proofErr w:type="spellStart"/>
      <w:r w:rsidRPr="00BA2D5E"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  <w:t>DohDej</w:t>
      </w:r>
      <w:proofErr w:type="spellEnd"/>
      <w:r w:rsidRPr="00BA2D5E"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– normirani odhodki postopoma raste. Na primer, leta 2019 je bilo oddanih 60.061 obračunov, medtem ko jih je </w:t>
      </w:r>
      <w:r w:rsidR="0041429A"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bilo </w:t>
      </w:r>
      <w:r w:rsidRPr="00BA2D5E"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leta 2023 </w:t>
      </w:r>
      <w:r w:rsidR="0041429A"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oddanih </w:t>
      </w:r>
      <w:r w:rsidRPr="00BA2D5E"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že 85.775. </w:t>
      </w:r>
      <w:r w:rsidR="0041429A"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Leta 2023 je </w:t>
      </w:r>
      <w:r w:rsidRPr="00BA2D5E"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59 </w:t>
      </w:r>
      <w:r w:rsidR="0041429A"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  <w:t>odstotkov</w:t>
      </w:r>
      <w:r w:rsidRPr="00BA2D5E"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obračunov pripada</w:t>
      </w:r>
      <w:r w:rsidR="0041429A"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  <w:t>lo</w:t>
      </w:r>
      <w:r w:rsidRPr="00BA2D5E"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zavezancem z normiranimi odhodki, preostanek pa zavezancem z dejanskimi odhodki. Število obračunov </w:t>
      </w:r>
      <w:proofErr w:type="spellStart"/>
      <w:r w:rsidRPr="00BA2D5E"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  <w:t>DohDej</w:t>
      </w:r>
      <w:proofErr w:type="spellEnd"/>
      <w:r w:rsidRPr="00BA2D5E"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  <w:t xml:space="preserve"> – dejanski odhodki se skozi leta ne spreminja bistveno.</w:t>
      </w:r>
    </w:p>
    <w:p w14:paraId="35700369" w14:textId="77777777" w:rsidR="00BA2D5E" w:rsidRPr="00BA2D5E" w:rsidRDefault="00BA2D5E" w:rsidP="00BA2D5E">
      <w:pPr>
        <w:pStyle w:val="Navadensplet"/>
        <w:jc w:val="both"/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</w:pPr>
    </w:p>
    <w:p w14:paraId="412794EC" w14:textId="3C47732C" w:rsidR="0066582A" w:rsidRPr="007E4326" w:rsidRDefault="0026070F" w:rsidP="00BA2D5E">
      <w:pPr>
        <w:rPr>
          <w:rFonts w:cstheme="minorHAnsi"/>
        </w:rPr>
      </w:pPr>
      <w:r w:rsidRPr="00E44F8A">
        <w:rPr>
          <w:rFonts w:cstheme="minorHAnsi"/>
          <w:b/>
          <w:bCs/>
        </w:rPr>
        <w:t>GRAF 2:</w:t>
      </w:r>
      <w:r w:rsidR="00BA2D5E">
        <w:rPr>
          <w:rFonts w:cstheme="minorHAnsi"/>
        </w:rPr>
        <w:t xml:space="preserve"> </w:t>
      </w:r>
      <w:r>
        <w:rPr>
          <w:rFonts w:cstheme="minorHAnsi"/>
        </w:rPr>
        <w:t>S</w:t>
      </w:r>
      <w:r w:rsidR="0066582A" w:rsidRPr="007E4326">
        <w:rPr>
          <w:rFonts w:cstheme="minorHAnsi"/>
        </w:rPr>
        <w:t>kupn</w:t>
      </w:r>
      <w:r>
        <w:rPr>
          <w:rFonts w:cstheme="minorHAnsi"/>
        </w:rPr>
        <w:t>i</w:t>
      </w:r>
      <w:r w:rsidR="0066582A" w:rsidRPr="007E4326">
        <w:rPr>
          <w:rFonts w:cstheme="minorHAnsi"/>
        </w:rPr>
        <w:t xml:space="preserve"> znes</w:t>
      </w:r>
      <w:r>
        <w:rPr>
          <w:rFonts w:cstheme="minorHAnsi"/>
        </w:rPr>
        <w:t>ek</w:t>
      </w:r>
      <w:r w:rsidR="0066582A" w:rsidRPr="007E4326">
        <w:rPr>
          <w:rFonts w:cstheme="minorHAnsi"/>
        </w:rPr>
        <w:t xml:space="preserve"> prihodkov, ugotovljenih na podlagi računovodskih pravil, iz obračuna </w:t>
      </w:r>
      <w:proofErr w:type="spellStart"/>
      <w:r w:rsidR="0066582A" w:rsidRPr="007E4326">
        <w:rPr>
          <w:rFonts w:cstheme="minorHAnsi"/>
        </w:rPr>
        <w:t>DohDej</w:t>
      </w:r>
      <w:proofErr w:type="spellEnd"/>
      <w:r w:rsidR="0066582A" w:rsidRPr="007E4326">
        <w:rPr>
          <w:rFonts w:cstheme="minorHAnsi"/>
        </w:rPr>
        <w:t>, ločeno po zavezancih, ki ugotavljajo davčno osnovo na podlagi dejanskih prihodkov in dejanskih odhodkov ter na podlagi dejanskih prihodkov in normiranih odhodkov, po letih, od 2019 dalje:</w:t>
      </w:r>
    </w:p>
    <w:p w14:paraId="36BA7214" w14:textId="0B20119A" w:rsidR="00ED0AD0" w:rsidRDefault="00441E94">
      <w:pPr>
        <w:rPr>
          <w:rFonts w:cstheme="minorHAnsi"/>
        </w:rPr>
      </w:pPr>
      <w:r w:rsidRPr="007E4326">
        <w:rPr>
          <w:rFonts w:cstheme="minorHAnsi"/>
          <w:noProof/>
        </w:rPr>
        <w:drawing>
          <wp:inline distT="0" distB="0" distL="0" distR="0" wp14:anchorId="684FF159" wp14:editId="76E2B7A0">
            <wp:extent cx="5124450" cy="2847975"/>
            <wp:effectExtent l="0" t="0" r="0" b="9525"/>
            <wp:docPr id="1073085175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33F9D72E-3562-410B-24A9-DC637AD0881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FC8DA79" w14:textId="57E32016" w:rsidR="004E6312" w:rsidRPr="00BA2D5E" w:rsidRDefault="004E6312" w:rsidP="00BA2D5E">
      <w:pPr>
        <w:jc w:val="both"/>
        <w:rPr>
          <w:sz w:val="20"/>
          <w:szCs w:val="20"/>
        </w:rPr>
      </w:pPr>
      <w:r w:rsidRPr="00BA2D5E">
        <w:rPr>
          <w:sz w:val="20"/>
          <w:szCs w:val="20"/>
        </w:rPr>
        <w:t xml:space="preserve">Iz grafa je razvidno, da je leta 2019 skupni znesek prihodkov </w:t>
      </w:r>
      <w:proofErr w:type="spellStart"/>
      <w:r w:rsidRPr="00BA2D5E">
        <w:rPr>
          <w:sz w:val="20"/>
          <w:szCs w:val="20"/>
        </w:rPr>
        <w:t>DohDej</w:t>
      </w:r>
      <w:proofErr w:type="spellEnd"/>
      <w:r w:rsidRPr="00BA2D5E">
        <w:rPr>
          <w:sz w:val="20"/>
          <w:szCs w:val="20"/>
        </w:rPr>
        <w:t xml:space="preserve"> – dejanski </w:t>
      </w:r>
      <w:r w:rsidR="00A24A35">
        <w:rPr>
          <w:sz w:val="20"/>
          <w:szCs w:val="20"/>
        </w:rPr>
        <w:t>odhodki</w:t>
      </w:r>
      <w:r w:rsidRPr="00BA2D5E">
        <w:rPr>
          <w:sz w:val="20"/>
          <w:szCs w:val="20"/>
        </w:rPr>
        <w:t xml:space="preserve"> znašal skoraj 6 milijard evrov, leta 2023 pa 7,2 milijardi evrov. Povečujejo se tudi prihodki iz naslova </w:t>
      </w:r>
      <w:proofErr w:type="spellStart"/>
      <w:r w:rsidRPr="00BA2D5E">
        <w:rPr>
          <w:sz w:val="20"/>
          <w:szCs w:val="20"/>
        </w:rPr>
        <w:t>DohDe</w:t>
      </w:r>
      <w:r w:rsidR="00BA2D5E" w:rsidRPr="00BA2D5E">
        <w:rPr>
          <w:sz w:val="20"/>
          <w:szCs w:val="20"/>
        </w:rPr>
        <w:t>j</w:t>
      </w:r>
      <w:proofErr w:type="spellEnd"/>
      <w:r w:rsidR="00BA2D5E" w:rsidRPr="00BA2D5E">
        <w:rPr>
          <w:sz w:val="20"/>
          <w:szCs w:val="20"/>
        </w:rPr>
        <w:t xml:space="preserve"> – normirani odhodki. Leta 2019 so znašali v skupni vrednosti 1,4 milijarde evrov, leta 2023 pa skoraj 2,3 milijarde evrov.  </w:t>
      </w:r>
      <w:r w:rsidRPr="00BA2D5E">
        <w:rPr>
          <w:sz w:val="20"/>
          <w:szCs w:val="20"/>
        </w:rPr>
        <w:t xml:space="preserve"> </w:t>
      </w:r>
    </w:p>
    <w:p w14:paraId="2A5A7C89" w14:textId="62393B5A" w:rsidR="004E6312" w:rsidRDefault="004E6312">
      <w:pPr>
        <w:rPr>
          <w:rFonts w:cstheme="minorHAnsi"/>
        </w:rPr>
        <w:sectPr w:rsidR="004E631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463C944" w14:textId="1652176E" w:rsidR="00060091" w:rsidRPr="007E4326" w:rsidRDefault="00031C30" w:rsidP="00060091">
      <w:pPr>
        <w:rPr>
          <w:rFonts w:cstheme="minorHAnsi"/>
        </w:rPr>
      </w:pPr>
      <w:r w:rsidRPr="00E44F8A">
        <w:rPr>
          <w:rFonts w:cstheme="minorHAnsi"/>
          <w:b/>
          <w:bCs/>
        </w:rPr>
        <w:lastRenderedPageBreak/>
        <w:t>GRAF 3:</w:t>
      </w:r>
      <w:r w:rsidR="00BA2D5E">
        <w:rPr>
          <w:rFonts w:cstheme="minorHAnsi"/>
        </w:rPr>
        <w:t xml:space="preserve"> </w:t>
      </w:r>
      <w:r>
        <w:rPr>
          <w:rFonts w:cstheme="minorHAnsi"/>
        </w:rPr>
        <w:t>Š</w:t>
      </w:r>
      <w:r w:rsidR="00060091" w:rsidRPr="007E4326">
        <w:rPr>
          <w:rFonts w:cstheme="minorHAnsi"/>
        </w:rPr>
        <w:t>tevil</w:t>
      </w:r>
      <w:r>
        <w:rPr>
          <w:rFonts w:cstheme="minorHAnsi"/>
        </w:rPr>
        <w:t>o</w:t>
      </w:r>
      <w:r w:rsidR="00060091" w:rsidRPr="007E4326">
        <w:rPr>
          <w:rFonts w:cstheme="minorHAnsi"/>
        </w:rPr>
        <w:t xml:space="preserve"> oddanih obračunov </w:t>
      </w:r>
      <w:proofErr w:type="spellStart"/>
      <w:r w:rsidR="00060091" w:rsidRPr="007E4326">
        <w:rPr>
          <w:rFonts w:cstheme="minorHAnsi"/>
        </w:rPr>
        <w:t>DohDej</w:t>
      </w:r>
      <w:proofErr w:type="spellEnd"/>
      <w:r w:rsidR="00060091" w:rsidRPr="007E4326">
        <w:rPr>
          <w:rFonts w:cstheme="minorHAnsi"/>
        </w:rPr>
        <w:t xml:space="preserve"> zavezancev, ki ugotavljajo davčno osnovo na podlagi dejanskih prihodkov in normiranih odhodkov, po področjih dejavnosti, za zadnja tri leta:</w:t>
      </w:r>
    </w:p>
    <w:p w14:paraId="70F366EC" w14:textId="0F324D6F" w:rsidR="00BA2A4B" w:rsidRPr="007E4326" w:rsidRDefault="00060091">
      <w:pPr>
        <w:rPr>
          <w:rFonts w:cstheme="minorHAnsi"/>
        </w:rPr>
      </w:pPr>
      <w:r w:rsidRPr="007E4326">
        <w:rPr>
          <w:rFonts w:cstheme="minorHAnsi"/>
          <w:noProof/>
        </w:rPr>
        <w:drawing>
          <wp:inline distT="0" distB="0" distL="0" distR="0" wp14:anchorId="17D161FC" wp14:editId="01ABB286">
            <wp:extent cx="8229600" cy="4581525"/>
            <wp:effectExtent l="0" t="0" r="0" b="9525"/>
            <wp:docPr id="865314041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2A1DA914-71F0-B5BF-2F5A-5FA22269F64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4F572CB" w14:textId="32EC5DED" w:rsidR="00BA2D5E" w:rsidRDefault="00BA2D5E" w:rsidP="00F54642">
      <w:pPr>
        <w:rPr>
          <w:rFonts w:cstheme="minorHAnsi"/>
        </w:rPr>
      </w:pPr>
      <w:r>
        <w:t xml:space="preserve">Iz zgornjega grafa je razvidno, da je največ obračunov izdanih s področja strokovnih, znanstvenih in tehničnih dejavnosti. </w:t>
      </w:r>
    </w:p>
    <w:p w14:paraId="2F197029" w14:textId="77777777" w:rsidR="00BA2D5E" w:rsidRDefault="00BA2D5E" w:rsidP="00F54642">
      <w:pPr>
        <w:rPr>
          <w:rFonts w:cstheme="minorHAnsi"/>
        </w:rPr>
      </w:pPr>
    </w:p>
    <w:p w14:paraId="048E5ACC" w14:textId="13724ABC" w:rsidR="00F54642" w:rsidRDefault="00F54642">
      <w:pPr>
        <w:rPr>
          <w:rFonts w:cstheme="minorHAnsi"/>
        </w:rPr>
      </w:pPr>
      <w:r w:rsidRPr="00E44F8A">
        <w:rPr>
          <w:rFonts w:cstheme="minorHAnsi"/>
          <w:b/>
          <w:bCs/>
        </w:rPr>
        <w:lastRenderedPageBreak/>
        <w:t>GRAF 4:</w:t>
      </w:r>
      <w:r w:rsidR="00BA2D5E">
        <w:rPr>
          <w:rFonts w:cstheme="minorHAnsi"/>
        </w:rPr>
        <w:t xml:space="preserve"> </w:t>
      </w:r>
      <w:r>
        <w:rPr>
          <w:rFonts w:cstheme="minorHAnsi"/>
        </w:rPr>
        <w:t xml:space="preserve">Povprečni prihodki </w:t>
      </w:r>
      <w:r w:rsidRPr="007E4326">
        <w:rPr>
          <w:rFonts w:cstheme="minorHAnsi"/>
        </w:rPr>
        <w:t>zavezancev</w:t>
      </w:r>
      <w:r>
        <w:rPr>
          <w:rFonts w:cstheme="minorHAnsi"/>
        </w:rPr>
        <w:t xml:space="preserve"> v EUR</w:t>
      </w:r>
      <w:r w:rsidRPr="007E4326">
        <w:rPr>
          <w:rFonts w:cstheme="minorHAnsi"/>
        </w:rPr>
        <w:t>, ki ugotavljajo davčno osnovo na podlagi dejanskih prihodkov in normiranih odhodkov, po področjih dejavnosti, za zadnja tri leta:</w:t>
      </w:r>
    </w:p>
    <w:p w14:paraId="36619D69" w14:textId="5917A89C" w:rsidR="00F54642" w:rsidRDefault="00F54642">
      <w:pPr>
        <w:rPr>
          <w:rFonts w:cstheme="minorHAnsi"/>
        </w:rPr>
      </w:pPr>
      <w:r>
        <w:rPr>
          <w:noProof/>
        </w:rPr>
        <w:drawing>
          <wp:inline distT="0" distB="0" distL="0" distR="0" wp14:anchorId="574E757B" wp14:editId="1AD1593D">
            <wp:extent cx="8229600" cy="4461741"/>
            <wp:effectExtent l="0" t="0" r="0" b="0"/>
            <wp:docPr id="34647224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6250" cy="4481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A57EB" w14:textId="668DAB4B" w:rsidR="004E6312" w:rsidRDefault="00BA2D5E" w:rsidP="001D5E66">
      <w:pPr>
        <w:rPr>
          <w:rFonts w:cstheme="minorHAnsi"/>
        </w:rPr>
      </w:pPr>
      <w:r>
        <w:t xml:space="preserve">Iz zgornjega grafa je razvidno, da so </w:t>
      </w:r>
      <w:r w:rsidR="001D5E66">
        <w:t>bili v letu 2021 najvišji povprečni dohodki v dejavnosti oskrbe z vodo, ravnanju z odpadnimi odplakami ter saniranja okolja, leta 2023 pa v dejavnosti finančne in zavarovalne dejavnosti.</w:t>
      </w:r>
    </w:p>
    <w:p w14:paraId="20EE0E29" w14:textId="77777777" w:rsidR="004E6312" w:rsidRPr="007E4326" w:rsidRDefault="004E6312">
      <w:pPr>
        <w:rPr>
          <w:rFonts w:cstheme="minorHAnsi"/>
        </w:rPr>
      </w:pPr>
    </w:p>
    <w:sectPr w:rsidR="004E6312" w:rsidRPr="007E4326" w:rsidSect="00F5464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23F50"/>
    <w:multiLevelType w:val="multilevel"/>
    <w:tmpl w:val="1DD28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5457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A4B"/>
    <w:rsid w:val="00003FC6"/>
    <w:rsid w:val="0000749B"/>
    <w:rsid w:val="00027C5D"/>
    <w:rsid w:val="00031C30"/>
    <w:rsid w:val="00060091"/>
    <w:rsid w:val="000F78BB"/>
    <w:rsid w:val="0010016A"/>
    <w:rsid w:val="00101565"/>
    <w:rsid w:val="001A2B68"/>
    <w:rsid w:val="001B72A8"/>
    <w:rsid w:val="001D5E66"/>
    <w:rsid w:val="0026070F"/>
    <w:rsid w:val="00262D82"/>
    <w:rsid w:val="0027706A"/>
    <w:rsid w:val="003C4E33"/>
    <w:rsid w:val="0041429A"/>
    <w:rsid w:val="00441E94"/>
    <w:rsid w:val="00466D8D"/>
    <w:rsid w:val="004B1669"/>
    <w:rsid w:val="004E6312"/>
    <w:rsid w:val="00516774"/>
    <w:rsid w:val="005326E8"/>
    <w:rsid w:val="005B7664"/>
    <w:rsid w:val="00631FCA"/>
    <w:rsid w:val="0066582A"/>
    <w:rsid w:val="00732233"/>
    <w:rsid w:val="007E4326"/>
    <w:rsid w:val="00922F03"/>
    <w:rsid w:val="00A24A35"/>
    <w:rsid w:val="00A9412E"/>
    <w:rsid w:val="00AA213A"/>
    <w:rsid w:val="00B31E32"/>
    <w:rsid w:val="00BA2A4B"/>
    <w:rsid w:val="00BA2D5E"/>
    <w:rsid w:val="00BF5321"/>
    <w:rsid w:val="00C90D83"/>
    <w:rsid w:val="00C9360A"/>
    <w:rsid w:val="00CD0701"/>
    <w:rsid w:val="00E331F7"/>
    <w:rsid w:val="00E3622C"/>
    <w:rsid w:val="00E44F8A"/>
    <w:rsid w:val="00EC2669"/>
    <w:rsid w:val="00ED0AD0"/>
    <w:rsid w:val="00F54642"/>
    <w:rsid w:val="00F711B2"/>
    <w:rsid w:val="00F8217F"/>
    <w:rsid w:val="00FA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02107"/>
  <w15:chartTrackingRefBased/>
  <w15:docId w15:val="{7ADA6228-2FF0-46BE-8EF7-F7D819947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6009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41E94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41E94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3C4E33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CD070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CD0701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CD0701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D0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D0701"/>
    <w:rPr>
      <w:b/>
      <w:bCs/>
      <w:sz w:val="20"/>
      <w:szCs w:val="20"/>
    </w:rPr>
  </w:style>
  <w:style w:type="character" w:styleId="SledenaHiperpovezava">
    <w:name w:val="FollowedHyperlink"/>
    <w:basedOn w:val="Privzetapisavaodstavka"/>
    <w:uiPriority w:val="99"/>
    <w:semiHidden/>
    <w:unhideWhenUsed/>
    <w:rsid w:val="00027C5D"/>
    <w:rPr>
      <w:color w:val="954F72" w:themeColor="followed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4E6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styleId="Krepko">
    <w:name w:val="Strong"/>
    <w:basedOn w:val="Privzetapisavaodstavka"/>
    <w:uiPriority w:val="22"/>
    <w:qFormat/>
    <w:rsid w:val="004E63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4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datki.gov.si/dataset/razosebljeni-podatki-o-poslovanju-fizicnih-oseb-z-dejavnostjo-ki-niso-samostojni-podjetniki-posamezn" TargetMode="External"/><Relationship Id="rId13" Type="http://schemas.openxmlformats.org/officeDocument/2006/relationships/image" Target="cid:image002.png@01DB6020.D01DB770" TargetMode="External"/><Relationship Id="rId3" Type="http://schemas.openxmlformats.org/officeDocument/2006/relationships/styles" Target="styles.xml"/><Relationship Id="rId7" Type="http://schemas.openxmlformats.org/officeDocument/2006/relationships/hyperlink" Target="https://podatki.gov.si/dataset/podatki-o-poslovanju-fizicnih-oseb-z-dejavnostjo" TargetMode="Externa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u.gov.si/davki_in_druge_dajatve/podrocja/dohodnina/dohodnina_dohodek_iz_dejavnosti/" TargetMode="Externa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gromb\Documents\D-disk\Moji%20Dokumenti\Moji%20Dokumenti\2024\DOHDEJ\Podatki%20in%20grafi%20javna%20objav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gromb\Documents\D-disk\Moji%20Dokumenti\Moji%20Dokumenti\2024\DOHDEJ\Podatki%20in%20grafi%20javna%20objava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gromb\Documents\D-disk\Moji%20Dokumenti\Moji%20Dokumenti\2024\DOHDEJ\Podatki%20in%20grafi%20javna%20objava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Število oddanih obračunov DohDej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1"/>
          <c:tx>
            <c:strRef>
              <c:f>List1!$B$52</c:f>
              <c:strCache>
                <c:ptCount val="1"/>
                <c:pt idx="0">
                  <c:v>OBRAČUNI DohDej - 
DEJANSKI ODHODKI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List1!$A$53:$A$57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List1!$B$53:$B$57</c:f>
              <c:numCache>
                <c:formatCode>_-* #,##0_-;\-* #,##0_-;_-* "-"??_-;_-@_-</c:formatCode>
                <c:ptCount val="5"/>
                <c:pt idx="0">
                  <c:v>63194</c:v>
                </c:pt>
                <c:pt idx="1">
                  <c:v>61073</c:v>
                </c:pt>
                <c:pt idx="2">
                  <c:v>59411</c:v>
                </c:pt>
                <c:pt idx="3">
                  <c:v>58872</c:v>
                </c:pt>
                <c:pt idx="4">
                  <c:v>60163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838-4F13-9062-304657569DCD}"/>
            </c:ext>
          </c:extLst>
        </c:ser>
        <c:ser>
          <c:idx val="2"/>
          <c:order val="2"/>
          <c:tx>
            <c:strRef>
              <c:f>List1!$C$52</c:f>
              <c:strCache>
                <c:ptCount val="1"/>
                <c:pt idx="0">
                  <c:v>OBRAČUNI DohDej -
NORMIRANI ODHODKI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List1!$A$53:$A$57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List1!$C$53:$C$57</c:f>
              <c:numCache>
                <c:formatCode>_-* #,##0_-;\-* #,##0_-;_-* "-"??_-;_-@_-</c:formatCode>
                <c:ptCount val="5"/>
                <c:pt idx="0">
                  <c:v>60061</c:v>
                </c:pt>
                <c:pt idx="1">
                  <c:v>65460</c:v>
                </c:pt>
                <c:pt idx="2">
                  <c:v>70998</c:v>
                </c:pt>
                <c:pt idx="3">
                  <c:v>80536</c:v>
                </c:pt>
                <c:pt idx="4">
                  <c:v>85775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838-4F13-9062-304657569D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15"/>
        <c:axId val="452246400"/>
        <c:axId val="452248560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List1!$A$52</c15:sqref>
                        </c15:formulaRef>
                      </c:ext>
                    </c:extLst>
                    <c:strCache>
                      <c:ptCount val="1"/>
                      <c:pt idx="0">
                        <c:v>leto</c:v>
                      </c:pt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numRef>
                    <c:extLst>
                      <c:ext uri="{02D57815-91ED-43cb-92C2-25804820EDAC}">
                        <c15:formulaRef>
                          <c15:sqref>List1!$A$53:$A$57</c15:sqref>
                        </c15:formulaRef>
                      </c:ext>
                    </c:extLst>
                    <c:numCache>
                      <c:formatCode>General</c:formatCode>
                      <c:ptCount val="5"/>
                      <c:pt idx="0">
                        <c:v>2019</c:v>
                      </c:pt>
                      <c:pt idx="1">
                        <c:v>2020</c:v>
                      </c:pt>
                      <c:pt idx="2">
                        <c:v>2021</c:v>
                      </c:pt>
                      <c:pt idx="3">
                        <c:v>2022</c:v>
                      </c:pt>
                      <c:pt idx="4">
                        <c:v>2023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List1!$A$53:$A$57</c15:sqref>
                        </c15:formulaRef>
                      </c:ext>
                    </c:extLst>
                    <c:numCache>
                      <c:formatCode>General</c:formatCode>
                      <c:ptCount val="5"/>
                      <c:pt idx="0">
                        <c:v>2019</c:v>
                      </c:pt>
                      <c:pt idx="1">
                        <c:v>2020</c:v>
                      </c:pt>
                      <c:pt idx="2">
                        <c:v>2021</c:v>
                      </c:pt>
                      <c:pt idx="3">
                        <c:v>2022</c:v>
                      </c:pt>
                      <c:pt idx="4">
                        <c:v>2023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2-B838-4F13-9062-304657569DCD}"/>
                  </c:ext>
                </c:extLst>
              </c15:ser>
            </c15:filteredBarSeries>
          </c:ext>
        </c:extLst>
      </c:barChart>
      <c:catAx>
        <c:axId val="452246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452248560"/>
        <c:crosses val="autoZero"/>
        <c:auto val="1"/>
        <c:lblAlgn val="ctr"/>
        <c:lblOffset val="100"/>
        <c:noMultiLvlLbl val="0"/>
      </c:catAx>
      <c:valAx>
        <c:axId val="452248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-* #,##0_-;\-* #,##0_-;_-* &quot;-&quot;??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4522464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Obračuni DohDej po znesku prihodkov (P01)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1"/>
          <c:tx>
            <c:strRef>
              <c:f>List1!$B$62</c:f>
              <c:strCache>
                <c:ptCount val="1"/>
                <c:pt idx="0">
                  <c:v>OBRAČUNI DohDej - 
DEJANSKI ODHODKI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List1!$A$63:$A$67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List1!$B$63:$B$67</c:f>
              <c:numCache>
                <c:formatCode>_(* #,##0.00_);_(* \(#,##0.00\);_(* "-"??_);_(@_)</c:formatCode>
                <c:ptCount val="5"/>
                <c:pt idx="0">
                  <c:v>5959572345.7300005</c:v>
                </c:pt>
                <c:pt idx="1">
                  <c:v>5431835396.9499998</c:v>
                </c:pt>
                <c:pt idx="2">
                  <c:v>6090603508.3999987</c:v>
                </c:pt>
                <c:pt idx="3">
                  <c:v>6862586367.079999</c:v>
                </c:pt>
                <c:pt idx="4">
                  <c:v>7233678116.3599997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A33-4929-BE01-92E161F8D6BA}"/>
            </c:ext>
          </c:extLst>
        </c:ser>
        <c:ser>
          <c:idx val="2"/>
          <c:order val="2"/>
          <c:tx>
            <c:strRef>
              <c:f>List1!$C$62</c:f>
              <c:strCache>
                <c:ptCount val="1"/>
                <c:pt idx="0">
                  <c:v>OBRAČUNI DohDej -
NORMIRANI ODHODKI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List1!$A$63:$A$67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List1!$C$63:$C$67</c:f>
              <c:numCache>
                <c:formatCode>_(* #,##0.00_);_(* \(#,##0.00\);_(* "-"??_);_(@_)</c:formatCode>
                <c:ptCount val="5"/>
                <c:pt idx="0">
                  <c:v>1423656387.7100003</c:v>
                </c:pt>
                <c:pt idx="1">
                  <c:v>1453283366.1100001</c:v>
                </c:pt>
                <c:pt idx="2">
                  <c:v>1842454492.25</c:v>
                </c:pt>
                <c:pt idx="3">
                  <c:v>2232242226.9700003</c:v>
                </c:pt>
                <c:pt idx="4">
                  <c:v>2269881047.4000001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A33-4929-BE01-92E161F8D6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41721616"/>
        <c:axId val="641724856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List1!$A$62</c15:sqref>
                        </c15:formulaRef>
                      </c:ext>
                    </c:extLst>
                    <c:strCache>
                      <c:ptCount val="1"/>
                      <c:pt idx="0">
                        <c:v>leto</c:v>
                      </c:pt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numRef>
                    <c:extLst>
                      <c:ext uri="{02D57815-91ED-43cb-92C2-25804820EDAC}">
                        <c15:formulaRef>
                          <c15:sqref>List1!$A$63:$A$67</c15:sqref>
                        </c15:formulaRef>
                      </c:ext>
                    </c:extLst>
                    <c:numCache>
                      <c:formatCode>General</c:formatCode>
                      <c:ptCount val="5"/>
                      <c:pt idx="0">
                        <c:v>2019</c:v>
                      </c:pt>
                      <c:pt idx="1">
                        <c:v>2020</c:v>
                      </c:pt>
                      <c:pt idx="2">
                        <c:v>2021</c:v>
                      </c:pt>
                      <c:pt idx="3">
                        <c:v>2022</c:v>
                      </c:pt>
                      <c:pt idx="4">
                        <c:v>2023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List1!$A$63:$A$67</c15:sqref>
                        </c15:formulaRef>
                      </c:ext>
                    </c:extLst>
                    <c:numCache>
                      <c:formatCode>General</c:formatCode>
                      <c:ptCount val="5"/>
                      <c:pt idx="0">
                        <c:v>2019</c:v>
                      </c:pt>
                      <c:pt idx="1">
                        <c:v>2020</c:v>
                      </c:pt>
                      <c:pt idx="2">
                        <c:v>2021</c:v>
                      </c:pt>
                      <c:pt idx="3">
                        <c:v>2022</c:v>
                      </c:pt>
                      <c:pt idx="4">
                        <c:v>2023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2-6A33-4929-BE01-92E161F8D6BA}"/>
                  </c:ext>
                </c:extLst>
              </c15:ser>
            </c15:filteredBarSeries>
          </c:ext>
        </c:extLst>
      </c:barChart>
      <c:catAx>
        <c:axId val="641721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641724856"/>
        <c:crosses val="autoZero"/>
        <c:auto val="1"/>
        <c:lblAlgn val="ctr"/>
        <c:lblOffset val="100"/>
        <c:noMultiLvlLbl val="0"/>
      </c:catAx>
      <c:valAx>
        <c:axId val="641724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.00_);_(* \(#,##0.0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641721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Obračuni DohDej</a:t>
            </a:r>
            <a:r>
              <a:rPr lang="sl-SI"/>
              <a:t> 2021 do 2023- normiranci, po področjih dejavnosti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List1!$C$1</c:f>
              <c:strCache>
                <c:ptCount val="1"/>
                <c:pt idx="0">
                  <c:v>Obračuni DohDej 2023 - normiranci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List1!$B$2:$B$22</c:f>
              <c:strCache>
                <c:ptCount val="21"/>
                <c:pt idx="0">
                  <c:v>KMETIJSTVO IN LOV, GOZDARSTVO, RIBIŠTVO</c:v>
                </c:pt>
                <c:pt idx="1">
                  <c:v>RUDARSTVO</c:v>
                </c:pt>
                <c:pt idx="2">
                  <c:v>PREDELOVALNE DEJAVNOSTI</c:v>
                </c:pt>
                <c:pt idx="3">
                  <c:v>OSKRBA Z ELEKTRIČNO ENERGIJO, PLINOM IN PARO</c:v>
                </c:pt>
                <c:pt idx="4">
                  <c:v>OSKRBA Z VODO; RAVNANJE Z ODPLAKAMI IN ODPADKI; SANIRANJE OKOLJA</c:v>
                </c:pt>
                <c:pt idx="5">
                  <c:v>GRADBENIŠTVO</c:v>
                </c:pt>
                <c:pt idx="6">
                  <c:v>TRGOVINA; VZDRŽEVANJE IN POPRAVILA MOTORNIH VOZIL </c:v>
                </c:pt>
                <c:pt idx="7">
                  <c:v>PROMET IN SKLADIŠČENJE</c:v>
                </c:pt>
                <c:pt idx="8">
                  <c:v>GOSTINSTVO</c:v>
                </c:pt>
                <c:pt idx="9">
                  <c:v>INFORMACIJSKE IN KOMUNIKACIJSKE DEJAVNOSTI</c:v>
                </c:pt>
                <c:pt idx="10">
                  <c:v>FINANČNE IN ZAVAROVALNIŠKE DEJAVNOSTI</c:v>
                </c:pt>
                <c:pt idx="11">
                  <c:v>POSLOVANJE Z NEPREMIČNINAMI</c:v>
                </c:pt>
                <c:pt idx="12">
                  <c:v>STROKOVNE, ZNANSTVENE IN TEHNIČNE DEJAVNOSTI</c:v>
                </c:pt>
                <c:pt idx="13">
                  <c:v>DRUGE RAZNOVRSTNE POSLOVNE DEJAVNOSTI</c:v>
                </c:pt>
                <c:pt idx="14">
                  <c:v>DEJAVNOST JAVNE UPRAVE IN OBRAMBE; DEJAVNOST OBVEZNE SOCIALNE VARNOSTI</c:v>
                </c:pt>
                <c:pt idx="15">
                  <c:v>IZOBRAŽEVANJE</c:v>
                </c:pt>
                <c:pt idx="16">
                  <c:v>ZDRAVSTVO IN SOCIALNO VARSTVO</c:v>
                </c:pt>
                <c:pt idx="17">
                  <c:v>KULTURNE, RAZVEDRILNE IN REKREACIJSKE DEJAVNOSTI</c:v>
                </c:pt>
                <c:pt idx="18">
                  <c:v>DRUGE DEJAVNOSTI</c:v>
                </c:pt>
                <c:pt idx="19">
                  <c:v>DEJAVNOST GOSPODINJSTEV Z ZAPOSLENIM HIŠNIM OSEBJEM; PROIZVODNJA ZA LASTNO RABO</c:v>
                </c:pt>
                <c:pt idx="20">
                  <c:v>DEJAVNOST EKSTERITORIALNIH ORGANIZACIJ IN TELES</c:v>
                </c:pt>
              </c:strCache>
            </c:strRef>
          </c:cat>
          <c:val>
            <c:numRef>
              <c:f>List1!$C$2:$C$22</c:f>
              <c:numCache>
                <c:formatCode>#,##0</c:formatCode>
                <c:ptCount val="21"/>
                <c:pt idx="0">
                  <c:v>1335</c:v>
                </c:pt>
                <c:pt idx="1">
                  <c:v>11</c:v>
                </c:pt>
                <c:pt idx="2">
                  <c:v>5576</c:v>
                </c:pt>
                <c:pt idx="3">
                  <c:v>434</c:v>
                </c:pt>
                <c:pt idx="4">
                  <c:v>32</c:v>
                </c:pt>
                <c:pt idx="5">
                  <c:v>4885</c:v>
                </c:pt>
                <c:pt idx="6">
                  <c:v>4409</c:v>
                </c:pt>
                <c:pt idx="7">
                  <c:v>2310</c:v>
                </c:pt>
                <c:pt idx="8">
                  <c:v>6838</c:v>
                </c:pt>
                <c:pt idx="9">
                  <c:v>7813</c:v>
                </c:pt>
                <c:pt idx="10">
                  <c:v>695</c:v>
                </c:pt>
                <c:pt idx="11">
                  <c:v>1819</c:v>
                </c:pt>
                <c:pt idx="12">
                  <c:v>23733</c:v>
                </c:pt>
                <c:pt idx="13">
                  <c:v>5840</c:v>
                </c:pt>
                <c:pt idx="14">
                  <c:v>59</c:v>
                </c:pt>
                <c:pt idx="15">
                  <c:v>5394</c:v>
                </c:pt>
                <c:pt idx="16">
                  <c:v>3845</c:v>
                </c:pt>
                <c:pt idx="17">
                  <c:v>6998</c:v>
                </c:pt>
                <c:pt idx="18">
                  <c:v>3747</c:v>
                </c:pt>
                <c:pt idx="19">
                  <c:v>1</c:v>
                </c:pt>
                <c:pt idx="2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AF-4650-AC9A-9C07BBCAEB9F}"/>
            </c:ext>
          </c:extLst>
        </c:ser>
        <c:ser>
          <c:idx val="1"/>
          <c:order val="1"/>
          <c:tx>
            <c:strRef>
              <c:f>List1!$E$1</c:f>
              <c:strCache>
                <c:ptCount val="1"/>
                <c:pt idx="0">
                  <c:v>Obračuni DohDej 2022 - normiranci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List1!$B$2:$B$22</c:f>
              <c:strCache>
                <c:ptCount val="21"/>
                <c:pt idx="0">
                  <c:v>KMETIJSTVO IN LOV, GOZDARSTVO, RIBIŠTVO</c:v>
                </c:pt>
                <c:pt idx="1">
                  <c:v>RUDARSTVO</c:v>
                </c:pt>
                <c:pt idx="2">
                  <c:v>PREDELOVALNE DEJAVNOSTI</c:v>
                </c:pt>
                <c:pt idx="3">
                  <c:v>OSKRBA Z ELEKTRIČNO ENERGIJO, PLINOM IN PARO</c:v>
                </c:pt>
                <c:pt idx="4">
                  <c:v>OSKRBA Z VODO; RAVNANJE Z ODPLAKAMI IN ODPADKI; SANIRANJE OKOLJA</c:v>
                </c:pt>
                <c:pt idx="5">
                  <c:v>GRADBENIŠTVO</c:v>
                </c:pt>
                <c:pt idx="6">
                  <c:v>TRGOVINA; VZDRŽEVANJE IN POPRAVILA MOTORNIH VOZIL </c:v>
                </c:pt>
                <c:pt idx="7">
                  <c:v>PROMET IN SKLADIŠČENJE</c:v>
                </c:pt>
                <c:pt idx="8">
                  <c:v>GOSTINSTVO</c:v>
                </c:pt>
                <c:pt idx="9">
                  <c:v>INFORMACIJSKE IN KOMUNIKACIJSKE DEJAVNOSTI</c:v>
                </c:pt>
                <c:pt idx="10">
                  <c:v>FINANČNE IN ZAVAROVALNIŠKE DEJAVNOSTI</c:v>
                </c:pt>
                <c:pt idx="11">
                  <c:v>POSLOVANJE Z NEPREMIČNINAMI</c:v>
                </c:pt>
                <c:pt idx="12">
                  <c:v>STROKOVNE, ZNANSTVENE IN TEHNIČNE DEJAVNOSTI</c:v>
                </c:pt>
                <c:pt idx="13">
                  <c:v>DRUGE RAZNOVRSTNE POSLOVNE DEJAVNOSTI</c:v>
                </c:pt>
                <c:pt idx="14">
                  <c:v>DEJAVNOST JAVNE UPRAVE IN OBRAMBE; DEJAVNOST OBVEZNE SOCIALNE VARNOSTI</c:v>
                </c:pt>
                <c:pt idx="15">
                  <c:v>IZOBRAŽEVANJE</c:v>
                </c:pt>
                <c:pt idx="16">
                  <c:v>ZDRAVSTVO IN SOCIALNO VARSTVO</c:v>
                </c:pt>
                <c:pt idx="17">
                  <c:v>KULTURNE, RAZVEDRILNE IN REKREACIJSKE DEJAVNOSTI</c:v>
                </c:pt>
                <c:pt idx="18">
                  <c:v>DRUGE DEJAVNOSTI</c:v>
                </c:pt>
                <c:pt idx="19">
                  <c:v>DEJAVNOST GOSPODINJSTEV Z ZAPOSLENIM HIŠNIM OSEBJEM; PROIZVODNJA ZA LASTNO RABO</c:v>
                </c:pt>
                <c:pt idx="20">
                  <c:v>DEJAVNOST EKSTERITORIALNIH ORGANIZACIJ IN TELES</c:v>
                </c:pt>
              </c:strCache>
            </c:strRef>
          </c:cat>
          <c:val>
            <c:numRef>
              <c:f>List1!$E$2:$E$22</c:f>
              <c:numCache>
                <c:formatCode>#,##0</c:formatCode>
                <c:ptCount val="21"/>
                <c:pt idx="0">
                  <c:v>1350</c:v>
                </c:pt>
                <c:pt idx="1">
                  <c:v>12</c:v>
                </c:pt>
                <c:pt idx="2">
                  <c:v>5516</c:v>
                </c:pt>
                <c:pt idx="3">
                  <c:v>409</c:v>
                </c:pt>
                <c:pt idx="4">
                  <c:v>44</c:v>
                </c:pt>
                <c:pt idx="5">
                  <c:v>4456</c:v>
                </c:pt>
                <c:pt idx="6">
                  <c:v>4385</c:v>
                </c:pt>
                <c:pt idx="7">
                  <c:v>2117</c:v>
                </c:pt>
                <c:pt idx="8">
                  <c:v>6085</c:v>
                </c:pt>
                <c:pt idx="9">
                  <c:v>7300</c:v>
                </c:pt>
                <c:pt idx="10">
                  <c:v>659</c:v>
                </c:pt>
                <c:pt idx="11">
                  <c:v>1647</c:v>
                </c:pt>
                <c:pt idx="12">
                  <c:v>22675</c:v>
                </c:pt>
                <c:pt idx="13">
                  <c:v>5321</c:v>
                </c:pt>
                <c:pt idx="14">
                  <c:v>55</c:v>
                </c:pt>
                <c:pt idx="15">
                  <c:v>4970</c:v>
                </c:pt>
                <c:pt idx="16">
                  <c:v>3587</c:v>
                </c:pt>
                <c:pt idx="17">
                  <c:v>6637</c:v>
                </c:pt>
                <c:pt idx="18">
                  <c:v>3309</c:v>
                </c:pt>
                <c:pt idx="19">
                  <c:v>1</c:v>
                </c:pt>
                <c:pt idx="2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AAF-4650-AC9A-9C07BBCAEB9F}"/>
            </c:ext>
          </c:extLst>
        </c:ser>
        <c:ser>
          <c:idx val="2"/>
          <c:order val="2"/>
          <c:tx>
            <c:strRef>
              <c:f>List1!$G$1</c:f>
              <c:strCache>
                <c:ptCount val="1"/>
                <c:pt idx="0">
                  <c:v>Obračuni DohDej 2021 - normiranci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List1!$B$2:$B$22</c:f>
              <c:strCache>
                <c:ptCount val="21"/>
                <c:pt idx="0">
                  <c:v>KMETIJSTVO IN LOV, GOZDARSTVO, RIBIŠTVO</c:v>
                </c:pt>
                <c:pt idx="1">
                  <c:v>RUDARSTVO</c:v>
                </c:pt>
                <c:pt idx="2">
                  <c:v>PREDELOVALNE DEJAVNOSTI</c:v>
                </c:pt>
                <c:pt idx="3">
                  <c:v>OSKRBA Z ELEKTRIČNO ENERGIJO, PLINOM IN PARO</c:v>
                </c:pt>
                <c:pt idx="4">
                  <c:v>OSKRBA Z VODO; RAVNANJE Z ODPLAKAMI IN ODPADKI; SANIRANJE OKOLJA</c:v>
                </c:pt>
                <c:pt idx="5">
                  <c:v>GRADBENIŠTVO</c:v>
                </c:pt>
                <c:pt idx="6">
                  <c:v>TRGOVINA; VZDRŽEVANJE IN POPRAVILA MOTORNIH VOZIL </c:v>
                </c:pt>
                <c:pt idx="7">
                  <c:v>PROMET IN SKLADIŠČENJE</c:v>
                </c:pt>
                <c:pt idx="8">
                  <c:v>GOSTINSTVO</c:v>
                </c:pt>
                <c:pt idx="9">
                  <c:v>INFORMACIJSKE IN KOMUNIKACIJSKE DEJAVNOSTI</c:v>
                </c:pt>
                <c:pt idx="10">
                  <c:v>FINANČNE IN ZAVAROVALNIŠKE DEJAVNOSTI</c:v>
                </c:pt>
                <c:pt idx="11">
                  <c:v>POSLOVANJE Z NEPREMIČNINAMI</c:v>
                </c:pt>
                <c:pt idx="12">
                  <c:v>STROKOVNE, ZNANSTVENE IN TEHNIČNE DEJAVNOSTI</c:v>
                </c:pt>
                <c:pt idx="13">
                  <c:v>DRUGE RAZNOVRSTNE POSLOVNE DEJAVNOSTI</c:v>
                </c:pt>
                <c:pt idx="14">
                  <c:v>DEJAVNOST JAVNE UPRAVE IN OBRAMBE; DEJAVNOST OBVEZNE SOCIALNE VARNOSTI</c:v>
                </c:pt>
                <c:pt idx="15">
                  <c:v>IZOBRAŽEVANJE</c:v>
                </c:pt>
                <c:pt idx="16">
                  <c:v>ZDRAVSTVO IN SOCIALNO VARSTVO</c:v>
                </c:pt>
                <c:pt idx="17">
                  <c:v>KULTURNE, RAZVEDRILNE IN REKREACIJSKE DEJAVNOSTI</c:v>
                </c:pt>
                <c:pt idx="18">
                  <c:v>DRUGE DEJAVNOSTI</c:v>
                </c:pt>
                <c:pt idx="19">
                  <c:v>DEJAVNOST GOSPODINJSTEV Z ZAPOSLENIM HIŠNIM OSEBJEM; PROIZVODNJA ZA LASTNO RABO</c:v>
                </c:pt>
                <c:pt idx="20">
                  <c:v>DEJAVNOST EKSTERITORIALNIH ORGANIZACIJ IN TELES</c:v>
                </c:pt>
              </c:strCache>
            </c:strRef>
          </c:cat>
          <c:val>
            <c:numRef>
              <c:f>List1!$G$2:$G$22</c:f>
              <c:numCache>
                <c:formatCode>#,##0</c:formatCode>
                <c:ptCount val="21"/>
                <c:pt idx="0">
                  <c:v>1269</c:v>
                </c:pt>
                <c:pt idx="1">
                  <c:v>10</c:v>
                </c:pt>
                <c:pt idx="2">
                  <c:v>4990</c:v>
                </c:pt>
                <c:pt idx="3">
                  <c:v>380</c:v>
                </c:pt>
                <c:pt idx="4">
                  <c:v>34</c:v>
                </c:pt>
                <c:pt idx="5">
                  <c:v>3745</c:v>
                </c:pt>
                <c:pt idx="6">
                  <c:v>4003</c:v>
                </c:pt>
                <c:pt idx="7">
                  <c:v>1695</c:v>
                </c:pt>
                <c:pt idx="8">
                  <c:v>5187</c:v>
                </c:pt>
                <c:pt idx="9">
                  <c:v>6510</c:v>
                </c:pt>
                <c:pt idx="10">
                  <c:v>623</c:v>
                </c:pt>
                <c:pt idx="11">
                  <c:v>1394</c:v>
                </c:pt>
                <c:pt idx="12">
                  <c:v>20371</c:v>
                </c:pt>
                <c:pt idx="13">
                  <c:v>4549</c:v>
                </c:pt>
                <c:pt idx="14">
                  <c:v>51</c:v>
                </c:pt>
                <c:pt idx="15">
                  <c:v>4355</c:v>
                </c:pt>
                <c:pt idx="16">
                  <c:v>2951</c:v>
                </c:pt>
                <c:pt idx="17">
                  <c:v>6116</c:v>
                </c:pt>
                <c:pt idx="18">
                  <c:v>2762</c:v>
                </c:pt>
                <c:pt idx="19">
                  <c:v>1</c:v>
                </c:pt>
                <c:pt idx="2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AAF-4650-AC9A-9C07BBCAEB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643603304"/>
        <c:axId val="643602944"/>
      </c:barChart>
      <c:catAx>
        <c:axId val="6436033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643602944"/>
        <c:crosses val="autoZero"/>
        <c:auto val="1"/>
        <c:lblAlgn val="ctr"/>
        <c:lblOffset val="100"/>
        <c:noMultiLvlLbl val="0"/>
      </c:catAx>
      <c:valAx>
        <c:axId val="6436029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643603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BE662E1-6760-4C9A-9326-98ECAD73A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Grom</dc:creator>
  <cp:keywords/>
  <dc:description/>
  <cp:lastModifiedBy>Stojan Glavač</cp:lastModifiedBy>
  <cp:revision>7</cp:revision>
  <dcterms:created xsi:type="dcterms:W3CDTF">2025-01-10T12:29:00Z</dcterms:created>
  <dcterms:modified xsi:type="dcterms:W3CDTF">2025-01-10T12:57:00Z</dcterms:modified>
</cp:coreProperties>
</file>