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Layout w:type="fixed"/>
        <w:tblCellMar>
          <w:left w:w="0" w:type="dxa"/>
          <w:right w:w="0" w:type="dxa"/>
        </w:tblCellMar>
        <w:tblLook w:val="0000" w:firstRow="0" w:lastRow="0" w:firstColumn="0" w:lastColumn="0" w:noHBand="0" w:noVBand="0"/>
      </w:tblPr>
      <w:tblGrid>
        <w:gridCol w:w="2381"/>
        <w:gridCol w:w="7087"/>
      </w:tblGrid>
      <w:tr>
        <w:trPr>
          <w:trHeight w:val="1440"/>
        </w:trPr>
        <w:tc>
          <w:tcPr>
            <w:tcW w:w="2381" w:type="dxa"/>
            <w:tcBorders>
              <w:top w:val="nil"/>
              <w:left w:val="nil"/>
              <w:bottom w:val="nil"/>
              <w:right w:val="nil"/>
            </w:tcBorders>
          </w:tcPr>
          <w:p>
            <w:pPr>
              <w:pStyle w:val="ZCom"/>
              <w:rPr>
                <w:rFonts w:ascii="Times New Roman" w:hAnsi="Times New Roman" w:cs="Times New Roman"/>
                <w:lang w:val="sl-SI"/>
              </w:rPr>
            </w:pPr>
            <w:r>
              <w:rPr>
                <w:rFonts w:ascii="Times New Roman" w:hAnsi="Times New Roman"/>
                <w:noProof/>
                <w:sz w:val="20"/>
                <w:lang w:val="sl-SI"/>
              </w:rPr>
              <w:drawing>
                <wp:inline distT="0" distB="0" distL="0" distR="0">
                  <wp:extent cx="1367790" cy="675640"/>
                  <wp:effectExtent l="0" t="0" r="3810" b="0"/>
                  <wp:docPr id="2" name="Picture 2" descr="C:\WINNT\Profiles\Administrator\Desktop\logo_ec_17_colors_300d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489266" name="Picture 1" descr="C:\WINNT\Profiles\Administrator\Desktop\logo_ec_17_colors_300dpi.gif"/>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67790" cy="675640"/>
                          </a:xfrm>
                          <a:prstGeom prst="rect">
                            <a:avLst/>
                          </a:prstGeom>
                          <a:noFill/>
                          <a:ln>
                            <a:noFill/>
                          </a:ln>
                        </pic:spPr>
                      </pic:pic>
                    </a:graphicData>
                  </a:graphic>
                </wp:inline>
              </w:drawing>
            </w:r>
          </w:p>
        </w:tc>
        <w:tc>
          <w:tcPr>
            <w:tcW w:w="7087" w:type="dxa"/>
            <w:tcBorders>
              <w:top w:val="nil"/>
              <w:left w:val="nil"/>
              <w:bottom w:val="nil"/>
              <w:right w:val="nil"/>
            </w:tcBorders>
          </w:tcPr>
          <w:p>
            <w:pPr>
              <w:pStyle w:val="ZCom"/>
              <w:spacing w:before="90"/>
              <w:rPr>
                <w:rFonts w:ascii="Times New Roman" w:hAnsi="Times New Roman" w:cs="Times New Roman"/>
                <w:lang w:val="sl-SI"/>
              </w:rPr>
            </w:pPr>
            <w:r>
              <w:rPr>
                <w:rFonts w:ascii="Times New Roman" w:hAnsi="Times New Roman"/>
                <w:lang w:val="sl-SI"/>
              </w:rPr>
              <w:t>EVROPSKA KOMISIJA</w:t>
            </w:r>
          </w:p>
          <w:p>
            <w:pPr>
              <w:pStyle w:val="ZDGName"/>
              <w:rPr>
                <w:rFonts w:ascii="Times New Roman" w:hAnsi="Times New Roman" w:cs="Times New Roman"/>
                <w:lang w:val="sl-SI"/>
              </w:rPr>
            </w:pPr>
            <w:r>
              <w:rPr>
                <w:rFonts w:ascii="Times New Roman" w:hAnsi="Times New Roman"/>
                <w:lang w:val="sl-SI"/>
              </w:rPr>
              <w:t>GENERALNI DIREKTORAT ZA KMETIJSTVO IN RAZVOJ PODEŽELJA</w:t>
            </w:r>
          </w:p>
          <w:p>
            <w:pPr>
              <w:pStyle w:val="ZDGName"/>
              <w:rPr>
                <w:rFonts w:ascii="Times New Roman" w:hAnsi="Times New Roman" w:cs="Times New Roman"/>
                <w:lang w:val="sl-SI"/>
              </w:rPr>
            </w:pPr>
          </w:p>
          <w:p>
            <w:pPr>
              <w:pStyle w:val="ZDGName"/>
              <w:rPr>
                <w:rFonts w:ascii="Times New Roman" w:hAnsi="Times New Roman" w:cs="Times New Roman"/>
                <w:lang w:val="sl-SI"/>
              </w:rPr>
            </w:pPr>
            <w:r>
              <w:rPr>
                <w:rFonts w:ascii="Times New Roman" w:hAnsi="Times New Roman"/>
                <w:lang w:val="sl-SI"/>
              </w:rPr>
              <w:t>Direktorat H – Revizijska zagotovila in revizija</w:t>
            </w:r>
          </w:p>
          <w:p>
            <w:pPr>
              <w:pStyle w:val="ZDGName"/>
              <w:rPr>
                <w:rFonts w:ascii="Times New Roman" w:hAnsi="Times New Roman" w:cs="Times New Roman"/>
                <w:b/>
                <w:lang w:val="sl-SI"/>
              </w:rPr>
            </w:pPr>
            <w:r>
              <w:rPr>
                <w:rFonts w:ascii="Times New Roman" w:hAnsi="Times New Roman"/>
                <w:b/>
                <w:lang w:val="sl-SI"/>
              </w:rPr>
              <w:t>H.4. Revizijska zagotovila in finančna revizija</w:t>
            </w:r>
          </w:p>
          <w:p>
            <w:pPr>
              <w:pStyle w:val="ZDGName"/>
              <w:rPr>
                <w:rFonts w:ascii="Times New Roman" w:hAnsi="Times New Roman" w:cs="Times New Roman"/>
                <w:lang w:val="sl-SI"/>
              </w:rPr>
            </w:pPr>
          </w:p>
        </w:tc>
      </w:tr>
    </w:tbl>
    <w:p>
      <w:pPr>
        <w:spacing w:before="5" w:after="0" w:line="140" w:lineRule="exact"/>
        <w:rPr>
          <w:rFonts w:cs="Times New Roman"/>
          <w:sz w:val="14"/>
          <w:lang w:val="sl-SI"/>
        </w:rPr>
      </w:pPr>
    </w:p>
    <w:p>
      <w:pPr>
        <w:spacing w:after="0" w:line="200" w:lineRule="exact"/>
        <w:rPr>
          <w:rFonts w:cs="Times New Roman"/>
          <w:sz w:val="20"/>
          <w:lang w:val="sl-SI"/>
        </w:rPr>
      </w:pPr>
    </w:p>
    <w:p>
      <w:pPr>
        <w:spacing w:after="0" w:line="200" w:lineRule="exact"/>
        <w:rPr>
          <w:rFonts w:cs="Times New Roman"/>
          <w:sz w:val="20"/>
          <w:lang w:val="sl-SI"/>
        </w:rPr>
      </w:pPr>
    </w:p>
    <w:p>
      <w:pPr>
        <w:spacing w:after="0" w:line="200" w:lineRule="exact"/>
        <w:rPr>
          <w:rFonts w:cs="Times New Roman"/>
          <w:sz w:val="20"/>
          <w:lang w:val="sl-SI"/>
        </w:rPr>
      </w:pPr>
    </w:p>
    <w:p>
      <w:pPr>
        <w:spacing w:after="0" w:line="200" w:lineRule="exact"/>
        <w:rPr>
          <w:rFonts w:cs="Times New Roman"/>
          <w:sz w:val="20"/>
          <w:lang w:val="sl-SI"/>
        </w:rPr>
      </w:pPr>
    </w:p>
    <w:p>
      <w:pPr>
        <w:spacing w:after="0" w:line="200" w:lineRule="exact"/>
        <w:rPr>
          <w:rFonts w:cs="Times New Roman"/>
          <w:sz w:val="20"/>
          <w:lang w:val="sl-SI"/>
        </w:rPr>
      </w:pPr>
    </w:p>
    <w:p>
      <w:pPr>
        <w:spacing w:after="0" w:line="200" w:lineRule="exact"/>
        <w:rPr>
          <w:rFonts w:cs="Times New Roman"/>
          <w:sz w:val="20"/>
          <w:lang w:val="sl-SI"/>
        </w:rPr>
      </w:pPr>
    </w:p>
    <w:p>
      <w:pPr>
        <w:spacing w:after="0" w:line="200" w:lineRule="exact"/>
        <w:rPr>
          <w:rFonts w:cs="Times New Roman"/>
          <w:sz w:val="20"/>
          <w:lang w:val="sl-SI"/>
        </w:rPr>
      </w:pPr>
    </w:p>
    <w:p>
      <w:pPr>
        <w:spacing w:after="0" w:line="200" w:lineRule="exact"/>
        <w:rPr>
          <w:rFonts w:cs="Times New Roman"/>
          <w:sz w:val="20"/>
          <w:lang w:val="sl-SI"/>
        </w:rPr>
      </w:pPr>
    </w:p>
    <w:p>
      <w:pPr>
        <w:spacing w:after="0" w:line="200" w:lineRule="exact"/>
        <w:rPr>
          <w:rFonts w:cs="Times New Roman"/>
          <w:sz w:val="20"/>
          <w:lang w:val="sl-SI"/>
        </w:rPr>
      </w:pPr>
    </w:p>
    <w:p>
      <w:pPr>
        <w:spacing w:after="0" w:line="200" w:lineRule="exact"/>
        <w:rPr>
          <w:rFonts w:cs="Times New Roman"/>
          <w:sz w:val="20"/>
          <w:lang w:val="sl-SI"/>
        </w:rPr>
      </w:pPr>
    </w:p>
    <w:p>
      <w:pPr>
        <w:spacing w:after="0" w:line="200" w:lineRule="exact"/>
        <w:rPr>
          <w:rFonts w:cs="Times New Roman"/>
          <w:sz w:val="20"/>
          <w:lang w:val="sl-SI"/>
        </w:rPr>
      </w:pPr>
    </w:p>
    <w:p>
      <w:pPr>
        <w:spacing w:after="0" w:line="200" w:lineRule="exact"/>
        <w:rPr>
          <w:rFonts w:cs="Times New Roman"/>
          <w:sz w:val="20"/>
          <w:lang w:val="sl-SI"/>
        </w:rPr>
      </w:pPr>
    </w:p>
    <w:p>
      <w:pPr>
        <w:spacing w:after="0" w:line="200" w:lineRule="exact"/>
        <w:rPr>
          <w:rFonts w:cs="Times New Roman"/>
          <w:sz w:val="20"/>
          <w:lang w:val="sl-SI"/>
        </w:rPr>
      </w:pPr>
    </w:p>
    <w:p>
      <w:pPr>
        <w:spacing w:after="0" w:line="200" w:lineRule="exact"/>
        <w:rPr>
          <w:rFonts w:cs="Times New Roman"/>
          <w:sz w:val="20"/>
          <w:lang w:val="sl-SI"/>
        </w:rPr>
      </w:pPr>
    </w:p>
    <w:p>
      <w:pPr>
        <w:spacing w:after="0" w:line="200" w:lineRule="exact"/>
        <w:rPr>
          <w:rFonts w:cs="Times New Roman"/>
          <w:sz w:val="20"/>
          <w:lang w:val="sl-SI"/>
        </w:rPr>
      </w:pPr>
    </w:p>
    <w:p>
      <w:pPr>
        <w:spacing w:after="0" w:line="200" w:lineRule="exact"/>
        <w:rPr>
          <w:rFonts w:cs="Times New Roman"/>
          <w:sz w:val="20"/>
          <w:lang w:val="sl-SI"/>
        </w:rPr>
      </w:pPr>
    </w:p>
    <w:p>
      <w:pPr>
        <w:spacing w:after="0" w:line="200" w:lineRule="exact"/>
        <w:rPr>
          <w:rFonts w:cs="Times New Roman"/>
          <w:sz w:val="20"/>
          <w:lang w:val="sl-SI"/>
        </w:rPr>
      </w:pPr>
    </w:p>
    <w:p>
      <w:pPr>
        <w:spacing w:after="0" w:line="200" w:lineRule="exact"/>
        <w:rPr>
          <w:rFonts w:cs="Times New Roman"/>
          <w:sz w:val="20"/>
          <w:lang w:val="sl-SI"/>
        </w:rPr>
      </w:pPr>
    </w:p>
    <w:p>
      <w:pPr>
        <w:spacing w:after="0" w:line="200" w:lineRule="exact"/>
        <w:rPr>
          <w:rFonts w:cs="Times New Roman"/>
          <w:sz w:val="20"/>
          <w:lang w:val="sl-SI"/>
        </w:rPr>
      </w:pPr>
    </w:p>
    <w:p>
      <w:pPr>
        <w:spacing w:after="0" w:line="200" w:lineRule="exact"/>
        <w:rPr>
          <w:rFonts w:cs="Times New Roman"/>
          <w:sz w:val="20"/>
          <w:lang w:val="sl-SI"/>
        </w:rPr>
      </w:pPr>
    </w:p>
    <w:p>
      <w:pPr>
        <w:spacing w:after="0" w:line="200" w:lineRule="exact"/>
        <w:rPr>
          <w:rFonts w:cs="Times New Roman"/>
          <w:sz w:val="20"/>
          <w:lang w:val="sl-SI"/>
        </w:rPr>
      </w:pPr>
    </w:p>
    <w:p>
      <w:pPr>
        <w:spacing w:after="0" w:line="200" w:lineRule="exact"/>
        <w:rPr>
          <w:rFonts w:cs="Times New Roman"/>
          <w:sz w:val="20"/>
          <w:lang w:val="sl-SI"/>
        </w:rPr>
      </w:pPr>
    </w:p>
    <w:p>
      <w:pPr>
        <w:spacing w:after="0" w:line="271" w:lineRule="exact"/>
        <w:ind w:left="2889" w:right="-20"/>
        <w:jc w:val="center"/>
        <w:rPr>
          <w:rFonts w:cs="Times New Roman"/>
          <w:lang w:val="sl-SI"/>
        </w:rPr>
      </w:pPr>
      <w:r>
        <w:rPr>
          <w:b/>
          <w:u w:val="thick" w:color="000000"/>
          <w:lang w:val="sl-SI"/>
        </w:rPr>
        <w:t>PRILOGA 1 K SMERNICI ŠT. 2</w:t>
      </w:r>
    </w:p>
    <w:p>
      <w:pPr>
        <w:spacing w:before="3" w:after="0" w:line="220" w:lineRule="exact"/>
        <w:jc w:val="center"/>
        <w:rPr>
          <w:rFonts w:cs="Times New Roman"/>
          <w:lang w:val="sl-SI"/>
        </w:rPr>
      </w:pPr>
    </w:p>
    <w:p>
      <w:pPr>
        <w:spacing w:before="29" w:after="0" w:line="271" w:lineRule="exact"/>
        <w:ind w:left="2402" w:right="-20"/>
        <w:jc w:val="center"/>
        <w:rPr>
          <w:rFonts w:eastAsia="Times New Roman" w:cs="Times New Roman"/>
          <w:lang w:val="sl-SI"/>
        </w:rPr>
      </w:pPr>
      <w:r>
        <w:rPr>
          <w:b/>
          <w:u w:val="thick" w:color="000000"/>
          <w:lang w:val="sl-SI"/>
        </w:rPr>
        <w:t>o METODOLOGIJI VZORČENJA za preizkušanje skladnosti v okviru revizijskega cilja št. 2</w:t>
      </w:r>
    </w:p>
    <w:p>
      <w:pPr>
        <w:pStyle w:val="ZDGName"/>
        <w:jc w:val="center"/>
        <w:rPr>
          <w:rFonts w:ascii="Times New Roman" w:hAnsi="Times New Roman" w:cs="Times New Roman"/>
          <w:lang w:val="sl-SI"/>
        </w:rPr>
      </w:pPr>
    </w:p>
    <w:p>
      <w:pPr>
        <w:spacing w:after="0" w:line="200" w:lineRule="exact"/>
        <w:rPr>
          <w:rFonts w:cs="Times New Roman"/>
          <w:sz w:val="20"/>
          <w:lang w:val="sl-SI"/>
        </w:rPr>
      </w:pPr>
    </w:p>
    <w:p>
      <w:pPr>
        <w:spacing w:before="40" w:after="0" w:line="240" w:lineRule="auto"/>
        <w:ind w:right="-20"/>
        <w:rPr>
          <w:rFonts w:eastAsia="Arial" w:cs="Times New Roman"/>
          <w:spacing w:val="-1"/>
          <w:sz w:val="16"/>
          <w:lang w:val="sl-SI"/>
        </w:rPr>
      </w:pPr>
    </w:p>
    <w:p>
      <w:pPr>
        <w:spacing w:before="40" w:after="0" w:line="240" w:lineRule="auto"/>
        <w:ind w:right="-20"/>
        <w:rPr>
          <w:rFonts w:eastAsia="Arial" w:cs="Times New Roman"/>
          <w:spacing w:val="-1"/>
          <w:sz w:val="16"/>
          <w:lang w:val="sl-SI"/>
        </w:rPr>
      </w:pPr>
    </w:p>
    <w:p>
      <w:pPr>
        <w:spacing w:before="40" w:after="0" w:line="240" w:lineRule="auto"/>
        <w:ind w:right="-20"/>
        <w:rPr>
          <w:rFonts w:eastAsia="Arial" w:cs="Times New Roman"/>
          <w:spacing w:val="-1"/>
          <w:sz w:val="16"/>
          <w:lang w:val="sl-SI"/>
        </w:rPr>
      </w:pPr>
    </w:p>
    <w:p>
      <w:pPr>
        <w:spacing w:before="40" w:after="0" w:line="240" w:lineRule="auto"/>
        <w:ind w:right="-20"/>
        <w:rPr>
          <w:rFonts w:eastAsia="Arial" w:cs="Times New Roman"/>
          <w:spacing w:val="-1"/>
          <w:sz w:val="16"/>
          <w:lang w:val="sl-SI"/>
        </w:rPr>
      </w:pPr>
    </w:p>
    <w:p>
      <w:pPr>
        <w:spacing w:before="40" w:after="0" w:line="240" w:lineRule="auto"/>
        <w:ind w:right="-20"/>
        <w:rPr>
          <w:rFonts w:eastAsia="Arial" w:cs="Times New Roman"/>
          <w:spacing w:val="-1"/>
          <w:sz w:val="16"/>
          <w:lang w:val="sl-SI"/>
        </w:rPr>
      </w:pPr>
    </w:p>
    <w:p>
      <w:pPr>
        <w:spacing w:before="40" w:after="0" w:line="240" w:lineRule="auto"/>
        <w:ind w:right="-20"/>
        <w:rPr>
          <w:rFonts w:eastAsia="Arial" w:cs="Times New Roman"/>
          <w:spacing w:val="-1"/>
          <w:sz w:val="16"/>
          <w:lang w:val="sl-SI"/>
        </w:rPr>
      </w:pPr>
    </w:p>
    <w:p>
      <w:pPr>
        <w:spacing w:before="40" w:after="0" w:line="240" w:lineRule="auto"/>
        <w:ind w:right="-20"/>
        <w:rPr>
          <w:rFonts w:eastAsia="Arial" w:cs="Times New Roman"/>
          <w:spacing w:val="-1"/>
          <w:sz w:val="16"/>
          <w:lang w:val="sl-SI"/>
        </w:rPr>
      </w:pPr>
    </w:p>
    <w:p>
      <w:pPr>
        <w:spacing w:before="40" w:after="0" w:line="240" w:lineRule="auto"/>
        <w:ind w:right="-20"/>
        <w:rPr>
          <w:rFonts w:eastAsia="Arial" w:cs="Times New Roman"/>
          <w:spacing w:val="-1"/>
          <w:sz w:val="16"/>
          <w:lang w:val="sl-SI"/>
        </w:rPr>
      </w:pPr>
    </w:p>
    <w:p>
      <w:pPr>
        <w:spacing w:before="40" w:after="0" w:line="240" w:lineRule="auto"/>
        <w:ind w:right="-20"/>
        <w:rPr>
          <w:rFonts w:eastAsia="Arial" w:cs="Times New Roman"/>
          <w:spacing w:val="-1"/>
          <w:sz w:val="16"/>
          <w:lang w:val="sl-SI"/>
        </w:rPr>
      </w:pPr>
    </w:p>
    <w:p>
      <w:pPr>
        <w:spacing w:before="40" w:after="0" w:line="240" w:lineRule="auto"/>
        <w:ind w:right="-20"/>
        <w:rPr>
          <w:rFonts w:eastAsia="Arial" w:cs="Times New Roman"/>
          <w:spacing w:val="-1"/>
          <w:sz w:val="16"/>
          <w:lang w:val="sl-SI"/>
        </w:rPr>
      </w:pPr>
    </w:p>
    <w:p>
      <w:pPr>
        <w:spacing w:before="40" w:after="0" w:line="240" w:lineRule="auto"/>
        <w:ind w:right="-20"/>
        <w:rPr>
          <w:rFonts w:eastAsia="Arial" w:cs="Times New Roman"/>
          <w:spacing w:val="-1"/>
          <w:sz w:val="16"/>
          <w:lang w:val="sl-SI"/>
        </w:rPr>
      </w:pPr>
    </w:p>
    <w:p>
      <w:pPr>
        <w:spacing w:before="40" w:after="0" w:line="240" w:lineRule="auto"/>
        <w:ind w:right="-20"/>
        <w:rPr>
          <w:rFonts w:eastAsia="Arial" w:cs="Times New Roman"/>
          <w:spacing w:val="-1"/>
          <w:sz w:val="16"/>
          <w:lang w:val="sl-SI"/>
        </w:rPr>
      </w:pPr>
    </w:p>
    <w:p>
      <w:pPr>
        <w:spacing w:before="40" w:after="0" w:line="240" w:lineRule="auto"/>
        <w:ind w:right="-20"/>
        <w:rPr>
          <w:rFonts w:eastAsia="Arial" w:cs="Times New Roman"/>
          <w:spacing w:val="-1"/>
          <w:sz w:val="16"/>
          <w:lang w:val="sl-SI"/>
        </w:rPr>
      </w:pPr>
    </w:p>
    <w:p>
      <w:pPr>
        <w:spacing w:before="40" w:after="0" w:line="240" w:lineRule="auto"/>
        <w:ind w:right="-20"/>
        <w:rPr>
          <w:rFonts w:eastAsia="Arial" w:cs="Times New Roman"/>
          <w:spacing w:val="-1"/>
          <w:sz w:val="16"/>
          <w:lang w:val="sl-SI"/>
        </w:rPr>
      </w:pPr>
    </w:p>
    <w:p>
      <w:pPr>
        <w:spacing w:before="40" w:after="0" w:line="240" w:lineRule="auto"/>
        <w:ind w:right="-20"/>
        <w:rPr>
          <w:rFonts w:eastAsia="Arial" w:cs="Times New Roman"/>
          <w:spacing w:val="-1"/>
          <w:sz w:val="16"/>
          <w:lang w:val="sl-SI"/>
        </w:rPr>
      </w:pPr>
    </w:p>
    <w:p>
      <w:pPr>
        <w:spacing w:before="40" w:after="0" w:line="240" w:lineRule="auto"/>
        <w:ind w:right="-20"/>
        <w:rPr>
          <w:rFonts w:eastAsia="Arial" w:cs="Times New Roman"/>
          <w:spacing w:val="-1"/>
          <w:sz w:val="16"/>
          <w:lang w:val="sl-SI"/>
        </w:rPr>
      </w:pPr>
    </w:p>
    <w:p>
      <w:pPr>
        <w:spacing w:before="40" w:after="0" w:line="240" w:lineRule="auto"/>
        <w:ind w:right="-20"/>
        <w:rPr>
          <w:rFonts w:eastAsia="Arial" w:cs="Times New Roman"/>
          <w:spacing w:val="-1"/>
          <w:sz w:val="16"/>
          <w:lang w:val="sl-SI"/>
        </w:rPr>
      </w:pPr>
    </w:p>
    <w:p>
      <w:pPr>
        <w:spacing w:before="40" w:after="0" w:line="240" w:lineRule="auto"/>
        <w:ind w:right="-20"/>
        <w:rPr>
          <w:rFonts w:eastAsia="Arial" w:cs="Times New Roman"/>
          <w:spacing w:val="-1"/>
          <w:sz w:val="16"/>
          <w:lang w:val="sl-SI"/>
        </w:rPr>
      </w:pPr>
    </w:p>
    <w:p>
      <w:pPr>
        <w:spacing w:before="40" w:after="0" w:line="240" w:lineRule="auto"/>
        <w:ind w:right="-20"/>
        <w:rPr>
          <w:rFonts w:eastAsia="Arial" w:cs="Times New Roman"/>
          <w:spacing w:val="-1"/>
          <w:sz w:val="16"/>
          <w:lang w:val="sl-SI"/>
        </w:rPr>
      </w:pPr>
    </w:p>
    <w:p>
      <w:pPr>
        <w:spacing w:before="40" w:after="0" w:line="240" w:lineRule="auto"/>
        <w:ind w:right="-20"/>
        <w:rPr>
          <w:rFonts w:eastAsia="Arial" w:cs="Times New Roman"/>
          <w:spacing w:val="-1"/>
          <w:sz w:val="16"/>
          <w:lang w:val="sl-SI"/>
        </w:rPr>
      </w:pPr>
    </w:p>
    <w:p>
      <w:pPr>
        <w:spacing w:before="40" w:after="0" w:line="240" w:lineRule="auto"/>
        <w:ind w:right="-20"/>
        <w:rPr>
          <w:rFonts w:eastAsia="Arial" w:cs="Times New Roman"/>
          <w:spacing w:val="-1"/>
          <w:sz w:val="16"/>
          <w:lang w:val="sl-SI"/>
        </w:rPr>
      </w:pPr>
    </w:p>
    <w:p>
      <w:pPr>
        <w:spacing w:before="40" w:after="0" w:line="240" w:lineRule="auto"/>
        <w:ind w:right="-20"/>
        <w:rPr>
          <w:rFonts w:eastAsia="Arial" w:cs="Times New Roman"/>
          <w:spacing w:val="-1"/>
          <w:sz w:val="16"/>
          <w:lang w:val="sl-SI"/>
        </w:rPr>
      </w:pPr>
    </w:p>
    <w:p>
      <w:pPr>
        <w:spacing w:before="40" w:after="0" w:line="240" w:lineRule="auto"/>
        <w:ind w:right="-20"/>
        <w:rPr>
          <w:rFonts w:eastAsia="Arial" w:cs="Times New Roman"/>
          <w:spacing w:val="-1"/>
          <w:sz w:val="16"/>
          <w:lang w:val="sl-SI"/>
        </w:rPr>
      </w:pPr>
    </w:p>
    <w:p>
      <w:pPr>
        <w:spacing w:before="40" w:after="0" w:line="240" w:lineRule="auto"/>
        <w:ind w:right="-20"/>
        <w:rPr>
          <w:rFonts w:eastAsia="Arial" w:cs="Times New Roman"/>
          <w:spacing w:val="-1"/>
          <w:sz w:val="16"/>
          <w:lang w:val="sl-SI"/>
        </w:rPr>
      </w:pPr>
    </w:p>
    <w:p>
      <w:pPr>
        <w:spacing w:before="40" w:after="0" w:line="240" w:lineRule="auto"/>
        <w:ind w:right="-20"/>
        <w:rPr>
          <w:rFonts w:eastAsia="Arial" w:cs="Times New Roman"/>
          <w:spacing w:val="-1"/>
          <w:sz w:val="16"/>
          <w:lang w:val="sl-SI"/>
        </w:rPr>
      </w:pPr>
    </w:p>
    <w:p>
      <w:pPr>
        <w:spacing w:before="40" w:after="0" w:line="240" w:lineRule="auto"/>
        <w:ind w:right="-20"/>
        <w:rPr>
          <w:rFonts w:eastAsia="Arial" w:cs="Times New Roman"/>
          <w:spacing w:val="-1"/>
          <w:sz w:val="16"/>
          <w:lang w:val="sl-SI"/>
        </w:rPr>
      </w:pPr>
    </w:p>
    <w:p>
      <w:pPr>
        <w:spacing w:before="40" w:after="0" w:line="240" w:lineRule="auto"/>
        <w:ind w:right="-20"/>
        <w:rPr>
          <w:rFonts w:eastAsia="Arial" w:cs="Times New Roman"/>
          <w:spacing w:val="-1"/>
          <w:sz w:val="16"/>
          <w:lang w:val="sl-SI"/>
        </w:rPr>
      </w:pPr>
    </w:p>
    <w:p>
      <w:pPr>
        <w:spacing w:before="40" w:after="0" w:line="240" w:lineRule="auto"/>
        <w:ind w:right="-20"/>
        <w:rPr>
          <w:rFonts w:eastAsia="Arial" w:cs="Times New Roman"/>
          <w:spacing w:val="-1"/>
          <w:sz w:val="16"/>
          <w:lang w:val="sl-SI"/>
        </w:rPr>
      </w:pPr>
    </w:p>
    <w:p>
      <w:pPr>
        <w:spacing w:before="40" w:after="0" w:line="240" w:lineRule="auto"/>
        <w:ind w:right="-20"/>
        <w:rPr>
          <w:rFonts w:eastAsia="Arial" w:cs="Times New Roman"/>
          <w:spacing w:val="-1"/>
          <w:sz w:val="16"/>
          <w:lang w:val="sl-SI"/>
        </w:rPr>
      </w:pPr>
    </w:p>
    <w:p>
      <w:pPr>
        <w:spacing w:before="40" w:after="0" w:line="240" w:lineRule="auto"/>
        <w:ind w:right="-20"/>
        <w:rPr>
          <w:rFonts w:eastAsia="Arial" w:cs="Times New Roman"/>
          <w:spacing w:val="-1"/>
          <w:sz w:val="16"/>
          <w:lang w:val="sl-SI"/>
        </w:rPr>
      </w:pPr>
    </w:p>
    <w:p>
      <w:pPr>
        <w:spacing w:before="40" w:after="0" w:line="240" w:lineRule="auto"/>
        <w:ind w:right="-20"/>
        <w:rPr>
          <w:rFonts w:eastAsia="Arial" w:cs="Times New Roman"/>
          <w:sz w:val="16"/>
          <w:lang w:val="sl-SI"/>
        </w:rPr>
      </w:pPr>
      <w:r>
        <w:rPr>
          <w:sz w:val="16"/>
          <w:lang w:val="sl-SI"/>
        </w:rPr>
        <w:t>Evropska komisija, B-1049 Bruselj – Belgija. tel. +32 22991111</w:t>
      </w:r>
    </w:p>
    <w:p>
      <w:pPr>
        <w:spacing w:after="0" w:line="200" w:lineRule="exact"/>
        <w:rPr>
          <w:rFonts w:eastAsia="Arial" w:cs="Times New Roman"/>
          <w:sz w:val="16"/>
          <w:lang w:val="sl-SI"/>
        </w:rPr>
      </w:pPr>
      <w:r>
        <w:rPr>
          <w:sz w:val="16"/>
          <w:lang w:val="sl-SI"/>
        </w:rPr>
        <w:t xml:space="preserve">Namenski poštni predal: </w:t>
      </w:r>
      <w:hyperlink r:id="rId12">
        <w:r>
          <w:rPr>
            <w:sz w:val="16"/>
            <w:lang w:val="sl-SI"/>
          </w:rPr>
          <w:t>AGRI-FINANCIAL-AUDIT@ec.europa.eu</w:t>
        </w:r>
      </w:hyperlink>
    </w:p>
    <w:p>
      <w:pPr>
        <w:spacing w:after="0" w:line="200" w:lineRule="exact"/>
        <w:rPr>
          <w:rFonts w:cs="Times New Roman"/>
          <w:sz w:val="20"/>
          <w:lang w:val="sl-SI"/>
        </w:rPr>
        <w:sectPr>
          <w:headerReference w:type="even" r:id="rId13"/>
          <w:headerReference w:type="default" r:id="rId14"/>
          <w:footerReference w:type="even" r:id="rId15"/>
          <w:footerReference w:type="default" r:id="rId16"/>
          <w:headerReference w:type="first" r:id="rId17"/>
          <w:footerReference w:type="first" r:id="rId18"/>
          <w:type w:val="continuous"/>
          <w:pgSz w:w="11920" w:h="16840"/>
          <w:pgMar w:top="900" w:right="1400" w:bottom="280" w:left="1480" w:header="720" w:footer="720" w:gutter="0"/>
          <w:cols w:space="720"/>
        </w:sectPr>
      </w:pPr>
    </w:p>
    <w:p>
      <w:pPr>
        <w:spacing w:after="0"/>
        <w:rPr>
          <w:rFonts w:cs="Times New Roman"/>
          <w:lang w:val="sl-SI"/>
        </w:rPr>
      </w:pPr>
    </w:p>
    <w:p>
      <w:pPr>
        <w:spacing w:after="0"/>
        <w:jc w:val="center"/>
        <w:rPr>
          <w:rFonts w:cs="Times New Roman"/>
          <w:b/>
          <w:i/>
          <w:sz w:val="40"/>
          <w:lang w:val="sl-SI"/>
        </w:rPr>
      </w:pPr>
      <w:r>
        <w:rPr>
          <w:b/>
          <w:i/>
          <w:sz w:val="40"/>
          <w:lang w:val="sl-SI"/>
        </w:rPr>
        <w:t>Vsebina</w:t>
      </w:r>
    </w:p>
    <w:p>
      <w:pPr>
        <w:spacing w:after="0"/>
        <w:rPr>
          <w:rFonts w:cs="Times New Roman"/>
          <w:lang w:val="sl-SI"/>
        </w:rPr>
      </w:pPr>
    </w:p>
    <w:p>
      <w:pPr>
        <w:spacing w:after="0"/>
        <w:rPr>
          <w:rFonts w:cs="Times New Roman"/>
          <w:lang w:val="sl-SI"/>
        </w:rPr>
      </w:pPr>
    </w:p>
    <w:p>
      <w:pPr>
        <w:pStyle w:val="TOC1"/>
        <w:rPr>
          <w:rFonts w:eastAsiaTheme="minorEastAsia" w:cstheme="minorBidi"/>
          <w:b w:val="0"/>
          <w:caps w:val="0"/>
          <w:sz w:val="22"/>
          <w:szCs w:val="22"/>
          <w:lang w:val="sl-SI"/>
        </w:rPr>
      </w:pPr>
      <w:r>
        <w:rPr>
          <w:rFonts w:ascii="Times New Roman" w:hAnsi="Times New Roman" w:cs="Times New Roman"/>
          <w:lang w:val="sl-SI"/>
        </w:rPr>
        <w:fldChar w:fldCharType="begin"/>
      </w:r>
      <w:r>
        <w:rPr>
          <w:rFonts w:ascii="Times New Roman" w:hAnsi="Times New Roman" w:cs="Times New Roman"/>
          <w:lang w:val="sl-SI"/>
        </w:rPr>
        <w:instrText xml:space="preserve"> TOC \o "1-3" \h \z \u </w:instrText>
      </w:r>
      <w:r>
        <w:rPr>
          <w:rFonts w:ascii="Times New Roman" w:hAnsi="Times New Roman" w:cs="Times New Roman"/>
          <w:lang w:val="sl-SI"/>
        </w:rPr>
        <w:fldChar w:fldCharType="separate"/>
      </w:r>
      <w:hyperlink w:anchor="_Toc135235891" w:history="1">
        <w:r>
          <w:rPr>
            <w:rStyle w:val="Hyperlink"/>
            <w:rFonts w:ascii="Times New Roman" w:hAnsi="Times New Roman" w:cs="Times New Roman"/>
            <w:lang w:val="sl-SI"/>
          </w:rPr>
          <w:t>1</w:t>
        </w:r>
        <w:r>
          <w:rPr>
            <w:rFonts w:eastAsiaTheme="minorEastAsia" w:cstheme="minorBidi"/>
            <w:b w:val="0"/>
            <w:caps w:val="0"/>
            <w:sz w:val="22"/>
            <w:szCs w:val="22"/>
            <w:lang w:val="sl-SI"/>
          </w:rPr>
          <w:tab/>
        </w:r>
        <w:r>
          <w:rPr>
            <w:rStyle w:val="Hyperlink"/>
            <w:rFonts w:ascii="Times New Roman" w:hAnsi="Times New Roman"/>
            <w:lang w:val="sl-SI"/>
          </w:rPr>
          <w:t>Metodologija vzorčenja za preizkušanje sistema upravljanja</w:t>
        </w:r>
        <w:r>
          <w:rPr>
            <w:webHidden/>
            <w:lang w:val="sl-SI"/>
          </w:rPr>
          <w:tab/>
        </w:r>
        <w:r>
          <w:rPr>
            <w:webHidden/>
            <w:lang w:val="sl-SI"/>
          </w:rPr>
          <w:fldChar w:fldCharType="begin"/>
        </w:r>
        <w:r>
          <w:rPr>
            <w:webHidden/>
            <w:lang w:val="sl-SI"/>
          </w:rPr>
          <w:instrText xml:space="preserve"> PAGEREF _Toc135235891 \h </w:instrText>
        </w:r>
        <w:r>
          <w:rPr>
            <w:webHidden/>
            <w:lang w:val="sl-SI"/>
          </w:rPr>
        </w:r>
        <w:r>
          <w:rPr>
            <w:webHidden/>
            <w:lang w:val="sl-SI"/>
          </w:rPr>
          <w:fldChar w:fldCharType="separate"/>
        </w:r>
        <w:r>
          <w:rPr>
            <w:webHidden/>
            <w:lang w:val="sl-SI"/>
          </w:rPr>
          <w:t>3</w:t>
        </w:r>
        <w:r>
          <w:rPr>
            <w:webHidden/>
            <w:lang w:val="sl-SI"/>
          </w:rPr>
          <w:fldChar w:fldCharType="end"/>
        </w:r>
      </w:hyperlink>
    </w:p>
    <w:p>
      <w:pPr>
        <w:pStyle w:val="TOC2"/>
        <w:rPr>
          <w:rFonts w:eastAsiaTheme="minorEastAsia" w:cstheme="minorBidi"/>
          <w:smallCaps w:val="0"/>
          <w:sz w:val="22"/>
          <w:szCs w:val="22"/>
          <w:lang w:val="sl-SI"/>
        </w:rPr>
      </w:pPr>
      <w:hyperlink w:anchor="_Toc135235892" w:history="1">
        <w:r>
          <w:rPr>
            <w:rStyle w:val="Hyperlink"/>
            <w:rFonts w:ascii="Times New Roman" w:hAnsi="Times New Roman" w:cs="Times New Roman"/>
            <w:lang w:val="sl-SI"/>
          </w:rPr>
          <w:t>1.1</w:t>
        </w:r>
        <w:r>
          <w:rPr>
            <w:rFonts w:eastAsiaTheme="minorEastAsia" w:cstheme="minorBidi"/>
            <w:smallCaps w:val="0"/>
            <w:sz w:val="22"/>
            <w:szCs w:val="22"/>
            <w:lang w:val="sl-SI"/>
          </w:rPr>
          <w:tab/>
        </w:r>
        <w:r>
          <w:rPr>
            <w:rStyle w:val="Hyperlink"/>
            <w:rFonts w:ascii="Times New Roman" w:hAnsi="Times New Roman"/>
            <w:lang w:val="sl-SI"/>
          </w:rPr>
          <w:t>Splošni premisleki</w:t>
        </w:r>
        <w:r>
          <w:rPr>
            <w:webHidden/>
            <w:lang w:val="sl-SI"/>
          </w:rPr>
          <w:tab/>
        </w:r>
        <w:r>
          <w:rPr>
            <w:webHidden/>
            <w:lang w:val="sl-SI"/>
          </w:rPr>
          <w:fldChar w:fldCharType="begin"/>
        </w:r>
        <w:r>
          <w:rPr>
            <w:webHidden/>
            <w:lang w:val="sl-SI"/>
          </w:rPr>
          <w:instrText xml:space="preserve"> PAGEREF _Toc135235892 \h </w:instrText>
        </w:r>
        <w:r>
          <w:rPr>
            <w:webHidden/>
            <w:lang w:val="sl-SI"/>
          </w:rPr>
        </w:r>
        <w:r>
          <w:rPr>
            <w:webHidden/>
            <w:lang w:val="sl-SI"/>
          </w:rPr>
          <w:fldChar w:fldCharType="separate"/>
        </w:r>
        <w:r>
          <w:rPr>
            <w:webHidden/>
            <w:lang w:val="sl-SI"/>
          </w:rPr>
          <w:t>3</w:t>
        </w:r>
        <w:r>
          <w:rPr>
            <w:webHidden/>
            <w:lang w:val="sl-SI"/>
          </w:rPr>
          <w:fldChar w:fldCharType="end"/>
        </w:r>
      </w:hyperlink>
    </w:p>
    <w:p>
      <w:pPr>
        <w:pStyle w:val="TOC2"/>
        <w:rPr>
          <w:rFonts w:eastAsiaTheme="minorEastAsia" w:cstheme="minorBidi"/>
          <w:smallCaps w:val="0"/>
          <w:sz w:val="22"/>
          <w:szCs w:val="22"/>
          <w:lang w:val="sl-SI"/>
        </w:rPr>
      </w:pPr>
      <w:hyperlink w:anchor="_Toc135235893" w:history="1">
        <w:r>
          <w:rPr>
            <w:rStyle w:val="Hyperlink"/>
            <w:rFonts w:ascii="Times New Roman" w:hAnsi="Times New Roman" w:cs="Times New Roman"/>
            <w:lang w:val="sl-SI"/>
          </w:rPr>
          <w:t>1.2</w:t>
        </w:r>
        <w:r>
          <w:rPr>
            <w:rFonts w:eastAsiaTheme="minorEastAsia" w:cstheme="minorBidi"/>
            <w:smallCaps w:val="0"/>
            <w:sz w:val="22"/>
            <w:szCs w:val="22"/>
            <w:lang w:val="sl-SI"/>
          </w:rPr>
          <w:tab/>
        </w:r>
        <w:r>
          <w:rPr>
            <w:rStyle w:val="Hyperlink"/>
            <w:rFonts w:ascii="Times New Roman" w:hAnsi="Times New Roman"/>
            <w:lang w:val="sl-SI"/>
          </w:rPr>
          <w:t>Določanje velikosti vzorca</w:t>
        </w:r>
        <w:r>
          <w:rPr>
            <w:webHidden/>
            <w:lang w:val="sl-SI"/>
          </w:rPr>
          <w:tab/>
        </w:r>
        <w:r>
          <w:rPr>
            <w:webHidden/>
            <w:lang w:val="sl-SI"/>
          </w:rPr>
          <w:fldChar w:fldCharType="begin"/>
        </w:r>
        <w:r>
          <w:rPr>
            <w:webHidden/>
            <w:lang w:val="sl-SI"/>
          </w:rPr>
          <w:instrText xml:space="preserve"> PAGEREF _Toc135235893 \h </w:instrText>
        </w:r>
        <w:r>
          <w:rPr>
            <w:webHidden/>
            <w:lang w:val="sl-SI"/>
          </w:rPr>
        </w:r>
        <w:r>
          <w:rPr>
            <w:webHidden/>
            <w:lang w:val="sl-SI"/>
          </w:rPr>
          <w:fldChar w:fldCharType="separate"/>
        </w:r>
        <w:r>
          <w:rPr>
            <w:webHidden/>
            <w:lang w:val="sl-SI"/>
          </w:rPr>
          <w:t>4</w:t>
        </w:r>
        <w:r>
          <w:rPr>
            <w:webHidden/>
            <w:lang w:val="sl-SI"/>
          </w:rPr>
          <w:fldChar w:fldCharType="end"/>
        </w:r>
      </w:hyperlink>
    </w:p>
    <w:p>
      <w:pPr>
        <w:pStyle w:val="TOC2"/>
        <w:rPr>
          <w:rFonts w:eastAsiaTheme="minorEastAsia" w:cstheme="minorBidi"/>
          <w:smallCaps w:val="0"/>
          <w:sz w:val="22"/>
          <w:szCs w:val="22"/>
          <w:lang w:val="sl-SI"/>
        </w:rPr>
      </w:pPr>
      <w:hyperlink w:anchor="_Toc135235894" w:history="1">
        <w:r>
          <w:rPr>
            <w:rStyle w:val="Hyperlink"/>
            <w:rFonts w:ascii="Times New Roman" w:hAnsi="Times New Roman" w:cs="Times New Roman"/>
            <w:lang w:val="sl-SI"/>
          </w:rPr>
          <w:t>1.3</w:t>
        </w:r>
        <w:r>
          <w:rPr>
            <w:rFonts w:eastAsiaTheme="minorEastAsia" w:cstheme="minorBidi"/>
            <w:smallCaps w:val="0"/>
            <w:sz w:val="22"/>
            <w:szCs w:val="22"/>
            <w:lang w:val="sl-SI"/>
          </w:rPr>
          <w:tab/>
        </w:r>
        <w:r>
          <w:rPr>
            <w:rStyle w:val="Hyperlink"/>
            <w:rFonts w:ascii="Times New Roman" w:hAnsi="Times New Roman"/>
            <w:lang w:val="sl-SI"/>
          </w:rPr>
          <w:t>Preizkušanje skladnosti v okolju IT</w:t>
        </w:r>
        <w:r>
          <w:rPr>
            <w:webHidden/>
            <w:lang w:val="sl-SI"/>
          </w:rPr>
          <w:tab/>
        </w:r>
        <w:r>
          <w:rPr>
            <w:webHidden/>
            <w:lang w:val="sl-SI"/>
          </w:rPr>
          <w:fldChar w:fldCharType="begin"/>
        </w:r>
        <w:r>
          <w:rPr>
            <w:webHidden/>
            <w:lang w:val="sl-SI"/>
          </w:rPr>
          <w:instrText xml:space="preserve"> PAGEREF _Toc135235894 \h </w:instrText>
        </w:r>
        <w:r>
          <w:rPr>
            <w:webHidden/>
            <w:lang w:val="sl-SI"/>
          </w:rPr>
        </w:r>
        <w:r>
          <w:rPr>
            <w:webHidden/>
            <w:lang w:val="sl-SI"/>
          </w:rPr>
          <w:fldChar w:fldCharType="separate"/>
        </w:r>
        <w:r>
          <w:rPr>
            <w:webHidden/>
            <w:lang w:val="sl-SI"/>
          </w:rPr>
          <w:t>7</w:t>
        </w:r>
        <w:r>
          <w:rPr>
            <w:webHidden/>
            <w:lang w:val="sl-SI"/>
          </w:rPr>
          <w:fldChar w:fldCharType="end"/>
        </w:r>
      </w:hyperlink>
    </w:p>
    <w:p>
      <w:pPr>
        <w:pStyle w:val="TOC1"/>
        <w:rPr>
          <w:rFonts w:eastAsiaTheme="minorEastAsia" w:cstheme="minorBidi"/>
          <w:b w:val="0"/>
          <w:caps w:val="0"/>
          <w:sz w:val="22"/>
          <w:szCs w:val="22"/>
          <w:lang w:val="sl-SI"/>
        </w:rPr>
      </w:pPr>
      <w:hyperlink w:anchor="_Toc135235895" w:history="1">
        <w:r>
          <w:rPr>
            <w:rStyle w:val="Hyperlink"/>
            <w:rFonts w:ascii="Times New Roman" w:hAnsi="Times New Roman" w:cs="Times New Roman"/>
            <w:lang w:val="sl-SI"/>
          </w:rPr>
          <w:t>2</w:t>
        </w:r>
        <w:r>
          <w:rPr>
            <w:rFonts w:eastAsiaTheme="minorEastAsia" w:cstheme="minorBidi"/>
            <w:b w:val="0"/>
            <w:caps w:val="0"/>
            <w:sz w:val="22"/>
            <w:szCs w:val="22"/>
            <w:lang w:val="sl-SI"/>
          </w:rPr>
          <w:tab/>
        </w:r>
        <w:r>
          <w:rPr>
            <w:rStyle w:val="Hyperlink"/>
            <w:rFonts w:ascii="Times New Roman" w:hAnsi="Times New Roman"/>
            <w:lang w:val="sl-SI"/>
          </w:rPr>
          <w:t>Vzorčenje in načrtovanje izbora za „preizkus kontrol“</w:t>
        </w:r>
        <w:r>
          <w:rPr>
            <w:webHidden/>
            <w:lang w:val="sl-SI"/>
          </w:rPr>
          <w:tab/>
        </w:r>
        <w:r>
          <w:rPr>
            <w:webHidden/>
            <w:lang w:val="sl-SI"/>
          </w:rPr>
          <w:fldChar w:fldCharType="begin"/>
        </w:r>
        <w:r>
          <w:rPr>
            <w:webHidden/>
            <w:lang w:val="sl-SI"/>
          </w:rPr>
          <w:instrText xml:space="preserve"> PAGEREF _Toc135235895 \h </w:instrText>
        </w:r>
        <w:r>
          <w:rPr>
            <w:webHidden/>
            <w:lang w:val="sl-SI"/>
          </w:rPr>
        </w:r>
        <w:r>
          <w:rPr>
            <w:webHidden/>
            <w:lang w:val="sl-SI"/>
          </w:rPr>
          <w:fldChar w:fldCharType="separate"/>
        </w:r>
        <w:r>
          <w:rPr>
            <w:webHidden/>
            <w:lang w:val="sl-SI"/>
          </w:rPr>
          <w:t>8</w:t>
        </w:r>
        <w:r>
          <w:rPr>
            <w:webHidden/>
            <w:lang w:val="sl-SI"/>
          </w:rPr>
          <w:fldChar w:fldCharType="end"/>
        </w:r>
      </w:hyperlink>
    </w:p>
    <w:p>
      <w:pPr>
        <w:pStyle w:val="TOC2"/>
        <w:rPr>
          <w:rFonts w:eastAsiaTheme="minorEastAsia" w:cstheme="minorBidi"/>
          <w:smallCaps w:val="0"/>
          <w:sz w:val="22"/>
          <w:szCs w:val="22"/>
          <w:lang w:val="sl-SI"/>
        </w:rPr>
      </w:pPr>
      <w:hyperlink w:anchor="_Toc135235896" w:history="1">
        <w:r>
          <w:rPr>
            <w:rStyle w:val="Hyperlink"/>
            <w:rFonts w:ascii="Times New Roman" w:hAnsi="Times New Roman" w:cs="Times New Roman"/>
            <w:lang w:val="sl-SI"/>
          </w:rPr>
          <w:t>2.1</w:t>
        </w:r>
        <w:r>
          <w:rPr>
            <w:rFonts w:eastAsiaTheme="minorEastAsia" w:cstheme="minorBidi"/>
            <w:smallCaps w:val="0"/>
            <w:sz w:val="22"/>
            <w:szCs w:val="22"/>
            <w:lang w:val="sl-SI"/>
          </w:rPr>
          <w:tab/>
        </w:r>
        <w:r>
          <w:rPr>
            <w:rStyle w:val="Hyperlink"/>
            <w:rFonts w:ascii="Times New Roman" w:hAnsi="Times New Roman"/>
            <w:lang w:val="sl-SI"/>
          </w:rPr>
          <w:t>Vzorčenje na celico matrike BUR – nadaljnja stratifikacija</w:t>
        </w:r>
        <w:r>
          <w:rPr>
            <w:webHidden/>
            <w:lang w:val="sl-SI"/>
          </w:rPr>
          <w:tab/>
        </w:r>
        <w:r>
          <w:rPr>
            <w:webHidden/>
            <w:lang w:val="sl-SI"/>
          </w:rPr>
          <w:fldChar w:fldCharType="begin"/>
        </w:r>
        <w:r>
          <w:rPr>
            <w:webHidden/>
            <w:lang w:val="sl-SI"/>
          </w:rPr>
          <w:instrText xml:space="preserve"> PAGEREF _Toc135235896 \h </w:instrText>
        </w:r>
        <w:r>
          <w:rPr>
            <w:webHidden/>
            <w:lang w:val="sl-SI"/>
          </w:rPr>
        </w:r>
        <w:r>
          <w:rPr>
            <w:webHidden/>
            <w:lang w:val="sl-SI"/>
          </w:rPr>
          <w:fldChar w:fldCharType="separate"/>
        </w:r>
        <w:r>
          <w:rPr>
            <w:webHidden/>
            <w:lang w:val="sl-SI"/>
          </w:rPr>
          <w:t>8</w:t>
        </w:r>
        <w:r>
          <w:rPr>
            <w:webHidden/>
            <w:lang w:val="sl-SI"/>
          </w:rPr>
          <w:fldChar w:fldCharType="end"/>
        </w:r>
      </w:hyperlink>
    </w:p>
    <w:p>
      <w:pPr>
        <w:pStyle w:val="TOC2"/>
        <w:rPr>
          <w:rFonts w:eastAsiaTheme="minorEastAsia" w:cstheme="minorBidi"/>
          <w:smallCaps w:val="0"/>
          <w:sz w:val="22"/>
          <w:szCs w:val="22"/>
          <w:lang w:val="sl-SI"/>
        </w:rPr>
      </w:pPr>
      <w:hyperlink w:anchor="_Toc135235897" w:history="1">
        <w:r>
          <w:rPr>
            <w:rStyle w:val="Hyperlink"/>
            <w:rFonts w:ascii="Times New Roman" w:hAnsi="Times New Roman" w:cs="Times New Roman"/>
            <w:lang w:val="sl-SI"/>
          </w:rPr>
          <w:t>2.2</w:t>
        </w:r>
        <w:r>
          <w:rPr>
            <w:rFonts w:eastAsiaTheme="minorEastAsia" w:cstheme="minorBidi"/>
            <w:smallCaps w:val="0"/>
            <w:sz w:val="22"/>
            <w:szCs w:val="22"/>
            <w:lang w:val="sl-SI"/>
          </w:rPr>
          <w:tab/>
        </w:r>
        <w:r>
          <w:rPr>
            <w:rStyle w:val="Hyperlink"/>
            <w:rFonts w:ascii="Times New Roman" w:hAnsi="Times New Roman"/>
            <w:lang w:val="sl-SI"/>
          </w:rPr>
          <w:t>Morebitni premisleki</w:t>
        </w:r>
        <w:r>
          <w:rPr>
            <w:webHidden/>
            <w:lang w:val="sl-SI"/>
          </w:rPr>
          <w:tab/>
        </w:r>
        <w:r>
          <w:rPr>
            <w:webHidden/>
            <w:lang w:val="sl-SI"/>
          </w:rPr>
          <w:fldChar w:fldCharType="begin"/>
        </w:r>
        <w:r>
          <w:rPr>
            <w:webHidden/>
            <w:lang w:val="sl-SI"/>
          </w:rPr>
          <w:instrText xml:space="preserve"> PAGEREF _Toc135235897 \h </w:instrText>
        </w:r>
        <w:r>
          <w:rPr>
            <w:webHidden/>
            <w:lang w:val="sl-SI"/>
          </w:rPr>
        </w:r>
        <w:r>
          <w:rPr>
            <w:webHidden/>
            <w:lang w:val="sl-SI"/>
          </w:rPr>
          <w:fldChar w:fldCharType="separate"/>
        </w:r>
        <w:r>
          <w:rPr>
            <w:webHidden/>
            <w:lang w:val="sl-SI"/>
          </w:rPr>
          <w:t>12</w:t>
        </w:r>
        <w:r>
          <w:rPr>
            <w:webHidden/>
            <w:lang w:val="sl-SI"/>
          </w:rPr>
          <w:fldChar w:fldCharType="end"/>
        </w:r>
      </w:hyperlink>
    </w:p>
    <w:p>
      <w:pPr>
        <w:rPr>
          <w:rFonts w:cs="Times New Roman"/>
          <w:lang w:val="sl-SI"/>
        </w:rPr>
      </w:pPr>
      <w:r>
        <w:rPr>
          <w:rFonts w:cs="Times New Roman"/>
          <w:lang w:val="sl-SI"/>
        </w:rPr>
        <w:fldChar w:fldCharType="end"/>
      </w:r>
    </w:p>
    <w:p>
      <w:pPr>
        <w:spacing w:after="0"/>
        <w:rPr>
          <w:rFonts w:cs="Times New Roman"/>
          <w:lang w:val="sl-SI"/>
        </w:rPr>
      </w:pPr>
    </w:p>
    <w:p>
      <w:pPr>
        <w:spacing w:after="0"/>
        <w:rPr>
          <w:rFonts w:cs="Times New Roman"/>
          <w:lang w:val="sl-SI"/>
        </w:rPr>
      </w:pPr>
    </w:p>
    <w:p>
      <w:pPr>
        <w:spacing w:after="0"/>
        <w:rPr>
          <w:rFonts w:cs="Times New Roman"/>
          <w:lang w:val="sl-SI"/>
        </w:rPr>
      </w:pPr>
    </w:p>
    <w:p>
      <w:pPr>
        <w:spacing w:after="0"/>
        <w:rPr>
          <w:rFonts w:cs="Times New Roman"/>
          <w:lang w:val="sl-SI"/>
        </w:rPr>
      </w:pPr>
    </w:p>
    <w:p>
      <w:pPr>
        <w:spacing w:after="0"/>
        <w:rPr>
          <w:rFonts w:cs="Times New Roman"/>
          <w:lang w:val="sl-SI"/>
        </w:rPr>
      </w:pPr>
    </w:p>
    <w:p>
      <w:pPr>
        <w:spacing w:after="0"/>
        <w:rPr>
          <w:rFonts w:cs="Times New Roman"/>
          <w:lang w:val="sl-SI"/>
        </w:rPr>
      </w:pPr>
    </w:p>
    <w:p>
      <w:pPr>
        <w:spacing w:after="0"/>
        <w:rPr>
          <w:rFonts w:cs="Times New Roman"/>
          <w:lang w:val="sl-SI"/>
        </w:rPr>
        <w:sectPr>
          <w:headerReference w:type="even" r:id="rId19"/>
          <w:headerReference w:type="default" r:id="rId20"/>
          <w:headerReference w:type="first" r:id="rId21"/>
          <w:pgSz w:w="11920" w:h="16840"/>
          <w:pgMar w:top="900" w:right="1400" w:bottom="280" w:left="1480" w:header="720" w:footer="720" w:gutter="0"/>
          <w:cols w:space="720"/>
        </w:sectPr>
      </w:pPr>
    </w:p>
    <w:p>
      <w:pPr>
        <w:pStyle w:val="Heading1"/>
        <w:rPr>
          <w:rFonts w:ascii="Times New Roman" w:hAnsi="Times New Roman" w:cs="Times New Roman"/>
          <w:lang w:val="sl-SI"/>
        </w:rPr>
      </w:pPr>
      <w:bookmarkStart w:id="0" w:name="_Toc135235891"/>
      <w:r>
        <w:rPr>
          <w:rFonts w:ascii="Times New Roman" w:hAnsi="Times New Roman"/>
          <w:lang w:val="sl-SI"/>
        </w:rPr>
        <w:lastRenderedPageBreak/>
        <w:t>Metodologija vzorčenja za preizkušanje sistema upravljanja</w:t>
      </w:r>
      <w:bookmarkEnd w:id="0"/>
    </w:p>
    <w:p>
      <w:pPr>
        <w:pStyle w:val="Heading2"/>
        <w:rPr>
          <w:rFonts w:ascii="Times New Roman" w:hAnsi="Times New Roman" w:cs="Times New Roman"/>
          <w:lang w:val="sl-SI"/>
        </w:rPr>
      </w:pPr>
      <w:bookmarkStart w:id="1" w:name="_Toc135235892"/>
      <w:r>
        <w:rPr>
          <w:rFonts w:ascii="Times New Roman" w:hAnsi="Times New Roman"/>
          <w:lang w:val="sl-SI"/>
        </w:rPr>
        <w:t>Splošni premisleki</w:t>
      </w:r>
      <w:bookmarkEnd w:id="1"/>
    </w:p>
    <w:p>
      <w:pPr>
        <w:rPr>
          <w:rFonts w:cs="Times New Roman"/>
          <w:lang w:val="sl-SI"/>
        </w:rPr>
      </w:pPr>
      <w:r>
        <w:rPr>
          <w:lang w:val="sl-SI"/>
        </w:rPr>
        <w:t>Podrobna ocena tveganja, vključno s postopkom analize tveganja za količinsko opredelitev ugotovljenih tveganj na podlagi verjetnosti nastanka in dejavnikov vpliva, velja za ključni element za določitev uspešne in učinkovite revizijske strategije. Na podlagi rezultatov splošne ocene tveganja, kot je opisano v oddelku 11.3 Smernice št. 2, mora certifikacijski organ pripraviti metodologijo vzorčenja in načrtovati preizkušanje kontrol, da pridobi zadostne in ustrezne revizijske dokaze, da kontrole, izbrane za preizkušanje, v celotnem obdobju uspešno delujejo, kot so bile načrtovane, da bi preprečile ali odkrile in popravile resne pomanjkljivosti.</w:t>
      </w:r>
    </w:p>
    <w:p>
      <w:pPr>
        <w:rPr>
          <w:rFonts w:cs="Times New Roman"/>
          <w:lang w:val="sl-SI"/>
        </w:rPr>
      </w:pPr>
      <w:r>
        <w:rPr>
          <w:lang w:val="sl-SI"/>
        </w:rPr>
        <w:t>S preizkusi kontrol se ocenjujejo pomanjkljivosti v zasnovi kontrol in meri stopnja odklona pri notranjih kontrolah, da bi se ugotovilo, ali sistemi in postopki zagotavljajo obdelavo transakcij v skladu z osnovnimi zahtevami Unije in tako podpirajo revizorjevo oceno stopnje tveganja pri kontroliranju.</w:t>
      </w:r>
    </w:p>
    <w:p>
      <w:pPr>
        <w:rPr>
          <w:rFonts w:cs="Times New Roman"/>
          <w:lang w:val="sl-SI"/>
        </w:rPr>
      </w:pPr>
      <w:r>
        <w:rPr>
          <w:lang w:val="sl-SI"/>
        </w:rPr>
        <w:t>V zvezi s tem se upošteva neizčrpen referenčni seznam osnovnih zahtev Unije, kot so na voljo na CIRCABC.</w:t>
      </w:r>
    </w:p>
    <w:p>
      <w:pPr>
        <w:rPr>
          <w:rFonts w:cs="Times New Roman"/>
          <w:lang w:val="sl-SI"/>
        </w:rPr>
      </w:pPr>
      <w:r>
        <w:rPr>
          <w:b/>
          <w:lang w:val="sl-SI"/>
        </w:rPr>
        <w:t xml:space="preserve">Ocena sistemov upravljanja je zasnovana na ravni sklada glede na gradnike osnovnih zahtev Unije za IAKS in ne-IAKS. Preizkuse kontrol bo treba opraviti na podlagi te ocenjevalne matrike ob upoštevanju rezultatov analize tveganja. </w:t>
      </w:r>
    </w:p>
    <w:p>
      <w:pPr>
        <w:rPr>
          <w:rFonts w:cs="Times New Roman"/>
          <w:lang w:val="sl-SI"/>
        </w:rPr>
      </w:pPr>
      <w:r>
        <w:rPr>
          <w:lang w:val="sl-SI"/>
        </w:rPr>
        <w:t>Vsaka dejavnost vzorčenja za preizkušanje vedno sledi enotni osnovni strukturi:</w:t>
      </w:r>
    </w:p>
    <w:p>
      <w:pPr>
        <w:pStyle w:val="ListParagraph"/>
        <w:numPr>
          <w:ilvl w:val="0"/>
          <w:numId w:val="107"/>
        </w:numPr>
        <w:rPr>
          <w:lang w:val="sl-SI"/>
        </w:rPr>
      </w:pPr>
      <w:r>
        <w:rPr>
          <w:b/>
          <w:lang w:val="sl-SI"/>
        </w:rPr>
        <w:t>določitev cilja preizkusa</w:t>
      </w:r>
      <w:r>
        <w:rPr>
          <w:lang w:val="sl-SI"/>
        </w:rPr>
        <w:t xml:space="preserve"> glede na ugotovljena tveganja in navedbe, ki jih je treba preizkusiti: </w:t>
      </w:r>
      <w:r>
        <w:rPr>
          <w:rStyle w:val="normaltextrun"/>
          <w:lang w:val="sl-SI"/>
        </w:rPr>
        <w:t>na podlagi preizkušanja skladnosti je treba običajno potrditi naslednje vidike:</w:t>
      </w:r>
      <w:r>
        <w:rPr>
          <w:rStyle w:val="eop"/>
          <w:lang w:val="sl-SI"/>
        </w:rPr>
        <w:t xml:space="preserve"> </w:t>
      </w:r>
    </w:p>
    <w:p>
      <w:pPr>
        <w:pStyle w:val="paragraph"/>
        <w:numPr>
          <w:ilvl w:val="0"/>
          <w:numId w:val="106"/>
        </w:numPr>
        <w:spacing w:before="0" w:beforeAutospacing="0" w:after="0" w:afterAutospacing="0"/>
        <w:ind w:left="1418" w:hanging="284"/>
        <w:jc w:val="both"/>
        <w:textAlignment w:val="baseline"/>
        <w:rPr>
          <w:lang w:val="sl-SI"/>
        </w:rPr>
      </w:pPr>
      <w:r>
        <w:rPr>
          <w:rStyle w:val="normaltextrun"/>
          <w:lang w:val="sl-SI"/>
        </w:rPr>
        <w:t xml:space="preserve">elementi osnovnih zahtev Unije so bili ustrezno določeni v postopkih in sistemih plačilne agencije ter pravilno delujejo, npr. v zvezi z javnimi naročili ali pogojenostjo; </w:t>
      </w:r>
    </w:p>
    <w:p>
      <w:pPr>
        <w:pStyle w:val="ListParagraph"/>
        <w:numPr>
          <w:ilvl w:val="0"/>
          <w:numId w:val="106"/>
        </w:numPr>
        <w:ind w:left="1418" w:hanging="284"/>
        <w:rPr>
          <w:rFonts w:cs="Times New Roman"/>
          <w:lang w:val="sl-SI"/>
        </w:rPr>
      </w:pPr>
      <w:r>
        <w:rPr>
          <w:rStyle w:val="normaltextrun"/>
          <w:lang w:val="sl-SI"/>
        </w:rPr>
        <w:t xml:space="preserve">sistemi za zagotavljanje upravičenosti upravičencev, intervencij in plačil so bili v postopkih in sistemih plačilne agencije in pristojnih kontrolnih organov ustrezno vzpostavljeni ter pravilno delujejo. </w:t>
      </w:r>
      <w:r>
        <w:rPr>
          <w:lang w:val="sl-SI"/>
        </w:rPr>
        <w:t>Na primer, certifikacijski organ želi preizkusiti kakovost kontrol za preglede na kraju samem, ki jih izvede plačilna agencija, in veljavnost rezultatov;</w:t>
      </w:r>
    </w:p>
    <w:p>
      <w:pPr>
        <w:pStyle w:val="paragraph"/>
        <w:numPr>
          <w:ilvl w:val="0"/>
          <w:numId w:val="28"/>
        </w:numPr>
        <w:spacing w:before="0" w:beforeAutospacing="0" w:after="0" w:afterAutospacing="0"/>
        <w:jc w:val="both"/>
        <w:textAlignment w:val="baseline"/>
        <w:rPr>
          <w:rStyle w:val="normaltextrun"/>
          <w:rFonts w:eastAsiaTheme="minorHAnsi"/>
          <w:lang w:val="sl-SI"/>
        </w:rPr>
      </w:pPr>
      <w:r>
        <w:rPr>
          <w:b/>
          <w:lang w:val="sl-SI"/>
        </w:rPr>
        <w:t>določitev populacije in vzorčne enote</w:t>
      </w:r>
      <w:r>
        <w:rPr>
          <w:lang w:val="sl-SI"/>
        </w:rPr>
        <w:t xml:space="preserve"> (za podrobnosti glej oddelek 11.6 Smernice št. 2): vzorčna enota je običajno povezana s kontrolo, vključeno v sistem upravljanja</w:t>
      </w:r>
      <w:r>
        <w:rPr>
          <w:rStyle w:val="normaltextrun"/>
          <w:lang w:val="sl-SI"/>
        </w:rPr>
        <w:t>. Pričakuje se, da se enota, ki se uporablja za opredelitev populacije, uporablja tudi za določitev velikosti vzorca;</w:t>
      </w:r>
    </w:p>
    <w:p>
      <w:pPr>
        <w:pStyle w:val="ListParagraph"/>
        <w:numPr>
          <w:ilvl w:val="0"/>
          <w:numId w:val="13"/>
        </w:numPr>
        <w:rPr>
          <w:rFonts w:cs="Times New Roman"/>
          <w:lang w:val="sl-SI"/>
        </w:rPr>
      </w:pPr>
      <w:r>
        <w:rPr>
          <w:b/>
          <w:lang w:val="sl-SI"/>
        </w:rPr>
        <w:t xml:space="preserve">določitev stanja odklona </w:t>
      </w:r>
      <w:r>
        <w:rPr>
          <w:lang w:val="sl-SI"/>
        </w:rPr>
        <w:t>(za podrobnosti glej oddelek 13.1 Smernice št. 2): Stanje odklona se ugotavlja za vsako vzorčno enoto. C</w:t>
      </w:r>
      <w:r>
        <w:rPr>
          <w:rStyle w:val="normaltextrun"/>
          <w:shd w:val="clear" w:color="auto" w:fill="FFFFFF"/>
          <w:lang w:val="sl-SI"/>
        </w:rPr>
        <w:t>ertifikacijski organ mora izraziti mnenje, ali je sistem upravljanja deluje brez resnih pomanjkljivosti ali ne. Zato je treba pomanjkljivost oceniti na ravni sistema in ne na ravni posameznega upravičenca. V zvezi s pomanjkljivostjo kot tako je mogoče stanje odstopanja</w:t>
      </w:r>
      <w:r>
        <w:rPr>
          <w:lang w:val="sl-SI"/>
        </w:rPr>
        <w:t xml:space="preserve"> predvideti na dveh ravneh: </w:t>
      </w:r>
      <w:r>
        <w:rPr>
          <w:b/>
          <w:i/>
          <w:lang w:val="sl-SI"/>
        </w:rPr>
        <w:t>(a) pomanjkljivosti, ki se štejejo za „resne “ (tj.</w:t>
      </w:r>
      <w:r>
        <w:rPr>
          <w:rStyle w:val="normaltextrun"/>
          <w:shd w:val="clear" w:color="auto" w:fill="FFFFFF"/>
          <w:lang w:val="sl-SI"/>
        </w:rPr>
        <w:t xml:space="preserve"> pojavi se, kadar je pravilno delovanje sistemov upravljanja ovirano zaradi resne pomanjkljivosti sistema. Resna pomanjkljivost mora imeti sistemski učinek v </w:t>
      </w:r>
      <w:r>
        <w:rPr>
          <w:rStyle w:val="normaltextrun"/>
          <w:shd w:val="clear" w:color="auto" w:fill="FFFFFF"/>
          <w:lang w:val="sl-SI"/>
        </w:rPr>
        <w:lastRenderedPageBreak/>
        <w:t xml:space="preserve">smislu pojavnosti in resnosti, da bi jo bilo mogoče šteti kot tako.) in </w:t>
      </w:r>
      <w:r>
        <w:rPr>
          <w:b/>
          <w:i/>
          <w:lang w:val="sl-SI"/>
        </w:rPr>
        <w:t>(b)</w:t>
      </w:r>
      <w:r>
        <w:rPr>
          <w:rStyle w:val="normaltextrun"/>
          <w:shd w:val="clear" w:color="auto" w:fill="FFFFFF"/>
          <w:lang w:val="sl-SI"/>
        </w:rPr>
        <w:t xml:space="preserve"> </w:t>
      </w:r>
      <w:r>
        <w:rPr>
          <w:b/>
          <w:i/>
          <w:lang w:val="sl-SI"/>
        </w:rPr>
        <w:t xml:space="preserve">druge pomanjkljivosti (npr. </w:t>
      </w:r>
      <w:r>
        <w:rPr>
          <w:rStyle w:val="normaltextrun"/>
          <w:bdr w:val="none" w:sz="0" w:space="0" w:color="auto" w:frame="1"/>
          <w:lang w:val="sl-SI"/>
        </w:rPr>
        <w:t>če je v plačilni agenciji premalo osebja, ne da bi to negativno vplivalo na pravilno delovanje sistemov upravljanja in kontrole);</w:t>
      </w:r>
      <w:r>
        <w:rPr>
          <w:b/>
          <w:i/>
          <w:lang w:val="sl-SI"/>
        </w:rPr>
        <w:t xml:space="preserve"> </w:t>
      </w:r>
    </w:p>
    <w:p>
      <w:pPr>
        <w:pStyle w:val="ListParagraph"/>
        <w:numPr>
          <w:ilvl w:val="0"/>
          <w:numId w:val="13"/>
        </w:numPr>
        <w:rPr>
          <w:rFonts w:cs="Times New Roman"/>
          <w:lang w:val="sl-SI"/>
        </w:rPr>
      </w:pPr>
      <w:r>
        <w:rPr>
          <w:b/>
          <w:lang w:val="sl-SI"/>
        </w:rPr>
        <w:t>določitev velikosti vzorca</w:t>
      </w:r>
      <w:r>
        <w:rPr>
          <w:lang w:val="sl-SI"/>
        </w:rPr>
        <w:t xml:space="preserve"> na podlagi podrobne analize tveganja in revizorjeve strokovne presoje;</w:t>
      </w:r>
    </w:p>
    <w:p>
      <w:pPr>
        <w:pStyle w:val="ListParagraph"/>
        <w:numPr>
          <w:ilvl w:val="0"/>
          <w:numId w:val="13"/>
        </w:numPr>
        <w:rPr>
          <w:rFonts w:cs="Times New Roman"/>
          <w:lang w:val="sl-SI"/>
        </w:rPr>
      </w:pPr>
      <w:r>
        <w:rPr>
          <w:b/>
          <w:lang w:val="sl-SI"/>
        </w:rPr>
        <w:t xml:space="preserve">izbira vzorca in izvedba revizije: </w:t>
      </w:r>
      <w:r>
        <w:rPr>
          <w:rStyle w:val="normaltextrun"/>
          <w:bdr w:val="none" w:sz="0" w:space="0" w:color="auto" w:frame="1"/>
          <w:lang w:val="sl-SI"/>
        </w:rPr>
        <w:t>Popis različnih vzorcev, izbranih za preizkušanje različnih kontrol, je priporočljiv, kadar želijo certifikacijski organi preučiti možnost, da bi z istimi vzorci ali delom vzorcev dosegli različne revizijske namene (preizkušanje osnovne zahteve Unije);</w:t>
      </w:r>
    </w:p>
    <w:p>
      <w:pPr>
        <w:pStyle w:val="ListParagraph"/>
        <w:numPr>
          <w:ilvl w:val="0"/>
          <w:numId w:val="13"/>
        </w:numPr>
        <w:rPr>
          <w:rFonts w:cs="Times New Roman"/>
          <w:lang w:val="sl-SI"/>
        </w:rPr>
      </w:pPr>
      <w:r>
        <w:rPr>
          <w:b/>
          <w:lang w:val="sl-SI"/>
        </w:rPr>
        <w:t>vrednotenje rezultatov revizije.</w:t>
      </w:r>
      <w:r>
        <w:rPr>
          <w:b/>
          <w:i/>
          <w:lang w:val="sl-SI"/>
        </w:rPr>
        <w:t xml:space="preserve"> </w:t>
      </w:r>
    </w:p>
    <w:p>
      <w:pPr>
        <w:rPr>
          <w:rFonts w:eastAsia="Times New Roman" w:cs="Times New Roman"/>
          <w:lang w:val="sl-SI"/>
        </w:rPr>
      </w:pPr>
    </w:p>
    <w:p>
      <w:pPr>
        <w:rPr>
          <w:rFonts w:cs="Times New Roman"/>
          <w:lang w:val="sl-SI"/>
        </w:rPr>
      </w:pPr>
      <w:r>
        <w:rPr>
          <w:lang w:val="sl-SI"/>
        </w:rPr>
        <w:t>Pomanjkljivosti kontrole se lahko ocenjujejo na dveh ravneh:</w:t>
      </w:r>
    </w:p>
    <w:p>
      <w:pPr>
        <w:pStyle w:val="ListParagraph"/>
        <w:numPr>
          <w:ilvl w:val="0"/>
          <w:numId w:val="14"/>
        </w:numPr>
        <w:rPr>
          <w:rFonts w:cs="Times New Roman"/>
          <w:lang w:val="sl-SI"/>
        </w:rPr>
      </w:pPr>
      <w:r>
        <w:rPr>
          <w:u w:val="single" w:color="000000"/>
          <w:lang w:val="sl-SI"/>
        </w:rPr>
        <w:t xml:space="preserve">pomanjkljiva </w:t>
      </w:r>
      <w:r>
        <w:rPr>
          <w:lang w:val="sl-SI"/>
        </w:rPr>
        <w:t>zasnova in obstoj – kontrola, potrebna za doseganje cilja, manjka, oziroma cilj ne bi bil dosežen, tudi če bi kontrola ustrezno delovala;</w:t>
      </w:r>
    </w:p>
    <w:p>
      <w:pPr>
        <w:pStyle w:val="ListParagraph"/>
        <w:numPr>
          <w:ilvl w:val="0"/>
          <w:numId w:val="14"/>
        </w:numPr>
        <w:rPr>
          <w:rFonts w:cs="Times New Roman"/>
          <w:lang w:val="sl-SI"/>
        </w:rPr>
      </w:pPr>
      <w:r>
        <w:rPr>
          <w:u w:val="single" w:color="000000"/>
          <w:lang w:val="sl-SI"/>
        </w:rPr>
        <w:t>pomanjkljivo delovanje</w:t>
      </w:r>
      <w:r>
        <w:rPr>
          <w:lang w:val="sl-SI"/>
        </w:rPr>
        <w:t xml:space="preserve"> – ustrezno zasnovana kontrola ne deluje, kot bi morala, oziroma oseba, ki kontrolo izvaja, nima pooblastil ali usposobljenosti, da bi jo učinkovito izvedla.</w:t>
      </w:r>
    </w:p>
    <w:p>
      <w:pPr>
        <w:rPr>
          <w:rFonts w:cs="Times New Roman"/>
          <w:lang w:val="sl-SI"/>
        </w:rPr>
      </w:pPr>
    </w:p>
    <w:p>
      <w:pPr>
        <w:rPr>
          <w:rFonts w:cs="Times New Roman"/>
          <w:lang w:val="sl-SI"/>
        </w:rPr>
      </w:pPr>
      <w:r>
        <w:rPr>
          <w:lang w:val="sl-SI"/>
        </w:rPr>
        <w:t xml:space="preserve">Pomanjkljivost se lahko šteje za resno, kadar je zaradi nje same ali v kombinaciji z drugimi pomanjkljivostmi v sistemu upravljanja mogoče razumno pričakovati, da se </w:t>
      </w:r>
      <w:r>
        <w:rPr>
          <w:rStyle w:val="normaltextrun"/>
          <w:bdr w:val="none" w:sz="0" w:space="0" w:color="auto" w:frame="1"/>
          <w:lang w:val="sl-SI"/>
        </w:rPr>
        <w:t>nepravilno poročanje o posameznih intervencijah</w:t>
      </w:r>
      <w:r>
        <w:rPr>
          <w:lang w:val="sl-SI"/>
        </w:rPr>
        <w:t xml:space="preserve"> ne bo pravočasno preprečilo, ugotovilo in/ali odpravilo.</w:t>
      </w:r>
    </w:p>
    <w:p>
      <w:pPr>
        <w:rPr>
          <w:rFonts w:cs="Times New Roman"/>
          <w:lang w:val="sl-SI"/>
        </w:rPr>
      </w:pPr>
      <w:r>
        <w:rPr>
          <w:lang w:val="sl-SI"/>
        </w:rPr>
        <w:t>Za načrtovanje in izvajanje revizijskih preizkusov skladnosti se priporoča uporaba nestatističnega pristopa; za opredelitev velikosti vzorcev glej oddelek 1.2 v nadaljevanju.</w:t>
      </w:r>
    </w:p>
    <w:p>
      <w:pPr>
        <w:rPr>
          <w:rFonts w:cs="Times New Roman"/>
          <w:lang w:val="sl-SI"/>
        </w:rPr>
      </w:pPr>
      <w:r>
        <w:rPr>
          <w:lang w:val="sl-SI"/>
        </w:rPr>
        <w:t>Druga možnost, ki jo lahko revizorji uporabijo za preizkušanje kakovosti sistema notranjih kontrol (revizija sistema), je tehnika statističnega vzorčenja (atributivno vzorčenje). Z atributivnim vzorčenjem se ocenjuje delež enot populacije z določeno značilnostjo in posledično ugotavlja, ali notranje kontrole ustrezno delujejo (pridobivanje odgovorov „da/ne“ ali trditev o obstoju/neobstoju odklona z merljivo stopnjo zanesljivosti).</w:t>
      </w:r>
    </w:p>
    <w:p>
      <w:pPr>
        <w:pStyle w:val="Heading2"/>
        <w:rPr>
          <w:rFonts w:ascii="Times New Roman" w:hAnsi="Times New Roman" w:cs="Times New Roman"/>
          <w:lang w:val="sl-SI"/>
        </w:rPr>
      </w:pPr>
      <w:bookmarkStart w:id="2" w:name="_Toc135235893"/>
      <w:r>
        <w:rPr>
          <w:rFonts w:ascii="Times New Roman" w:hAnsi="Times New Roman"/>
          <w:lang w:val="sl-SI"/>
        </w:rPr>
        <w:t>Določanje velikosti vzorca</w:t>
      </w:r>
      <w:bookmarkEnd w:id="2"/>
    </w:p>
    <w:p>
      <w:pPr>
        <w:rPr>
          <w:rFonts w:cs="Times New Roman"/>
          <w:lang w:val="sl-SI"/>
        </w:rPr>
      </w:pPr>
      <w:r>
        <w:rPr>
          <w:lang w:val="sl-SI"/>
        </w:rPr>
        <w:t>Certifikacijski organ se mora za preizkušanje skladnosti osredotočiti na ustrezne procese in postopke ter določiti kontrole, vgrajene v proces, ki ga bo preizkušal. Število preizkusov, ki se opravijo, mora ustrezati pogostosti kontrole in oceni tveganja, kot je opisano v poglavju 11.3 Smernice št. 2. Cilj je preizkusiti zasnovo in uspešnost kontrole ter tako pridobiti zagotovilo, da kontrole v celotnem revizijskem obdobju učinkovito delujejo. Ena enota se lahko preizkusi z vsemi ustreznimi kontrolami v danem procesu ali obratno, preizkus določene kontrole, ki velja za eno intervencijo, se lahko uporabi za ocenjevanje sistema upravljanja druge intervencije.</w:t>
      </w:r>
    </w:p>
    <w:p>
      <w:pPr>
        <w:rPr>
          <w:rFonts w:cs="Times New Roman"/>
          <w:lang w:val="sl-SI"/>
        </w:rPr>
      </w:pPr>
      <w:r>
        <w:rPr>
          <w:lang w:val="sl-SI"/>
        </w:rPr>
        <w:t>Priporočena velikost vzorca na ravni vsake celice matrike BUR je določena na podlagi:</w:t>
      </w:r>
    </w:p>
    <w:p>
      <w:pPr>
        <w:pStyle w:val="ListParagraph"/>
        <w:numPr>
          <w:ilvl w:val="0"/>
          <w:numId w:val="108"/>
        </w:numPr>
        <w:spacing w:line="300" w:lineRule="atLeast"/>
        <w:rPr>
          <w:rFonts w:cs="Times New Roman"/>
          <w:lang w:val="sl-SI"/>
        </w:rPr>
      </w:pPr>
      <w:r>
        <w:rPr>
          <w:lang w:val="sl-SI"/>
        </w:rPr>
        <w:lastRenderedPageBreak/>
        <w:t xml:space="preserve">rezultata ocene tveganja za posamezno celico matrike BUR na intervencijo (kontrolno okolje, tveganje pri delovanju, tveganje pri kontroliranju, znesek odhodkov preizkušene intervencije); </w:t>
      </w:r>
    </w:p>
    <w:p>
      <w:pPr>
        <w:pStyle w:val="ListParagraph"/>
        <w:numPr>
          <w:ilvl w:val="0"/>
          <w:numId w:val="108"/>
        </w:numPr>
        <w:spacing w:line="300" w:lineRule="atLeast"/>
        <w:rPr>
          <w:rFonts w:cs="Times New Roman"/>
          <w:lang w:val="sl-SI"/>
        </w:rPr>
      </w:pPr>
      <w:r>
        <w:rPr>
          <w:lang w:val="sl-SI"/>
        </w:rPr>
        <w:t>vrste kontrol (IT, ročni nadzor ...);</w:t>
      </w:r>
    </w:p>
    <w:p>
      <w:pPr>
        <w:pStyle w:val="ListParagraph"/>
        <w:numPr>
          <w:ilvl w:val="0"/>
          <w:numId w:val="108"/>
        </w:numPr>
        <w:spacing w:line="300" w:lineRule="atLeast"/>
        <w:rPr>
          <w:rFonts w:cs="Times New Roman"/>
          <w:lang w:val="sl-SI"/>
        </w:rPr>
      </w:pPr>
      <w:r>
        <w:rPr>
          <w:lang w:val="sl-SI"/>
        </w:rPr>
        <w:t>pogostosti kontrol</w:t>
      </w:r>
      <w:r>
        <w:rPr>
          <w:rStyle w:val="FootnoteReference"/>
          <w:rFonts w:cs="Times New Roman"/>
          <w:lang w:val="sl-SI"/>
        </w:rPr>
        <w:footnoteReference w:id="2"/>
      </w:r>
      <w:r>
        <w:rPr>
          <w:lang w:val="sl-SI"/>
        </w:rPr>
        <w:t>. </w:t>
      </w:r>
    </w:p>
    <w:p>
      <w:pPr>
        <w:rPr>
          <w:rFonts w:cs="Times New Roman"/>
          <w:lang w:val="sl-SI"/>
        </w:rPr>
      </w:pPr>
    </w:p>
    <w:p>
      <w:pPr>
        <w:rPr>
          <w:rFonts w:cs="Times New Roman"/>
          <w:spacing w:val="4"/>
          <w:lang w:val="sl-SI"/>
        </w:rPr>
      </w:pPr>
      <w:r>
        <w:rPr>
          <w:lang w:val="sl-SI"/>
        </w:rPr>
        <w:t xml:space="preserve">Če ni mogoče pričakovati odstopanj, so povzete v spodnji preglednici. </w:t>
      </w:r>
    </w:p>
    <w:tbl>
      <w:tblPr>
        <w:tblStyle w:val="TableGrid"/>
        <w:tblW w:w="9070" w:type="dxa"/>
        <w:tblLook w:val="04A0" w:firstRow="1" w:lastRow="0" w:firstColumn="1" w:lastColumn="0" w:noHBand="0" w:noVBand="1"/>
      </w:tblPr>
      <w:tblGrid>
        <w:gridCol w:w="1814"/>
        <w:gridCol w:w="1814"/>
        <w:gridCol w:w="1814"/>
        <w:gridCol w:w="1814"/>
        <w:gridCol w:w="1814"/>
      </w:tblGrid>
      <w:tr>
        <w:trPr>
          <w:trHeight w:val="2670"/>
        </w:trPr>
        <w:tc>
          <w:tcPr>
            <w:tcW w:w="1814" w:type="dxa"/>
          </w:tcPr>
          <w:p>
            <w:pPr>
              <w:spacing w:after="120" w:line="240" w:lineRule="auto"/>
              <w:jc w:val="center"/>
              <w:rPr>
                <w:b/>
                <w:lang w:val="sl-SI"/>
              </w:rPr>
            </w:pPr>
            <w:bookmarkStart w:id="3" w:name="_Hlk111791311"/>
            <w:r>
              <w:rPr>
                <w:b/>
                <w:lang w:val="sl-SI"/>
              </w:rPr>
              <w:t>Vrsta in pogostost kontrol</w:t>
            </w:r>
          </w:p>
        </w:tc>
        <w:tc>
          <w:tcPr>
            <w:tcW w:w="1814" w:type="dxa"/>
          </w:tcPr>
          <w:p>
            <w:pPr>
              <w:spacing w:after="120" w:line="240" w:lineRule="auto"/>
              <w:jc w:val="center"/>
              <w:rPr>
                <w:b/>
                <w:lang w:val="sl-SI"/>
              </w:rPr>
            </w:pPr>
            <w:r>
              <w:rPr>
                <w:b/>
                <w:lang w:val="sl-SI"/>
              </w:rPr>
              <w:t>Število kontrol, ki jih je treba revidirati v primeru minimalnih tveganj </w:t>
            </w:r>
          </w:p>
        </w:tc>
        <w:tc>
          <w:tcPr>
            <w:tcW w:w="1814" w:type="dxa"/>
          </w:tcPr>
          <w:p>
            <w:pPr>
              <w:spacing w:after="120" w:line="240" w:lineRule="auto"/>
              <w:jc w:val="center"/>
              <w:rPr>
                <w:b/>
                <w:lang w:val="sl-SI"/>
              </w:rPr>
            </w:pPr>
            <w:r>
              <w:rPr>
                <w:b/>
                <w:lang w:val="sl-SI"/>
              </w:rPr>
              <w:t>Število kontrol, ki jih je treba revidirati v primeru nizkih tveganj </w:t>
            </w:r>
          </w:p>
        </w:tc>
        <w:tc>
          <w:tcPr>
            <w:tcW w:w="1814" w:type="dxa"/>
          </w:tcPr>
          <w:p>
            <w:pPr>
              <w:spacing w:after="120" w:line="240" w:lineRule="auto"/>
              <w:jc w:val="center"/>
              <w:rPr>
                <w:b/>
                <w:lang w:val="sl-SI"/>
              </w:rPr>
            </w:pPr>
            <w:r>
              <w:rPr>
                <w:b/>
                <w:lang w:val="sl-SI"/>
              </w:rPr>
              <w:t>Število kontrol, ki jih je treba revidirati v primeru zmernih tveganj</w:t>
            </w:r>
          </w:p>
        </w:tc>
        <w:tc>
          <w:tcPr>
            <w:tcW w:w="1814" w:type="dxa"/>
          </w:tcPr>
          <w:p>
            <w:pPr>
              <w:spacing w:after="120" w:line="240" w:lineRule="auto"/>
              <w:jc w:val="center"/>
              <w:rPr>
                <w:b/>
                <w:lang w:val="sl-SI"/>
              </w:rPr>
            </w:pPr>
            <w:r>
              <w:rPr>
                <w:b/>
                <w:lang w:val="sl-SI"/>
              </w:rPr>
              <w:t>Število kontrol, ki jih je treba revidirati v primeru visokih tveganj</w:t>
            </w:r>
          </w:p>
        </w:tc>
      </w:tr>
      <w:tr>
        <w:tc>
          <w:tcPr>
            <w:tcW w:w="1814" w:type="dxa"/>
          </w:tcPr>
          <w:p>
            <w:pPr>
              <w:spacing w:after="120" w:line="240" w:lineRule="auto"/>
              <w:rPr>
                <w:lang w:val="sl-SI"/>
              </w:rPr>
            </w:pPr>
            <w:r>
              <w:rPr>
                <w:lang w:val="sl-SI"/>
              </w:rPr>
              <w:t>Več kot 1 000 preverjanj, izvedenih na leto</w:t>
            </w:r>
          </w:p>
        </w:tc>
        <w:tc>
          <w:tcPr>
            <w:tcW w:w="1814" w:type="dxa"/>
          </w:tcPr>
          <w:p>
            <w:pPr>
              <w:spacing w:after="120" w:line="240" w:lineRule="auto"/>
              <w:jc w:val="center"/>
              <w:rPr>
                <w:lang w:val="sl-SI"/>
              </w:rPr>
            </w:pPr>
            <w:r>
              <w:rPr>
                <w:lang w:val="sl-SI"/>
              </w:rPr>
              <w:t>do 25</w:t>
            </w:r>
          </w:p>
        </w:tc>
        <w:tc>
          <w:tcPr>
            <w:tcW w:w="1814" w:type="dxa"/>
          </w:tcPr>
          <w:p>
            <w:pPr>
              <w:spacing w:after="120" w:line="240" w:lineRule="auto"/>
              <w:jc w:val="center"/>
              <w:rPr>
                <w:lang w:val="sl-SI"/>
              </w:rPr>
            </w:pPr>
            <w:r>
              <w:rPr>
                <w:lang w:val="sl-SI"/>
              </w:rPr>
              <w:t>vsaj 25</w:t>
            </w:r>
          </w:p>
        </w:tc>
        <w:tc>
          <w:tcPr>
            <w:tcW w:w="1814" w:type="dxa"/>
          </w:tcPr>
          <w:p>
            <w:pPr>
              <w:spacing w:after="120" w:line="240" w:lineRule="auto"/>
              <w:jc w:val="center"/>
              <w:rPr>
                <w:lang w:val="sl-SI"/>
              </w:rPr>
            </w:pPr>
            <w:r>
              <w:rPr>
                <w:lang w:val="sl-SI"/>
              </w:rPr>
              <w:t>vsaj 35</w:t>
            </w:r>
          </w:p>
        </w:tc>
        <w:tc>
          <w:tcPr>
            <w:tcW w:w="1814" w:type="dxa"/>
          </w:tcPr>
          <w:p>
            <w:pPr>
              <w:spacing w:after="120" w:line="240" w:lineRule="auto"/>
              <w:jc w:val="center"/>
              <w:rPr>
                <w:lang w:val="sl-SI"/>
              </w:rPr>
            </w:pPr>
            <w:r>
              <w:rPr>
                <w:lang w:val="sl-SI"/>
              </w:rPr>
              <w:t>Strokovna presoja</w:t>
            </w:r>
          </w:p>
        </w:tc>
      </w:tr>
      <w:tr>
        <w:tc>
          <w:tcPr>
            <w:tcW w:w="1814" w:type="dxa"/>
          </w:tcPr>
          <w:p>
            <w:pPr>
              <w:spacing w:after="120" w:line="240" w:lineRule="auto"/>
              <w:rPr>
                <w:lang w:val="sl-SI"/>
              </w:rPr>
            </w:pPr>
            <w:r>
              <w:rPr>
                <w:lang w:val="sl-SI"/>
              </w:rPr>
              <w:t>Med 53 in 1 000 kontrol, izvedenih na leto</w:t>
            </w:r>
          </w:p>
        </w:tc>
        <w:tc>
          <w:tcPr>
            <w:tcW w:w="1814" w:type="dxa"/>
          </w:tcPr>
          <w:p>
            <w:pPr>
              <w:spacing w:after="120" w:line="240" w:lineRule="auto"/>
              <w:jc w:val="center"/>
              <w:rPr>
                <w:lang w:val="sl-SI"/>
              </w:rPr>
            </w:pPr>
            <w:r>
              <w:rPr>
                <w:lang w:val="sl-SI"/>
              </w:rPr>
              <w:t>2 % </w:t>
            </w:r>
          </w:p>
          <w:p>
            <w:pPr>
              <w:spacing w:after="120" w:line="240" w:lineRule="auto"/>
              <w:jc w:val="center"/>
              <w:rPr>
                <w:lang w:val="sl-SI"/>
              </w:rPr>
            </w:pPr>
            <w:r>
              <w:rPr>
                <w:lang w:val="sl-SI"/>
              </w:rPr>
              <w:t>(vsaj 5)</w:t>
            </w:r>
          </w:p>
        </w:tc>
        <w:tc>
          <w:tcPr>
            <w:tcW w:w="1814" w:type="dxa"/>
          </w:tcPr>
          <w:p>
            <w:pPr>
              <w:spacing w:after="120" w:line="240" w:lineRule="auto"/>
              <w:jc w:val="center"/>
              <w:rPr>
                <w:lang w:val="sl-SI"/>
              </w:rPr>
            </w:pPr>
            <w:r>
              <w:rPr>
                <w:lang w:val="sl-SI"/>
              </w:rPr>
              <w:t>2–3 %</w:t>
            </w:r>
          </w:p>
          <w:p>
            <w:pPr>
              <w:spacing w:after="120" w:line="240" w:lineRule="auto"/>
              <w:jc w:val="center"/>
              <w:rPr>
                <w:lang w:val="sl-SI"/>
              </w:rPr>
            </w:pPr>
            <w:r>
              <w:rPr>
                <w:lang w:val="sl-SI"/>
              </w:rPr>
              <w:t>(vsaj 7)</w:t>
            </w:r>
          </w:p>
        </w:tc>
        <w:tc>
          <w:tcPr>
            <w:tcW w:w="1814" w:type="dxa"/>
          </w:tcPr>
          <w:p>
            <w:pPr>
              <w:spacing w:after="120" w:line="240" w:lineRule="auto"/>
              <w:jc w:val="center"/>
              <w:rPr>
                <w:lang w:val="sl-SI"/>
              </w:rPr>
            </w:pPr>
            <w:r>
              <w:rPr>
                <w:lang w:val="sl-SI"/>
              </w:rPr>
              <w:t>3–4 % </w:t>
            </w:r>
          </w:p>
          <w:p>
            <w:pPr>
              <w:spacing w:after="120" w:line="240" w:lineRule="auto"/>
              <w:jc w:val="center"/>
              <w:rPr>
                <w:lang w:val="sl-SI"/>
              </w:rPr>
            </w:pPr>
            <w:r>
              <w:rPr>
                <w:lang w:val="sl-SI"/>
              </w:rPr>
              <w:t>(vsaj 13)</w:t>
            </w:r>
          </w:p>
        </w:tc>
        <w:tc>
          <w:tcPr>
            <w:tcW w:w="1814" w:type="dxa"/>
          </w:tcPr>
          <w:p>
            <w:pPr>
              <w:spacing w:after="120" w:line="240" w:lineRule="auto"/>
              <w:jc w:val="center"/>
              <w:rPr>
                <w:lang w:val="sl-SI"/>
              </w:rPr>
            </w:pPr>
            <w:r>
              <w:rPr>
                <w:lang w:val="sl-SI"/>
              </w:rPr>
              <w:t>Strokovna presoja</w:t>
            </w:r>
          </w:p>
        </w:tc>
      </w:tr>
      <w:tr>
        <w:tc>
          <w:tcPr>
            <w:tcW w:w="1814" w:type="dxa"/>
          </w:tcPr>
          <w:p>
            <w:pPr>
              <w:spacing w:after="120" w:line="240" w:lineRule="auto"/>
              <w:rPr>
                <w:lang w:val="sl-SI"/>
              </w:rPr>
            </w:pPr>
            <w:r>
              <w:rPr>
                <w:lang w:val="sl-SI"/>
              </w:rPr>
              <w:t>Tedenski pregled.</w:t>
            </w:r>
          </w:p>
        </w:tc>
        <w:tc>
          <w:tcPr>
            <w:tcW w:w="1814" w:type="dxa"/>
          </w:tcPr>
          <w:p>
            <w:pPr>
              <w:spacing w:after="120" w:line="240" w:lineRule="auto"/>
              <w:jc w:val="center"/>
              <w:rPr>
                <w:lang w:val="sl-SI"/>
              </w:rPr>
            </w:pPr>
            <w:r>
              <w:rPr>
                <w:lang w:val="sl-SI"/>
              </w:rPr>
              <w:t>5</w:t>
            </w:r>
          </w:p>
        </w:tc>
        <w:tc>
          <w:tcPr>
            <w:tcW w:w="1814" w:type="dxa"/>
          </w:tcPr>
          <w:p>
            <w:pPr>
              <w:spacing w:after="120" w:line="240" w:lineRule="auto"/>
              <w:jc w:val="center"/>
              <w:rPr>
                <w:lang w:val="sl-SI"/>
              </w:rPr>
            </w:pPr>
            <w:r>
              <w:rPr>
                <w:lang w:val="sl-SI"/>
              </w:rPr>
              <w:t>7</w:t>
            </w:r>
          </w:p>
        </w:tc>
        <w:tc>
          <w:tcPr>
            <w:tcW w:w="1814" w:type="dxa"/>
          </w:tcPr>
          <w:p>
            <w:pPr>
              <w:spacing w:after="120" w:line="240" w:lineRule="auto"/>
              <w:jc w:val="center"/>
              <w:rPr>
                <w:lang w:val="sl-SI"/>
              </w:rPr>
            </w:pPr>
            <w:r>
              <w:rPr>
                <w:lang w:val="sl-SI"/>
              </w:rPr>
              <w:t>13</w:t>
            </w:r>
          </w:p>
        </w:tc>
        <w:tc>
          <w:tcPr>
            <w:tcW w:w="1814" w:type="dxa"/>
          </w:tcPr>
          <w:p>
            <w:pPr>
              <w:spacing w:after="120" w:line="240" w:lineRule="auto"/>
              <w:jc w:val="center"/>
              <w:rPr>
                <w:lang w:val="sl-SI"/>
              </w:rPr>
            </w:pPr>
            <w:r>
              <w:rPr>
                <w:lang w:val="sl-SI"/>
              </w:rPr>
              <w:t>Strokovna presoja</w:t>
            </w:r>
          </w:p>
        </w:tc>
      </w:tr>
      <w:tr>
        <w:tc>
          <w:tcPr>
            <w:tcW w:w="1814" w:type="dxa"/>
          </w:tcPr>
          <w:p>
            <w:pPr>
              <w:spacing w:after="120" w:line="240" w:lineRule="auto"/>
              <w:rPr>
                <w:lang w:val="sl-SI"/>
              </w:rPr>
            </w:pPr>
            <w:r>
              <w:rPr>
                <w:lang w:val="sl-SI"/>
              </w:rPr>
              <w:t>Mesečno preverjanje</w:t>
            </w:r>
          </w:p>
        </w:tc>
        <w:tc>
          <w:tcPr>
            <w:tcW w:w="1814" w:type="dxa"/>
          </w:tcPr>
          <w:p>
            <w:pPr>
              <w:spacing w:after="120" w:line="240" w:lineRule="auto"/>
              <w:jc w:val="center"/>
              <w:rPr>
                <w:lang w:val="sl-SI"/>
              </w:rPr>
            </w:pPr>
            <w:r>
              <w:rPr>
                <w:lang w:val="sl-SI"/>
              </w:rPr>
              <w:t>2</w:t>
            </w:r>
          </w:p>
        </w:tc>
        <w:tc>
          <w:tcPr>
            <w:tcW w:w="1814" w:type="dxa"/>
          </w:tcPr>
          <w:p>
            <w:pPr>
              <w:spacing w:after="120" w:line="240" w:lineRule="auto"/>
              <w:jc w:val="center"/>
              <w:rPr>
                <w:lang w:val="sl-SI"/>
              </w:rPr>
            </w:pPr>
            <w:r>
              <w:rPr>
                <w:lang w:val="sl-SI"/>
              </w:rPr>
              <w:t>4</w:t>
            </w:r>
          </w:p>
        </w:tc>
        <w:tc>
          <w:tcPr>
            <w:tcW w:w="1814" w:type="dxa"/>
          </w:tcPr>
          <w:p>
            <w:pPr>
              <w:spacing w:after="120" w:line="240" w:lineRule="auto"/>
              <w:jc w:val="center"/>
              <w:rPr>
                <w:lang w:val="sl-SI"/>
              </w:rPr>
            </w:pPr>
            <w:r>
              <w:rPr>
                <w:lang w:val="sl-SI"/>
              </w:rPr>
              <w:t>7</w:t>
            </w:r>
          </w:p>
        </w:tc>
        <w:tc>
          <w:tcPr>
            <w:tcW w:w="1814" w:type="dxa"/>
          </w:tcPr>
          <w:p>
            <w:pPr>
              <w:spacing w:after="120" w:line="240" w:lineRule="auto"/>
              <w:jc w:val="center"/>
              <w:rPr>
                <w:lang w:val="sl-SI"/>
              </w:rPr>
            </w:pPr>
            <w:r>
              <w:rPr>
                <w:lang w:val="sl-SI"/>
              </w:rPr>
              <w:t>Strokovna presoja</w:t>
            </w:r>
          </w:p>
        </w:tc>
      </w:tr>
      <w:tr>
        <w:tc>
          <w:tcPr>
            <w:tcW w:w="1814" w:type="dxa"/>
          </w:tcPr>
          <w:p>
            <w:pPr>
              <w:spacing w:after="120" w:line="240" w:lineRule="auto"/>
              <w:rPr>
                <w:lang w:val="sl-SI"/>
              </w:rPr>
            </w:pPr>
            <w:r>
              <w:rPr>
                <w:lang w:val="sl-SI"/>
              </w:rPr>
              <w:t>Četrtletna kontrola</w:t>
            </w:r>
          </w:p>
        </w:tc>
        <w:tc>
          <w:tcPr>
            <w:tcW w:w="1814" w:type="dxa"/>
          </w:tcPr>
          <w:p>
            <w:pPr>
              <w:spacing w:after="120" w:line="240" w:lineRule="auto"/>
              <w:jc w:val="center"/>
              <w:rPr>
                <w:lang w:val="sl-SI"/>
              </w:rPr>
            </w:pPr>
            <w:r>
              <w:rPr>
                <w:lang w:val="sl-SI"/>
              </w:rPr>
              <w:t>2</w:t>
            </w:r>
          </w:p>
        </w:tc>
        <w:tc>
          <w:tcPr>
            <w:tcW w:w="1814" w:type="dxa"/>
          </w:tcPr>
          <w:p>
            <w:pPr>
              <w:spacing w:after="120" w:line="240" w:lineRule="auto"/>
              <w:jc w:val="center"/>
              <w:rPr>
                <w:lang w:val="sl-SI"/>
              </w:rPr>
            </w:pPr>
            <w:r>
              <w:rPr>
                <w:lang w:val="sl-SI"/>
              </w:rPr>
              <w:t>3</w:t>
            </w:r>
          </w:p>
        </w:tc>
        <w:tc>
          <w:tcPr>
            <w:tcW w:w="1814" w:type="dxa"/>
          </w:tcPr>
          <w:p>
            <w:pPr>
              <w:spacing w:after="120" w:line="240" w:lineRule="auto"/>
              <w:jc w:val="center"/>
              <w:rPr>
                <w:lang w:val="sl-SI"/>
              </w:rPr>
            </w:pPr>
            <w:r>
              <w:rPr>
                <w:lang w:val="sl-SI"/>
              </w:rPr>
              <w:t>3</w:t>
            </w:r>
          </w:p>
        </w:tc>
        <w:tc>
          <w:tcPr>
            <w:tcW w:w="1814" w:type="dxa"/>
          </w:tcPr>
          <w:p>
            <w:pPr>
              <w:spacing w:after="120" w:line="240" w:lineRule="auto"/>
              <w:jc w:val="center"/>
              <w:rPr>
                <w:lang w:val="sl-SI"/>
              </w:rPr>
            </w:pPr>
            <w:r>
              <w:rPr>
                <w:lang w:val="sl-SI"/>
              </w:rPr>
              <w:t>4</w:t>
            </w:r>
          </w:p>
        </w:tc>
      </w:tr>
      <w:tr>
        <w:tc>
          <w:tcPr>
            <w:tcW w:w="1814" w:type="dxa"/>
          </w:tcPr>
          <w:p>
            <w:pPr>
              <w:spacing w:after="120" w:line="240" w:lineRule="auto"/>
              <w:rPr>
                <w:lang w:val="sl-SI"/>
              </w:rPr>
            </w:pPr>
            <w:r>
              <w:rPr>
                <w:lang w:val="sl-SI"/>
              </w:rPr>
              <w:t>Letna kontrola</w:t>
            </w:r>
          </w:p>
        </w:tc>
        <w:tc>
          <w:tcPr>
            <w:tcW w:w="1814" w:type="dxa"/>
          </w:tcPr>
          <w:p>
            <w:pPr>
              <w:spacing w:after="120" w:line="240" w:lineRule="auto"/>
              <w:jc w:val="center"/>
              <w:rPr>
                <w:lang w:val="sl-SI"/>
              </w:rPr>
            </w:pPr>
            <w:r>
              <w:rPr>
                <w:lang w:val="sl-SI"/>
              </w:rPr>
              <w:t>1</w:t>
            </w:r>
          </w:p>
        </w:tc>
        <w:tc>
          <w:tcPr>
            <w:tcW w:w="1814" w:type="dxa"/>
          </w:tcPr>
          <w:p>
            <w:pPr>
              <w:spacing w:after="120" w:line="240" w:lineRule="auto"/>
              <w:jc w:val="center"/>
              <w:rPr>
                <w:lang w:val="sl-SI"/>
              </w:rPr>
            </w:pPr>
            <w:r>
              <w:rPr>
                <w:lang w:val="sl-SI"/>
              </w:rPr>
              <w:t>1</w:t>
            </w:r>
          </w:p>
        </w:tc>
        <w:tc>
          <w:tcPr>
            <w:tcW w:w="1814" w:type="dxa"/>
          </w:tcPr>
          <w:p>
            <w:pPr>
              <w:spacing w:after="120" w:line="240" w:lineRule="auto"/>
              <w:jc w:val="center"/>
              <w:rPr>
                <w:lang w:val="sl-SI"/>
              </w:rPr>
            </w:pPr>
            <w:r>
              <w:rPr>
                <w:lang w:val="sl-SI"/>
              </w:rPr>
              <w:t>1</w:t>
            </w:r>
          </w:p>
        </w:tc>
        <w:tc>
          <w:tcPr>
            <w:tcW w:w="1814" w:type="dxa"/>
          </w:tcPr>
          <w:p>
            <w:pPr>
              <w:spacing w:after="120" w:line="240" w:lineRule="auto"/>
              <w:jc w:val="center"/>
              <w:rPr>
                <w:lang w:val="sl-SI"/>
              </w:rPr>
            </w:pPr>
            <w:r>
              <w:rPr>
                <w:lang w:val="sl-SI"/>
              </w:rPr>
              <w:t>1</w:t>
            </w:r>
          </w:p>
        </w:tc>
      </w:tr>
      <w:tr>
        <w:tc>
          <w:tcPr>
            <w:tcW w:w="1814" w:type="dxa"/>
          </w:tcPr>
          <w:p>
            <w:pPr>
              <w:spacing w:after="120" w:line="240" w:lineRule="auto"/>
              <w:rPr>
                <w:lang w:val="sl-SI"/>
              </w:rPr>
            </w:pPr>
            <w:r>
              <w:rPr>
                <w:lang w:val="sl-SI"/>
              </w:rPr>
              <w:t>Avtomatizirana kontrola aplikacij</w:t>
            </w:r>
          </w:p>
        </w:tc>
        <w:tc>
          <w:tcPr>
            <w:tcW w:w="1814" w:type="dxa"/>
          </w:tcPr>
          <w:p>
            <w:pPr>
              <w:spacing w:after="120" w:line="240" w:lineRule="auto"/>
              <w:jc w:val="center"/>
              <w:rPr>
                <w:lang w:val="sl-SI"/>
              </w:rPr>
            </w:pPr>
            <w:r>
              <w:rPr>
                <w:lang w:val="sl-SI"/>
              </w:rPr>
              <w:t>Enkratni preizkus za vsako kontrolo aplikacij, če je podprta z učinkovitimi splošnimi kontrolami IT, v nasprotnem primeru pa se preizkusi 25 kontrol.</w:t>
            </w:r>
          </w:p>
        </w:tc>
        <w:tc>
          <w:tcPr>
            <w:tcW w:w="1814" w:type="dxa"/>
          </w:tcPr>
          <w:p>
            <w:pPr>
              <w:spacing w:after="120" w:line="240" w:lineRule="auto"/>
              <w:jc w:val="center"/>
              <w:rPr>
                <w:lang w:val="sl-SI"/>
              </w:rPr>
            </w:pPr>
          </w:p>
        </w:tc>
        <w:tc>
          <w:tcPr>
            <w:tcW w:w="1814" w:type="dxa"/>
          </w:tcPr>
          <w:p>
            <w:pPr>
              <w:spacing w:after="120" w:line="240" w:lineRule="auto"/>
              <w:jc w:val="center"/>
              <w:rPr>
                <w:lang w:val="sl-SI"/>
              </w:rPr>
            </w:pPr>
          </w:p>
        </w:tc>
        <w:tc>
          <w:tcPr>
            <w:tcW w:w="1814" w:type="dxa"/>
          </w:tcPr>
          <w:p>
            <w:pPr>
              <w:spacing w:after="120" w:line="240" w:lineRule="auto"/>
              <w:jc w:val="center"/>
              <w:rPr>
                <w:lang w:val="sl-SI"/>
              </w:rPr>
            </w:pPr>
          </w:p>
        </w:tc>
      </w:tr>
      <w:bookmarkEnd w:id="3"/>
    </w:tbl>
    <w:p>
      <w:pPr>
        <w:rPr>
          <w:rFonts w:cs="Times New Roman"/>
          <w:spacing w:val="4"/>
          <w:lang w:val="sl-SI"/>
        </w:rPr>
      </w:pPr>
    </w:p>
    <w:p>
      <w:pPr>
        <w:rPr>
          <w:rFonts w:cs="Times New Roman"/>
          <w:lang w:val="sl-SI"/>
        </w:rPr>
      </w:pPr>
      <w:r>
        <w:rPr>
          <w:lang w:val="sl-SI"/>
        </w:rPr>
        <w:t xml:space="preserve">V primeru majhne populacije se lahko velikost vzorca za preizkušanje skladnosti ustrezno prilagodi. </w:t>
      </w:r>
    </w:p>
    <w:p>
      <w:pPr>
        <w:rPr>
          <w:rFonts w:cs="Times New Roman"/>
          <w:lang w:val="sl-SI"/>
        </w:rPr>
      </w:pPr>
      <w:r>
        <w:rPr>
          <w:lang w:val="sl-SI"/>
        </w:rPr>
        <w:t>Če se pričakujejo odkloni, eden od mogočih načinov določanja velikosti vzorca temelji na naslednjih informacijah:</w:t>
      </w:r>
    </w:p>
    <w:p>
      <w:pPr>
        <w:pStyle w:val="ListParagraph"/>
        <w:numPr>
          <w:ilvl w:val="0"/>
          <w:numId w:val="2"/>
        </w:numPr>
        <w:rPr>
          <w:rFonts w:cs="Times New Roman"/>
          <w:lang w:val="sl-SI"/>
        </w:rPr>
      </w:pPr>
      <w:r>
        <w:rPr>
          <w:lang w:val="sl-SI"/>
        </w:rPr>
        <w:t xml:space="preserve">stopnja zaupanja in povezani koeficient </w:t>
      </w:r>
      <w:r>
        <w:rPr>
          <w:i/>
          <w:lang w:val="sl-SI"/>
        </w:rPr>
        <w:t>z</w:t>
      </w:r>
      <w:r>
        <w:rPr>
          <w:lang w:val="sl-SI"/>
        </w:rPr>
        <w:t xml:space="preserve"> iz normalne porazdelitve (običajno z = 1,96, kar ustreza stopnji zaupanja 95 %);</w:t>
      </w:r>
    </w:p>
    <w:p>
      <w:pPr>
        <w:pStyle w:val="ListParagraph"/>
        <w:numPr>
          <w:ilvl w:val="0"/>
          <w:numId w:val="2"/>
        </w:numPr>
        <w:autoSpaceDE w:val="0"/>
        <w:autoSpaceDN w:val="0"/>
        <w:adjustRightInd w:val="0"/>
        <w:rPr>
          <w:rFonts w:cs="Times New Roman"/>
          <w:lang w:val="sl-SI"/>
        </w:rPr>
      </w:pPr>
      <w:r>
        <w:rPr>
          <w:lang w:val="sl-SI"/>
        </w:rPr>
        <w:t xml:space="preserve">največja dopustna stopnja odklona </w:t>
      </w:r>
      <w:r>
        <w:rPr>
          <w:b/>
          <w:lang w:val="sl-SI"/>
        </w:rPr>
        <w:t>T</w:t>
      </w:r>
      <w:r>
        <w:rPr>
          <w:lang w:val="sl-SI"/>
        </w:rPr>
        <w:t>, ki jo določi revizor in je v skladu z načrtovanim tveganjem pri kontroliranju; predstavlja največjo stopnjo odklona, ki jo je revizor pripravljen sprejeti in še vedno uporabljati načrtovano tveganje pri kontroliranju;</w:t>
      </w:r>
    </w:p>
    <w:p>
      <w:pPr>
        <w:pStyle w:val="ListParagraph"/>
        <w:numPr>
          <w:ilvl w:val="0"/>
          <w:numId w:val="2"/>
        </w:numPr>
        <w:autoSpaceDE w:val="0"/>
        <w:autoSpaceDN w:val="0"/>
        <w:adjustRightInd w:val="0"/>
        <w:rPr>
          <w:rFonts w:cs="Times New Roman"/>
          <w:lang w:val="sl-SI"/>
        </w:rPr>
      </w:pPr>
      <w:r>
        <w:rPr>
          <w:lang w:val="sl-SI"/>
        </w:rPr>
        <w:t xml:space="preserve">pričakovana stopnja odklona pri populaciji </w:t>
      </w:r>
      <m:oMath>
        <m:r>
          <w:rPr>
            <w:rFonts w:ascii="Cambria Math" w:hAnsi="Cambria Math" w:cs="Times New Roman"/>
            <w:lang w:val="sl-SI"/>
          </w:rPr>
          <m:t>p</m:t>
        </m:r>
      </m:oMath>
      <w:r>
        <w:rPr>
          <w:lang w:val="sl-SI"/>
        </w:rPr>
        <w:t>, ocenjena ali ugotovljena na podlagi pilotnega vzorca. Opozoriti je treba, da mora biti dopustna stopnja odklona višja od pričakovane stopnje odklona pri populaciji, saj v nasprotnem primeru preizkus nima smisla (npr. če pričakujete 10-odstotno stopnjo napake, je nesmiselno določiti 5-odstotno dopustno stopnjo napake, saj bi to pomenilo, da pri populaciji pričakujete več napak, kot ste jih pripravljeni dopustiti).</w:t>
      </w:r>
    </w:p>
    <w:p>
      <w:pPr>
        <w:rPr>
          <w:rFonts w:cs="Times New Roman"/>
          <w:lang w:val="sl-SI"/>
        </w:rPr>
      </w:pPr>
    </w:p>
    <w:p>
      <w:pPr>
        <w:rPr>
          <w:rFonts w:cs="Times New Roman"/>
          <w:lang w:val="sl-SI"/>
        </w:rPr>
      </w:pPr>
      <w:r>
        <w:rPr>
          <w:lang w:val="sl-SI"/>
        </w:rPr>
        <w:t>Velikost vzorca se izračuna na naslednji način:</w:t>
      </w:r>
    </w:p>
    <w:p>
      <w:pPr>
        <w:autoSpaceDE w:val="0"/>
        <w:autoSpaceDN w:val="0"/>
        <w:adjustRightInd w:val="0"/>
        <w:rPr>
          <w:rFonts w:eastAsiaTheme="minorEastAsia" w:cs="Times New Roman"/>
          <w:lang w:val="sl-SI"/>
        </w:rPr>
      </w:pPr>
      <m:oMathPara>
        <m:oMath>
          <m:r>
            <w:rPr>
              <w:rFonts w:ascii="Cambria Math" w:hAnsi="Cambria Math" w:cs="Times New Roman"/>
              <w:lang w:val="sl-SI"/>
            </w:rPr>
            <m:t>n=</m:t>
          </m:r>
          <m:f>
            <m:fPr>
              <m:ctrlPr>
                <w:rPr>
                  <w:rFonts w:ascii="Cambria Math" w:hAnsi="Cambria Math" w:cs="Times New Roman"/>
                  <w:i/>
                  <w:lang w:val="sl-SI"/>
                </w:rPr>
              </m:ctrlPr>
            </m:fPr>
            <m:num>
              <m:sSup>
                <m:sSupPr>
                  <m:ctrlPr>
                    <w:rPr>
                      <w:rFonts w:ascii="Cambria Math" w:hAnsi="Cambria Math" w:cs="Times New Roman"/>
                      <w:i/>
                      <w:lang w:val="sl-SI"/>
                    </w:rPr>
                  </m:ctrlPr>
                </m:sSupPr>
                <m:e>
                  <m:r>
                    <w:rPr>
                      <w:rFonts w:ascii="Cambria Math" w:hAnsi="Cambria Math" w:cs="Times New Roman"/>
                      <w:lang w:val="sl-SI"/>
                    </w:rPr>
                    <m:t>z</m:t>
                  </m:r>
                </m:e>
                <m:sup>
                  <m:r>
                    <w:rPr>
                      <w:rFonts w:ascii="Cambria Math" w:hAnsi="Cambria Math" w:cs="Times New Roman"/>
                      <w:lang w:val="sl-SI"/>
                    </w:rPr>
                    <m:t>2</m:t>
                  </m:r>
                </m:sup>
              </m:sSup>
              <m:r>
                <w:rPr>
                  <w:rFonts w:ascii="Cambria Math" w:hAnsi="Cambria Math" w:cs="Times New Roman"/>
                  <w:lang w:val="sl-SI"/>
                </w:rPr>
                <m:t>×p×(1-p)</m:t>
              </m:r>
            </m:num>
            <m:den>
              <m:sSup>
                <m:sSupPr>
                  <m:ctrlPr>
                    <w:rPr>
                      <w:rFonts w:ascii="Cambria Math" w:hAnsi="Cambria Math" w:cs="Times New Roman"/>
                      <w:i/>
                      <w:lang w:val="sl-SI"/>
                    </w:rPr>
                  </m:ctrlPr>
                </m:sSupPr>
                <m:e>
                  <m:r>
                    <w:rPr>
                      <w:rFonts w:ascii="Cambria Math" w:hAnsi="Cambria Math" w:cs="Times New Roman"/>
                      <w:lang w:val="sl-SI"/>
                    </w:rPr>
                    <m:t>(T-p)</m:t>
                  </m:r>
                </m:e>
                <m:sup>
                  <m:r>
                    <w:rPr>
                      <w:rFonts w:ascii="Cambria Math" w:hAnsi="Cambria Math" w:cs="Times New Roman"/>
                      <w:lang w:val="sl-SI"/>
                    </w:rPr>
                    <m:t>2</m:t>
                  </m:r>
                </m:sup>
              </m:sSup>
            </m:den>
          </m:f>
          <m:r>
            <w:rPr>
              <w:rFonts w:ascii="Cambria Math" w:hAnsi="Cambria Math" w:cs="Times New Roman"/>
              <w:lang w:val="sl-SI"/>
            </w:rPr>
            <m:t>.</m:t>
          </m:r>
        </m:oMath>
      </m:oMathPara>
    </w:p>
    <w:p>
      <w:pPr>
        <w:rPr>
          <w:rFonts w:cs="Times New Roman"/>
          <w:lang w:val="sl-SI"/>
        </w:rPr>
      </w:pPr>
    </w:p>
    <w:p>
      <w:pPr>
        <w:rPr>
          <w:rFonts w:cs="Times New Roman"/>
          <w:lang w:val="sl-SI"/>
        </w:rPr>
      </w:pPr>
      <w:r>
        <w:rPr>
          <w:lang w:val="sl-SI"/>
        </w:rPr>
        <w:t>Ugotovljene odklone je treba oceniti, da se ugotovijo vzroki za neuspešno kontrolo, možne posledice in popravni ukrepi, ki bi jih bilo treba sprejeti. V tem primeru je treba v delovnih dokumentih navesti, ali je bila kontrola neuspešna zaradi pomanjkljive zasnove ali pomanjkljivega delovanja. V skladu z MRS 330 (odst. 17) je treba oceniti tudi, ali: (a) so kontrole zanesljive; (b) so potrebni dodatni preizkusi kontrol oziroma ali (c) je treba zaradi možnih tveganj napačne navedbe uporabiti postopke preizkušanja podatkov.</w:t>
      </w:r>
    </w:p>
    <w:p>
      <w:pPr>
        <w:rPr>
          <w:rFonts w:cs="Times New Roman"/>
          <w:lang w:val="sl-SI"/>
        </w:rPr>
      </w:pPr>
      <w:r>
        <w:rPr>
          <w:lang w:val="sl-SI"/>
        </w:rPr>
        <w:t>Certifikacijski organ mora upoštevati tudi naravo sistema notranjih kontrol, vključno s tem, ali vključuje ročne in/ali avtomatizirane kontrolne postopke. V primeru avtomatiziranih kontrol morajo preizkusi poleg ročnih kontrol vključevati tudi avtomatizirane poslovne kontrole in kontrole aplikacij ter oceno ustreznosti splošnih kontrol IT. Če te splošne kontrole zanesljivo delujejo in tako zagotavljajo, da so kontrole aplikacij zanesljive, morda zadostuje, da se preizkusi zgolj omejeno število primerov delovanja avtomatizirane kontrole aplikacij (za kontrolo aplikacij – preizkus enega primera).</w:t>
      </w:r>
    </w:p>
    <w:p>
      <w:pPr>
        <w:rPr>
          <w:rFonts w:cs="Times New Roman"/>
          <w:lang w:val="sl-SI"/>
        </w:rPr>
      </w:pPr>
      <w:r>
        <w:rPr>
          <w:lang w:val="sl-SI"/>
        </w:rPr>
        <w:t>Pričakovana stopnja odklona pri populaciji (ali število razhajanj) običajno ne sme preseči dopustne stopnje napake. Certifikacijski organ mora oceniti vrsto razhajanja/odklona in določiti, ali gre za enkraten pojav zaradi posebnega razloga in z omejenim vplivom ali pa se lahko odkloni obravnavajo kot sistemska težava.</w:t>
      </w:r>
    </w:p>
    <w:p>
      <w:pPr>
        <w:rPr>
          <w:rFonts w:cs="Times New Roman"/>
          <w:sz w:val="20"/>
          <w:lang w:val="sl-SI"/>
        </w:rPr>
      </w:pPr>
      <w:r>
        <w:rPr>
          <w:lang w:val="sl-SI"/>
        </w:rPr>
        <w:lastRenderedPageBreak/>
        <w:t>Dopustna napaka je izražena kot število neuspešnih kontrol v populaciji in je najvišja stopnja odklona pri predpisani kontroli, ki so jo revizorji pripravljeni sprejeti, ne da bi spremenili načrtovano stopnjo tveganja pri kontroliranju. Praviloma se priporoča naslednje razmerje med načrtovanim tveganjem pri kontroliranju in dopustno stopnjo odklona:</w:t>
      </w:r>
    </w:p>
    <w:tbl>
      <w:tblPr>
        <w:tblW w:w="5000" w:type="pct"/>
        <w:tblCellMar>
          <w:left w:w="0" w:type="dxa"/>
          <w:right w:w="0" w:type="dxa"/>
        </w:tblCellMar>
        <w:tblLook w:val="01E0" w:firstRow="1" w:lastRow="1" w:firstColumn="1" w:lastColumn="1" w:noHBand="0" w:noVBand="0"/>
      </w:tblPr>
      <w:tblGrid>
        <w:gridCol w:w="5492"/>
        <w:gridCol w:w="3918"/>
      </w:tblGrid>
      <w:tr>
        <w:trPr>
          <w:trHeight w:hRule="exact" w:val="291"/>
        </w:trPr>
        <w:tc>
          <w:tcPr>
            <w:tcW w:w="2918" w:type="pct"/>
            <w:tcBorders>
              <w:top w:val="single" w:sz="5" w:space="0" w:color="000000"/>
              <w:left w:val="single" w:sz="4" w:space="0" w:color="000000"/>
              <w:bottom w:val="single" w:sz="4" w:space="0" w:color="000000"/>
              <w:right w:val="single" w:sz="4" w:space="0" w:color="000000"/>
            </w:tcBorders>
            <w:shd w:val="clear" w:color="auto" w:fill="auto"/>
          </w:tcPr>
          <w:p>
            <w:pPr>
              <w:spacing w:before="2" w:after="0" w:line="240" w:lineRule="auto"/>
              <w:ind w:left="561" w:right="-20"/>
              <w:rPr>
                <w:rFonts w:cs="Times New Roman"/>
                <w:lang w:val="sl-SI"/>
              </w:rPr>
            </w:pPr>
            <w:r>
              <w:rPr>
                <w:b/>
                <w:lang w:val="sl-SI"/>
              </w:rPr>
              <w:t>Načrtovano tveganje pri kontroliranju</w:t>
            </w:r>
          </w:p>
        </w:tc>
        <w:tc>
          <w:tcPr>
            <w:tcW w:w="2082" w:type="pct"/>
            <w:tcBorders>
              <w:top w:val="single" w:sz="5" w:space="0" w:color="000000"/>
              <w:left w:val="single" w:sz="4" w:space="0" w:color="000000"/>
              <w:bottom w:val="single" w:sz="4" w:space="0" w:color="000000"/>
              <w:right w:val="single" w:sz="4" w:space="0" w:color="000000"/>
            </w:tcBorders>
            <w:shd w:val="clear" w:color="auto" w:fill="auto"/>
          </w:tcPr>
          <w:p>
            <w:pPr>
              <w:spacing w:before="2" w:after="0" w:line="240" w:lineRule="auto"/>
              <w:ind w:left="522" w:right="-20"/>
              <w:rPr>
                <w:rFonts w:eastAsia="Times New Roman" w:cs="Times New Roman"/>
                <w:lang w:val="sl-SI"/>
              </w:rPr>
            </w:pPr>
            <w:r>
              <w:rPr>
                <w:b/>
                <w:lang w:val="sl-SI"/>
              </w:rPr>
              <w:t>Dopustna stopnja odklona</w:t>
            </w:r>
          </w:p>
        </w:tc>
      </w:tr>
      <w:tr>
        <w:trPr>
          <w:trHeight w:hRule="exact" w:val="293"/>
        </w:trPr>
        <w:tc>
          <w:tcPr>
            <w:tcW w:w="2918" w:type="pct"/>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ind w:left="1353" w:right="1333"/>
              <w:jc w:val="center"/>
              <w:rPr>
                <w:rFonts w:cs="Times New Roman"/>
                <w:szCs w:val="24"/>
                <w:lang w:val="sl-SI"/>
              </w:rPr>
            </w:pPr>
            <w:r>
              <w:rPr>
                <w:szCs w:val="24"/>
                <w:lang w:val="sl-SI"/>
              </w:rPr>
              <w:t>Majhno</w:t>
            </w:r>
          </w:p>
        </w:tc>
        <w:tc>
          <w:tcPr>
            <w:tcW w:w="2082" w:type="pct"/>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ind w:left="1097" w:right="1075"/>
              <w:rPr>
                <w:rFonts w:eastAsia="Times New Roman" w:cs="Times New Roman"/>
                <w:szCs w:val="24"/>
                <w:lang w:val="sl-SI"/>
              </w:rPr>
            </w:pPr>
            <w:r>
              <w:rPr>
                <w:szCs w:val="24"/>
                <w:lang w:val="sl-SI"/>
              </w:rPr>
              <w:t>2 %–7 %</w:t>
            </w:r>
          </w:p>
        </w:tc>
      </w:tr>
      <w:tr>
        <w:trPr>
          <w:trHeight w:hRule="exact" w:val="293"/>
        </w:trPr>
        <w:tc>
          <w:tcPr>
            <w:tcW w:w="2918" w:type="pct"/>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ind w:left="1111" w:right="1093"/>
              <w:jc w:val="center"/>
              <w:rPr>
                <w:rFonts w:cs="Times New Roman"/>
                <w:szCs w:val="24"/>
                <w:lang w:val="sl-SI"/>
              </w:rPr>
            </w:pPr>
            <w:r>
              <w:rPr>
                <w:szCs w:val="24"/>
                <w:lang w:val="sl-SI"/>
              </w:rPr>
              <w:t>Zmerno</w:t>
            </w:r>
          </w:p>
        </w:tc>
        <w:tc>
          <w:tcPr>
            <w:tcW w:w="2082" w:type="pct"/>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ind w:left="1036" w:right="1015"/>
              <w:rPr>
                <w:rFonts w:eastAsia="Times New Roman" w:cs="Times New Roman"/>
                <w:szCs w:val="24"/>
                <w:lang w:val="sl-SI"/>
              </w:rPr>
            </w:pPr>
            <w:r>
              <w:rPr>
                <w:szCs w:val="24"/>
                <w:lang w:val="sl-SI"/>
              </w:rPr>
              <w:t>6 %–12 %</w:t>
            </w:r>
          </w:p>
        </w:tc>
      </w:tr>
      <w:tr>
        <w:trPr>
          <w:trHeight w:hRule="exact" w:val="293"/>
        </w:trPr>
        <w:tc>
          <w:tcPr>
            <w:tcW w:w="2918" w:type="pct"/>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ind w:left="601" w:right="-20"/>
              <w:jc w:val="center"/>
              <w:rPr>
                <w:rFonts w:cs="Times New Roman"/>
                <w:szCs w:val="24"/>
                <w:lang w:val="sl-SI"/>
              </w:rPr>
            </w:pPr>
            <w:r>
              <w:rPr>
                <w:szCs w:val="24"/>
                <w:lang w:val="sl-SI"/>
              </w:rPr>
              <w:t>Nekolikšno &lt; največje</w:t>
            </w:r>
          </w:p>
        </w:tc>
        <w:tc>
          <w:tcPr>
            <w:tcW w:w="2082" w:type="pct"/>
            <w:tcBorders>
              <w:top w:val="single" w:sz="4" w:space="0" w:color="000000"/>
              <w:left w:val="single" w:sz="4" w:space="0" w:color="000000"/>
              <w:bottom w:val="single" w:sz="4" w:space="0" w:color="000000"/>
              <w:right w:val="single" w:sz="4" w:space="0" w:color="000000"/>
            </w:tcBorders>
            <w:shd w:val="clear" w:color="auto" w:fill="auto"/>
          </w:tcPr>
          <w:p>
            <w:pPr>
              <w:spacing w:after="0" w:line="240" w:lineRule="auto"/>
              <w:ind w:left="1014" w:right="-20"/>
              <w:rPr>
                <w:rFonts w:eastAsia="Times New Roman" w:cs="Times New Roman"/>
                <w:szCs w:val="24"/>
                <w:lang w:val="sl-SI"/>
              </w:rPr>
            </w:pPr>
            <w:r>
              <w:rPr>
                <w:szCs w:val="24"/>
                <w:lang w:val="sl-SI"/>
              </w:rPr>
              <w:t>11 %–20 %</w:t>
            </w:r>
          </w:p>
        </w:tc>
      </w:tr>
      <w:tr>
        <w:trPr>
          <w:trHeight w:hRule="exact" w:val="291"/>
        </w:trPr>
        <w:tc>
          <w:tcPr>
            <w:tcW w:w="2918" w:type="pct"/>
            <w:tcBorders>
              <w:top w:val="single" w:sz="4" w:space="0" w:color="000000"/>
              <w:left w:val="single" w:sz="4" w:space="0" w:color="000000"/>
              <w:bottom w:val="single" w:sz="5" w:space="0" w:color="000000"/>
              <w:right w:val="single" w:sz="4" w:space="0" w:color="000000"/>
            </w:tcBorders>
            <w:shd w:val="clear" w:color="auto" w:fill="auto"/>
          </w:tcPr>
          <w:p>
            <w:pPr>
              <w:spacing w:after="0" w:line="240" w:lineRule="auto"/>
              <w:ind w:left="1067" w:right="1051"/>
              <w:jc w:val="center"/>
              <w:rPr>
                <w:rFonts w:cs="Times New Roman"/>
                <w:szCs w:val="24"/>
                <w:lang w:val="sl-SI"/>
              </w:rPr>
            </w:pPr>
            <w:r>
              <w:rPr>
                <w:szCs w:val="24"/>
                <w:lang w:val="sl-SI"/>
              </w:rPr>
              <w:t>Največje</w:t>
            </w:r>
          </w:p>
        </w:tc>
        <w:tc>
          <w:tcPr>
            <w:tcW w:w="2082" w:type="pct"/>
            <w:tcBorders>
              <w:top w:val="single" w:sz="4" w:space="0" w:color="000000"/>
              <w:left w:val="single" w:sz="4" w:space="0" w:color="000000"/>
              <w:bottom w:val="single" w:sz="5" w:space="0" w:color="000000"/>
              <w:right w:val="single" w:sz="4" w:space="0" w:color="000000"/>
            </w:tcBorders>
            <w:shd w:val="clear" w:color="auto" w:fill="auto"/>
          </w:tcPr>
          <w:p>
            <w:pPr>
              <w:spacing w:after="0" w:line="240" w:lineRule="auto"/>
              <w:ind w:left="1017" w:right="-20"/>
              <w:rPr>
                <w:rFonts w:eastAsia="Times New Roman" w:cs="Times New Roman"/>
                <w:szCs w:val="24"/>
                <w:lang w:val="sl-SI"/>
              </w:rPr>
            </w:pPr>
            <w:r>
              <w:rPr>
                <w:szCs w:val="24"/>
                <w:lang w:val="sl-SI"/>
              </w:rPr>
              <w:t>Brez preizkusa</w:t>
            </w:r>
          </w:p>
        </w:tc>
      </w:tr>
    </w:tbl>
    <w:p>
      <w:pPr>
        <w:rPr>
          <w:rFonts w:cs="Times New Roman"/>
          <w:lang w:val="sl-SI"/>
        </w:rPr>
      </w:pPr>
    </w:p>
    <w:p>
      <w:pPr>
        <w:rPr>
          <w:rFonts w:cs="Times New Roman"/>
          <w:lang w:val="sl-SI"/>
        </w:rPr>
      </w:pPr>
      <w:r>
        <w:rPr>
          <w:lang w:val="sl-SI"/>
        </w:rPr>
        <w:t>Če preizkusi skladnosti pokažejo, da sistemi kontrol niso zadovoljivi ali so zadovoljivi le delno, se lahko certifikacijski organ na podlagi lastne strokovne presoje odloči:</w:t>
      </w:r>
    </w:p>
    <w:p>
      <w:pPr>
        <w:rPr>
          <w:rFonts w:cs="Times New Roman"/>
          <w:lang w:val="sl-SI"/>
        </w:rPr>
      </w:pPr>
      <w:r>
        <w:rPr>
          <w:lang w:val="sl-SI"/>
        </w:rPr>
        <w:t>1. poročati o pomanjkljivosti v zvezi s pravilnim delovanjem sistemov upravljanja ali</w:t>
      </w:r>
    </w:p>
    <w:p>
      <w:pPr>
        <w:rPr>
          <w:rFonts w:cs="Times New Roman"/>
          <w:lang w:val="sl-SI"/>
        </w:rPr>
      </w:pPr>
      <w:r>
        <w:rPr>
          <w:lang w:val="sl-SI"/>
        </w:rPr>
        <w:t>2. povečati prvotno velikost vzorca.</w:t>
      </w:r>
    </w:p>
    <w:p>
      <w:pPr>
        <w:rPr>
          <w:rFonts w:eastAsia="Times New Roman" w:cs="Times New Roman"/>
          <w:lang w:val="sl-SI"/>
        </w:rPr>
      </w:pPr>
      <w:r>
        <w:rPr>
          <w:lang w:val="sl-SI"/>
        </w:rPr>
        <w:t>Opozoriti je treba, da s povečanjem vzorca ne bo nujno pridobljeno zagotovilo o učinkovitosti kontrol, lahko pa se tako bolje opredelijo področja, na katerih so mogoče izboljšave, potrebne za zagotovitev, da se bodo v prihodnje postopki vedno v celoti spoštovali.</w:t>
      </w:r>
    </w:p>
    <w:p>
      <w:pPr>
        <w:rPr>
          <w:rFonts w:cs="Times New Roman"/>
          <w:lang w:val="sl-SI"/>
        </w:rPr>
      </w:pPr>
      <w:r>
        <w:rPr>
          <w:lang w:val="sl-SI"/>
        </w:rPr>
        <w:t>Te primere, v katerih plačilna agencija očitno ni sprejela ustreznih sistemov kontrol, je treba vključiti v kazalnike, ki se pripišejo v akreditacijski matriki, in v mnenje certifikacijskega organa o delovanju sistema notranjih kontrol plačilne agencije.</w:t>
      </w:r>
    </w:p>
    <w:p>
      <w:pPr>
        <w:rPr>
          <w:rFonts w:cs="Times New Roman"/>
          <w:lang w:val="sl-SI"/>
        </w:rPr>
      </w:pPr>
      <w:r>
        <w:rPr>
          <w:lang w:val="sl-SI"/>
        </w:rPr>
        <w:t>Po oceni sistema notranjih kontrol lahko certifikacijski organ oceni obseg nadaljnjih revizijskih postopkov preizkušanja podatkov, vključno s ponovnim ocenjevanjem začetnih predpostavk.</w:t>
      </w:r>
      <w:bookmarkStart w:id="4" w:name="_Toc118756168"/>
      <w:bookmarkStart w:id="5" w:name="_Toc118896516"/>
      <w:bookmarkStart w:id="6" w:name="_Toc118896771"/>
      <w:bookmarkStart w:id="7" w:name="_Toc118756169"/>
      <w:bookmarkStart w:id="8" w:name="_Toc118896517"/>
      <w:bookmarkStart w:id="9" w:name="_Toc118896772"/>
      <w:bookmarkStart w:id="10" w:name="_Toc118756170"/>
      <w:bookmarkStart w:id="11" w:name="_Toc118896518"/>
      <w:bookmarkStart w:id="12" w:name="_Toc118896773"/>
      <w:bookmarkEnd w:id="4"/>
      <w:bookmarkEnd w:id="5"/>
      <w:bookmarkEnd w:id="6"/>
      <w:bookmarkEnd w:id="7"/>
      <w:bookmarkEnd w:id="8"/>
      <w:bookmarkEnd w:id="9"/>
      <w:bookmarkEnd w:id="10"/>
      <w:bookmarkEnd w:id="11"/>
      <w:bookmarkEnd w:id="12"/>
    </w:p>
    <w:p>
      <w:pPr>
        <w:pStyle w:val="Heading2"/>
        <w:rPr>
          <w:rFonts w:ascii="Times New Roman" w:hAnsi="Times New Roman" w:cs="Times New Roman"/>
          <w:lang w:val="sl-SI"/>
        </w:rPr>
      </w:pPr>
      <w:bookmarkStart w:id="13" w:name="_Toc135235894"/>
      <w:r>
        <w:rPr>
          <w:rFonts w:ascii="Times New Roman" w:hAnsi="Times New Roman"/>
          <w:lang w:val="sl-SI"/>
        </w:rPr>
        <w:t>Preizkušanje skladnosti v okolju IT</w:t>
      </w:r>
      <w:bookmarkEnd w:id="13"/>
    </w:p>
    <w:p>
      <w:pPr>
        <w:rPr>
          <w:rFonts w:cs="Times New Roman"/>
          <w:lang w:val="sl-SI"/>
        </w:rPr>
      </w:pPr>
      <w:r>
        <w:rPr>
          <w:lang w:val="sl-SI"/>
        </w:rPr>
        <w:t>V fazi načrtovanja revizije mora certifikacijski organ analizirati okolje IT plačilne agencije. Jasno bi mu moralo biti, katere sheme so visoko avtomatizirane (npr. tiste v okviru IAKS) in kako to vpliva na prijave v okviru EKJS ali EKSRP (znesek, tveganja, zapletenost).</w:t>
      </w:r>
    </w:p>
    <w:p>
      <w:pPr>
        <w:rPr>
          <w:rFonts w:cs="Times New Roman"/>
          <w:lang w:val="sl-SI"/>
        </w:rPr>
      </w:pPr>
      <w:r>
        <w:rPr>
          <w:lang w:val="sl-SI"/>
        </w:rPr>
        <w:t xml:space="preserve">Ko certifikacijski organ izbere aplikacijo IT, mora določiti, katere avtomatizirane kontrole aplikacije je treba preizkusiti. Certifikacijski organ mora oceniti, kako zanesljive so avtomatizirane kontrole ter ali so bile vloge in odgovornosti v informacijskem sistemu ustrezno dodeljene. Splošno pravilo je, da se preizkusijo kontrole aplikacij, ki zajemajo največ revizijskih navedb in največ WCGW. Ko je avtomatizirana kontrola aplikacije izbrana za preizkušanje in je ugotovljeno, da deluje kot pričakovano, lahko certifikacijski organ preuči možnost izvedbe enkratnega preizkusa za navedeno kontrolo in nekaterih drugih preizkusov, da bi ugotovil, ali kontrola še naprej učinkovito deluje. </w:t>
      </w:r>
    </w:p>
    <w:p>
      <w:pPr>
        <w:rPr>
          <w:rFonts w:cs="Times New Roman"/>
          <w:lang w:val="sl-SI"/>
        </w:rPr>
      </w:pPr>
      <w:r>
        <w:rPr>
          <w:lang w:val="sl-SI"/>
        </w:rPr>
        <w:t xml:space="preserve">Poleg tega mora preizkusiti splošne kontrole IT in ugotoviti, ali so učinkovito delovale v celotnem revizijskem obdobju, saj to podpira zanašanje na kontrole aplikacij, ročne kontrole, ki so odvisne od IT, in elektronske revizijske dokaze. Certifikacijski organ mora ugotoviti, ali so splošne kontrole </w:t>
      </w:r>
      <w:r>
        <w:rPr>
          <w:lang w:val="sl-SI"/>
        </w:rPr>
        <w:lastRenderedPageBreak/>
        <w:t>IT za zadevni sistem IT učinkovite ali ne. V primeru plačilne agencije, certificirane v skladu s standardom ISO 27001, se lahko certifikacijski organ zanese na certifikat ISO, če zajema celotno revidirano proračunsko leto. Za kontrolne postopke osnovnih zahtev Unije je predviden postopek ocenjevanja kakovosti (npr. ISAP, GSA, AMS), pri čemer se močno priporoča pregled in potrditev rezultatov ocenjevanja kakovosti.</w:t>
      </w:r>
    </w:p>
    <w:p>
      <w:pPr>
        <w:spacing w:line="240" w:lineRule="atLeast"/>
        <w:rPr>
          <w:rStyle w:val="normaltextrun"/>
          <w:rFonts w:cs="Times New Roman"/>
          <w:shd w:val="clear" w:color="auto" w:fill="FFFFFF"/>
          <w:lang w:val="sl-SI"/>
        </w:rPr>
      </w:pPr>
    </w:p>
    <w:p>
      <w:pPr>
        <w:pStyle w:val="Heading1"/>
        <w:rPr>
          <w:rFonts w:ascii="Times New Roman" w:hAnsi="Times New Roman" w:cs="Times New Roman"/>
          <w:lang w:val="sl-SI"/>
        </w:rPr>
      </w:pPr>
      <w:bookmarkStart w:id="14" w:name="_Toc135235895"/>
      <w:r>
        <w:rPr>
          <w:rFonts w:ascii="Times New Roman" w:hAnsi="Times New Roman"/>
          <w:lang w:val="sl-SI"/>
        </w:rPr>
        <w:t>Vzorčenje in načrtovanje izbora za „preizkus kontrol“</w:t>
      </w:r>
      <w:bookmarkEnd w:id="14"/>
    </w:p>
    <w:p>
      <w:pPr>
        <w:spacing w:after="120"/>
        <w:rPr>
          <w:rFonts w:cs="Times New Roman"/>
          <w:highlight w:val="yellow"/>
          <w:lang w:val="sl-SI"/>
        </w:rPr>
      </w:pPr>
      <w:r>
        <w:rPr>
          <w:lang w:val="sl-SI"/>
        </w:rPr>
        <w:t>Ko so določene velikosti vzorcev na celico matrike BUR, lahko certifikacijski organ začne načrtovati in izbirati vzorce. Oceno je treba pripraviti na ravni EKJS in EKSRP. Praviloma obstajajo razlike med zasnovo kontrol v IAKS in ne-IAKS. Zato je treba za EKSRP in EKJS ter IAKS in ne-IAKS opraviti ustrezno število preverjanj.</w:t>
      </w:r>
    </w:p>
    <w:p>
      <w:pPr>
        <w:spacing w:after="120"/>
        <w:rPr>
          <w:rFonts w:cs="Times New Roman"/>
          <w:lang w:val="sl-SI"/>
        </w:rPr>
      </w:pPr>
      <w:r>
        <w:rPr>
          <w:lang w:val="sl-SI"/>
        </w:rPr>
        <w:t xml:space="preserve">Na podlagi strokovne presoje se lahko certifikacijski organ odloči za naslednje koncepte. </w:t>
      </w:r>
    </w:p>
    <w:p>
      <w:pPr>
        <w:pStyle w:val="ListParagraph"/>
        <w:numPr>
          <w:ilvl w:val="0"/>
          <w:numId w:val="110"/>
        </w:numPr>
        <w:spacing w:after="120"/>
        <w:rPr>
          <w:rFonts w:cs="Times New Roman"/>
          <w:lang w:val="sl-SI"/>
        </w:rPr>
      </w:pPr>
      <w:r>
        <w:rPr>
          <w:lang w:val="sl-SI"/>
        </w:rPr>
        <w:t>Izbrani vzorci</w:t>
      </w:r>
      <w:r>
        <w:rPr>
          <w:rStyle w:val="FootnoteReference"/>
          <w:rFonts w:cs="Times New Roman"/>
          <w:lang w:val="sl-SI"/>
        </w:rPr>
        <w:footnoteReference w:id="3"/>
      </w:r>
      <w:r>
        <w:rPr>
          <w:lang w:val="sl-SI"/>
        </w:rPr>
        <w:t xml:space="preserve"> se preverijo izključno glede na izbrano kontrolo.</w:t>
      </w:r>
    </w:p>
    <w:p>
      <w:pPr>
        <w:pStyle w:val="ListParagraph"/>
        <w:numPr>
          <w:ilvl w:val="0"/>
          <w:numId w:val="110"/>
        </w:numPr>
        <w:spacing w:after="120"/>
        <w:rPr>
          <w:rFonts w:cs="Times New Roman"/>
          <w:lang w:val="sl-SI"/>
        </w:rPr>
      </w:pPr>
      <w:r>
        <w:rPr>
          <w:lang w:val="sl-SI"/>
        </w:rPr>
        <w:t>Izbrani vzorci se prvotno preverijo glede na izbrano kontrolo. Vzorci se lahko nato uporabijo za druge izbrane kontrole na podlagi strokovne presoje.</w:t>
      </w:r>
    </w:p>
    <w:p>
      <w:pPr>
        <w:pStyle w:val="ListParagraph"/>
        <w:numPr>
          <w:ilvl w:val="0"/>
          <w:numId w:val="110"/>
        </w:numPr>
        <w:spacing w:after="120"/>
        <w:rPr>
          <w:rFonts w:cs="Times New Roman"/>
          <w:lang w:val="sl-SI"/>
        </w:rPr>
      </w:pPr>
      <w:r>
        <w:rPr>
          <w:lang w:val="sl-SI"/>
        </w:rPr>
        <w:t xml:space="preserve">Izbrani vzorci se v celoti preverijo in uporabijo za vse ustrezne celice matrike BUR. </w:t>
      </w:r>
    </w:p>
    <w:p>
      <w:pPr>
        <w:rPr>
          <w:rFonts w:cs="Times New Roman"/>
          <w:lang w:val="sl-SI"/>
        </w:rPr>
      </w:pPr>
      <w:r>
        <w:rPr>
          <w:lang w:val="sl-SI"/>
        </w:rPr>
        <w:t>Postopek mora biti dokumentiran v revizijski strategiji, lahko pa je tudi kombiniran (strokovna presoja).</w:t>
      </w:r>
    </w:p>
    <w:p>
      <w:pPr>
        <w:pStyle w:val="Heading2"/>
        <w:rPr>
          <w:rFonts w:ascii="Times New Roman" w:hAnsi="Times New Roman" w:cs="Times New Roman"/>
          <w:lang w:val="sl-SI"/>
        </w:rPr>
      </w:pPr>
      <w:bookmarkStart w:id="15" w:name="_Toc135235896"/>
      <w:r>
        <w:rPr>
          <w:rFonts w:ascii="Times New Roman" w:hAnsi="Times New Roman"/>
          <w:lang w:val="sl-SI"/>
        </w:rPr>
        <w:t xml:space="preserve">Vzorčenje na </w:t>
      </w:r>
      <w:r>
        <w:rPr>
          <w:rFonts w:ascii="Times New Roman" w:hAnsi="Times New Roman"/>
          <w:u w:val="single"/>
          <w:lang w:val="sl-SI"/>
        </w:rPr>
        <w:t>celico matrike BUR</w:t>
      </w:r>
      <w:r>
        <w:rPr>
          <w:rFonts w:ascii="Times New Roman" w:hAnsi="Times New Roman"/>
          <w:lang w:val="sl-SI"/>
        </w:rPr>
        <w:t xml:space="preserve"> – nadaljnja stratifikacija</w:t>
      </w:r>
      <w:bookmarkEnd w:id="15"/>
    </w:p>
    <w:p>
      <w:pPr>
        <w:rPr>
          <w:rFonts w:cs="Times New Roman"/>
          <w:lang w:val="sl-SI"/>
        </w:rPr>
      </w:pPr>
      <w:r>
        <w:rPr>
          <w:lang w:val="sl-SI"/>
        </w:rPr>
        <w:t xml:space="preserve">Dokler so različne velikosti vzorcev določene na ravni celice matrike BUR, mora certifikacijski organ podobno oblikovati izbor vzorcev. Vendar je v vsako celico matrike BUR vključena več kot ena intervencija (tj. horizontalne zahteve se uporabljajo za različne intervencije, medtem ko so zahteve, ki se nanašajo na vzpostavljene sisteme za zagotavljanje upravičenosti upravičenca do intervencije ali plačila, združene na ravni IAKS/ne-IAKS, in se tako nanašajo na več kot eno intervencijo). Certifikacijski organ mora oceniti, ali je treba vzorec na celico matrike BUR dodatno stratificirati na vsako intervencijo ob upoštevanju rezultatov ocene tveganja (npr. odhodkov vsake vključene intervencije, različnih organov, ki izvajajo nadzor, prejšnjih ugotovitev o določenih intervencijah) ali je za vsako intervencijo potreben enoten vzorec brez nadaljnje analize. </w:t>
      </w:r>
    </w:p>
    <w:p>
      <w:pPr>
        <w:rPr>
          <w:rFonts w:cs="Times New Roman"/>
          <w:lang w:val="sl-SI"/>
        </w:rPr>
      </w:pPr>
      <w:r>
        <w:rPr>
          <w:lang w:val="sl-SI"/>
        </w:rPr>
        <w:t>Geoprostorska vloga je na primer enaka za vse intervencije IAKS (EKJS in EKSRP) in ne vključuje različnih organov. Postopek se izvaja že dolgo in v preteklosti ni bilo ugotovljenih napak ali pa jih je bilo ugotovljenih le malo. V takih primerih lahko certifikacijski organ oceni kombinirano tveganje kot minimalno in omeji preizkušanje na 25 vlog brez nadaljnje stratifikacije</w:t>
      </w:r>
      <w:r>
        <w:rPr>
          <w:rFonts w:cs="Times New Roman"/>
          <w:vertAlign w:val="superscript"/>
          <w:lang w:val="sl-SI"/>
        </w:rPr>
        <w:footnoteReference w:id="4"/>
      </w:r>
      <w:r>
        <w:rPr>
          <w:lang w:val="sl-SI"/>
        </w:rPr>
        <w:t>.</w:t>
      </w:r>
    </w:p>
    <w:p>
      <w:pPr>
        <w:spacing w:after="120"/>
        <w:rPr>
          <w:rFonts w:cs="Times New Roman"/>
          <w:lang w:val="sl-SI"/>
        </w:rPr>
      </w:pPr>
      <w:r>
        <w:rPr>
          <w:lang w:val="sl-SI"/>
        </w:rPr>
        <w:t xml:space="preserve">Nasprotno se lahko certifikacijski organ v zvezi s celico matrike BUR „Upravne kontrole ne-IAKS“ zaradi različnih uredb v različnih intervencijah, različnih upravnih kontrol na intervencijo in različnih organov, ki izvajajo kontrole, odloči za dodatno stratifikacijo celotnega vzorca, </w:t>
      </w:r>
      <w:r>
        <w:rPr>
          <w:lang w:val="sl-SI"/>
        </w:rPr>
        <w:lastRenderedPageBreak/>
        <w:t xml:space="preserve">določenega na ravni celice matrike BUR, glede na različne vključene intervencije. V takem primeru je zelo priporočljivo osredotočiti se na intervencije, pri katerih so rezultati ocene tveganja pokazali večje skupno tveganje. Uporabiti je mogoče tudi rotacijski načrt. </w:t>
      </w:r>
    </w:p>
    <w:p>
      <w:pPr>
        <w:rPr>
          <w:rFonts w:cs="Times New Roman"/>
          <w:lang w:val="sl-SI"/>
        </w:rPr>
      </w:pPr>
      <w:r>
        <w:rPr>
          <w:lang w:val="sl-SI"/>
        </w:rPr>
        <w:t>Spodnji primer prikazuje korake, ki jih lahko certifikacijski organ izvede za kritje: (a) revizijskih potreb po celicah matrike BUR, (b) rezultatov ocene tveganja po celicah matrike in/ali po intervencijah ter (c) možnih sinergij, ki bi jih certifikacijski organ želel doseči z združevanjem preizkušanja osnovnih zahtev Unije pri različnih intervencijah z drugimi zahtevami, ki veljajo za horizontalne.</w:t>
      </w:r>
    </w:p>
    <w:p>
      <w:pPr>
        <w:spacing w:after="120"/>
        <w:rPr>
          <w:rFonts w:cs="Times New Roman"/>
          <w:b/>
          <w:lang w:val="sl-SI"/>
        </w:rPr>
      </w:pPr>
      <w:r>
        <w:rPr>
          <w:b/>
          <w:lang w:val="sl-SI"/>
        </w:rPr>
        <w:t>Korak 1:</w:t>
      </w:r>
    </w:p>
    <w:p>
      <w:pPr>
        <w:spacing w:after="120"/>
        <w:rPr>
          <w:rFonts w:cs="Times New Roman"/>
          <w:lang w:val="sl-SI"/>
        </w:rPr>
      </w:pPr>
      <w:r>
        <w:rPr>
          <w:lang w:val="sl-SI"/>
        </w:rPr>
        <w:t>Za začetno vzorčenje je bila izbrana celica matrike BUR „Upravičenost intervencij“. Na podlagi analize tveganj in razumevanja procesov je certifikacijski organ ugotovil naslednje:</w:t>
      </w:r>
    </w:p>
    <w:p>
      <w:pPr>
        <w:pStyle w:val="ListParagraph"/>
        <w:numPr>
          <w:ilvl w:val="0"/>
          <w:numId w:val="114"/>
        </w:numPr>
        <w:spacing w:after="120"/>
        <w:rPr>
          <w:rFonts w:cs="Times New Roman"/>
          <w:lang w:val="sl-SI"/>
        </w:rPr>
      </w:pPr>
      <w:r>
        <w:rPr>
          <w:lang w:val="sl-SI"/>
        </w:rPr>
        <w:t>s celico je povezanih skupno šest intervencij;</w:t>
      </w:r>
    </w:p>
    <w:p>
      <w:pPr>
        <w:pStyle w:val="ListParagraph"/>
        <w:numPr>
          <w:ilvl w:val="0"/>
          <w:numId w:val="114"/>
        </w:numPr>
        <w:spacing w:after="120"/>
        <w:rPr>
          <w:rFonts w:cs="Times New Roman"/>
          <w:lang w:val="sl-SI"/>
        </w:rPr>
      </w:pPr>
      <w:r>
        <w:rPr>
          <w:lang w:val="sl-SI"/>
        </w:rPr>
        <w:t>na podlagi rotacijskega načrta bo certifikacijski organ preizkusil tri intervencije (A, B in C)</w:t>
      </w:r>
      <w:r>
        <w:rPr>
          <w:rFonts w:cs="Times New Roman"/>
          <w:vertAlign w:val="superscript"/>
          <w:lang w:val="sl-SI"/>
        </w:rPr>
        <w:footnoteReference w:id="5"/>
      </w:r>
      <w:r>
        <w:rPr>
          <w:lang w:val="sl-SI"/>
        </w:rPr>
        <w:t>;</w:t>
      </w:r>
    </w:p>
    <w:p>
      <w:pPr>
        <w:pStyle w:val="ListParagraph"/>
        <w:numPr>
          <w:ilvl w:val="0"/>
          <w:numId w:val="114"/>
        </w:numPr>
        <w:spacing w:after="120"/>
        <w:rPr>
          <w:rFonts w:cs="Times New Roman"/>
          <w:lang w:val="sl-SI"/>
        </w:rPr>
      </w:pPr>
      <w:r>
        <w:rPr>
          <w:lang w:val="sl-SI"/>
        </w:rPr>
        <w:t>skupno tveganje, ugotovljeno na ravni celic matrike BUR, je „zmerno“; tako mora certifikacijski organ preizkusiti 35 kontrol (glej preglednico v oddelku 2);</w:t>
      </w:r>
    </w:p>
    <w:p>
      <w:pPr>
        <w:pStyle w:val="ListParagraph"/>
        <w:numPr>
          <w:ilvl w:val="0"/>
          <w:numId w:val="114"/>
        </w:numPr>
        <w:spacing w:after="120"/>
        <w:rPr>
          <w:rFonts w:cs="Times New Roman"/>
          <w:lang w:val="sl-SI"/>
        </w:rPr>
      </w:pPr>
      <w:r>
        <w:rPr>
          <w:lang w:val="sl-SI"/>
        </w:rPr>
        <w:t>certifikacijski organ ve, da intervencija A vsebuje enote z višjim profilom tveganja</w:t>
      </w:r>
      <w:r>
        <w:rPr>
          <w:rFonts w:cs="Times New Roman"/>
          <w:vertAlign w:val="superscript"/>
          <w:lang w:val="sl-SI"/>
        </w:rPr>
        <w:footnoteReference w:id="6"/>
      </w:r>
      <w:r>
        <w:rPr>
          <w:vertAlign w:val="superscript"/>
          <w:lang w:val="sl-SI"/>
        </w:rPr>
        <w:t xml:space="preserve"> </w:t>
      </w:r>
      <w:r>
        <w:rPr>
          <w:lang w:val="sl-SI"/>
        </w:rPr>
        <w:t>v zvezi s kontrolami upravičenosti intervencij;</w:t>
      </w:r>
    </w:p>
    <w:p>
      <w:pPr>
        <w:pStyle w:val="ListParagraph"/>
        <w:numPr>
          <w:ilvl w:val="0"/>
          <w:numId w:val="114"/>
        </w:numPr>
        <w:spacing w:after="120"/>
        <w:rPr>
          <w:rFonts w:cs="Times New Roman"/>
          <w:lang w:val="sl-SI"/>
        </w:rPr>
      </w:pPr>
      <w:r>
        <w:rPr>
          <w:lang w:val="sl-SI"/>
        </w:rPr>
        <w:t>enote v intervencijah B in C imajo podobno nižji profil tveganja in v primerjavi z A ne kažejo posebnih tveganj v zvezi s kontrolami upravičenosti intervencij.</w:t>
      </w:r>
    </w:p>
    <w:p>
      <w:pPr>
        <w:spacing w:after="120"/>
        <w:rPr>
          <w:rFonts w:cs="Times New Roman"/>
          <w:lang w:val="sl-SI"/>
        </w:rPr>
      </w:pPr>
      <w:r>
        <w:rPr>
          <w:lang w:val="sl-SI"/>
        </w:rPr>
        <w:t>Zato je na podlagi strokovne presoje vzorec naslednji</w:t>
      </w:r>
      <w:r>
        <w:rPr>
          <w:rFonts w:cs="Times New Roman"/>
          <w:vertAlign w:val="superscript"/>
          <w:lang w:val="sl-SI"/>
        </w:rPr>
        <w:footnoteReference w:id="7"/>
      </w:r>
      <w:r>
        <w:rPr>
          <w:lang w:val="sl-SI"/>
        </w:rPr>
        <w:t>:</w:t>
      </w:r>
    </w:p>
    <w:p>
      <w:pPr>
        <w:pStyle w:val="ListParagraph"/>
        <w:numPr>
          <w:ilvl w:val="0"/>
          <w:numId w:val="115"/>
        </w:numPr>
        <w:spacing w:after="120"/>
        <w:rPr>
          <w:rFonts w:cs="Times New Roman"/>
          <w:lang w:val="sl-SI"/>
        </w:rPr>
      </w:pPr>
      <w:r>
        <w:rPr>
          <w:lang w:val="sl-SI"/>
        </w:rPr>
        <w:t>A – 25 vzorcev</w:t>
      </w:r>
    </w:p>
    <w:p>
      <w:pPr>
        <w:pStyle w:val="ListParagraph"/>
        <w:numPr>
          <w:ilvl w:val="0"/>
          <w:numId w:val="115"/>
        </w:numPr>
        <w:spacing w:after="120"/>
        <w:rPr>
          <w:rFonts w:cs="Times New Roman"/>
          <w:lang w:val="sl-SI"/>
        </w:rPr>
      </w:pPr>
      <w:r>
        <w:rPr>
          <w:lang w:val="sl-SI"/>
        </w:rPr>
        <w:t>B – 5 vzorcev</w:t>
      </w:r>
    </w:p>
    <w:p>
      <w:pPr>
        <w:pStyle w:val="ListParagraph"/>
        <w:numPr>
          <w:ilvl w:val="0"/>
          <w:numId w:val="115"/>
        </w:numPr>
        <w:spacing w:after="120"/>
        <w:rPr>
          <w:rFonts w:cs="Times New Roman"/>
          <w:lang w:val="sl-SI"/>
        </w:rPr>
      </w:pPr>
      <w:r>
        <w:rPr>
          <w:lang w:val="sl-SI"/>
        </w:rPr>
        <w:t>C – 5 vzorcev</w:t>
      </w:r>
    </w:p>
    <w:p>
      <w:pPr>
        <w:spacing w:after="120"/>
        <w:rPr>
          <w:rFonts w:cs="Times New Roman"/>
          <w:lang w:val="sl-SI"/>
        </w:rPr>
      </w:pPr>
      <w:r>
        <w:rPr>
          <w:lang w:val="sl-SI"/>
        </w:rPr>
        <w:t>Certifikacijski organ izbere vzorec iz plačil, opravljenih do 31. marca</w:t>
      </w:r>
      <w:r>
        <w:rPr>
          <w:rFonts w:cs="Times New Roman"/>
          <w:vertAlign w:val="superscript"/>
          <w:lang w:val="sl-SI"/>
        </w:rPr>
        <w:footnoteReference w:id="8"/>
      </w:r>
      <w:r>
        <w:rPr>
          <w:lang w:val="sl-SI"/>
        </w:rPr>
        <w:t>. En vzorec je enak enemu plačilu, certifikacijski organ pa vsak vzorec izbere naključno</w:t>
      </w:r>
      <w:r>
        <w:rPr>
          <w:rFonts w:cs="Times New Roman"/>
          <w:vertAlign w:val="superscript"/>
          <w:lang w:val="sl-SI"/>
        </w:rPr>
        <w:footnoteReference w:id="9"/>
      </w:r>
      <w:r>
        <w:rPr>
          <w:lang w:val="sl-SI"/>
        </w:rPr>
        <w:t>.</w:t>
      </w:r>
    </w:p>
    <w:p>
      <w:pPr>
        <w:spacing w:after="120"/>
        <w:rPr>
          <w:rFonts w:cs="Times New Roman"/>
          <w:lang w:val="sl-SI"/>
        </w:rPr>
      </w:pPr>
      <w:r>
        <w:rPr>
          <w:lang w:val="sl-SI"/>
        </w:rPr>
        <w:t>Certifikacijski organ nadaljuje preizkušanje vzorcev samo za zahteve izbrane celice matrike BUR.</w:t>
      </w:r>
    </w:p>
    <w:p>
      <w:pPr>
        <w:spacing w:after="120"/>
        <w:rPr>
          <w:rFonts w:cs="Times New Roman"/>
          <w:lang w:val="sl-SI"/>
        </w:rPr>
      </w:pPr>
      <w:r>
        <w:rPr>
          <w:lang w:val="sl-SI"/>
        </w:rPr>
        <w:t>Pri našem preizkušanju ni bilo odkritih nobenih pomanjkljivosti.</w:t>
      </w:r>
    </w:p>
    <w:p>
      <w:pPr>
        <w:spacing w:after="120"/>
        <w:rPr>
          <w:rFonts w:cs="Times New Roman"/>
          <w:lang w:val="sl-SI"/>
        </w:rPr>
      </w:pPr>
      <w:r>
        <w:rPr>
          <w:b/>
          <w:lang w:val="sl-SI"/>
        </w:rPr>
        <w:t>Korak 2:</w:t>
      </w:r>
      <w:r>
        <w:rPr>
          <w:lang w:val="sl-SI"/>
        </w:rPr>
        <w:t xml:space="preserve"> </w:t>
      </w:r>
    </w:p>
    <w:p>
      <w:pPr>
        <w:spacing w:after="120"/>
        <w:rPr>
          <w:rFonts w:cs="Times New Roman"/>
          <w:lang w:val="sl-SI"/>
        </w:rPr>
      </w:pPr>
      <w:r>
        <w:rPr>
          <w:lang w:val="sl-SI"/>
        </w:rPr>
        <w:t xml:space="preserve">V drugem koraku certifikacijski organ analizira vzorce, izbrane v koraku 1, glede na naslednjo </w:t>
      </w:r>
      <w:r>
        <w:rPr>
          <w:lang w:val="sl-SI"/>
        </w:rPr>
        <w:lastRenderedPageBreak/>
        <w:t>preizkušeno celico matrike BUR – „Javna naročila“ – in ugotovi naslednje</w:t>
      </w:r>
      <w:r>
        <w:rPr>
          <w:rFonts w:cs="Times New Roman"/>
          <w:vertAlign w:val="superscript"/>
          <w:lang w:val="sl-SI"/>
        </w:rPr>
        <w:footnoteReference w:id="10"/>
      </w:r>
      <w:r>
        <w:rPr>
          <w:lang w:val="sl-SI"/>
        </w:rPr>
        <w:t>:</w:t>
      </w:r>
    </w:p>
    <w:p>
      <w:pPr>
        <w:pStyle w:val="ListParagraph"/>
        <w:numPr>
          <w:ilvl w:val="0"/>
          <w:numId w:val="116"/>
        </w:numPr>
        <w:spacing w:after="120"/>
        <w:rPr>
          <w:rFonts w:cs="Times New Roman"/>
          <w:lang w:val="sl-SI"/>
        </w:rPr>
      </w:pPr>
      <w:r>
        <w:rPr>
          <w:lang w:val="sl-SI"/>
        </w:rPr>
        <w:t>tveganje na celico matrike BUR je „zmerno“, zato mora certifikacijski organ preizkusiti 35 kontrol/javnih naročil;</w:t>
      </w:r>
    </w:p>
    <w:p>
      <w:pPr>
        <w:pStyle w:val="ListParagraph"/>
        <w:numPr>
          <w:ilvl w:val="0"/>
          <w:numId w:val="116"/>
        </w:numPr>
        <w:spacing w:after="120"/>
        <w:rPr>
          <w:rFonts w:cs="Times New Roman"/>
          <w:lang w:val="sl-SI"/>
        </w:rPr>
      </w:pPr>
      <w:r>
        <w:rPr>
          <w:lang w:val="sl-SI"/>
        </w:rPr>
        <w:t>preizkusijo se iste intervencije kot v koraku 1 (tj. A, B in C); vendar je tokrat največje tveganje pri B in ne pri A;</w:t>
      </w:r>
    </w:p>
    <w:p>
      <w:pPr>
        <w:pStyle w:val="ListParagraph"/>
        <w:numPr>
          <w:ilvl w:val="0"/>
          <w:numId w:val="116"/>
        </w:numPr>
        <w:spacing w:after="120"/>
        <w:rPr>
          <w:rFonts w:cs="Times New Roman"/>
          <w:lang w:val="sl-SI"/>
        </w:rPr>
      </w:pPr>
      <w:bookmarkStart w:id="16" w:name="_Hlk116299357"/>
      <w:r>
        <w:rPr>
          <w:lang w:val="sl-SI"/>
        </w:rPr>
        <w:t>vzorec za celico matrike BUR „Upravičenost intervencij“ vključuje 10 postopkov javnega naročanja za A, 5 za B in 5 za C.</w:t>
      </w:r>
    </w:p>
    <w:bookmarkEnd w:id="16"/>
    <w:p>
      <w:pPr>
        <w:spacing w:after="120"/>
        <w:rPr>
          <w:rFonts w:cs="Times New Roman"/>
          <w:lang w:val="sl-SI"/>
        </w:rPr>
      </w:pPr>
      <w:r>
        <w:rPr>
          <w:lang w:val="sl-SI"/>
        </w:rPr>
        <w:t>Tako prejšnji izbor skupaj ne dosega minimalnega števila za vzorec (tj. 20 proti 35). Poleg tega intervencija B (kjer je tveganje največje) vključuje le pet javnih naročil. Zato certifikacijski organ nadaljuje dodatno vzorčenje, pri čemer izbere 15 javnih naročil iz skupine B, ker:</w:t>
      </w:r>
    </w:p>
    <w:p>
      <w:pPr>
        <w:pStyle w:val="ListParagraph"/>
        <w:numPr>
          <w:ilvl w:val="0"/>
          <w:numId w:val="117"/>
        </w:numPr>
        <w:spacing w:after="120"/>
        <w:rPr>
          <w:rFonts w:cs="Times New Roman"/>
          <w:lang w:val="sl-SI"/>
        </w:rPr>
      </w:pPr>
      <w:r>
        <w:rPr>
          <w:lang w:val="sl-SI"/>
        </w:rPr>
        <w:t>certifikacijski organ potrebuje 15 dodatnih vzorcev;</w:t>
      </w:r>
    </w:p>
    <w:p>
      <w:pPr>
        <w:pStyle w:val="ListParagraph"/>
        <w:numPr>
          <w:ilvl w:val="0"/>
          <w:numId w:val="117"/>
        </w:numPr>
        <w:spacing w:after="120"/>
        <w:rPr>
          <w:rFonts w:cs="Times New Roman"/>
          <w:lang w:val="sl-SI"/>
        </w:rPr>
      </w:pPr>
      <w:r>
        <w:rPr>
          <w:lang w:val="sl-SI"/>
        </w:rPr>
        <w:t>sta intervenciji A in C manj tvegani; zato certifikacijski organ meni, da je obstoječi vzorec za te intervencije zadosten.</w:t>
      </w:r>
    </w:p>
    <w:p>
      <w:pPr>
        <w:pStyle w:val="ListParagraph"/>
        <w:numPr>
          <w:ilvl w:val="0"/>
          <w:numId w:val="117"/>
        </w:numPr>
        <w:spacing w:after="120"/>
        <w:rPr>
          <w:rFonts w:cs="Times New Roman"/>
          <w:lang w:val="sl-SI"/>
        </w:rPr>
      </w:pPr>
      <w:r>
        <w:rPr>
          <w:lang w:val="sl-SI"/>
        </w:rPr>
        <w:t>15 dodatnih vzorcev v intervenciji B naj bi zadostovalo za določitev, ali obstaja resna pomanjkljivost.</w:t>
      </w:r>
    </w:p>
    <w:p>
      <w:pPr>
        <w:spacing w:after="120"/>
        <w:rPr>
          <w:rFonts w:cs="Times New Roman"/>
          <w:lang w:val="sl-SI"/>
        </w:rPr>
      </w:pPr>
    </w:p>
    <w:p>
      <w:pPr>
        <w:spacing w:after="120"/>
        <w:rPr>
          <w:rFonts w:cs="Times New Roman"/>
          <w:lang w:val="sl-SI"/>
        </w:rPr>
      </w:pPr>
      <w:r>
        <w:rPr>
          <w:b/>
          <w:lang w:val="sl-SI"/>
        </w:rPr>
        <w:t>Korak 3:</w:t>
      </w:r>
    </w:p>
    <w:p>
      <w:pPr>
        <w:spacing w:after="120"/>
        <w:rPr>
          <w:rFonts w:cs="Times New Roman"/>
          <w:lang w:val="sl-SI"/>
        </w:rPr>
      </w:pPr>
      <w:r>
        <w:rPr>
          <w:lang w:val="sl-SI"/>
        </w:rPr>
        <w:t>Certifikacijski organ analizira vzorce iz koraka 1 in koraka 2 za celico matrike BUR „Sistemi za zagotavljanje upravičenosti upravičencev“. Stanje je naslednje:</w:t>
      </w:r>
    </w:p>
    <w:p>
      <w:pPr>
        <w:pStyle w:val="ListParagraph"/>
        <w:numPr>
          <w:ilvl w:val="0"/>
          <w:numId w:val="118"/>
        </w:numPr>
        <w:spacing w:after="120"/>
        <w:rPr>
          <w:rFonts w:cs="Times New Roman"/>
          <w:lang w:val="sl-SI"/>
        </w:rPr>
      </w:pPr>
      <w:r>
        <w:rPr>
          <w:lang w:val="sl-SI"/>
        </w:rPr>
        <w:t>tveganje na celico matrike BUR je „nizko“, zato certifikacijski organ potrebuje najmanj 25 kontrol;</w:t>
      </w:r>
    </w:p>
    <w:p>
      <w:pPr>
        <w:pStyle w:val="ListParagraph"/>
        <w:numPr>
          <w:ilvl w:val="0"/>
          <w:numId w:val="118"/>
        </w:numPr>
        <w:spacing w:after="120"/>
        <w:rPr>
          <w:rFonts w:cs="Times New Roman"/>
          <w:lang w:val="sl-SI"/>
        </w:rPr>
      </w:pPr>
      <w:r>
        <w:rPr>
          <w:lang w:val="sl-SI"/>
        </w:rPr>
        <w:t>certifikacijski organ je ugotovil, da mora preizkusiti intervencije A, B, C in D</w:t>
      </w:r>
      <w:r>
        <w:rPr>
          <w:rFonts w:cs="Times New Roman"/>
          <w:vertAlign w:val="superscript"/>
          <w:lang w:val="sl-SI"/>
        </w:rPr>
        <w:footnoteReference w:id="11"/>
      </w:r>
      <w:r>
        <w:rPr>
          <w:lang w:val="sl-SI"/>
        </w:rPr>
        <w:t>;</w:t>
      </w:r>
    </w:p>
    <w:p>
      <w:pPr>
        <w:pStyle w:val="ListParagraph"/>
        <w:numPr>
          <w:ilvl w:val="0"/>
          <w:numId w:val="118"/>
        </w:numPr>
        <w:spacing w:after="120"/>
        <w:rPr>
          <w:rFonts w:cs="Times New Roman"/>
          <w:lang w:val="sl-SI"/>
        </w:rPr>
      </w:pPr>
      <w:r>
        <w:rPr>
          <w:lang w:val="sl-SI"/>
        </w:rPr>
        <w:t>pri intervenciji D je tveganje največje zaradi ugotovitev iz prejšnjega leta.</w:t>
      </w:r>
    </w:p>
    <w:p>
      <w:pPr>
        <w:spacing w:after="120"/>
        <w:rPr>
          <w:lang w:val="sl-SI"/>
        </w:rPr>
      </w:pPr>
      <w:r>
        <w:rPr>
          <w:lang w:val="sl-SI"/>
        </w:rPr>
        <w:t>Certifikacijski organ meni, da se vzorec, izbran v koraku 1, lahko preizkusi tudi za to celico matrike BUR, saj je treba upravičenost upravičencev oceniti za vsa plačila. Vendar pa vzorec za korak 1 vključuje več enot, kot je minimum za preizkušanje (35 proti 25). Poleg tega mora certifikacijski organ izbrati tudi vzorce za intervencijo D. Tako za B in C uporabi iste vzorce, izbrane v koraku 1. V zvezi z intervencijo A, ki je bila v prvem koraku obravnavana kot zelo tvegana, v tretjem koraku pa kot manj tvegana, certifikacijski organ naključno izbere pet vzorcev od 25, ki so bili izbrani v prvem koraku, in opravi preizkušanje glede „sistemov za zagotavljanje upravičenosti upravičencev“. Na tej stopnji ima certifikacijski organ skupaj 15 vzorcev</w:t>
      </w:r>
      <w:r>
        <w:rPr>
          <w:vertAlign w:val="superscript"/>
          <w:lang w:val="sl-SI"/>
        </w:rPr>
        <w:footnoteReference w:id="12"/>
      </w:r>
      <w:r>
        <w:rPr>
          <w:lang w:val="sl-SI"/>
        </w:rPr>
        <w:t>.</w:t>
      </w:r>
    </w:p>
    <w:p>
      <w:pPr>
        <w:spacing w:after="120"/>
        <w:rPr>
          <w:rFonts w:cs="Times New Roman"/>
          <w:lang w:val="sl-SI"/>
        </w:rPr>
      </w:pPr>
      <w:r>
        <w:rPr>
          <w:lang w:val="sl-SI"/>
        </w:rPr>
        <w:t>Preostali vzorec v koraku 3 je izbran iz intervencije D, ki ni bila del vzorcev, izbranih v prejšnjih korakih, in velja za bolj tvegano glede preizkušanja „sistemov za zagotavljanje upravičenosti upravičencev“.</w:t>
      </w:r>
    </w:p>
    <w:p>
      <w:pPr>
        <w:spacing w:after="120"/>
        <w:rPr>
          <w:rFonts w:cs="Times New Roman"/>
          <w:lang w:val="sl-SI"/>
        </w:rPr>
      </w:pPr>
    </w:p>
    <w:p>
      <w:pPr>
        <w:spacing w:after="120"/>
        <w:rPr>
          <w:rFonts w:cs="Times New Roman"/>
          <w:b/>
          <w:lang w:val="sl-SI"/>
        </w:rPr>
      </w:pPr>
      <w:r>
        <w:rPr>
          <w:b/>
          <w:lang w:val="sl-SI"/>
        </w:rPr>
        <w:t>Korak 4:</w:t>
      </w:r>
    </w:p>
    <w:p>
      <w:pPr>
        <w:spacing w:after="120"/>
        <w:rPr>
          <w:rFonts w:cs="Times New Roman"/>
          <w:lang w:val="sl-SI"/>
        </w:rPr>
      </w:pPr>
      <w:r>
        <w:rPr>
          <w:lang w:val="sl-SI"/>
        </w:rPr>
        <w:t>Certifikacijski organ analizira vzorce iz korakov od 1 do 3 za celico matrike BUR „Sistem za zagotavljanje upravičenosti plačil“.</w:t>
      </w:r>
    </w:p>
    <w:p>
      <w:pPr>
        <w:spacing w:after="120"/>
        <w:rPr>
          <w:rFonts w:cs="Times New Roman"/>
          <w:lang w:val="sl-SI"/>
        </w:rPr>
      </w:pPr>
      <w:r>
        <w:rPr>
          <w:lang w:val="sl-SI"/>
        </w:rPr>
        <w:t>Certifikacijski organ meni, da je plačilo upravičeno, če se upravičenec šteje za upravičenega in so za vsako enoto izpolnjeni drugi pogoji za upravičenost. To pomeni, da vzorci v korakih 1 in 3 vključujejo tudi to celico matrike BUR.</w:t>
      </w:r>
    </w:p>
    <w:p>
      <w:pPr>
        <w:spacing w:after="120"/>
        <w:rPr>
          <w:rFonts w:cs="Times New Roman"/>
          <w:lang w:val="sl-SI"/>
        </w:rPr>
      </w:pPr>
      <w:r>
        <w:rPr>
          <w:lang w:val="sl-SI"/>
        </w:rPr>
        <w:t xml:space="preserve">Glede na analizo tveganja je tveganje za celico matrike BUR „zmerno“ (tj. certifikacijski organ mora preizkusiti 35 kontrol). Vendar pa nobena od intervencij, ki jih je treba preizkusiti (v tem primeru A, B, C in D), nima posebej visokega profila tveganja. Tako se lahko za preizkušanje „sistema za zagotavljanje upravičenosti plačil“ uporabijo enote, preizkušene v koraku 3 za intervencije A, B, C in D (tj. 25 enot). Dodatnih 10 manjkajočih enot se lahko najde za preizkušanje v prejšnjih korakih (npr. dodatnih 10 elementov za intervencijo A iz koraka 1) ali dodatno preizkušanje na podlagi strokovne presoje ali sinergij iz preizkušanja, ki bo izbrano v naslednjih korakih. </w:t>
      </w:r>
    </w:p>
    <w:p>
      <w:pPr>
        <w:spacing w:after="120"/>
        <w:rPr>
          <w:rFonts w:cs="Times New Roman"/>
          <w:lang w:val="sl-SI"/>
        </w:rPr>
      </w:pPr>
      <w:bookmarkStart w:id="17" w:name="_Hlk116298862"/>
      <w:r>
        <w:rPr>
          <w:lang w:val="sl-SI"/>
        </w:rPr>
        <w:t>Certifikacijski organ pri dveh od petih preizkušenih enot ugotovi enako pomanjkljivost pri intervenciji C. Ker pa certifikacijski organ ne more sklepati, ali je ta pomanjkljivost resna, razširi svoje preizkušanje z dodatnim vzorcem iz C. Glede na naravo pomanjkljivosti in vse dejavnike tveganja, obravnavane v zvezi s C, certifikacijski organ (na podlagi strokovne presoje) določi, da bo za C izbranih pet dodatnih kontrol.</w:t>
      </w:r>
    </w:p>
    <w:p>
      <w:pPr>
        <w:spacing w:after="120"/>
        <w:rPr>
          <w:rFonts w:cs="Times New Roman"/>
          <w:lang w:val="sl-SI"/>
        </w:rPr>
      </w:pPr>
    </w:p>
    <w:p>
      <w:pPr>
        <w:spacing w:after="120"/>
        <w:rPr>
          <w:rFonts w:cs="Times New Roman"/>
          <w:lang w:val="sl-SI"/>
        </w:rPr>
      </w:pPr>
      <w:r>
        <w:rPr>
          <w:lang w:val="sl-SI"/>
        </w:rPr>
        <w:t>V nadaljevanju je povzetek vseh izbranih vzorcev po celicah matrike BUR in po intervencijah:</w:t>
      </w:r>
      <w:bookmarkEnd w:id="17"/>
    </w:p>
    <w:p>
      <w:pPr>
        <w:spacing w:after="120"/>
        <w:rPr>
          <w:rFonts w:cs="Times New Roman"/>
          <w:lang w:val="sl-SI"/>
        </w:rPr>
      </w:pPr>
      <w:r>
        <w:rPr>
          <w:lang w:val="sl-SI"/>
        </w:rPr>
        <w:t>Končne velikosti vzorcev za korake od 1 do 4</w:t>
      </w:r>
    </w:p>
    <w:tbl>
      <w:tblPr>
        <w:tblW w:w="9009" w:type="dxa"/>
        <w:tblCellMar>
          <w:left w:w="70" w:type="dxa"/>
          <w:right w:w="70" w:type="dxa"/>
        </w:tblCellMar>
        <w:tblLook w:val="04A0" w:firstRow="1" w:lastRow="0" w:firstColumn="1" w:lastColumn="0" w:noHBand="0" w:noVBand="1"/>
      </w:tblPr>
      <w:tblGrid>
        <w:gridCol w:w="1259"/>
        <w:gridCol w:w="1283"/>
        <w:gridCol w:w="1272"/>
        <w:gridCol w:w="959"/>
        <w:gridCol w:w="959"/>
        <w:gridCol w:w="959"/>
        <w:gridCol w:w="959"/>
        <w:gridCol w:w="1367"/>
      </w:tblGrid>
      <w:tr>
        <w:trPr>
          <w:trHeight w:val="315"/>
        </w:trPr>
        <w:tc>
          <w:tcPr>
            <w:tcW w:w="1259" w:type="dxa"/>
            <w:vMerge w:val="restart"/>
            <w:tcBorders>
              <w:top w:val="single" w:sz="8" w:space="0" w:color="auto"/>
              <w:left w:val="single" w:sz="8" w:space="0" w:color="auto"/>
              <w:bottom w:val="single" w:sz="8" w:space="0" w:color="000000"/>
              <w:right w:val="single" w:sz="4" w:space="0" w:color="auto"/>
            </w:tcBorders>
            <w:noWrap/>
            <w:vAlign w:val="center"/>
            <w:hideMark/>
          </w:tcPr>
          <w:p>
            <w:pPr>
              <w:spacing w:line="240" w:lineRule="auto"/>
              <w:jc w:val="center"/>
              <w:rPr>
                <w:rFonts w:cs="Times New Roman"/>
                <w:lang w:val="sl-SI"/>
              </w:rPr>
            </w:pPr>
            <w:r>
              <w:rPr>
                <w:lang w:val="sl-SI"/>
              </w:rPr>
              <w:t>Korak</w:t>
            </w:r>
          </w:p>
        </w:tc>
        <w:tc>
          <w:tcPr>
            <w:tcW w:w="1283" w:type="dxa"/>
            <w:vMerge w:val="restart"/>
            <w:tcBorders>
              <w:top w:val="single" w:sz="8" w:space="0" w:color="auto"/>
              <w:left w:val="single" w:sz="4" w:space="0" w:color="auto"/>
              <w:bottom w:val="single" w:sz="8" w:space="0" w:color="000000"/>
              <w:right w:val="single" w:sz="4" w:space="0" w:color="auto"/>
            </w:tcBorders>
            <w:noWrap/>
            <w:vAlign w:val="center"/>
            <w:hideMark/>
          </w:tcPr>
          <w:p>
            <w:pPr>
              <w:spacing w:line="240" w:lineRule="auto"/>
              <w:jc w:val="center"/>
              <w:rPr>
                <w:rFonts w:cs="Times New Roman"/>
                <w:lang w:val="sl-SI"/>
              </w:rPr>
            </w:pPr>
            <w:r>
              <w:rPr>
                <w:lang w:val="sl-SI"/>
              </w:rPr>
              <w:t>Tveganje</w:t>
            </w:r>
          </w:p>
        </w:tc>
        <w:tc>
          <w:tcPr>
            <w:tcW w:w="1272" w:type="dxa"/>
            <w:vMerge w:val="restart"/>
            <w:tcBorders>
              <w:top w:val="single" w:sz="8" w:space="0" w:color="auto"/>
              <w:left w:val="single" w:sz="4" w:space="0" w:color="auto"/>
              <w:bottom w:val="single" w:sz="8" w:space="0" w:color="000000"/>
              <w:right w:val="single" w:sz="8" w:space="0" w:color="auto"/>
            </w:tcBorders>
            <w:noWrap/>
            <w:vAlign w:val="center"/>
            <w:hideMark/>
          </w:tcPr>
          <w:p>
            <w:pPr>
              <w:spacing w:line="240" w:lineRule="auto"/>
              <w:jc w:val="center"/>
              <w:rPr>
                <w:rFonts w:cs="Times New Roman"/>
                <w:lang w:val="sl-SI"/>
              </w:rPr>
            </w:pPr>
            <w:r>
              <w:rPr>
                <w:lang w:val="sl-SI"/>
              </w:rPr>
              <w:t>Najmanjša velikost vzorca (število kontrol, ki jih je treba preskusiti)</w:t>
            </w:r>
          </w:p>
        </w:tc>
        <w:tc>
          <w:tcPr>
            <w:tcW w:w="3836" w:type="dxa"/>
            <w:gridSpan w:val="4"/>
            <w:tcBorders>
              <w:top w:val="single" w:sz="8" w:space="0" w:color="auto"/>
              <w:left w:val="nil"/>
              <w:bottom w:val="single" w:sz="4" w:space="0" w:color="auto"/>
              <w:right w:val="single" w:sz="4" w:space="0" w:color="auto"/>
            </w:tcBorders>
            <w:noWrap/>
            <w:vAlign w:val="center"/>
            <w:hideMark/>
          </w:tcPr>
          <w:p>
            <w:pPr>
              <w:spacing w:line="240" w:lineRule="auto"/>
              <w:jc w:val="center"/>
              <w:rPr>
                <w:rFonts w:cs="Times New Roman"/>
                <w:lang w:val="sl-SI"/>
              </w:rPr>
            </w:pPr>
            <w:r>
              <w:rPr>
                <w:lang w:val="sl-SI"/>
              </w:rPr>
              <w:t>Izbrani vzorec</w:t>
            </w:r>
          </w:p>
        </w:tc>
        <w:tc>
          <w:tcPr>
            <w:tcW w:w="1359" w:type="dxa"/>
            <w:vMerge w:val="restart"/>
            <w:tcBorders>
              <w:top w:val="single" w:sz="8" w:space="0" w:color="auto"/>
              <w:left w:val="single" w:sz="8" w:space="0" w:color="auto"/>
              <w:bottom w:val="single" w:sz="8" w:space="0" w:color="000000"/>
              <w:right w:val="single" w:sz="8" w:space="0" w:color="auto"/>
            </w:tcBorders>
            <w:noWrap/>
            <w:vAlign w:val="center"/>
            <w:hideMark/>
          </w:tcPr>
          <w:p>
            <w:pPr>
              <w:spacing w:line="240" w:lineRule="auto"/>
              <w:jc w:val="center"/>
              <w:rPr>
                <w:rFonts w:cs="Times New Roman"/>
                <w:lang w:val="sl-SI"/>
              </w:rPr>
            </w:pPr>
            <w:r>
              <w:rPr>
                <w:lang w:val="sl-SI"/>
              </w:rPr>
              <w:t>Celotna velikost vzorca</w:t>
            </w:r>
          </w:p>
          <w:p>
            <w:pPr>
              <w:spacing w:line="240" w:lineRule="auto"/>
              <w:jc w:val="center"/>
              <w:rPr>
                <w:rFonts w:cs="Times New Roman"/>
                <w:lang w:val="sl-SI"/>
              </w:rPr>
            </w:pPr>
            <w:r>
              <w:rPr>
                <w:lang w:val="sl-SI"/>
              </w:rPr>
              <w:t>(število kontrol, ki so bile preizkušene)</w:t>
            </w:r>
          </w:p>
        </w:tc>
      </w:tr>
      <w:tr>
        <w:trPr>
          <w:trHeight w:val="240"/>
        </w:trPr>
        <w:tc>
          <w:tcPr>
            <w:tcW w:w="0" w:type="auto"/>
            <w:vMerge/>
            <w:tcBorders>
              <w:top w:val="single" w:sz="8" w:space="0" w:color="auto"/>
              <w:left w:val="single" w:sz="8" w:space="0" w:color="auto"/>
              <w:bottom w:val="single" w:sz="8" w:space="0" w:color="000000"/>
              <w:right w:val="single" w:sz="4" w:space="0" w:color="auto"/>
            </w:tcBorders>
            <w:vAlign w:val="center"/>
            <w:hideMark/>
          </w:tcPr>
          <w:p>
            <w:pPr>
              <w:spacing w:line="240" w:lineRule="auto"/>
              <w:rPr>
                <w:rFonts w:cs="Times New Roman"/>
                <w:lang w:val="sl-SI"/>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pPr>
              <w:spacing w:line="240" w:lineRule="auto"/>
              <w:rPr>
                <w:rFonts w:cs="Times New Roman"/>
                <w:lang w:val="sl-SI"/>
              </w:rPr>
            </w:pPr>
          </w:p>
        </w:tc>
        <w:tc>
          <w:tcPr>
            <w:tcW w:w="0" w:type="auto"/>
            <w:vMerge/>
            <w:tcBorders>
              <w:top w:val="single" w:sz="8" w:space="0" w:color="auto"/>
              <w:left w:val="single" w:sz="4" w:space="0" w:color="auto"/>
              <w:bottom w:val="single" w:sz="8" w:space="0" w:color="000000"/>
              <w:right w:val="single" w:sz="8" w:space="0" w:color="auto"/>
            </w:tcBorders>
            <w:vAlign w:val="center"/>
            <w:hideMark/>
          </w:tcPr>
          <w:p>
            <w:pPr>
              <w:spacing w:line="240" w:lineRule="auto"/>
              <w:rPr>
                <w:rFonts w:cs="Times New Roman"/>
                <w:lang w:val="sl-SI"/>
              </w:rPr>
            </w:pPr>
          </w:p>
        </w:tc>
        <w:tc>
          <w:tcPr>
            <w:tcW w:w="959" w:type="dxa"/>
            <w:tcBorders>
              <w:top w:val="nil"/>
              <w:left w:val="nil"/>
              <w:bottom w:val="single" w:sz="8" w:space="0" w:color="auto"/>
              <w:right w:val="single" w:sz="4" w:space="0" w:color="auto"/>
            </w:tcBorders>
            <w:noWrap/>
            <w:vAlign w:val="center"/>
            <w:hideMark/>
          </w:tcPr>
          <w:p>
            <w:pPr>
              <w:spacing w:line="240" w:lineRule="auto"/>
              <w:jc w:val="center"/>
              <w:rPr>
                <w:rFonts w:cs="Times New Roman"/>
                <w:lang w:val="sl-SI"/>
              </w:rPr>
            </w:pPr>
            <w:r>
              <w:rPr>
                <w:lang w:val="sl-SI"/>
              </w:rPr>
              <w:t>A</w:t>
            </w:r>
          </w:p>
        </w:tc>
        <w:tc>
          <w:tcPr>
            <w:tcW w:w="959" w:type="dxa"/>
            <w:tcBorders>
              <w:top w:val="nil"/>
              <w:left w:val="nil"/>
              <w:bottom w:val="single" w:sz="8" w:space="0" w:color="auto"/>
              <w:right w:val="single" w:sz="4" w:space="0" w:color="auto"/>
            </w:tcBorders>
            <w:noWrap/>
            <w:vAlign w:val="center"/>
            <w:hideMark/>
          </w:tcPr>
          <w:p>
            <w:pPr>
              <w:spacing w:line="240" w:lineRule="auto"/>
              <w:jc w:val="center"/>
              <w:rPr>
                <w:rFonts w:cs="Times New Roman"/>
                <w:lang w:val="sl-SI"/>
              </w:rPr>
            </w:pPr>
            <w:r>
              <w:rPr>
                <w:lang w:val="sl-SI"/>
              </w:rPr>
              <w:t>B</w:t>
            </w:r>
          </w:p>
        </w:tc>
        <w:tc>
          <w:tcPr>
            <w:tcW w:w="959" w:type="dxa"/>
            <w:tcBorders>
              <w:top w:val="nil"/>
              <w:left w:val="nil"/>
              <w:bottom w:val="single" w:sz="8" w:space="0" w:color="auto"/>
              <w:right w:val="single" w:sz="4" w:space="0" w:color="auto"/>
            </w:tcBorders>
            <w:noWrap/>
            <w:vAlign w:val="center"/>
            <w:hideMark/>
          </w:tcPr>
          <w:p>
            <w:pPr>
              <w:spacing w:line="240" w:lineRule="auto"/>
              <w:jc w:val="center"/>
              <w:rPr>
                <w:rFonts w:cs="Times New Roman"/>
                <w:lang w:val="sl-SI"/>
              </w:rPr>
            </w:pPr>
            <w:r>
              <w:rPr>
                <w:lang w:val="sl-SI"/>
              </w:rPr>
              <w:t>C</w:t>
            </w:r>
          </w:p>
        </w:tc>
        <w:tc>
          <w:tcPr>
            <w:tcW w:w="959" w:type="dxa"/>
            <w:tcBorders>
              <w:top w:val="nil"/>
              <w:left w:val="nil"/>
              <w:bottom w:val="single" w:sz="8" w:space="0" w:color="auto"/>
              <w:right w:val="nil"/>
            </w:tcBorders>
            <w:noWrap/>
            <w:vAlign w:val="center"/>
            <w:hideMark/>
          </w:tcPr>
          <w:p>
            <w:pPr>
              <w:spacing w:line="240" w:lineRule="auto"/>
              <w:jc w:val="center"/>
              <w:rPr>
                <w:rFonts w:cs="Times New Roman"/>
                <w:lang w:val="sl-SI"/>
              </w:rPr>
            </w:pPr>
            <w:r>
              <w:rPr>
                <w:lang w:val="sl-SI"/>
              </w:rPr>
              <w:t>D</w:t>
            </w:r>
          </w:p>
        </w:tc>
        <w:tc>
          <w:tcPr>
            <w:tcW w:w="0" w:type="auto"/>
            <w:vMerge/>
            <w:tcBorders>
              <w:top w:val="single" w:sz="8" w:space="0" w:color="auto"/>
              <w:left w:val="single" w:sz="8" w:space="0" w:color="auto"/>
              <w:bottom w:val="single" w:sz="8" w:space="0" w:color="000000"/>
              <w:right w:val="single" w:sz="8" w:space="0" w:color="auto"/>
            </w:tcBorders>
            <w:vAlign w:val="center"/>
            <w:hideMark/>
          </w:tcPr>
          <w:p>
            <w:pPr>
              <w:spacing w:line="240" w:lineRule="auto"/>
              <w:rPr>
                <w:rFonts w:cs="Times New Roman"/>
                <w:lang w:val="sl-SI"/>
              </w:rPr>
            </w:pPr>
          </w:p>
        </w:tc>
      </w:tr>
      <w:tr>
        <w:trPr>
          <w:trHeight w:val="225"/>
        </w:trPr>
        <w:tc>
          <w:tcPr>
            <w:tcW w:w="1259" w:type="dxa"/>
            <w:tcBorders>
              <w:top w:val="nil"/>
              <w:left w:val="single" w:sz="8" w:space="0" w:color="auto"/>
              <w:bottom w:val="single" w:sz="4" w:space="0" w:color="auto"/>
              <w:right w:val="single" w:sz="4" w:space="0" w:color="auto"/>
            </w:tcBorders>
            <w:noWrap/>
            <w:vAlign w:val="bottom"/>
            <w:hideMark/>
          </w:tcPr>
          <w:p>
            <w:pPr>
              <w:spacing w:line="240" w:lineRule="auto"/>
              <w:jc w:val="center"/>
              <w:rPr>
                <w:rFonts w:cs="Times New Roman"/>
                <w:lang w:val="sl-SI"/>
              </w:rPr>
            </w:pPr>
            <w:r>
              <w:rPr>
                <w:lang w:val="sl-SI"/>
              </w:rPr>
              <w:t>1</w:t>
            </w:r>
          </w:p>
        </w:tc>
        <w:tc>
          <w:tcPr>
            <w:tcW w:w="1283" w:type="dxa"/>
            <w:tcBorders>
              <w:top w:val="nil"/>
              <w:left w:val="nil"/>
              <w:bottom w:val="single" w:sz="4" w:space="0" w:color="auto"/>
              <w:right w:val="single" w:sz="4" w:space="0" w:color="auto"/>
            </w:tcBorders>
            <w:noWrap/>
            <w:vAlign w:val="bottom"/>
            <w:hideMark/>
          </w:tcPr>
          <w:p>
            <w:pPr>
              <w:spacing w:line="240" w:lineRule="auto"/>
              <w:rPr>
                <w:rFonts w:cs="Times New Roman"/>
                <w:lang w:val="sl-SI"/>
              </w:rPr>
            </w:pPr>
            <w:r>
              <w:rPr>
                <w:lang w:val="sl-SI"/>
              </w:rPr>
              <w:t>Zmerno</w:t>
            </w:r>
          </w:p>
        </w:tc>
        <w:tc>
          <w:tcPr>
            <w:tcW w:w="1272" w:type="dxa"/>
            <w:tcBorders>
              <w:top w:val="nil"/>
              <w:left w:val="nil"/>
              <w:bottom w:val="single" w:sz="4" w:space="0" w:color="auto"/>
              <w:right w:val="single" w:sz="8" w:space="0" w:color="auto"/>
            </w:tcBorders>
            <w:noWrap/>
            <w:vAlign w:val="center"/>
            <w:hideMark/>
          </w:tcPr>
          <w:p>
            <w:pPr>
              <w:spacing w:line="240" w:lineRule="auto"/>
              <w:jc w:val="center"/>
              <w:rPr>
                <w:rFonts w:cs="Times New Roman"/>
                <w:lang w:val="sl-SI"/>
              </w:rPr>
            </w:pPr>
            <w:r>
              <w:rPr>
                <w:lang w:val="sl-SI"/>
              </w:rPr>
              <w:t>35</w:t>
            </w:r>
          </w:p>
        </w:tc>
        <w:tc>
          <w:tcPr>
            <w:tcW w:w="959" w:type="dxa"/>
            <w:tcBorders>
              <w:top w:val="nil"/>
              <w:left w:val="nil"/>
              <w:bottom w:val="single" w:sz="4" w:space="0" w:color="auto"/>
              <w:right w:val="single" w:sz="4" w:space="0" w:color="auto"/>
            </w:tcBorders>
            <w:noWrap/>
            <w:vAlign w:val="center"/>
            <w:hideMark/>
          </w:tcPr>
          <w:p>
            <w:pPr>
              <w:spacing w:line="240" w:lineRule="auto"/>
              <w:jc w:val="center"/>
              <w:rPr>
                <w:rFonts w:cs="Times New Roman"/>
                <w:lang w:val="sl-SI"/>
              </w:rPr>
            </w:pPr>
            <w:r>
              <w:rPr>
                <w:lang w:val="sl-SI"/>
              </w:rPr>
              <w:t>25</w:t>
            </w:r>
          </w:p>
        </w:tc>
        <w:tc>
          <w:tcPr>
            <w:tcW w:w="959" w:type="dxa"/>
            <w:tcBorders>
              <w:top w:val="nil"/>
              <w:left w:val="nil"/>
              <w:bottom w:val="single" w:sz="4" w:space="0" w:color="auto"/>
              <w:right w:val="single" w:sz="4" w:space="0" w:color="auto"/>
            </w:tcBorders>
            <w:noWrap/>
            <w:vAlign w:val="center"/>
            <w:hideMark/>
          </w:tcPr>
          <w:p>
            <w:pPr>
              <w:spacing w:line="240" w:lineRule="auto"/>
              <w:jc w:val="center"/>
              <w:rPr>
                <w:rFonts w:cs="Times New Roman"/>
                <w:lang w:val="sl-SI"/>
              </w:rPr>
            </w:pPr>
            <w:r>
              <w:rPr>
                <w:lang w:val="sl-SI"/>
              </w:rPr>
              <w:t>5</w:t>
            </w:r>
          </w:p>
        </w:tc>
        <w:tc>
          <w:tcPr>
            <w:tcW w:w="959" w:type="dxa"/>
            <w:tcBorders>
              <w:top w:val="nil"/>
              <w:left w:val="nil"/>
              <w:bottom w:val="single" w:sz="4" w:space="0" w:color="auto"/>
              <w:right w:val="single" w:sz="4" w:space="0" w:color="auto"/>
            </w:tcBorders>
            <w:noWrap/>
            <w:vAlign w:val="center"/>
            <w:hideMark/>
          </w:tcPr>
          <w:p>
            <w:pPr>
              <w:spacing w:line="240" w:lineRule="auto"/>
              <w:jc w:val="center"/>
              <w:rPr>
                <w:rFonts w:cs="Times New Roman"/>
                <w:lang w:val="sl-SI"/>
              </w:rPr>
            </w:pPr>
            <w:r>
              <w:rPr>
                <w:lang w:val="sl-SI"/>
              </w:rPr>
              <w:t>5</w:t>
            </w:r>
          </w:p>
        </w:tc>
        <w:tc>
          <w:tcPr>
            <w:tcW w:w="959" w:type="dxa"/>
            <w:tcBorders>
              <w:top w:val="nil"/>
              <w:left w:val="nil"/>
              <w:bottom w:val="single" w:sz="4" w:space="0" w:color="auto"/>
              <w:right w:val="nil"/>
            </w:tcBorders>
            <w:noWrap/>
            <w:vAlign w:val="center"/>
            <w:hideMark/>
          </w:tcPr>
          <w:p>
            <w:pPr>
              <w:spacing w:line="240" w:lineRule="auto"/>
              <w:jc w:val="center"/>
              <w:rPr>
                <w:rFonts w:cs="Times New Roman"/>
                <w:lang w:val="sl-SI"/>
              </w:rPr>
            </w:pPr>
            <w:r>
              <w:rPr>
                <w:lang w:val="sl-SI"/>
              </w:rPr>
              <w:t>0</w:t>
            </w:r>
          </w:p>
        </w:tc>
        <w:tc>
          <w:tcPr>
            <w:tcW w:w="1359" w:type="dxa"/>
            <w:tcBorders>
              <w:top w:val="nil"/>
              <w:left w:val="single" w:sz="8" w:space="0" w:color="auto"/>
              <w:bottom w:val="single" w:sz="4" w:space="0" w:color="auto"/>
              <w:right w:val="single" w:sz="8" w:space="0" w:color="auto"/>
            </w:tcBorders>
            <w:noWrap/>
            <w:vAlign w:val="center"/>
            <w:hideMark/>
          </w:tcPr>
          <w:p>
            <w:pPr>
              <w:spacing w:line="240" w:lineRule="auto"/>
              <w:jc w:val="center"/>
              <w:rPr>
                <w:rFonts w:cs="Times New Roman"/>
                <w:lang w:val="sl-SI"/>
              </w:rPr>
            </w:pPr>
            <w:r>
              <w:rPr>
                <w:lang w:val="sl-SI"/>
              </w:rPr>
              <w:t>35</w:t>
            </w:r>
          </w:p>
        </w:tc>
      </w:tr>
      <w:tr>
        <w:trPr>
          <w:trHeight w:val="225"/>
        </w:trPr>
        <w:tc>
          <w:tcPr>
            <w:tcW w:w="1259" w:type="dxa"/>
            <w:tcBorders>
              <w:top w:val="nil"/>
              <w:left w:val="single" w:sz="8" w:space="0" w:color="auto"/>
              <w:bottom w:val="single" w:sz="4" w:space="0" w:color="auto"/>
              <w:right w:val="single" w:sz="4" w:space="0" w:color="auto"/>
            </w:tcBorders>
            <w:noWrap/>
            <w:vAlign w:val="bottom"/>
            <w:hideMark/>
          </w:tcPr>
          <w:p>
            <w:pPr>
              <w:spacing w:line="240" w:lineRule="auto"/>
              <w:jc w:val="center"/>
              <w:rPr>
                <w:rFonts w:cs="Times New Roman"/>
                <w:lang w:val="sl-SI"/>
              </w:rPr>
            </w:pPr>
            <w:r>
              <w:rPr>
                <w:lang w:val="sl-SI"/>
              </w:rPr>
              <w:t>2</w:t>
            </w:r>
          </w:p>
        </w:tc>
        <w:tc>
          <w:tcPr>
            <w:tcW w:w="1283" w:type="dxa"/>
            <w:tcBorders>
              <w:top w:val="nil"/>
              <w:left w:val="nil"/>
              <w:bottom w:val="single" w:sz="4" w:space="0" w:color="auto"/>
              <w:right w:val="single" w:sz="4" w:space="0" w:color="auto"/>
            </w:tcBorders>
            <w:noWrap/>
            <w:vAlign w:val="bottom"/>
            <w:hideMark/>
          </w:tcPr>
          <w:p>
            <w:pPr>
              <w:spacing w:line="240" w:lineRule="auto"/>
              <w:rPr>
                <w:rFonts w:cs="Times New Roman"/>
                <w:lang w:val="sl-SI"/>
              </w:rPr>
            </w:pPr>
            <w:r>
              <w:rPr>
                <w:lang w:val="sl-SI"/>
              </w:rPr>
              <w:t>Zmerno</w:t>
            </w:r>
          </w:p>
        </w:tc>
        <w:tc>
          <w:tcPr>
            <w:tcW w:w="1272" w:type="dxa"/>
            <w:tcBorders>
              <w:top w:val="nil"/>
              <w:left w:val="nil"/>
              <w:bottom w:val="single" w:sz="4" w:space="0" w:color="auto"/>
              <w:right w:val="single" w:sz="8" w:space="0" w:color="auto"/>
            </w:tcBorders>
            <w:noWrap/>
            <w:vAlign w:val="center"/>
            <w:hideMark/>
          </w:tcPr>
          <w:p>
            <w:pPr>
              <w:spacing w:line="240" w:lineRule="auto"/>
              <w:jc w:val="center"/>
              <w:rPr>
                <w:rFonts w:cs="Times New Roman"/>
                <w:lang w:val="sl-SI"/>
              </w:rPr>
            </w:pPr>
            <w:r>
              <w:rPr>
                <w:lang w:val="sl-SI"/>
              </w:rPr>
              <w:t>35</w:t>
            </w:r>
          </w:p>
        </w:tc>
        <w:tc>
          <w:tcPr>
            <w:tcW w:w="959" w:type="dxa"/>
            <w:tcBorders>
              <w:top w:val="nil"/>
              <w:left w:val="nil"/>
              <w:bottom w:val="single" w:sz="4" w:space="0" w:color="auto"/>
              <w:right w:val="single" w:sz="4" w:space="0" w:color="auto"/>
            </w:tcBorders>
            <w:noWrap/>
            <w:vAlign w:val="center"/>
            <w:hideMark/>
          </w:tcPr>
          <w:p>
            <w:pPr>
              <w:spacing w:line="240" w:lineRule="auto"/>
              <w:jc w:val="center"/>
              <w:rPr>
                <w:rFonts w:cs="Times New Roman"/>
                <w:lang w:val="sl-SI"/>
              </w:rPr>
            </w:pPr>
            <w:r>
              <w:rPr>
                <w:lang w:val="sl-SI"/>
              </w:rPr>
              <w:t>10</w:t>
            </w:r>
          </w:p>
        </w:tc>
        <w:tc>
          <w:tcPr>
            <w:tcW w:w="959" w:type="dxa"/>
            <w:tcBorders>
              <w:top w:val="nil"/>
              <w:left w:val="nil"/>
              <w:bottom w:val="single" w:sz="4" w:space="0" w:color="auto"/>
              <w:right w:val="single" w:sz="4" w:space="0" w:color="auto"/>
            </w:tcBorders>
            <w:noWrap/>
            <w:vAlign w:val="center"/>
            <w:hideMark/>
          </w:tcPr>
          <w:p>
            <w:pPr>
              <w:spacing w:line="240" w:lineRule="auto"/>
              <w:jc w:val="center"/>
              <w:rPr>
                <w:rFonts w:cs="Times New Roman"/>
                <w:lang w:val="sl-SI"/>
              </w:rPr>
            </w:pPr>
            <w:r>
              <w:rPr>
                <w:lang w:val="sl-SI"/>
              </w:rPr>
              <w:t>20</w:t>
            </w:r>
          </w:p>
        </w:tc>
        <w:tc>
          <w:tcPr>
            <w:tcW w:w="959" w:type="dxa"/>
            <w:tcBorders>
              <w:top w:val="nil"/>
              <w:left w:val="nil"/>
              <w:bottom w:val="single" w:sz="4" w:space="0" w:color="auto"/>
              <w:right w:val="single" w:sz="4" w:space="0" w:color="auto"/>
            </w:tcBorders>
            <w:noWrap/>
            <w:vAlign w:val="center"/>
            <w:hideMark/>
          </w:tcPr>
          <w:p>
            <w:pPr>
              <w:spacing w:line="240" w:lineRule="auto"/>
              <w:jc w:val="center"/>
              <w:rPr>
                <w:rFonts w:cs="Times New Roman"/>
                <w:lang w:val="sl-SI"/>
              </w:rPr>
            </w:pPr>
            <w:r>
              <w:rPr>
                <w:lang w:val="sl-SI"/>
              </w:rPr>
              <w:t>5</w:t>
            </w:r>
          </w:p>
        </w:tc>
        <w:tc>
          <w:tcPr>
            <w:tcW w:w="959" w:type="dxa"/>
            <w:tcBorders>
              <w:top w:val="nil"/>
              <w:left w:val="nil"/>
              <w:bottom w:val="single" w:sz="4" w:space="0" w:color="auto"/>
              <w:right w:val="nil"/>
            </w:tcBorders>
            <w:noWrap/>
            <w:vAlign w:val="center"/>
            <w:hideMark/>
          </w:tcPr>
          <w:p>
            <w:pPr>
              <w:spacing w:line="240" w:lineRule="auto"/>
              <w:jc w:val="center"/>
              <w:rPr>
                <w:rFonts w:cs="Times New Roman"/>
                <w:lang w:val="sl-SI"/>
              </w:rPr>
            </w:pPr>
            <w:r>
              <w:rPr>
                <w:lang w:val="sl-SI"/>
              </w:rPr>
              <w:t>0</w:t>
            </w:r>
          </w:p>
        </w:tc>
        <w:tc>
          <w:tcPr>
            <w:tcW w:w="1359" w:type="dxa"/>
            <w:tcBorders>
              <w:top w:val="nil"/>
              <w:left w:val="single" w:sz="8" w:space="0" w:color="auto"/>
              <w:bottom w:val="single" w:sz="4" w:space="0" w:color="auto"/>
              <w:right w:val="single" w:sz="8" w:space="0" w:color="auto"/>
            </w:tcBorders>
            <w:noWrap/>
            <w:vAlign w:val="center"/>
            <w:hideMark/>
          </w:tcPr>
          <w:p>
            <w:pPr>
              <w:spacing w:line="240" w:lineRule="auto"/>
              <w:jc w:val="center"/>
              <w:rPr>
                <w:rFonts w:cs="Times New Roman"/>
                <w:lang w:val="sl-SI"/>
              </w:rPr>
            </w:pPr>
            <w:r>
              <w:rPr>
                <w:lang w:val="sl-SI"/>
              </w:rPr>
              <w:t>35</w:t>
            </w:r>
          </w:p>
        </w:tc>
      </w:tr>
      <w:tr>
        <w:trPr>
          <w:trHeight w:val="225"/>
        </w:trPr>
        <w:tc>
          <w:tcPr>
            <w:tcW w:w="1259" w:type="dxa"/>
            <w:tcBorders>
              <w:top w:val="nil"/>
              <w:left w:val="single" w:sz="8" w:space="0" w:color="auto"/>
              <w:bottom w:val="single" w:sz="4" w:space="0" w:color="auto"/>
              <w:right w:val="single" w:sz="4" w:space="0" w:color="auto"/>
            </w:tcBorders>
            <w:noWrap/>
            <w:vAlign w:val="bottom"/>
            <w:hideMark/>
          </w:tcPr>
          <w:p>
            <w:pPr>
              <w:spacing w:line="240" w:lineRule="auto"/>
              <w:jc w:val="center"/>
              <w:rPr>
                <w:rFonts w:cs="Times New Roman"/>
                <w:lang w:val="sl-SI"/>
              </w:rPr>
            </w:pPr>
            <w:r>
              <w:rPr>
                <w:lang w:val="sl-SI"/>
              </w:rPr>
              <w:t>3</w:t>
            </w:r>
          </w:p>
        </w:tc>
        <w:tc>
          <w:tcPr>
            <w:tcW w:w="1283" w:type="dxa"/>
            <w:tcBorders>
              <w:top w:val="nil"/>
              <w:left w:val="nil"/>
              <w:bottom w:val="single" w:sz="4" w:space="0" w:color="auto"/>
              <w:right w:val="single" w:sz="4" w:space="0" w:color="auto"/>
            </w:tcBorders>
            <w:noWrap/>
            <w:vAlign w:val="bottom"/>
            <w:hideMark/>
          </w:tcPr>
          <w:p>
            <w:pPr>
              <w:spacing w:line="240" w:lineRule="auto"/>
              <w:rPr>
                <w:rFonts w:cs="Times New Roman"/>
                <w:lang w:val="sl-SI"/>
              </w:rPr>
            </w:pPr>
            <w:r>
              <w:rPr>
                <w:lang w:val="sl-SI"/>
              </w:rPr>
              <w:t>Nizko</w:t>
            </w:r>
          </w:p>
        </w:tc>
        <w:tc>
          <w:tcPr>
            <w:tcW w:w="1272" w:type="dxa"/>
            <w:tcBorders>
              <w:top w:val="nil"/>
              <w:left w:val="nil"/>
              <w:bottom w:val="single" w:sz="4" w:space="0" w:color="auto"/>
              <w:right w:val="single" w:sz="8" w:space="0" w:color="auto"/>
            </w:tcBorders>
            <w:noWrap/>
            <w:vAlign w:val="center"/>
            <w:hideMark/>
          </w:tcPr>
          <w:p>
            <w:pPr>
              <w:spacing w:line="240" w:lineRule="auto"/>
              <w:jc w:val="center"/>
              <w:rPr>
                <w:rFonts w:cs="Times New Roman"/>
                <w:lang w:val="sl-SI"/>
              </w:rPr>
            </w:pPr>
            <w:r>
              <w:rPr>
                <w:lang w:val="sl-SI"/>
              </w:rPr>
              <w:t>25</w:t>
            </w:r>
          </w:p>
        </w:tc>
        <w:tc>
          <w:tcPr>
            <w:tcW w:w="959" w:type="dxa"/>
            <w:tcBorders>
              <w:top w:val="nil"/>
              <w:left w:val="nil"/>
              <w:bottom w:val="single" w:sz="4" w:space="0" w:color="auto"/>
              <w:right w:val="single" w:sz="4" w:space="0" w:color="auto"/>
            </w:tcBorders>
            <w:noWrap/>
            <w:vAlign w:val="center"/>
            <w:hideMark/>
          </w:tcPr>
          <w:p>
            <w:pPr>
              <w:spacing w:line="240" w:lineRule="auto"/>
              <w:jc w:val="center"/>
              <w:rPr>
                <w:rFonts w:cs="Times New Roman"/>
                <w:lang w:val="sl-SI"/>
              </w:rPr>
            </w:pPr>
            <w:r>
              <w:rPr>
                <w:lang w:val="sl-SI"/>
              </w:rPr>
              <w:t>5</w:t>
            </w:r>
          </w:p>
        </w:tc>
        <w:tc>
          <w:tcPr>
            <w:tcW w:w="959" w:type="dxa"/>
            <w:tcBorders>
              <w:top w:val="nil"/>
              <w:left w:val="nil"/>
              <w:bottom w:val="single" w:sz="4" w:space="0" w:color="auto"/>
              <w:right w:val="single" w:sz="4" w:space="0" w:color="auto"/>
            </w:tcBorders>
            <w:noWrap/>
            <w:vAlign w:val="center"/>
            <w:hideMark/>
          </w:tcPr>
          <w:p>
            <w:pPr>
              <w:spacing w:line="240" w:lineRule="auto"/>
              <w:jc w:val="center"/>
              <w:rPr>
                <w:rFonts w:cs="Times New Roman"/>
                <w:lang w:val="sl-SI"/>
              </w:rPr>
            </w:pPr>
            <w:r>
              <w:rPr>
                <w:lang w:val="sl-SI"/>
              </w:rPr>
              <w:t>5</w:t>
            </w:r>
          </w:p>
        </w:tc>
        <w:tc>
          <w:tcPr>
            <w:tcW w:w="959" w:type="dxa"/>
            <w:tcBorders>
              <w:top w:val="nil"/>
              <w:left w:val="nil"/>
              <w:bottom w:val="single" w:sz="4" w:space="0" w:color="auto"/>
              <w:right w:val="single" w:sz="4" w:space="0" w:color="auto"/>
            </w:tcBorders>
            <w:noWrap/>
            <w:vAlign w:val="center"/>
            <w:hideMark/>
          </w:tcPr>
          <w:p>
            <w:pPr>
              <w:spacing w:line="240" w:lineRule="auto"/>
              <w:jc w:val="center"/>
              <w:rPr>
                <w:rFonts w:cs="Times New Roman"/>
                <w:lang w:val="sl-SI"/>
              </w:rPr>
            </w:pPr>
            <w:r>
              <w:rPr>
                <w:lang w:val="sl-SI"/>
              </w:rPr>
              <w:t>5</w:t>
            </w:r>
          </w:p>
        </w:tc>
        <w:tc>
          <w:tcPr>
            <w:tcW w:w="959" w:type="dxa"/>
            <w:tcBorders>
              <w:top w:val="nil"/>
              <w:left w:val="nil"/>
              <w:bottom w:val="single" w:sz="4" w:space="0" w:color="auto"/>
              <w:right w:val="nil"/>
            </w:tcBorders>
            <w:noWrap/>
            <w:vAlign w:val="center"/>
            <w:hideMark/>
          </w:tcPr>
          <w:p>
            <w:pPr>
              <w:spacing w:line="240" w:lineRule="auto"/>
              <w:jc w:val="center"/>
              <w:rPr>
                <w:rFonts w:cs="Times New Roman"/>
                <w:lang w:val="sl-SI"/>
              </w:rPr>
            </w:pPr>
            <w:r>
              <w:rPr>
                <w:lang w:val="sl-SI"/>
              </w:rPr>
              <w:t>10</w:t>
            </w:r>
          </w:p>
        </w:tc>
        <w:tc>
          <w:tcPr>
            <w:tcW w:w="1359" w:type="dxa"/>
            <w:tcBorders>
              <w:top w:val="nil"/>
              <w:left w:val="single" w:sz="8" w:space="0" w:color="auto"/>
              <w:bottom w:val="single" w:sz="4" w:space="0" w:color="auto"/>
              <w:right w:val="single" w:sz="8" w:space="0" w:color="auto"/>
            </w:tcBorders>
            <w:noWrap/>
            <w:vAlign w:val="center"/>
            <w:hideMark/>
          </w:tcPr>
          <w:p>
            <w:pPr>
              <w:spacing w:line="240" w:lineRule="auto"/>
              <w:jc w:val="center"/>
              <w:rPr>
                <w:rFonts w:cs="Times New Roman"/>
                <w:lang w:val="sl-SI"/>
              </w:rPr>
            </w:pPr>
            <w:r>
              <w:rPr>
                <w:lang w:val="sl-SI"/>
              </w:rPr>
              <w:t>25</w:t>
            </w:r>
          </w:p>
        </w:tc>
      </w:tr>
      <w:tr>
        <w:trPr>
          <w:trHeight w:val="240"/>
        </w:trPr>
        <w:tc>
          <w:tcPr>
            <w:tcW w:w="1259" w:type="dxa"/>
            <w:tcBorders>
              <w:top w:val="nil"/>
              <w:left w:val="single" w:sz="8" w:space="0" w:color="auto"/>
              <w:bottom w:val="nil"/>
              <w:right w:val="single" w:sz="4" w:space="0" w:color="auto"/>
            </w:tcBorders>
            <w:noWrap/>
            <w:vAlign w:val="bottom"/>
            <w:hideMark/>
          </w:tcPr>
          <w:p>
            <w:pPr>
              <w:spacing w:line="240" w:lineRule="auto"/>
              <w:jc w:val="center"/>
              <w:rPr>
                <w:rFonts w:cs="Times New Roman"/>
                <w:lang w:val="sl-SI"/>
              </w:rPr>
            </w:pPr>
            <w:r>
              <w:rPr>
                <w:lang w:val="sl-SI"/>
              </w:rPr>
              <w:t>4</w:t>
            </w:r>
          </w:p>
        </w:tc>
        <w:tc>
          <w:tcPr>
            <w:tcW w:w="1283" w:type="dxa"/>
            <w:tcBorders>
              <w:top w:val="nil"/>
              <w:left w:val="nil"/>
              <w:bottom w:val="nil"/>
              <w:right w:val="single" w:sz="4" w:space="0" w:color="auto"/>
            </w:tcBorders>
            <w:noWrap/>
            <w:vAlign w:val="bottom"/>
            <w:hideMark/>
          </w:tcPr>
          <w:p>
            <w:pPr>
              <w:spacing w:line="240" w:lineRule="auto"/>
              <w:rPr>
                <w:rFonts w:cs="Times New Roman"/>
                <w:lang w:val="sl-SI"/>
              </w:rPr>
            </w:pPr>
            <w:r>
              <w:rPr>
                <w:lang w:val="sl-SI"/>
              </w:rPr>
              <w:t>Zmerno</w:t>
            </w:r>
          </w:p>
        </w:tc>
        <w:tc>
          <w:tcPr>
            <w:tcW w:w="1272" w:type="dxa"/>
            <w:tcBorders>
              <w:top w:val="nil"/>
              <w:left w:val="nil"/>
              <w:bottom w:val="nil"/>
              <w:right w:val="single" w:sz="8" w:space="0" w:color="auto"/>
            </w:tcBorders>
            <w:noWrap/>
            <w:vAlign w:val="center"/>
            <w:hideMark/>
          </w:tcPr>
          <w:p>
            <w:pPr>
              <w:spacing w:line="240" w:lineRule="auto"/>
              <w:jc w:val="center"/>
              <w:rPr>
                <w:rFonts w:cs="Times New Roman"/>
                <w:lang w:val="sl-SI"/>
              </w:rPr>
            </w:pPr>
            <w:r>
              <w:rPr>
                <w:lang w:val="sl-SI"/>
              </w:rPr>
              <w:t>35</w:t>
            </w:r>
          </w:p>
        </w:tc>
        <w:tc>
          <w:tcPr>
            <w:tcW w:w="959" w:type="dxa"/>
            <w:tcBorders>
              <w:top w:val="nil"/>
              <w:left w:val="nil"/>
              <w:bottom w:val="nil"/>
              <w:right w:val="single" w:sz="4" w:space="0" w:color="auto"/>
            </w:tcBorders>
            <w:noWrap/>
            <w:vAlign w:val="center"/>
            <w:hideMark/>
          </w:tcPr>
          <w:p>
            <w:pPr>
              <w:spacing w:line="240" w:lineRule="auto"/>
              <w:jc w:val="center"/>
              <w:rPr>
                <w:rFonts w:cs="Times New Roman"/>
                <w:lang w:val="sl-SI"/>
              </w:rPr>
            </w:pPr>
            <w:r>
              <w:rPr>
                <w:lang w:val="sl-SI"/>
              </w:rPr>
              <w:t>15</w:t>
            </w:r>
          </w:p>
        </w:tc>
        <w:tc>
          <w:tcPr>
            <w:tcW w:w="959" w:type="dxa"/>
            <w:tcBorders>
              <w:top w:val="nil"/>
              <w:left w:val="nil"/>
              <w:bottom w:val="nil"/>
              <w:right w:val="single" w:sz="4" w:space="0" w:color="auto"/>
            </w:tcBorders>
            <w:noWrap/>
            <w:vAlign w:val="center"/>
            <w:hideMark/>
          </w:tcPr>
          <w:p>
            <w:pPr>
              <w:spacing w:line="240" w:lineRule="auto"/>
              <w:jc w:val="center"/>
              <w:rPr>
                <w:rFonts w:cs="Times New Roman"/>
                <w:lang w:val="sl-SI"/>
              </w:rPr>
            </w:pPr>
            <w:r>
              <w:rPr>
                <w:lang w:val="sl-SI"/>
              </w:rPr>
              <w:t>5</w:t>
            </w:r>
          </w:p>
        </w:tc>
        <w:tc>
          <w:tcPr>
            <w:tcW w:w="959" w:type="dxa"/>
            <w:tcBorders>
              <w:top w:val="nil"/>
              <w:left w:val="nil"/>
              <w:bottom w:val="nil"/>
              <w:right w:val="single" w:sz="4" w:space="0" w:color="auto"/>
            </w:tcBorders>
            <w:noWrap/>
            <w:vAlign w:val="center"/>
            <w:hideMark/>
          </w:tcPr>
          <w:p>
            <w:pPr>
              <w:spacing w:line="240" w:lineRule="auto"/>
              <w:jc w:val="center"/>
              <w:rPr>
                <w:rFonts w:cs="Times New Roman"/>
                <w:lang w:val="sl-SI"/>
              </w:rPr>
            </w:pPr>
            <w:r>
              <w:rPr>
                <w:lang w:val="sl-SI"/>
              </w:rPr>
              <w:t>10</w:t>
            </w:r>
          </w:p>
        </w:tc>
        <w:tc>
          <w:tcPr>
            <w:tcW w:w="959" w:type="dxa"/>
            <w:noWrap/>
            <w:vAlign w:val="center"/>
            <w:hideMark/>
          </w:tcPr>
          <w:p>
            <w:pPr>
              <w:spacing w:line="240" w:lineRule="auto"/>
              <w:jc w:val="center"/>
              <w:rPr>
                <w:rFonts w:cs="Times New Roman"/>
                <w:lang w:val="sl-SI"/>
              </w:rPr>
            </w:pPr>
            <w:r>
              <w:rPr>
                <w:lang w:val="sl-SI"/>
              </w:rPr>
              <w:t>10</w:t>
            </w:r>
          </w:p>
        </w:tc>
        <w:tc>
          <w:tcPr>
            <w:tcW w:w="1359" w:type="dxa"/>
            <w:tcBorders>
              <w:top w:val="nil"/>
              <w:left w:val="single" w:sz="8" w:space="0" w:color="auto"/>
              <w:bottom w:val="nil"/>
              <w:right w:val="single" w:sz="8" w:space="0" w:color="auto"/>
            </w:tcBorders>
            <w:noWrap/>
            <w:vAlign w:val="center"/>
            <w:hideMark/>
          </w:tcPr>
          <w:p>
            <w:pPr>
              <w:spacing w:line="240" w:lineRule="auto"/>
              <w:jc w:val="center"/>
              <w:rPr>
                <w:rFonts w:cs="Times New Roman"/>
                <w:lang w:val="sl-SI"/>
              </w:rPr>
            </w:pPr>
            <w:r>
              <w:rPr>
                <w:lang w:val="sl-SI"/>
              </w:rPr>
              <w:t>40</w:t>
            </w:r>
          </w:p>
        </w:tc>
      </w:tr>
      <w:tr>
        <w:trPr>
          <w:trHeight w:val="240"/>
        </w:trPr>
        <w:tc>
          <w:tcPr>
            <w:tcW w:w="3814" w:type="dxa"/>
            <w:gridSpan w:val="3"/>
            <w:tcBorders>
              <w:top w:val="single" w:sz="8" w:space="0" w:color="auto"/>
              <w:left w:val="single" w:sz="8" w:space="0" w:color="auto"/>
              <w:bottom w:val="single" w:sz="8" w:space="0" w:color="auto"/>
              <w:right w:val="single" w:sz="8" w:space="0" w:color="000000"/>
            </w:tcBorders>
            <w:noWrap/>
            <w:vAlign w:val="center"/>
            <w:hideMark/>
          </w:tcPr>
          <w:p>
            <w:pPr>
              <w:spacing w:line="240" w:lineRule="auto"/>
              <w:jc w:val="center"/>
              <w:rPr>
                <w:rFonts w:cs="Times New Roman"/>
                <w:lang w:val="sl-SI"/>
              </w:rPr>
            </w:pPr>
            <w:r>
              <w:rPr>
                <w:lang w:val="sl-SI"/>
              </w:rPr>
              <w:t>Skupno edinstvenih vzorcev</w:t>
            </w:r>
          </w:p>
        </w:tc>
        <w:tc>
          <w:tcPr>
            <w:tcW w:w="959" w:type="dxa"/>
            <w:tcBorders>
              <w:top w:val="single" w:sz="8" w:space="0" w:color="auto"/>
              <w:left w:val="nil"/>
              <w:bottom w:val="single" w:sz="8" w:space="0" w:color="auto"/>
              <w:right w:val="single" w:sz="4" w:space="0" w:color="auto"/>
            </w:tcBorders>
            <w:noWrap/>
            <w:vAlign w:val="center"/>
            <w:hideMark/>
          </w:tcPr>
          <w:p>
            <w:pPr>
              <w:spacing w:line="240" w:lineRule="auto"/>
              <w:jc w:val="center"/>
              <w:rPr>
                <w:rFonts w:cs="Times New Roman"/>
                <w:lang w:val="sl-SI"/>
              </w:rPr>
            </w:pPr>
            <w:r>
              <w:rPr>
                <w:lang w:val="sl-SI"/>
              </w:rPr>
              <w:t>25</w:t>
            </w:r>
          </w:p>
        </w:tc>
        <w:tc>
          <w:tcPr>
            <w:tcW w:w="959" w:type="dxa"/>
            <w:tcBorders>
              <w:top w:val="single" w:sz="8" w:space="0" w:color="auto"/>
              <w:left w:val="nil"/>
              <w:bottom w:val="single" w:sz="8" w:space="0" w:color="auto"/>
              <w:right w:val="single" w:sz="4" w:space="0" w:color="auto"/>
            </w:tcBorders>
            <w:noWrap/>
            <w:vAlign w:val="center"/>
            <w:hideMark/>
          </w:tcPr>
          <w:p>
            <w:pPr>
              <w:spacing w:line="240" w:lineRule="auto"/>
              <w:jc w:val="center"/>
              <w:rPr>
                <w:rFonts w:cs="Times New Roman"/>
                <w:lang w:val="sl-SI"/>
              </w:rPr>
            </w:pPr>
            <w:r>
              <w:rPr>
                <w:lang w:val="sl-SI"/>
              </w:rPr>
              <w:t>20</w:t>
            </w:r>
          </w:p>
        </w:tc>
        <w:tc>
          <w:tcPr>
            <w:tcW w:w="959" w:type="dxa"/>
            <w:tcBorders>
              <w:top w:val="single" w:sz="8" w:space="0" w:color="auto"/>
              <w:left w:val="nil"/>
              <w:bottom w:val="single" w:sz="8" w:space="0" w:color="auto"/>
              <w:right w:val="single" w:sz="4" w:space="0" w:color="auto"/>
            </w:tcBorders>
            <w:noWrap/>
            <w:vAlign w:val="center"/>
            <w:hideMark/>
          </w:tcPr>
          <w:p>
            <w:pPr>
              <w:spacing w:line="240" w:lineRule="auto"/>
              <w:jc w:val="center"/>
              <w:rPr>
                <w:rFonts w:cs="Times New Roman"/>
                <w:lang w:val="sl-SI"/>
              </w:rPr>
            </w:pPr>
            <w:r>
              <w:rPr>
                <w:lang w:val="sl-SI"/>
              </w:rPr>
              <w:t>10</w:t>
            </w:r>
          </w:p>
        </w:tc>
        <w:tc>
          <w:tcPr>
            <w:tcW w:w="959" w:type="dxa"/>
            <w:tcBorders>
              <w:top w:val="single" w:sz="8" w:space="0" w:color="auto"/>
              <w:left w:val="nil"/>
              <w:bottom w:val="single" w:sz="8" w:space="0" w:color="auto"/>
              <w:right w:val="nil"/>
            </w:tcBorders>
            <w:noWrap/>
            <w:vAlign w:val="center"/>
            <w:hideMark/>
          </w:tcPr>
          <w:p>
            <w:pPr>
              <w:spacing w:line="240" w:lineRule="auto"/>
              <w:jc w:val="center"/>
              <w:rPr>
                <w:rFonts w:cs="Times New Roman"/>
                <w:lang w:val="sl-SI"/>
              </w:rPr>
            </w:pPr>
            <w:r>
              <w:rPr>
                <w:lang w:val="sl-SI"/>
              </w:rPr>
              <w:t>10</w:t>
            </w:r>
          </w:p>
        </w:tc>
        <w:tc>
          <w:tcPr>
            <w:tcW w:w="1359" w:type="dxa"/>
            <w:tcBorders>
              <w:top w:val="single" w:sz="8" w:space="0" w:color="auto"/>
              <w:left w:val="single" w:sz="8" w:space="0" w:color="auto"/>
              <w:bottom w:val="single" w:sz="8" w:space="0" w:color="auto"/>
              <w:right w:val="single" w:sz="8" w:space="0" w:color="auto"/>
            </w:tcBorders>
            <w:noWrap/>
            <w:vAlign w:val="center"/>
            <w:hideMark/>
          </w:tcPr>
          <w:p>
            <w:pPr>
              <w:spacing w:line="240" w:lineRule="auto"/>
              <w:jc w:val="center"/>
              <w:rPr>
                <w:rFonts w:cs="Times New Roman"/>
                <w:lang w:val="sl-SI"/>
              </w:rPr>
            </w:pPr>
            <w:r>
              <w:rPr>
                <w:lang w:val="sl-SI"/>
              </w:rPr>
              <w:t>65</w:t>
            </w:r>
          </w:p>
        </w:tc>
      </w:tr>
    </w:tbl>
    <w:p>
      <w:pPr>
        <w:pStyle w:val="EYNormal"/>
        <w:rPr>
          <w:rFonts w:ascii="Times New Roman" w:hAnsi="Times New Roman" w:cs="Times New Roman"/>
          <w:sz w:val="20"/>
          <w:lang w:val="sl-SI"/>
        </w:rPr>
      </w:pPr>
    </w:p>
    <w:p>
      <w:pPr>
        <w:spacing w:after="200"/>
        <w:jc w:val="left"/>
        <w:rPr>
          <w:rFonts w:cs="Times New Roman"/>
          <w:kern w:val="12"/>
          <w:sz w:val="20"/>
          <w:lang w:val="sl-SI"/>
        </w:rPr>
      </w:pPr>
      <w:r>
        <w:rPr>
          <w:lang w:val="sl-SI"/>
        </w:rPr>
        <w:br w:type="page"/>
      </w:r>
    </w:p>
    <w:p>
      <w:pPr>
        <w:pStyle w:val="EYNormal"/>
        <w:rPr>
          <w:rFonts w:ascii="Times New Roman" w:hAnsi="Times New Roman" w:cs="Times New Roman"/>
          <w:sz w:val="20"/>
          <w:lang w:val="sl-SI"/>
        </w:rPr>
      </w:pPr>
    </w:p>
    <w:p>
      <w:pPr>
        <w:pStyle w:val="Heading2"/>
        <w:rPr>
          <w:rFonts w:ascii="Times New Roman" w:hAnsi="Times New Roman" w:cs="Times New Roman"/>
          <w:lang w:val="sl-SI"/>
        </w:rPr>
      </w:pPr>
      <w:bookmarkStart w:id="18" w:name="_Toc118756176"/>
      <w:bookmarkStart w:id="19" w:name="_Toc118896523"/>
      <w:bookmarkStart w:id="20" w:name="_Toc118896778"/>
      <w:bookmarkStart w:id="21" w:name="_Toc124974974"/>
      <w:bookmarkStart w:id="22" w:name="_Toc118756177"/>
      <w:bookmarkStart w:id="23" w:name="_Toc118896524"/>
      <w:bookmarkStart w:id="24" w:name="_Toc118896779"/>
      <w:bookmarkStart w:id="25" w:name="_Toc118756178"/>
      <w:bookmarkStart w:id="26" w:name="_Toc118896525"/>
      <w:bookmarkStart w:id="27" w:name="_Toc118896780"/>
      <w:bookmarkStart w:id="28" w:name="_Toc135235897"/>
      <w:bookmarkEnd w:id="18"/>
      <w:bookmarkEnd w:id="19"/>
      <w:bookmarkEnd w:id="20"/>
      <w:bookmarkEnd w:id="21"/>
      <w:bookmarkEnd w:id="22"/>
      <w:bookmarkEnd w:id="23"/>
      <w:bookmarkEnd w:id="24"/>
      <w:bookmarkEnd w:id="25"/>
      <w:bookmarkEnd w:id="26"/>
      <w:bookmarkEnd w:id="27"/>
      <w:r>
        <w:rPr>
          <w:rFonts w:ascii="Times New Roman" w:hAnsi="Times New Roman"/>
          <w:lang w:val="sl-SI"/>
        </w:rPr>
        <w:t>Morebitni premisleki</w:t>
      </w:r>
      <w:bookmarkEnd w:id="28"/>
    </w:p>
    <w:p>
      <w:pPr>
        <w:spacing w:after="120"/>
        <w:rPr>
          <w:rFonts w:cs="Times New Roman"/>
          <w:lang w:val="sl-SI"/>
        </w:rPr>
      </w:pPr>
      <w:r>
        <w:rPr>
          <w:lang w:val="sl-SI"/>
        </w:rPr>
        <w:t>Ta oddelek vključuje dodatne premisleke in naj bi obravnaval najpogostejša vprašanja, s katerimi bi se certifikacijski organi lahko srečali pri zgoraj predstavljeni metodi vzorčenja.</w:t>
      </w:r>
    </w:p>
    <w:p>
      <w:pPr>
        <w:spacing w:after="120"/>
        <w:rPr>
          <w:rFonts w:cs="Times New Roman"/>
          <w:b/>
          <w:lang w:val="sl-SI"/>
        </w:rPr>
      </w:pPr>
      <w:r>
        <w:rPr>
          <w:b/>
          <w:lang w:val="sl-SI"/>
        </w:rPr>
        <w:t xml:space="preserve">Nadvzorčenje </w:t>
      </w:r>
    </w:p>
    <w:p>
      <w:pPr>
        <w:pStyle w:val="EYBulletedList1"/>
        <w:numPr>
          <w:ilvl w:val="0"/>
          <w:numId w:val="0"/>
        </w:numPr>
        <w:spacing w:after="100" w:line="276" w:lineRule="auto"/>
        <w:jc w:val="both"/>
        <w:rPr>
          <w:rFonts w:ascii="Times New Roman" w:hAnsi="Times New Roman"/>
          <w:kern w:val="0"/>
          <w:sz w:val="24"/>
          <w:lang w:val="sl-SI"/>
        </w:rPr>
      </w:pPr>
      <w:r>
        <w:rPr>
          <w:rFonts w:ascii="Times New Roman" w:hAnsi="Times New Roman"/>
          <w:sz w:val="24"/>
          <w:lang w:val="sl-SI"/>
        </w:rPr>
        <w:t>Certifikacijski organ mora skrbno določiti vrstni red preizkušanja celic matrike BUR. Med izvajanjem analize tveganja in razumevanjem procesov mora certifikacijski organ ugotoviti, katere so sinergije med različnimi celicami matrike BUR. Tako bi certifikacijski organ lahko identificiral celice matrike BUR, ki bi imele enako populacijo, in posledično vzel vzorec iz istih populacij.</w:t>
      </w:r>
    </w:p>
    <w:p>
      <w:pPr>
        <w:pStyle w:val="EYNormal"/>
        <w:spacing w:before="100" w:after="100" w:line="276" w:lineRule="auto"/>
        <w:jc w:val="both"/>
        <w:rPr>
          <w:rFonts w:ascii="Times New Roman" w:hAnsi="Times New Roman" w:cs="Times New Roman"/>
          <w:kern w:val="0"/>
          <w:sz w:val="24"/>
          <w:lang w:val="sl-SI"/>
        </w:rPr>
      </w:pPr>
      <w:r>
        <w:rPr>
          <w:rFonts w:ascii="Times New Roman" w:hAnsi="Times New Roman"/>
          <w:sz w:val="24"/>
          <w:lang w:val="sl-SI"/>
        </w:rPr>
        <w:t>V zgornjem primeru je razvidno, da se lahko vzorec za korak 3 uporablja za revizijske potrebe za preizkušanje v koraku 4, oba pa sta uporabna za korak 1. Certifikacijski organ bi tako lahko začel vzorčenje iz celice matrike BUR „Sistem za zagotavljanje upravičenosti plačil“, ki bi zajemal tudi celici matrike BUR „Sistemi za zagotavljanje upravičenosti upravičencev“ in „Upravičenost intervencij“. Drugačen način izbire bi lahko pripeljal do manjšega skupnega števila vzorcev.</w:t>
      </w:r>
    </w:p>
    <w:p>
      <w:pPr>
        <w:pStyle w:val="EYNormal"/>
        <w:spacing w:before="100" w:after="100" w:line="276" w:lineRule="auto"/>
        <w:jc w:val="both"/>
        <w:rPr>
          <w:rFonts w:ascii="Times New Roman" w:hAnsi="Times New Roman" w:cs="Times New Roman"/>
          <w:kern w:val="0"/>
          <w:sz w:val="24"/>
          <w:lang w:val="sl-SI"/>
        </w:rPr>
      </w:pPr>
    </w:p>
    <w:p>
      <w:pPr>
        <w:spacing w:after="120"/>
        <w:rPr>
          <w:rFonts w:cs="Times New Roman"/>
          <w:b/>
          <w:lang w:val="sl-SI"/>
        </w:rPr>
      </w:pPr>
      <w:r>
        <w:rPr>
          <w:b/>
          <w:lang w:val="sl-SI"/>
        </w:rPr>
        <w:t xml:space="preserve">Nadaljnja stratifikacija na ravni intervencije </w:t>
      </w:r>
    </w:p>
    <w:p>
      <w:pPr>
        <w:pStyle w:val="EYNormal"/>
        <w:spacing w:before="100" w:after="100" w:line="276" w:lineRule="auto"/>
        <w:jc w:val="both"/>
        <w:rPr>
          <w:rFonts w:ascii="Times New Roman" w:hAnsi="Times New Roman" w:cs="Times New Roman"/>
          <w:kern w:val="0"/>
          <w:sz w:val="24"/>
          <w:lang w:val="sl-SI"/>
        </w:rPr>
      </w:pPr>
      <w:r>
        <w:rPr>
          <w:rFonts w:ascii="Times New Roman" w:hAnsi="Times New Roman"/>
          <w:sz w:val="24"/>
          <w:lang w:val="sl-SI"/>
        </w:rPr>
        <w:t xml:space="preserve">Glede na razmere v posamezni državi članici lahko certifikacijski organ sklene, da obstajajo podpopulacije z različnimi tveganji znotraj vsake intervencije. Primer tega je lahko korak 2 zgoraj pri javnih naročilih (npr. naročila nad pragom ali pod njim lahko preverjajo različni organi; torej imajo različna povezana tveganja). V takih primerih se certifikacijskemu organu priporoča, da ustrezno oceni povezana tveganja. </w:t>
      </w:r>
    </w:p>
    <w:p>
      <w:pPr>
        <w:pStyle w:val="EYNormal"/>
        <w:spacing w:before="100" w:after="100" w:line="276" w:lineRule="auto"/>
        <w:jc w:val="both"/>
        <w:rPr>
          <w:rFonts w:ascii="Times New Roman" w:hAnsi="Times New Roman" w:cs="Times New Roman"/>
          <w:kern w:val="0"/>
          <w:sz w:val="24"/>
          <w:lang w:val="sl-SI"/>
        </w:rPr>
      </w:pPr>
    </w:p>
    <w:p>
      <w:pPr>
        <w:pStyle w:val="EYNormal"/>
        <w:spacing w:before="100" w:after="100" w:line="276" w:lineRule="auto"/>
        <w:jc w:val="both"/>
        <w:rPr>
          <w:rFonts w:ascii="Times New Roman" w:hAnsi="Times New Roman" w:cs="Times New Roman"/>
          <w:b/>
          <w:kern w:val="0"/>
          <w:sz w:val="24"/>
          <w:lang w:val="sl-SI"/>
        </w:rPr>
      </w:pPr>
      <w:r>
        <w:rPr>
          <w:rFonts w:ascii="Times New Roman" w:hAnsi="Times New Roman"/>
          <w:b/>
          <w:sz w:val="24"/>
          <w:lang w:val="sl-SI"/>
        </w:rPr>
        <w:t>Dodatno vzorčenje</w:t>
      </w:r>
    </w:p>
    <w:p>
      <w:pPr>
        <w:pStyle w:val="EYNormal"/>
        <w:spacing w:before="100" w:after="100" w:line="276" w:lineRule="auto"/>
        <w:jc w:val="both"/>
        <w:rPr>
          <w:rFonts w:ascii="Times New Roman" w:hAnsi="Times New Roman" w:cs="Times New Roman"/>
          <w:kern w:val="0"/>
          <w:sz w:val="24"/>
          <w:lang w:val="sl-SI"/>
        </w:rPr>
      </w:pPr>
      <w:r>
        <w:rPr>
          <w:rFonts w:ascii="Times New Roman" w:hAnsi="Times New Roman"/>
          <w:sz w:val="24"/>
          <w:lang w:val="sl-SI"/>
        </w:rPr>
        <w:t>Kot je opisano v korakih od 2 do 4 zgoraj, bo pogosto potrebno dodatno vzorčenje, da se preskusijo in ocenijo vse celice matrike BUR.</w:t>
      </w:r>
    </w:p>
    <w:p>
      <w:pPr>
        <w:pStyle w:val="EYNormal"/>
        <w:spacing w:before="100" w:after="100" w:line="276" w:lineRule="auto"/>
        <w:jc w:val="both"/>
        <w:rPr>
          <w:rFonts w:ascii="Times New Roman" w:hAnsi="Times New Roman" w:cs="Times New Roman"/>
          <w:kern w:val="0"/>
          <w:sz w:val="24"/>
          <w:lang w:val="sl-SI"/>
        </w:rPr>
      </w:pPr>
      <w:r>
        <w:rPr>
          <w:rFonts w:ascii="Times New Roman" w:hAnsi="Times New Roman"/>
          <w:sz w:val="24"/>
          <w:lang w:val="sl-SI"/>
        </w:rPr>
        <w:t>Dodatno vzorčenje je treba vedno uporabiti v naslednjih primerih:</w:t>
      </w:r>
    </w:p>
    <w:p>
      <w:pPr>
        <w:pStyle w:val="EYNormal"/>
        <w:numPr>
          <w:ilvl w:val="0"/>
          <w:numId w:val="119"/>
        </w:numPr>
        <w:spacing w:after="40" w:line="276" w:lineRule="auto"/>
        <w:ind w:left="714" w:hanging="357"/>
        <w:jc w:val="both"/>
        <w:rPr>
          <w:rFonts w:ascii="Times New Roman" w:hAnsi="Times New Roman" w:cs="Times New Roman"/>
          <w:kern w:val="0"/>
          <w:sz w:val="24"/>
          <w:lang w:val="sl-SI"/>
        </w:rPr>
      </w:pPr>
      <w:r>
        <w:rPr>
          <w:rFonts w:ascii="Times New Roman" w:hAnsi="Times New Roman"/>
          <w:sz w:val="24"/>
          <w:lang w:val="sl-SI"/>
        </w:rPr>
        <w:t>izbrani vzorec ne dosega najmanjšega zahtevanega števila v skladu s preglednico;</w:t>
      </w:r>
    </w:p>
    <w:p>
      <w:pPr>
        <w:pStyle w:val="EYNormal"/>
        <w:numPr>
          <w:ilvl w:val="0"/>
          <w:numId w:val="119"/>
        </w:numPr>
        <w:spacing w:after="40" w:line="276" w:lineRule="auto"/>
        <w:ind w:left="714" w:hanging="357"/>
        <w:jc w:val="both"/>
        <w:rPr>
          <w:rFonts w:ascii="Times New Roman" w:hAnsi="Times New Roman" w:cs="Times New Roman"/>
          <w:kern w:val="0"/>
          <w:sz w:val="24"/>
          <w:lang w:val="sl-SI"/>
        </w:rPr>
      </w:pPr>
      <w:r>
        <w:rPr>
          <w:rFonts w:ascii="Times New Roman" w:hAnsi="Times New Roman"/>
          <w:sz w:val="24"/>
          <w:lang w:val="sl-SI"/>
        </w:rPr>
        <w:t>izbrani vzorec ne zajema vseh intervencij, izbranih za preizkušanje;</w:t>
      </w:r>
    </w:p>
    <w:p>
      <w:pPr>
        <w:pStyle w:val="EYNormal"/>
        <w:numPr>
          <w:ilvl w:val="0"/>
          <w:numId w:val="119"/>
        </w:numPr>
        <w:spacing w:after="40" w:line="276" w:lineRule="auto"/>
        <w:ind w:left="714" w:hanging="357"/>
        <w:jc w:val="both"/>
        <w:rPr>
          <w:rFonts w:ascii="Times New Roman" w:hAnsi="Times New Roman" w:cs="Times New Roman"/>
          <w:kern w:val="0"/>
          <w:sz w:val="24"/>
          <w:lang w:val="sl-SI"/>
        </w:rPr>
      </w:pPr>
      <w:r>
        <w:rPr>
          <w:rFonts w:ascii="Times New Roman" w:hAnsi="Times New Roman"/>
          <w:sz w:val="24"/>
          <w:lang w:val="sl-SI"/>
        </w:rPr>
        <w:t>izbrani vzorec ne sledi ugotovitvam analize tveganja (tj. iz intervencije z višjim profilom tveganja je manj postavk kot iz intervencije z nižjim profilom tveganja).</w:t>
      </w:r>
    </w:p>
    <w:p>
      <w:pPr>
        <w:pStyle w:val="EYNormal"/>
        <w:spacing w:before="100" w:after="100" w:line="276" w:lineRule="auto"/>
        <w:jc w:val="both"/>
        <w:rPr>
          <w:rFonts w:ascii="Times New Roman" w:hAnsi="Times New Roman" w:cs="Times New Roman"/>
          <w:kern w:val="0"/>
          <w:sz w:val="24"/>
          <w:lang w:val="sl-SI"/>
        </w:rPr>
      </w:pPr>
      <w:r>
        <w:rPr>
          <w:rFonts w:ascii="Times New Roman" w:hAnsi="Times New Roman"/>
          <w:sz w:val="24"/>
          <w:lang w:val="sl-SI"/>
        </w:rPr>
        <w:t>Certifikacijski organ lahko uporabi dodatni vzorec v naslednjih primerih:</w:t>
      </w:r>
    </w:p>
    <w:p>
      <w:pPr>
        <w:pStyle w:val="EYNormal"/>
        <w:numPr>
          <w:ilvl w:val="0"/>
          <w:numId w:val="119"/>
        </w:numPr>
        <w:spacing w:after="40" w:line="276" w:lineRule="auto"/>
        <w:ind w:left="714" w:hanging="357"/>
        <w:jc w:val="both"/>
        <w:rPr>
          <w:rFonts w:ascii="Times New Roman" w:hAnsi="Times New Roman" w:cs="Times New Roman"/>
          <w:kern w:val="0"/>
          <w:sz w:val="24"/>
          <w:lang w:val="sl-SI"/>
        </w:rPr>
      </w:pPr>
      <w:r>
        <w:rPr>
          <w:rFonts w:ascii="Times New Roman" w:hAnsi="Times New Roman"/>
          <w:sz w:val="24"/>
          <w:lang w:val="sl-SI"/>
        </w:rPr>
        <w:t>na podlagi izbranega vzorca ni mogoče ugotoviti, ali je ugotovljena pomanjkljivost resna;</w:t>
      </w:r>
    </w:p>
    <w:p>
      <w:pPr>
        <w:pStyle w:val="EYNormal"/>
        <w:numPr>
          <w:ilvl w:val="0"/>
          <w:numId w:val="119"/>
        </w:numPr>
        <w:spacing w:after="40" w:line="276" w:lineRule="auto"/>
        <w:ind w:left="714" w:hanging="357"/>
        <w:jc w:val="both"/>
        <w:rPr>
          <w:rFonts w:ascii="Times New Roman" w:hAnsi="Times New Roman" w:cs="Times New Roman"/>
          <w:kern w:val="0"/>
          <w:sz w:val="24"/>
          <w:lang w:val="sl-SI"/>
        </w:rPr>
      </w:pPr>
      <w:r>
        <w:rPr>
          <w:rFonts w:ascii="Times New Roman" w:hAnsi="Times New Roman"/>
          <w:sz w:val="24"/>
          <w:lang w:val="sl-SI"/>
        </w:rPr>
        <w:t>postopki plačilne agencije/koordinacijskega organa so se med proračunskim letom spremenili.</w:t>
      </w:r>
    </w:p>
    <w:p>
      <w:pPr>
        <w:pStyle w:val="EYNormal"/>
        <w:spacing w:before="100" w:after="100" w:line="276" w:lineRule="auto"/>
        <w:jc w:val="both"/>
        <w:rPr>
          <w:rFonts w:ascii="Times New Roman" w:hAnsi="Times New Roman" w:cs="Times New Roman"/>
          <w:kern w:val="0"/>
          <w:sz w:val="24"/>
          <w:lang w:val="sl-SI"/>
        </w:rPr>
      </w:pPr>
      <w:r>
        <w:rPr>
          <w:rFonts w:ascii="Times New Roman" w:hAnsi="Times New Roman"/>
          <w:sz w:val="24"/>
          <w:lang w:val="sl-SI"/>
        </w:rPr>
        <w:t>Pri točkah (d) in (e) lahko certifikacijski organ poišče druge možnosti za zaključek o AO2 (npr. sodelovanje s plačilno agencijo, sledilni preizkus). Certifikacijski organ se mora o ukrepih odločiti na podlagi strokovne presoje.</w:t>
      </w:r>
    </w:p>
    <w:p>
      <w:pPr>
        <w:pStyle w:val="EYNormal"/>
        <w:spacing w:before="100" w:after="100" w:line="276" w:lineRule="auto"/>
        <w:jc w:val="both"/>
        <w:rPr>
          <w:rFonts w:ascii="Times New Roman" w:hAnsi="Times New Roman" w:cs="Times New Roman"/>
          <w:kern w:val="0"/>
          <w:sz w:val="24"/>
          <w:lang w:val="sl-SI"/>
        </w:rPr>
      </w:pPr>
    </w:p>
    <w:p>
      <w:pPr>
        <w:pStyle w:val="EYNormal"/>
        <w:spacing w:before="100" w:after="100" w:line="276" w:lineRule="auto"/>
        <w:jc w:val="both"/>
        <w:rPr>
          <w:rFonts w:ascii="Times New Roman" w:hAnsi="Times New Roman" w:cs="Times New Roman"/>
          <w:b/>
          <w:kern w:val="0"/>
          <w:sz w:val="24"/>
          <w:lang w:val="sl-SI"/>
        </w:rPr>
      </w:pPr>
      <w:r>
        <w:rPr>
          <w:rFonts w:ascii="Times New Roman" w:hAnsi="Times New Roman"/>
          <w:b/>
          <w:sz w:val="24"/>
          <w:lang w:val="sl-SI"/>
        </w:rPr>
        <w:t>Rotacija</w:t>
      </w:r>
    </w:p>
    <w:p>
      <w:pPr>
        <w:pStyle w:val="EYNormal"/>
        <w:spacing w:before="100" w:after="100" w:line="276" w:lineRule="auto"/>
        <w:jc w:val="both"/>
        <w:rPr>
          <w:rFonts w:ascii="Times New Roman" w:hAnsi="Times New Roman" w:cs="Times New Roman"/>
          <w:kern w:val="0"/>
          <w:sz w:val="24"/>
          <w:lang w:val="sl-SI"/>
        </w:rPr>
      </w:pPr>
      <w:r>
        <w:rPr>
          <w:rFonts w:ascii="Times New Roman" w:hAnsi="Times New Roman"/>
          <w:sz w:val="24"/>
          <w:lang w:val="sl-SI"/>
        </w:rPr>
        <w:lastRenderedPageBreak/>
        <w:t>Certifikacijskemu organu se močno priporoča, da vse BUR, povezane s celicami matrike BUR, preizkusi v prvem letu preizkušanja in uporabi rotacijo v naslednjih letih. Kljub temu se lahko pri certifikacijskih organih z večletnimi izkušnjami v prvem letu uporabi rotacija, če:</w:t>
      </w:r>
    </w:p>
    <w:p>
      <w:pPr>
        <w:pStyle w:val="EYNormal"/>
        <w:numPr>
          <w:ilvl w:val="0"/>
          <w:numId w:val="120"/>
        </w:numPr>
        <w:spacing w:before="100" w:after="100" w:line="276" w:lineRule="auto"/>
        <w:jc w:val="both"/>
        <w:rPr>
          <w:rFonts w:ascii="Times New Roman" w:hAnsi="Times New Roman" w:cs="Times New Roman"/>
          <w:kern w:val="0"/>
          <w:sz w:val="24"/>
          <w:lang w:val="sl-SI"/>
        </w:rPr>
      </w:pPr>
      <w:r>
        <w:rPr>
          <w:rFonts w:ascii="Times New Roman" w:hAnsi="Times New Roman"/>
          <w:sz w:val="24"/>
          <w:lang w:val="sl-SI"/>
        </w:rPr>
        <w:t>je mogoče ugotoviti sinergije z ugotovitvami iz prejšnjega leta;</w:t>
      </w:r>
    </w:p>
    <w:p>
      <w:pPr>
        <w:pStyle w:val="EYNormal"/>
        <w:numPr>
          <w:ilvl w:val="0"/>
          <w:numId w:val="120"/>
        </w:numPr>
        <w:spacing w:before="100" w:after="100" w:line="276" w:lineRule="auto"/>
        <w:jc w:val="both"/>
        <w:rPr>
          <w:rFonts w:ascii="Times New Roman" w:hAnsi="Times New Roman" w:cs="Times New Roman"/>
          <w:kern w:val="0"/>
          <w:sz w:val="24"/>
          <w:lang w:val="sl-SI"/>
        </w:rPr>
      </w:pPr>
      <w:r>
        <w:rPr>
          <w:rFonts w:ascii="Times New Roman" w:hAnsi="Times New Roman"/>
          <w:sz w:val="24"/>
          <w:lang w:val="sl-SI"/>
        </w:rPr>
        <w:t>se procesi znotraj sistemov upravljanja niso bistveno spremenili;</w:t>
      </w:r>
    </w:p>
    <w:p>
      <w:pPr>
        <w:pStyle w:val="EYNormal"/>
        <w:numPr>
          <w:ilvl w:val="0"/>
          <w:numId w:val="120"/>
        </w:numPr>
        <w:spacing w:before="100" w:after="100" w:line="276" w:lineRule="auto"/>
        <w:jc w:val="both"/>
        <w:rPr>
          <w:rFonts w:ascii="Times New Roman" w:hAnsi="Times New Roman" w:cs="Times New Roman"/>
          <w:kern w:val="0"/>
          <w:sz w:val="24"/>
          <w:lang w:val="sl-SI"/>
        </w:rPr>
      </w:pPr>
      <w:r>
        <w:rPr>
          <w:rFonts w:ascii="Times New Roman" w:hAnsi="Times New Roman"/>
          <w:sz w:val="24"/>
          <w:lang w:val="sl-SI"/>
        </w:rPr>
        <w:t xml:space="preserve">rezultati ocene tveganja kažejo minimalno/nizko skupno tveganje. </w:t>
      </w:r>
    </w:p>
    <w:p>
      <w:pPr>
        <w:pStyle w:val="EYNormal"/>
        <w:spacing w:before="100" w:after="100" w:line="276" w:lineRule="auto"/>
        <w:jc w:val="both"/>
        <w:rPr>
          <w:rFonts w:ascii="Times New Roman" w:hAnsi="Times New Roman" w:cs="Times New Roman"/>
          <w:kern w:val="0"/>
          <w:sz w:val="24"/>
          <w:lang w:val="sl-SI"/>
        </w:rPr>
      </w:pPr>
      <w:r>
        <w:rPr>
          <w:rFonts w:ascii="Times New Roman" w:hAnsi="Times New Roman"/>
          <w:sz w:val="24"/>
          <w:lang w:val="sl-SI"/>
        </w:rPr>
        <w:t>Certifikacijski organi bi morali svojo utemeljitev podrobno opisati v svoji revizijski strategiji.</w:t>
      </w:r>
    </w:p>
    <w:p>
      <w:pPr>
        <w:pStyle w:val="EYNormal"/>
        <w:spacing w:before="100" w:after="100" w:line="276" w:lineRule="auto"/>
        <w:jc w:val="both"/>
        <w:rPr>
          <w:rFonts w:ascii="Times New Roman" w:hAnsi="Times New Roman" w:cs="Times New Roman"/>
          <w:kern w:val="0"/>
          <w:sz w:val="24"/>
          <w:lang w:val="sl-SI"/>
        </w:rPr>
      </w:pPr>
      <w:r>
        <w:rPr>
          <w:rFonts w:ascii="Times New Roman" w:hAnsi="Times New Roman"/>
          <w:sz w:val="24"/>
          <w:lang w:val="sl-SI"/>
        </w:rPr>
        <w:t>Po prvem letu preizkušanja lahko certifikacijski organ določi načrt rotacije, kot je opisano v poglavju 11.6 Smernice št. 2 in v tej prilogi. Opozoriti je treba, da je načrt rotacije predlagan za triletno obdobje in da mora certifikacijski organ v teh treh letih zajeti vse intervencije, povezane z vsemi celicami matrike BUR.</w:t>
      </w:r>
    </w:p>
    <w:p>
      <w:pPr>
        <w:spacing w:line="240" w:lineRule="atLeast"/>
        <w:rPr>
          <w:rFonts w:cs="Times New Roman"/>
          <w:lang w:val="sl-SI"/>
        </w:rPr>
      </w:pPr>
    </w:p>
    <w:p>
      <w:pPr>
        <w:pStyle w:val="Heading2"/>
        <w:numPr>
          <w:ilvl w:val="0"/>
          <w:numId w:val="0"/>
        </w:numPr>
        <w:rPr>
          <w:rFonts w:cs="Times New Roman"/>
          <w:lang w:val="sl-SI"/>
        </w:rPr>
      </w:pPr>
      <w:bookmarkStart w:id="29" w:name="_Toc118756189"/>
      <w:bookmarkStart w:id="30" w:name="_Toc118756191"/>
      <w:bookmarkStart w:id="31" w:name="_Toc118756195"/>
      <w:bookmarkStart w:id="32" w:name="_Toc118756206"/>
      <w:bookmarkStart w:id="33" w:name="_Toc118756214"/>
      <w:bookmarkStart w:id="34" w:name="_Toc118756221"/>
      <w:bookmarkStart w:id="35" w:name="_Toc118756224"/>
      <w:bookmarkStart w:id="36" w:name="_Toc118756229"/>
      <w:bookmarkStart w:id="37" w:name="_Toc118756234"/>
      <w:bookmarkStart w:id="38" w:name="_Toc118756239"/>
      <w:bookmarkStart w:id="39" w:name="_Toc118756240"/>
      <w:bookmarkEnd w:id="29"/>
      <w:bookmarkEnd w:id="30"/>
      <w:bookmarkEnd w:id="31"/>
      <w:bookmarkEnd w:id="32"/>
      <w:bookmarkEnd w:id="33"/>
      <w:bookmarkEnd w:id="34"/>
      <w:bookmarkEnd w:id="35"/>
      <w:bookmarkEnd w:id="36"/>
      <w:bookmarkEnd w:id="37"/>
      <w:bookmarkEnd w:id="38"/>
      <w:bookmarkEnd w:id="39"/>
    </w:p>
    <w:sectPr>
      <w:headerReference w:type="even" r:id="rId22"/>
      <w:headerReference w:type="default" r:id="rId23"/>
      <w:footerReference w:type="default" r:id="rId24"/>
      <w:headerReference w:type="first" r:id="rId25"/>
      <w:footerReference w:type="first" r:id="rId26"/>
      <w:pgSz w:w="11920" w:h="16840"/>
      <w:pgMar w:top="940" w:right="1020" w:bottom="1420" w:left="1480" w:header="0" w:footer="12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Light">
    <w:altName w:val="Times New Roman"/>
    <w:charset w:val="EE"/>
    <w:family w:val="auto"/>
    <w:pitch w:val="variable"/>
    <w:sig w:usb0="00000001" w:usb1="5000206A" w:usb2="00000000" w:usb3="00000000" w:csb0="0000009F"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FreeSans">
    <w:altName w:val="Times New Roman"/>
    <w:charset w:val="01"/>
    <w:family w:val="roman"/>
    <w:pitch w:val="default"/>
  </w:font>
  <w:font w:name="DejaVu Sans">
    <w:charset w:val="00"/>
    <w:family w:val="swiss"/>
    <w:pitch w:val="variable"/>
    <w:sig w:usb0="E7002EFF" w:usb1="D200FDFF" w:usb2="0A246029" w:usb3="00000000" w:csb0="000001FF" w:csb1="00000000"/>
  </w:font>
  <w:font w:name="Liberation Sans">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spacing w:after="0" w:line="182" w:lineRule="exact"/>
      <w:rPr>
        <w:sz w:val="18"/>
      </w:rPr>
    </w:pPr>
    <w:r>
      <w:rPr>
        <w:noProof/>
      </w:rPr>
      <mc:AlternateContent>
        <mc:Choice Requires="wps">
          <w:drawing>
            <wp:anchor distT="0" distB="0" distL="114300" distR="114300" simplePos="0" relativeHeight="251658752" behindDoc="1" locked="0" layoutInCell="1" allowOverlap="1">
              <wp:simplePos x="0" y="0"/>
              <wp:positionH relativeFrom="page">
                <wp:posOffset>6703060</wp:posOffset>
              </wp:positionH>
              <wp:positionV relativeFrom="page">
                <wp:posOffset>9773920</wp:posOffset>
              </wp:positionV>
              <wp:extent cx="163830" cy="127635"/>
              <wp:effectExtent l="0" t="1270" r="63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after="0" w:line="240" w:lineRule="auto"/>
                            <w:ind w:left="40" w:right="-20"/>
                            <w:rPr>
                              <w:rFonts w:ascii="Arial" w:eastAsia="Arial" w:hAnsi="Arial" w:cs="Arial"/>
                              <w:sz w:val="16"/>
                            </w:rPr>
                          </w:pPr>
                          <w:r>
                            <w:fldChar w:fldCharType="begin"/>
                          </w:r>
                          <w:r>
                            <w:rPr>
                              <w:rFonts w:ascii="Arial" w:eastAsia="Arial" w:hAnsi="Arial" w:cs="Arial"/>
                              <w:sz w:val="16"/>
                            </w:rPr>
                            <w:instrText xml:space="preserve"> PAGE </w:instrText>
                          </w:r>
                          <w:r>
                            <w:fldChar w:fldCharType="separate"/>
                          </w:r>
                          <w:r>
                            <w:rPr>
                              <w:rFonts w:ascii="Arial" w:eastAsia="Arial" w:hAnsi="Arial" w:cs="Arial"/>
                              <w:sz w:val="16"/>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6FD396" id="_x0000_t202" coordsize="21600,21600" o:spt="202" path="m,l,21600r21600,l21600,xe">
              <v:stroke joinstyle="miter"/>
              <v:path gradientshapeok="t" o:connecttype="rect"/>
            </v:shapetype>
            <v:shape id="Text Box 1" o:spid="_x0000_s1026" type="#_x0000_t202" style="position:absolute;left:0;text-align:left;margin-left:527.8pt;margin-top:769.6pt;width:12.9pt;height:10.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" filled="f" stroked="f">
              <v:textbox inset="0,0,0,0">
                <w:txbxContent>
                  <w:p w14:paraId="7B292201" w14:textId="7F13FC4D" w:rsidR="009C0585" w:rsidRDefault="009C0585">
                    <w:pPr>
                      <w:spacing w:after="0" w:line="240" w:lineRule="auto"/>
                      <w:ind w:left="40" w:right="-20"/>
                      <w:rPr>
                        <w:rFonts w:ascii="Arial" w:eastAsia="Arial" w:hAnsi="Arial" w:cs="Arial"/>
                        <w:sz w:val="16"/>
                      </w:rPr>
                    </w:pPr>
                    <w:r>
                      <w:fldChar w:fldCharType="begin"/>
                    </w:r>
                    <w:r>
                      <w:rPr>
                        <w:rFonts w:ascii="Arial" w:eastAsia="Arial" w:hAnsi="Arial" w:cs="Arial"/>
                        <w:sz w:val="16"/>
                      </w:rPr>
                      <w:instrText xml:space="preserve"> PAGE </w:instrText>
                    </w:r>
                    <w:r>
                      <w:fldChar w:fldCharType="separate"/>
                    </w:r>
                    <w:r>
                      <w:rPr>
                        <w:rFonts w:ascii="Arial" w:eastAsia="Arial" w:hAnsi="Arial" w:cs="Arial"/>
                        <w:sz w:val="16"/>
                      </w:rPr>
                      <w:t>13</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lang w:val="sl-SI"/>
        </w:rPr>
      </w:pPr>
      <w:r>
        <w:rPr>
          <w:rStyle w:val="FootnoteReference"/>
          <w:lang w:val="sl-SI"/>
        </w:rPr>
        <w:footnoteRef/>
      </w:r>
      <w:r>
        <w:rPr>
          <w:lang w:val="sl-SI"/>
        </w:rPr>
        <w:t xml:space="preserve"> Glede pogostosti kontrol glej razlago v oddelku 11.6.1 Smernice št. 2.</w:t>
      </w:r>
    </w:p>
  </w:footnote>
  <w:footnote w:id="3">
    <w:p>
      <w:pPr>
        <w:pStyle w:val="FootnoteText"/>
        <w:rPr>
          <w:lang w:val="sl-SI"/>
        </w:rPr>
      </w:pPr>
      <w:r>
        <w:rPr>
          <w:rStyle w:val="FootnoteReference"/>
          <w:lang w:val="sl-SI"/>
        </w:rPr>
        <w:footnoteRef/>
      </w:r>
      <w:r>
        <w:rPr>
          <w:lang w:val="sl-SI"/>
        </w:rPr>
        <w:t xml:space="preserve"> Glede vzorčne enote glejte oddelek 11.6.1 Vzorčna enota v Smernici št. 2. Na podlagi ustrezno določene enote vzorčenja je lahko izbrani vzorec transakcija, račun, spis, javno naročilo, parcele ... </w:t>
      </w:r>
    </w:p>
  </w:footnote>
  <w:footnote w:id="4">
    <w:p>
      <w:pPr>
        <w:pStyle w:val="FootnoteText"/>
        <w:rPr>
          <w:lang w:val="sl-SI"/>
        </w:rPr>
      </w:pPr>
      <w:r>
        <w:rPr>
          <w:rStyle w:val="FootnoteReference"/>
          <w:lang w:val="sl-SI"/>
        </w:rPr>
        <w:footnoteRef/>
      </w:r>
      <w:r>
        <w:rPr>
          <w:lang w:val="sl-SI"/>
        </w:rPr>
        <w:t xml:space="preserve"> Močno se priporoča vzorec, izbran iz postopka ocenjevanja kakovosti plačilne agencije.</w:t>
      </w:r>
    </w:p>
  </w:footnote>
  <w:footnote w:id="5">
    <w:p>
      <w:pPr>
        <w:pStyle w:val="FootnoteText"/>
        <w:rPr>
          <w:lang w:val="sl-SI"/>
        </w:rPr>
      </w:pPr>
      <w:r>
        <w:rPr>
          <w:rStyle w:val="FootnoteReference"/>
          <w:lang w:val="sl-SI"/>
        </w:rPr>
        <w:footnoteRef/>
      </w:r>
      <w:r>
        <w:rPr>
          <w:lang w:val="sl-SI"/>
        </w:rPr>
        <w:t xml:space="preserve"> Primer temelji na predpostavki, da je rotacija mogoča in da se v triletnem obdobju preizkusijo vse intervencije.</w:t>
      </w:r>
    </w:p>
  </w:footnote>
  <w:footnote w:id="6">
    <w:p>
      <w:pPr>
        <w:pStyle w:val="FootnoteText"/>
        <w:rPr>
          <w:lang w:val="sl-SI"/>
        </w:rPr>
      </w:pPr>
      <w:r>
        <w:rPr>
          <w:rStyle w:val="FootnoteReference"/>
          <w:lang w:val="sl-SI"/>
        </w:rPr>
        <w:footnoteRef/>
      </w:r>
      <w:r>
        <w:rPr>
          <w:lang w:val="sl-SI"/>
        </w:rPr>
        <w:t xml:space="preserve"> Na primer zato, ker vključuje več organov ali ker je bila ugotovitev ugotovljena pri preizkušanju za prejšnje leto.</w:t>
      </w:r>
    </w:p>
  </w:footnote>
  <w:footnote w:id="7">
    <w:p>
      <w:pPr>
        <w:pStyle w:val="FootnoteText"/>
        <w:rPr>
          <w:lang w:val="sl-SI"/>
        </w:rPr>
      </w:pPr>
      <w:r>
        <w:rPr>
          <w:rStyle w:val="FootnoteReference"/>
          <w:lang w:val="sl-SI"/>
        </w:rPr>
        <w:footnoteRef/>
      </w:r>
      <w:r>
        <w:rPr>
          <w:lang w:val="sl-SI"/>
        </w:rPr>
        <w:t xml:space="preserve"> Zaradi enostavnosti primer ne bo podrobno pojasnjeval, zakaj je bilo za določeno intervencijo izbrano X enot. Odločitev je v pristojnosti certifikacijskega organa in jo je treba pojasniti v revizijski strategiji.</w:t>
      </w:r>
    </w:p>
  </w:footnote>
  <w:footnote w:id="8">
    <w:p>
      <w:pPr>
        <w:pStyle w:val="FootnoteText"/>
        <w:rPr>
          <w:lang w:val="sl-SI"/>
        </w:rPr>
      </w:pPr>
      <w:r>
        <w:rPr>
          <w:rStyle w:val="FootnoteReference"/>
          <w:lang w:val="sl-SI"/>
        </w:rPr>
        <w:footnoteRef/>
      </w:r>
      <w:r>
        <w:rPr>
          <w:lang w:val="sl-SI"/>
        </w:rPr>
        <w:t xml:space="preserve"> Kot pojasnjeno v revizijski strategiji za porazdelitev dela na celo leto. Vendar je močno priporočljivo, da se pokrije celotno proračunsko leto. Zato bo mogoče ob koncu proračunskega leta zahtevano dodatno preizkušanje. Obseg in način preizkušanja je treba določiti s strokovno presojo (tj. izbira dodatnih postavk, izvedba sledilnega preizkusa itd.), lahko pa se certifikacijski organ odloči izbrati le del vzorca, npr. 20 enot) kot pilotni vzorec iz plačil, opravljenih do marca, preostalih 10 vzorcev pa v oktobru.</w:t>
      </w:r>
    </w:p>
  </w:footnote>
  <w:footnote w:id="9">
    <w:p>
      <w:pPr>
        <w:pStyle w:val="FootnoteText"/>
        <w:rPr>
          <w:lang w:val="sl-SI"/>
        </w:rPr>
      </w:pPr>
      <w:r>
        <w:rPr>
          <w:rStyle w:val="FootnoteReference"/>
          <w:lang w:val="sl-SI"/>
        </w:rPr>
        <w:footnoteRef/>
      </w:r>
      <w:r>
        <w:rPr>
          <w:lang w:val="sl-SI"/>
        </w:rPr>
        <w:t xml:space="preserve"> Kot je pojasnjeno v poglavju 2 zgoraj „</w:t>
      </w:r>
      <w:r>
        <w:rPr>
          <w:i/>
          <w:lang w:val="sl-SI"/>
        </w:rPr>
        <w:t>Vsako podpopulacijo morajo sestavljati transakcije, pri katerih je mogoče uporabiti revidirani BUR in ki so bile odobrene za plačilo v revidiranem proračunskem letu</w:t>
      </w:r>
      <w:r>
        <w:rPr>
          <w:lang w:val="sl-SI"/>
        </w:rPr>
        <w:t>“.</w:t>
      </w:r>
    </w:p>
  </w:footnote>
  <w:footnote w:id="10">
    <w:p>
      <w:pPr>
        <w:pStyle w:val="FootnoteText"/>
        <w:rPr>
          <w:lang w:val="sl-SI"/>
        </w:rPr>
      </w:pPr>
      <w:r>
        <w:rPr>
          <w:rStyle w:val="FootnoteReference"/>
          <w:lang w:val="sl-SI"/>
        </w:rPr>
        <w:footnoteRef/>
      </w:r>
      <w:r>
        <w:rPr>
          <w:lang w:val="sl-SI"/>
        </w:rPr>
        <w:t xml:space="preserve"> Primer predpostavlja, da se vsak postopek javnega naročanja v vzorcu koraka 1 obravnava kot ena kontrola; vendar je lahko del enega vzorca v koraku 1 več kot eno javno naročilo (npr. kadar se dve javni naročili izvedeta v okviru enega zahtevka).</w:t>
      </w:r>
    </w:p>
  </w:footnote>
  <w:footnote w:id="11">
    <w:p>
      <w:pPr>
        <w:pStyle w:val="FootnoteText"/>
        <w:rPr>
          <w:lang w:val="sl-SI"/>
        </w:rPr>
      </w:pPr>
      <w:r>
        <w:rPr>
          <w:rStyle w:val="FootnoteReference"/>
          <w:lang w:val="sl-SI"/>
        </w:rPr>
        <w:footnoteRef/>
      </w:r>
      <w:r>
        <w:rPr>
          <w:lang w:val="sl-SI"/>
        </w:rPr>
        <w:t xml:space="preserve"> Primer predpostavlja stanje, v katerem se certifikacijski organ odloči, da bo za nekatere celice matrike BUR preizkusil različne intervencije.</w:t>
      </w:r>
    </w:p>
  </w:footnote>
  <w:footnote w:id="12">
    <w:p>
      <w:pPr>
        <w:pStyle w:val="FootnoteText"/>
        <w:rPr>
          <w:lang w:val="sl-SI"/>
        </w:rPr>
      </w:pPr>
      <w:r>
        <w:rPr>
          <w:rStyle w:val="FootnoteReference"/>
          <w:lang w:val="sl-SI"/>
        </w:rPr>
        <w:footnoteRef/>
      </w:r>
      <w:r>
        <w:rPr>
          <w:lang w:val="sl-SI"/>
        </w:rPr>
        <w:t xml:space="preserve"> Opozoriti je treba, da obstaja možnost popolne uporabe vzorca iz koraka 1. Odločitev o tem, koliko kontrol naj se preizkusi, sprejme certifikacijski organ glede na razmere v državi članici. Primer prikazuje le izbiro na podlagi najmanjšega števila kontrol, ki jih je treba izbrati.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2C15DF8"/>
    <w:multiLevelType w:val="hybridMultilevel"/>
    <w:tmpl w:val="57782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4761BE"/>
    <w:multiLevelType w:val="hybridMultilevel"/>
    <w:tmpl w:val="0FDE0A36"/>
    <w:lvl w:ilvl="0" w:tplc="08090017">
      <w:start w:val="1"/>
      <w:numFmt w:val="lowerLetter"/>
      <w:lvlText w:val="%1)"/>
      <w:lvlJc w:val="left"/>
      <w:pPr>
        <w:ind w:left="2946" w:hanging="360"/>
      </w:pPr>
    </w:lvl>
    <w:lvl w:ilvl="1" w:tplc="08090019" w:tentative="1">
      <w:start w:val="1"/>
      <w:numFmt w:val="lowerLetter"/>
      <w:lvlText w:val="%2."/>
      <w:lvlJc w:val="left"/>
      <w:pPr>
        <w:ind w:left="3666" w:hanging="360"/>
      </w:pPr>
    </w:lvl>
    <w:lvl w:ilvl="2" w:tplc="0809001B" w:tentative="1">
      <w:start w:val="1"/>
      <w:numFmt w:val="lowerRoman"/>
      <w:lvlText w:val="%3."/>
      <w:lvlJc w:val="right"/>
      <w:pPr>
        <w:ind w:left="4386" w:hanging="180"/>
      </w:pPr>
    </w:lvl>
    <w:lvl w:ilvl="3" w:tplc="0809000F" w:tentative="1">
      <w:start w:val="1"/>
      <w:numFmt w:val="decimal"/>
      <w:lvlText w:val="%4."/>
      <w:lvlJc w:val="left"/>
      <w:pPr>
        <w:ind w:left="5106" w:hanging="360"/>
      </w:pPr>
    </w:lvl>
    <w:lvl w:ilvl="4" w:tplc="08090019" w:tentative="1">
      <w:start w:val="1"/>
      <w:numFmt w:val="lowerLetter"/>
      <w:lvlText w:val="%5."/>
      <w:lvlJc w:val="left"/>
      <w:pPr>
        <w:ind w:left="5826" w:hanging="360"/>
      </w:pPr>
    </w:lvl>
    <w:lvl w:ilvl="5" w:tplc="0809001B" w:tentative="1">
      <w:start w:val="1"/>
      <w:numFmt w:val="lowerRoman"/>
      <w:lvlText w:val="%6."/>
      <w:lvlJc w:val="right"/>
      <w:pPr>
        <w:ind w:left="6546" w:hanging="180"/>
      </w:pPr>
    </w:lvl>
    <w:lvl w:ilvl="6" w:tplc="0809000F" w:tentative="1">
      <w:start w:val="1"/>
      <w:numFmt w:val="decimal"/>
      <w:lvlText w:val="%7."/>
      <w:lvlJc w:val="left"/>
      <w:pPr>
        <w:ind w:left="7266" w:hanging="360"/>
      </w:pPr>
    </w:lvl>
    <w:lvl w:ilvl="7" w:tplc="08090019" w:tentative="1">
      <w:start w:val="1"/>
      <w:numFmt w:val="lowerLetter"/>
      <w:lvlText w:val="%8."/>
      <w:lvlJc w:val="left"/>
      <w:pPr>
        <w:ind w:left="7986" w:hanging="360"/>
      </w:pPr>
    </w:lvl>
    <w:lvl w:ilvl="8" w:tplc="0809001B" w:tentative="1">
      <w:start w:val="1"/>
      <w:numFmt w:val="lowerRoman"/>
      <w:lvlText w:val="%9."/>
      <w:lvlJc w:val="right"/>
      <w:pPr>
        <w:ind w:left="8706" w:hanging="180"/>
      </w:pPr>
    </w:lvl>
  </w:abstractNum>
  <w:abstractNum w:abstractNumId="4" w15:restartNumberingAfterBreak="0">
    <w:nsid w:val="04817FB7"/>
    <w:multiLevelType w:val="hybridMultilevel"/>
    <w:tmpl w:val="B2062ED6"/>
    <w:lvl w:ilvl="0" w:tplc="08090005">
      <w:start w:val="1"/>
      <w:numFmt w:val="bullet"/>
      <w:lvlText w:val=""/>
      <w:lvlJc w:val="left"/>
      <w:pPr>
        <w:tabs>
          <w:tab w:val="num" w:pos="1202"/>
        </w:tabs>
        <w:ind w:left="1202" w:hanging="360"/>
      </w:pPr>
      <w:rPr>
        <w:rFonts w:ascii="Wingdings" w:hAnsi="Wingdings" w:hint="default"/>
      </w:rPr>
    </w:lvl>
    <w:lvl w:ilvl="1" w:tplc="08090003" w:tentative="1">
      <w:start w:val="1"/>
      <w:numFmt w:val="bullet"/>
      <w:lvlText w:val="o"/>
      <w:lvlJc w:val="left"/>
      <w:pPr>
        <w:tabs>
          <w:tab w:val="num" w:pos="1922"/>
        </w:tabs>
        <w:ind w:left="1922" w:hanging="360"/>
      </w:pPr>
      <w:rPr>
        <w:rFonts w:ascii="Courier New" w:hAnsi="Courier New" w:cs="Courier New" w:hint="default"/>
      </w:rPr>
    </w:lvl>
    <w:lvl w:ilvl="2" w:tplc="08090005" w:tentative="1">
      <w:start w:val="1"/>
      <w:numFmt w:val="bullet"/>
      <w:lvlText w:val=""/>
      <w:lvlJc w:val="left"/>
      <w:pPr>
        <w:tabs>
          <w:tab w:val="num" w:pos="2642"/>
        </w:tabs>
        <w:ind w:left="2642" w:hanging="360"/>
      </w:pPr>
      <w:rPr>
        <w:rFonts w:ascii="Wingdings" w:hAnsi="Wingdings" w:hint="default"/>
      </w:rPr>
    </w:lvl>
    <w:lvl w:ilvl="3" w:tplc="08090001" w:tentative="1">
      <w:start w:val="1"/>
      <w:numFmt w:val="bullet"/>
      <w:lvlText w:val=""/>
      <w:lvlJc w:val="left"/>
      <w:pPr>
        <w:tabs>
          <w:tab w:val="num" w:pos="3362"/>
        </w:tabs>
        <w:ind w:left="3362" w:hanging="360"/>
      </w:pPr>
      <w:rPr>
        <w:rFonts w:ascii="Symbol" w:hAnsi="Symbol" w:hint="default"/>
      </w:rPr>
    </w:lvl>
    <w:lvl w:ilvl="4" w:tplc="08090003" w:tentative="1">
      <w:start w:val="1"/>
      <w:numFmt w:val="bullet"/>
      <w:lvlText w:val="o"/>
      <w:lvlJc w:val="left"/>
      <w:pPr>
        <w:tabs>
          <w:tab w:val="num" w:pos="4082"/>
        </w:tabs>
        <w:ind w:left="4082" w:hanging="360"/>
      </w:pPr>
      <w:rPr>
        <w:rFonts w:ascii="Courier New" w:hAnsi="Courier New" w:cs="Courier New" w:hint="default"/>
      </w:rPr>
    </w:lvl>
    <w:lvl w:ilvl="5" w:tplc="08090005" w:tentative="1">
      <w:start w:val="1"/>
      <w:numFmt w:val="bullet"/>
      <w:lvlText w:val=""/>
      <w:lvlJc w:val="left"/>
      <w:pPr>
        <w:tabs>
          <w:tab w:val="num" w:pos="4802"/>
        </w:tabs>
        <w:ind w:left="4802" w:hanging="360"/>
      </w:pPr>
      <w:rPr>
        <w:rFonts w:ascii="Wingdings" w:hAnsi="Wingdings" w:hint="default"/>
      </w:rPr>
    </w:lvl>
    <w:lvl w:ilvl="6" w:tplc="08090001" w:tentative="1">
      <w:start w:val="1"/>
      <w:numFmt w:val="bullet"/>
      <w:lvlText w:val=""/>
      <w:lvlJc w:val="left"/>
      <w:pPr>
        <w:tabs>
          <w:tab w:val="num" w:pos="5522"/>
        </w:tabs>
        <w:ind w:left="5522" w:hanging="360"/>
      </w:pPr>
      <w:rPr>
        <w:rFonts w:ascii="Symbol" w:hAnsi="Symbol" w:hint="default"/>
      </w:rPr>
    </w:lvl>
    <w:lvl w:ilvl="7" w:tplc="08090003" w:tentative="1">
      <w:start w:val="1"/>
      <w:numFmt w:val="bullet"/>
      <w:lvlText w:val="o"/>
      <w:lvlJc w:val="left"/>
      <w:pPr>
        <w:tabs>
          <w:tab w:val="num" w:pos="6242"/>
        </w:tabs>
        <w:ind w:left="6242" w:hanging="360"/>
      </w:pPr>
      <w:rPr>
        <w:rFonts w:ascii="Courier New" w:hAnsi="Courier New" w:cs="Courier New" w:hint="default"/>
      </w:rPr>
    </w:lvl>
    <w:lvl w:ilvl="8" w:tplc="08090005" w:tentative="1">
      <w:start w:val="1"/>
      <w:numFmt w:val="bullet"/>
      <w:lvlText w:val=""/>
      <w:lvlJc w:val="left"/>
      <w:pPr>
        <w:tabs>
          <w:tab w:val="num" w:pos="6962"/>
        </w:tabs>
        <w:ind w:left="6962" w:hanging="360"/>
      </w:pPr>
      <w:rPr>
        <w:rFonts w:ascii="Wingdings" w:hAnsi="Wingdings" w:hint="default"/>
      </w:rPr>
    </w:lvl>
  </w:abstractNum>
  <w:abstractNum w:abstractNumId="5"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5C514A8"/>
    <w:multiLevelType w:val="multilevel"/>
    <w:tmpl w:val="4474A1F2"/>
    <w:lvl w:ilvl="0">
      <w:start w:val="1"/>
      <w:numFmt w:val="decimal"/>
      <w:pStyle w:val="EYHeading1"/>
      <w:lvlText w:val="%1."/>
      <w:lvlJc w:val="left"/>
      <w:pPr>
        <w:tabs>
          <w:tab w:val="num" w:pos="0"/>
        </w:tabs>
        <w:ind w:left="0" w:hanging="850"/>
      </w:pPr>
      <w:rPr>
        <w:rFonts w:ascii="EYInterstate Light" w:hAnsi="EYInterstate Light" w:hint="default"/>
        <w:b/>
        <w:i w:val="0"/>
        <w:color w:val="7F7E82"/>
        <w:sz w:val="32"/>
      </w:rPr>
    </w:lvl>
    <w:lvl w:ilvl="1">
      <w:start w:val="1"/>
      <w:numFmt w:val="decimal"/>
      <w:pStyle w:val="EYHeading2"/>
      <w:lvlText w:val="%1.%2"/>
      <w:lvlJc w:val="left"/>
      <w:pPr>
        <w:tabs>
          <w:tab w:val="num" w:pos="0"/>
        </w:tabs>
        <w:ind w:left="0" w:hanging="850"/>
      </w:pPr>
      <w:rPr>
        <w:rFonts w:asciiTheme="minorHAnsi" w:hAnsiTheme="minorHAnsi" w:cstheme="minorHAnsi" w:hint="default"/>
        <w:b/>
        <w:i w:val="0"/>
        <w:sz w:val="24"/>
      </w:rPr>
    </w:lvl>
    <w:lvl w:ilvl="2">
      <w:start w:val="1"/>
      <w:numFmt w:val="decimal"/>
      <w:pStyle w:val="EYHeading3"/>
      <w:lvlText w:val="%1.%2.%3"/>
      <w:lvlJc w:val="left"/>
      <w:pPr>
        <w:tabs>
          <w:tab w:val="num" w:pos="0"/>
        </w:tabs>
        <w:ind w:left="0" w:hanging="850"/>
      </w:pPr>
      <w:rPr>
        <w:rFonts w:asciiTheme="minorHAnsi" w:hAnsiTheme="minorHAnsi" w:cstheme="minorHAnsi" w:hint="default"/>
        <w:b/>
        <w:i w:val="0"/>
        <w:sz w:val="24"/>
      </w:rPr>
    </w:lvl>
    <w:lvl w:ilvl="3">
      <w:start w:val="1"/>
      <w:numFmt w:val="decimal"/>
      <w:pStyle w:val="EYHeading4"/>
      <w:lvlText w:val="%1.%2.%3.%4"/>
      <w:lvlJc w:val="left"/>
      <w:pPr>
        <w:tabs>
          <w:tab w:val="num" w:pos="0"/>
        </w:tabs>
        <w:ind w:left="0" w:hanging="850"/>
      </w:pPr>
      <w:rPr>
        <w:rFonts w:ascii="EYInterstate Light" w:hAnsi="EYInterstate Light" w:hint="default"/>
        <w:b/>
        <w:i w:val="0"/>
        <w:sz w:val="22"/>
      </w:r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7" w15:restartNumberingAfterBreak="0">
    <w:nsid w:val="05E551B1"/>
    <w:multiLevelType w:val="hybridMultilevel"/>
    <w:tmpl w:val="98963E2C"/>
    <w:lvl w:ilvl="0" w:tplc="51603BD4">
      <w:start w:val="1"/>
      <w:numFmt w:val="bullet"/>
      <w:lvlText w:val="l"/>
      <w:lvlJc w:val="left"/>
      <w:pPr>
        <w:tabs>
          <w:tab w:val="num" w:pos="720"/>
        </w:tabs>
        <w:ind w:left="720" w:hanging="360"/>
      </w:pPr>
      <w:rPr>
        <w:rFonts w:ascii="Monotype Sorts" w:hAnsi="Monotype Sorts" w:hint="default"/>
      </w:rPr>
    </w:lvl>
    <w:lvl w:ilvl="1" w:tplc="08090001">
      <w:start w:val="1"/>
      <w:numFmt w:val="bullet"/>
      <w:lvlText w:val=""/>
      <w:lvlJc w:val="left"/>
      <w:pPr>
        <w:tabs>
          <w:tab w:val="num" w:pos="1440"/>
        </w:tabs>
        <w:ind w:left="1440" w:hanging="360"/>
      </w:pPr>
      <w:rPr>
        <w:rFonts w:ascii="Symbol" w:hAnsi="Symbol" w:hint="default"/>
      </w:rPr>
    </w:lvl>
    <w:lvl w:ilvl="2" w:tplc="657CE276" w:tentative="1">
      <w:start w:val="1"/>
      <w:numFmt w:val="bullet"/>
      <w:lvlText w:val="l"/>
      <w:lvlJc w:val="left"/>
      <w:pPr>
        <w:tabs>
          <w:tab w:val="num" w:pos="2160"/>
        </w:tabs>
        <w:ind w:left="2160" w:hanging="360"/>
      </w:pPr>
      <w:rPr>
        <w:rFonts w:ascii="Monotype Sorts" w:hAnsi="Monotype Sorts" w:hint="default"/>
      </w:rPr>
    </w:lvl>
    <w:lvl w:ilvl="3" w:tplc="6A9C6040" w:tentative="1">
      <w:start w:val="1"/>
      <w:numFmt w:val="bullet"/>
      <w:lvlText w:val="l"/>
      <w:lvlJc w:val="left"/>
      <w:pPr>
        <w:tabs>
          <w:tab w:val="num" w:pos="2880"/>
        </w:tabs>
        <w:ind w:left="2880" w:hanging="360"/>
      </w:pPr>
      <w:rPr>
        <w:rFonts w:ascii="Monotype Sorts" w:hAnsi="Monotype Sorts" w:hint="default"/>
      </w:rPr>
    </w:lvl>
    <w:lvl w:ilvl="4" w:tplc="E640B78A" w:tentative="1">
      <w:start w:val="1"/>
      <w:numFmt w:val="bullet"/>
      <w:lvlText w:val="l"/>
      <w:lvlJc w:val="left"/>
      <w:pPr>
        <w:tabs>
          <w:tab w:val="num" w:pos="3600"/>
        </w:tabs>
        <w:ind w:left="3600" w:hanging="360"/>
      </w:pPr>
      <w:rPr>
        <w:rFonts w:ascii="Monotype Sorts" w:hAnsi="Monotype Sorts" w:hint="default"/>
      </w:rPr>
    </w:lvl>
    <w:lvl w:ilvl="5" w:tplc="980221B8" w:tentative="1">
      <w:start w:val="1"/>
      <w:numFmt w:val="bullet"/>
      <w:lvlText w:val="l"/>
      <w:lvlJc w:val="left"/>
      <w:pPr>
        <w:tabs>
          <w:tab w:val="num" w:pos="4320"/>
        </w:tabs>
        <w:ind w:left="4320" w:hanging="360"/>
      </w:pPr>
      <w:rPr>
        <w:rFonts w:ascii="Monotype Sorts" w:hAnsi="Monotype Sorts" w:hint="default"/>
      </w:rPr>
    </w:lvl>
    <w:lvl w:ilvl="6" w:tplc="FEBAE9C0" w:tentative="1">
      <w:start w:val="1"/>
      <w:numFmt w:val="bullet"/>
      <w:lvlText w:val="l"/>
      <w:lvlJc w:val="left"/>
      <w:pPr>
        <w:tabs>
          <w:tab w:val="num" w:pos="5040"/>
        </w:tabs>
        <w:ind w:left="5040" w:hanging="360"/>
      </w:pPr>
      <w:rPr>
        <w:rFonts w:ascii="Monotype Sorts" w:hAnsi="Monotype Sorts" w:hint="default"/>
      </w:rPr>
    </w:lvl>
    <w:lvl w:ilvl="7" w:tplc="31481CE2" w:tentative="1">
      <w:start w:val="1"/>
      <w:numFmt w:val="bullet"/>
      <w:lvlText w:val="l"/>
      <w:lvlJc w:val="left"/>
      <w:pPr>
        <w:tabs>
          <w:tab w:val="num" w:pos="5760"/>
        </w:tabs>
        <w:ind w:left="5760" w:hanging="360"/>
      </w:pPr>
      <w:rPr>
        <w:rFonts w:ascii="Monotype Sorts" w:hAnsi="Monotype Sorts" w:hint="default"/>
      </w:rPr>
    </w:lvl>
    <w:lvl w:ilvl="8" w:tplc="945273F0" w:tentative="1">
      <w:start w:val="1"/>
      <w:numFmt w:val="bullet"/>
      <w:lvlText w:val="l"/>
      <w:lvlJc w:val="left"/>
      <w:pPr>
        <w:tabs>
          <w:tab w:val="num" w:pos="6480"/>
        </w:tabs>
        <w:ind w:left="6480" w:hanging="360"/>
      </w:pPr>
      <w:rPr>
        <w:rFonts w:ascii="Monotype Sorts" w:hAnsi="Monotype Sorts" w:hint="default"/>
      </w:rPr>
    </w:lvl>
  </w:abstractNum>
  <w:abstractNum w:abstractNumId="8" w15:restartNumberingAfterBreak="0">
    <w:nsid w:val="0CAC468C"/>
    <w:multiLevelType w:val="hybridMultilevel"/>
    <w:tmpl w:val="611E2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D5B0E24"/>
    <w:multiLevelType w:val="hybridMultilevel"/>
    <w:tmpl w:val="78E09C8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111468CA"/>
    <w:multiLevelType w:val="hybridMultilevel"/>
    <w:tmpl w:val="C0D07B16"/>
    <w:lvl w:ilvl="0" w:tplc="0816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2515D06"/>
    <w:multiLevelType w:val="hybridMultilevel"/>
    <w:tmpl w:val="F2E6148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3" w15:restartNumberingAfterBreak="0">
    <w:nsid w:val="1327758E"/>
    <w:multiLevelType w:val="hybridMultilevel"/>
    <w:tmpl w:val="2DC07E74"/>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14" w15:restartNumberingAfterBreak="0">
    <w:nsid w:val="13E90E80"/>
    <w:multiLevelType w:val="hybridMultilevel"/>
    <w:tmpl w:val="CEFACF0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16AA3549"/>
    <w:multiLevelType w:val="hybridMultilevel"/>
    <w:tmpl w:val="3412FCAC"/>
    <w:lvl w:ilvl="0" w:tplc="7006F33A">
      <w:start w:val="1"/>
      <w:numFmt w:val="bullet"/>
      <w:lvlText w:val="•"/>
      <w:lvlJc w:val="left"/>
      <w:pPr>
        <w:tabs>
          <w:tab w:val="num" w:pos="720"/>
        </w:tabs>
        <w:ind w:left="720" w:hanging="360"/>
      </w:pPr>
      <w:rPr>
        <w:rFonts w:ascii="Arial" w:hAnsi="Arial" w:hint="default"/>
      </w:rPr>
    </w:lvl>
    <w:lvl w:ilvl="1" w:tplc="792613B8">
      <w:start w:val="10370"/>
      <w:numFmt w:val="bullet"/>
      <w:lvlText w:val="–"/>
      <w:lvlJc w:val="left"/>
      <w:pPr>
        <w:tabs>
          <w:tab w:val="num" w:pos="1440"/>
        </w:tabs>
        <w:ind w:left="1440" w:hanging="360"/>
      </w:pPr>
      <w:rPr>
        <w:rFonts w:ascii="Arial" w:hAnsi="Arial" w:hint="default"/>
      </w:rPr>
    </w:lvl>
    <w:lvl w:ilvl="2" w:tplc="FCE22A34" w:tentative="1">
      <w:start w:val="1"/>
      <w:numFmt w:val="bullet"/>
      <w:lvlText w:val="•"/>
      <w:lvlJc w:val="left"/>
      <w:pPr>
        <w:tabs>
          <w:tab w:val="num" w:pos="2160"/>
        </w:tabs>
        <w:ind w:left="2160" w:hanging="360"/>
      </w:pPr>
      <w:rPr>
        <w:rFonts w:ascii="Arial" w:hAnsi="Arial" w:hint="default"/>
      </w:rPr>
    </w:lvl>
    <w:lvl w:ilvl="3" w:tplc="9220603E" w:tentative="1">
      <w:start w:val="1"/>
      <w:numFmt w:val="bullet"/>
      <w:lvlText w:val="•"/>
      <w:lvlJc w:val="left"/>
      <w:pPr>
        <w:tabs>
          <w:tab w:val="num" w:pos="2880"/>
        </w:tabs>
        <w:ind w:left="2880" w:hanging="360"/>
      </w:pPr>
      <w:rPr>
        <w:rFonts w:ascii="Arial" w:hAnsi="Arial" w:hint="default"/>
      </w:rPr>
    </w:lvl>
    <w:lvl w:ilvl="4" w:tplc="A238A9C0" w:tentative="1">
      <w:start w:val="1"/>
      <w:numFmt w:val="bullet"/>
      <w:lvlText w:val="•"/>
      <w:lvlJc w:val="left"/>
      <w:pPr>
        <w:tabs>
          <w:tab w:val="num" w:pos="3600"/>
        </w:tabs>
        <w:ind w:left="3600" w:hanging="360"/>
      </w:pPr>
      <w:rPr>
        <w:rFonts w:ascii="Arial" w:hAnsi="Arial" w:hint="default"/>
      </w:rPr>
    </w:lvl>
    <w:lvl w:ilvl="5" w:tplc="D09EFA52" w:tentative="1">
      <w:start w:val="1"/>
      <w:numFmt w:val="bullet"/>
      <w:lvlText w:val="•"/>
      <w:lvlJc w:val="left"/>
      <w:pPr>
        <w:tabs>
          <w:tab w:val="num" w:pos="4320"/>
        </w:tabs>
        <w:ind w:left="4320" w:hanging="360"/>
      </w:pPr>
      <w:rPr>
        <w:rFonts w:ascii="Arial" w:hAnsi="Arial" w:hint="default"/>
      </w:rPr>
    </w:lvl>
    <w:lvl w:ilvl="6" w:tplc="D772B1DE" w:tentative="1">
      <w:start w:val="1"/>
      <w:numFmt w:val="bullet"/>
      <w:lvlText w:val="•"/>
      <w:lvlJc w:val="left"/>
      <w:pPr>
        <w:tabs>
          <w:tab w:val="num" w:pos="5040"/>
        </w:tabs>
        <w:ind w:left="5040" w:hanging="360"/>
      </w:pPr>
      <w:rPr>
        <w:rFonts w:ascii="Arial" w:hAnsi="Arial" w:hint="default"/>
      </w:rPr>
    </w:lvl>
    <w:lvl w:ilvl="7" w:tplc="16A036F8" w:tentative="1">
      <w:start w:val="1"/>
      <w:numFmt w:val="bullet"/>
      <w:lvlText w:val="•"/>
      <w:lvlJc w:val="left"/>
      <w:pPr>
        <w:tabs>
          <w:tab w:val="num" w:pos="5760"/>
        </w:tabs>
        <w:ind w:left="5760" w:hanging="360"/>
      </w:pPr>
      <w:rPr>
        <w:rFonts w:ascii="Arial" w:hAnsi="Arial" w:hint="default"/>
      </w:rPr>
    </w:lvl>
    <w:lvl w:ilvl="8" w:tplc="3912C5E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7B373CD"/>
    <w:multiLevelType w:val="hybridMultilevel"/>
    <w:tmpl w:val="19E4C0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7FA1288"/>
    <w:multiLevelType w:val="hybridMultilevel"/>
    <w:tmpl w:val="D0F85C36"/>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18D55091"/>
    <w:multiLevelType w:val="hybridMultilevel"/>
    <w:tmpl w:val="37400CFE"/>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15:restartNumberingAfterBreak="0">
    <w:nsid w:val="1A2E1AB2"/>
    <w:multiLevelType w:val="hybridMultilevel"/>
    <w:tmpl w:val="86642220"/>
    <w:lvl w:ilvl="0" w:tplc="8B3AD32C">
      <w:start w:val="1"/>
      <w:numFmt w:val="bullet"/>
      <w:lvlText w:val="-"/>
      <w:lvlJc w:val="left"/>
      <w:pPr>
        <w:ind w:left="720" w:hanging="360"/>
      </w:pPr>
      <w:rPr>
        <w:rFonts w:ascii="Courier New" w:hAnsi="Courier New"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15:restartNumberingAfterBreak="0">
    <w:nsid w:val="1A625D3F"/>
    <w:multiLevelType w:val="hybridMultilevel"/>
    <w:tmpl w:val="221C14F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1ACB1B51"/>
    <w:multiLevelType w:val="hybridMultilevel"/>
    <w:tmpl w:val="5784D6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1B147AE6"/>
    <w:multiLevelType w:val="hybridMultilevel"/>
    <w:tmpl w:val="511607B8"/>
    <w:lvl w:ilvl="0" w:tplc="08160001">
      <w:start w:val="1"/>
      <w:numFmt w:val="bullet"/>
      <w:lvlText w:val=""/>
      <w:lvlJc w:val="left"/>
      <w:pPr>
        <w:ind w:left="827" w:hanging="360"/>
      </w:pPr>
      <w:rPr>
        <w:rFonts w:ascii="Symbol" w:hAnsi="Symbol" w:hint="default"/>
      </w:rPr>
    </w:lvl>
    <w:lvl w:ilvl="1" w:tplc="08160003" w:tentative="1">
      <w:start w:val="1"/>
      <w:numFmt w:val="bullet"/>
      <w:lvlText w:val="o"/>
      <w:lvlJc w:val="left"/>
      <w:pPr>
        <w:ind w:left="1547" w:hanging="360"/>
      </w:pPr>
      <w:rPr>
        <w:rFonts w:ascii="Courier New" w:hAnsi="Courier New" w:cs="Courier New" w:hint="default"/>
      </w:rPr>
    </w:lvl>
    <w:lvl w:ilvl="2" w:tplc="08160005" w:tentative="1">
      <w:start w:val="1"/>
      <w:numFmt w:val="bullet"/>
      <w:lvlText w:val=""/>
      <w:lvlJc w:val="left"/>
      <w:pPr>
        <w:ind w:left="2267" w:hanging="360"/>
      </w:pPr>
      <w:rPr>
        <w:rFonts w:ascii="Wingdings" w:hAnsi="Wingdings" w:hint="default"/>
      </w:rPr>
    </w:lvl>
    <w:lvl w:ilvl="3" w:tplc="08160001" w:tentative="1">
      <w:start w:val="1"/>
      <w:numFmt w:val="bullet"/>
      <w:lvlText w:val=""/>
      <w:lvlJc w:val="left"/>
      <w:pPr>
        <w:ind w:left="2987" w:hanging="360"/>
      </w:pPr>
      <w:rPr>
        <w:rFonts w:ascii="Symbol" w:hAnsi="Symbol" w:hint="default"/>
      </w:rPr>
    </w:lvl>
    <w:lvl w:ilvl="4" w:tplc="08160003" w:tentative="1">
      <w:start w:val="1"/>
      <w:numFmt w:val="bullet"/>
      <w:lvlText w:val="o"/>
      <w:lvlJc w:val="left"/>
      <w:pPr>
        <w:ind w:left="3707" w:hanging="360"/>
      </w:pPr>
      <w:rPr>
        <w:rFonts w:ascii="Courier New" w:hAnsi="Courier New" w:cs="Courier New" w:hint="default"/>
      </w:rPr>
    </w:lvl>
    <w:lvl w:ilvl="5" w:tplc="08160005" w:tentative="1">
      <w:start w:val="1"/>
      <w:numFmt w:val="bullet"/>
      <w:lvlText w:val=""/>
      <w:lvlJc w:val="left"/>
      <w:pPr>
        <w:ind w:left="4427" w:hanging="360"/>
      </w:pPr>
      <w:rPr>
        <w:rFonts w:ascii="Wingdings" w:hAnsi="Wingdings" w:hint="default"/>
      </w:rPr>
    </w:lvl>
    <w:lvl w:ilvl="6" w:tplc="08160001" w:tentative="1">
      <w:start w:val="1"/>
      <w:numFmt w:val="bullet"/>
      <w:lvlText w:val=""/>
      <w:lvlJc w:val="left"/>
      <w:pPr>
        <w:ind w:left="5147" w:hanging="360"/>
      </w:pPr>
      <w:rPr>
        <w:rFonts w:ascii="Symbol" w:hAnsi="Symbol" w:hint="default"/>
      </w:rPr>
    </w:lvl>
    <w:lvl w:ilvl="7" w:tplc="08160003" w:tentative="1">
      <w:start w:val="1"/>
      <w:numFmt w:val="bullet"/>
      <w:lvlText w:val="o"/>
      <w:lvlJc w:val="left"/>
      <w:pPr>
        <w:ind w:left="5867" w:hanging="360"/>
      </w:pPr>
      <w:rPr>
        <w:rFonts w:ascii="Courier New" w:hAnsi="Courier New" w:cs="Courier New" w:hint="default"/>
      </w:rPr>
    </w:lvl>
    <w:lvl w:ilvl="8" w:tplc="08160005" w:tentative="1">
      <w:start w:val="1"/>
      <w:numFmt w:val="bullet"/>
      <w:lvlText w:val=""/>
      <w:lvlJc w:val="left"/>
      <w:pPr>
        <w:ind w:left="6587" w:hanging="360"/>
      </w:pPr>
      <w:rPr>
        <w:rFonts w:ascii="Wingdings" w:hAnsi="Wingdings" w:hint="default"/>
      </w:rPr>
    </w:lvl>
  </w:abstractNum>
  <w:abstractNum w:abstractNumId="23" w15:restartNumberingAfterBreak="0">
    <w:nsid w:val="1BA54B2B"/>
    <w:multiLevelType w:val="hybridMultilevel"/>
    <w:tmpl w:val="EECCB25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1D033B46"/>
    <w:multiLevelType w:val="hybridMultilevel"/>
    <w:tmpl w:val="65501AE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15:restartNumberingAfterBreak="0">
    <w:nsid w:val="1E722D18"/>
    <w:multiLevelType w:val="hybridMultilevel"/>
    <w:tmpl w:val="59E4F714"/>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26" w15:restartNumberingAfterBreak="0">
    <w:nsid w:val="1F066297"/>
    <w:multiLevelType w:val="hybridMultilevel"/>
    <w:tmpl w:val="E7A44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F0F2CF4"/>
    <w:multiLevelType w:val="hybridMultilevel"/>
    <w:tmpl w:val="43F45C8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9" w15:restartNumberingAfterBreak="0">
    <w:nsid w:val="2499420B"/>
    <w:multiLevelType w:val="hybridMultilevel"/>
    <w:tmpl w:val="DA00B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4A16B51"/>
    <w:multiLevelType w:val="hybridMultilevel"/>
    <w:tmpl w:val="98BC0892"/>
    <w:lvl w:ilvl="0" w:tplc="04A4459A">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4E229C4"/>
    <w:multiLevelType w:val="hybridMultilevel"/>
    <w:tmpl w:val="167866CE"/>
    <w:lvl w:ilvl="0" w:tplc="871E15C0">
      <w:start w:val="1"/>
      <w:numFmt w:val="bullet"/>
      <w:pStyle w:val="ListBullet3"/>
      <w:lvlText w:val=""/>
      <w:lvlJc w:val="left"/>
      <w:pPr>
        <w:tabs>
          <w:tab w:val="num" w:pos="2199"/>
        </w:tabs>
        <w:ind w:left="2199" w:hanging="283"/>
      </w:pPr>
      <w:rPr>
        <w:rFonts w:ascii="Symbol" w:hAnsi="Symbol"/>
      </w:rPr>
    </w:lvl>
    <w:lvl w:ilvl="1" w:tplc="E0A4B4C8" w:tentative="1">
      <w:start w:val="1"/>
      <w:numFmt w:val="bullet"/>
      <w:lvlText w:val="o"/>
      <w:lvlJc w:val="left"/>
      <w:pPr>
        <w:tabs>
          <w:tab w:val="num" w:pos="1440"/>
        </w:tabs>
        <w:ind w:left="1440" w:hanging="360"/>
      </w:pPr>
      <w:rPr>
        <w:rFonts w:ascii="Courier New" w:hAnsi="Courier New" w:cs="Courier New" w:hint="default"/>
      </w:rPr>
    </w:lvl>
    <w:lvl w:ilvl="2" w:tplc="D7964F66" w:tentative="1">
      <w:start w:val="1"/>
      <w:numFmt w:val="bullet"/>
      <w:lvlText w:val=""/>
      <w:lvlJc w:val="left"/>
      <w:pPr>
        <w:tabs>
          <w:tab w:val="num" w:pos="2160"/>
        </w:tabs>
        <w:ind w:left="2160" w:hanging="360"/>
      </w:pPr>
      <w:rPr>
        <w:rFonts w:ascii="Wingdings" w:hAnsi="Wingdings" w:hint="default"/>
      </w:rPr>
    </w:lvl>
    <w:lvl w:ilvl="3" w:tplc="88C4721A" w:tentative="1">
      <w:start w:val="1"/>
      <w:numFmt w:val="bullet"/>
      <w:lvlText w:val=""/>
      <w:lvlJc w:val="left"/>
      <w:pPr>
        <w:tabs>
          <w:tab w:val="num" w:pos="2880"/>
        </w:tabs>
        <w:ind w:left="2880" w:hanging="360"/>
      </w:pPr>
      <w:rPr>
        <w:rFonts w:ascii="Symbol" w:hAnsi="Symbol" w:hint="default"/>
      </w:rPr>
    </w:lvl>
    <w:lvl w:ilvl="4" w:tplc="C6DA39D6" w:tentative="1">
      <w:start w:val="1"/>
      <w:numFmt w:val="bullet"/>
      <w:lvlText w:val="o"/>
      <w:lvlJc w:val="left"/>
      <w:pPr>
        <w:tabs>
          <w:tab w:val="num" w:pos="3600"/>
        </w:tabs>
        <w:ind w:left="3600" w:hanging="360"/>
      </w:pPr>
      <w:rPr>
        <w:rFonts w:ascii="Courier New" w:hAnsi="Courier New" w:cs="Courier New" w:hint="default"/>
      </w:rPr>
    </w:lvl>
    <w:lvl w:ilvl="5" w:tplc="2C82E832" w:tentative="1">
      <w:start w:val="1"/>
      <w:numFmt w:val="bullet"/>
      <w:lvlText w:val=""/>
      <w:lvlJc w:val="left"/>
      <w:pPr>
        <w:tabs>
          <w:tab w:val="num" w:pos="4320"/>
        </w:tabs>
        <w:ind w:left="4320" w:hanging="360"/>
      </w:pPr>
      <w:rPr>
        <w:rFonts w:ascii="Wingdings" w:hAnsi="Wingdings" w:hint="default"/>
      </w:rPr>
    </w:lvl>
    <w:lvl w:ilvl="6" w:tplc="81D65384" w:tentative="1">
      <w:start w:val="1"/>
      <w:numFmt w:val="bullet"/>
      <w:lvlText w:val=""/>
      <w:lvlJc w:val="left"/>
      <w:pPr>
        <w:tabs>
          <w:tab w:val="num" w:pos="5040"/>
        </w:tabs>
        <w:ind w:left="5040" w:hanging="360"/>
      </w:pPr>
      <w:rPr>
        <w:rFonts w:ascii="Symbol" w:hAnsi="Symbol" w:hint="default"/>
      </w:rPr>
    </w:lvl>
    <w:lvl w:ilvl="7" w:tplc="5C62B34A" w:tentative="1">
      <w:start w:val="1"/>
      <w:numFmt w:val="bullet"/>
      <w:lvlText w:val="o"/>
      <w:lvlJc w:val="left"/>
      <w:pPr>
        <w:tabs>
          <w:tab w:val="num" w:pos="5760"/>
        </w:tabs>
        <w:ind w:left="5760" w:hanging="360"/>
      </w:pPr>
      <w:rPr>
        <w:rFonts w:ascii="Courier New" w:hAnsi="Courier New" w:cs="Courier New" w:hint="default"/>
      </w:rPr>
    </w:lvl>
    <w:lvl w:ilvl="8" w:tplc="CA6890F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683172E"/>
    <w:multiLevelType w:val="hybridMultilevel"/>
    <w:tmpl w:val="78164E12"/>
    <w:lvl w:ilvl="0" w:tplc="B58EBE6A">
      <w:numFmt w:val="bullet"/>
      <w:lvlText w:val="•"/>
      <w:lvlJc w:val="left"/>
      <w:pPr>
        <w:ind w:left="842" w:hanging="360"/>
      </w:pPr>
      <w:rPr>
        <w:rFonts w:ascii="Times New Roman" w:eastAsia="Times New Roman" w:hAnsi="Times New Roman" w:cs="Times New Roman"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33" w15:restartNumberingAfterBreak="0">
    <w:nsid w:val="26B65645"/>
    <w:multiLevelType w:val="hybridMultilevel"/>
    <w:tmpl w:val="626C4B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275350EB"/>
    <w:multiLevelType w:val="hybridMultilevel"/>
    <w:tmpl w:val="2F5AE352"/>
    <w:lvl w:ilvl="0" w:tplc="8C10BD94">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5" w15:restartNumberingAfterBreak="0">
    <w:nsid w:val="27E403A0"/>
    <w:multiLevelType w:val="hybridMultilevel"/>
    <w:tmpl w:val="8BBC56C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6" w15:restartNumberingAfterBreak="0">
    <w:nsid w:val="28FD19BB"/>
    <w:multiLevelType w:val="hybridMultilevel"/>
    <w:tmpl w:val="A2B6BD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29585ED8"/>
    <w:multiLevelType w:val="hybridMultilevel"/>
    <w:tmpl w:val="82021116"/>
    <w:lvl w:ilvl="0" w:tplc="8C10BD94">
      <w:start w:val="1"/>
      <w:numFmt w:val="bullet"/>
      <w:lvlText w:val=""/>
      <w:lvlJc w:val="left"/>
      <w:pPr>
        <w:ind w:left="1562" w:hanging="360"/>
      </w:pPr>
      <w:rPr>
        <w:rFonts w:ascii="Symbol" w:hAnsi="Symbol" w:hint="default"/>
      </w:rPr>
    </w:lvl>
    <w:lvl w:ilvl="1" w:tplc="08090003" w:tentative="1">
      <w:start w:val="1"/>
      <w:numFmt w:val="bullet"/>
      <w:lvlText w:val="o"/>
      <w:lvlJc w:val="left"/>
      <w:pPr>
        <w:ind w:left="2282" w:hanging="360"/>
      </w:pPr>
      <w:rPr>
        <w:rFonts w:ascii="Courier New" w:hAnsi="Courier New" w:cs="Courier New" w:hint="default"/>
      </w:rPr>
    </w:lvl>
    <w:lvl w:ilvl="2" w:tplc="08090005" w:tentative="1">
      <w:start w:val="1"/>
      <w:numFmt w:val="bullet"/>
      <w:lvlText w:val=""/>
      <w:lvlJc w:val="left"/>
      <w:pPr>
        <w:ind w:left="3002" w:hanging="360"/>
      </w:pPr>
      <w:rPr>
        <w:rFonts w:ascii="Wingdings" w:hAnsi="Wingdings" w:hint="default"/>
      </w:rPr>
    </w:lvl>
    <w:lvl w:ilvl="3" w:tplc="08090001" w:tentative="1">
      <w:start w:val="1"/>
      <w:numFmt w:val="bullet"/>
      <w:lvlText w:val=""/>
      <w:lvlJc w:val="left"/>
      <w:pPr>
        <w:ind w:left="3722" w:hanging="360"/>
      </w:pPr>
      <w:rPr>
        <w:rFonts w:ascii="Symbol" w:hAnsi="Symbol" w:hint="default"/>
      </w:rPr>
    </w:lvl>
    <w:lvl w:ilvl="4" w:tplc="08090003" w:tentative="1">
      <w:start w:val="1"/>
      <w:numFmt w:val="bullet"/>
      <w:lvlText w:val="o"/>
      <w:lvlJc w:val="left"/>
      <w:pPr>
        <w:ind w:left="4442" w:hanging="360"/>
      </w:pPr>
      <w:rPr>
        <w:rFonts w:ascii="Courier New" w:hAnsi="Courier New" w:cs="Courier New" w:hint="default"/>
      </w:rPr>
    </w:lvl>
    <w:lvl w:ilvl="5" w:tplc="08090005" w:tentative="1">
      <w:start w:val="1"/>
      <w:numFmt w:val="bullet"/>
      <w:lvlText w:val=""/>
      <w:lvlJc w:val="left"/>
      <w:pPr>
        <w:ind w:left="5162" w:hanging="360"/>
      </w:pPr>
      <w:rPr>
        <w:rFonts w:ascii="Wingdings" w:hAnsi="Wingdings" w:hint="default"/>
      </w:rPr>
    </w:lvl>
    <w:lvl w:ilvl="6" w:tplc="08090001" w:tentative="1">
      <w:start w:val="1"/>
      <w:numFmt w:val="bullet"/>
      <w:lvlText w:val=""/>
      <w:lvlJc w:val="left"/>
      <w:pPr>
        <w:ind w:left="5882" w:hanging="360"/>
      </w:pPr>
      <w:rPr>
        <w:rFonts w:ascii="Symbol" w:hAnsi="Symbol" w:hint="default"/>
      </w:rPr>
    </w:lvl>
    <w:lvl w:ilvl="7" w:tplc="08090003" w:tentative="1">
      <w:start w:val="1"/>
      <w:numFmt w:val="bullet"/>
      <w:lvlText w:val="o"/>
      <w:lvlJc w:val="left"/>
      <w:pPr>
        <w:ind w:left="6602" w:hanging="360"/>
      </w:pPr>
      <w:rPr>
        <w:rFonts w:ascii="Courier New" w:hAnsi="Courier New" w:cs="Courier New" w:hint="default"/>
      </w:rPr>
    </w:lvl>
    <w:lvl w:ilvl="8" w:tplc="08090005" w:tentative="1">
      <w:start w:val="1"/>
      <w:numFmt w:val="bullet"/>
      <w:lvlText w:val=""/>
      <w:lvlJc w:val="left"/>
      <w:pPr>
        <w:ind w:left="7322" w:hanging="360"/>
      </w:pPr>
      <w:rPr>
        <w:rFonts w:ascii="Wingdings" w:hAnsi="Wingdings" w:hint="default"/>
      </w:rPr>
    </w:lvl>
  </w:abstractNum>
  <w:abstractNum w:abstractNumId="38" w15:restartNumberingAfterBreak="0">
    <w:nsid w:val="29A42DE5"/>
    <w:multiLevelType w:val="hybridMultilevel"/>
    <w:tmpl w:val="C9F0862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9" w15:restartNumberingAfterBreak="0">
    <w:nsid w:val="2A250858"/>
    <w:multiLevelType w:val="hybridMultilevel"/>
    <w:tmpl w:val="8780CD22"/>
    <w:lvl w:ilvl="0" w:tplc="8C10BD9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A5F3A09"/>
    <w:multiLevelType w:val="hybridMultilevel"/>
    <w:tmpl w:val="24CE4CA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2B3D03F8"/>
    <w:multiLevelType w:val="hybridMultilevel"/>
    <w:tmpl w:val="03F63908"/>
    <w:lvl w:ilvl="0" w:tplc="51603BD4">
      <w:start w:val="1"/>
      <w:numFmt w:val="bullet"/>
      <w:lvlText w:val="l"/>
      <w:lvlJc w:val="left"/>
      <w:pPr>
        <w:tabs>
          <w:tab w:val="num" w:pos="720"/>
        </w:tabs>
        <w:ind w:left="720" w:hanging="360"/>
      </w:pPr>
      <w:rPr>
        <w:rFonts w:ascii="Monotype Sorts" w:hAnsi="Monotype Sorts" w:hint="default"/>
      </w:rPr>
    </w:lvl>
    <w:lvl w:ilvl="1" w:tplc="C5F26230">
      <w:start w:val="483"/>
      <w:numFmt w:val="bullet"/>
      <w:lvlText w:val="»"/>
      <w:lvlJc w:val="left"/>
      <w:pPr>
        <w:tabs>
          <w:tab w:val="num" w:pos="1440"/>
        </w:tabs>
        <w:ind w:left="1440" w:hanging="360"/>
      </w:pPr>
      <w:rPr>
        <w:rFonts w:ascii="Times New Roman" w:hAnsi="Times New Roman" w:hint="default"/>
      </w:rPr>
    </w:lvl>
    <w:lvl w:ilvl="2" w:tplc="657CE276" w:tentative="1">
      <w:start w:val="1"/>
      <w:numFmt w:val="bullet"/>
      <w:lvlText w:val="l"/>
      <w:lvlJc w:val="left"/>
      <w:pPr>
        <w:tabs>
          <w:tab w:val="num" w:pos="2160"/>
        </w:tabs>
        <w:ind w:left="2160" w:hanging="360"/>
      </w:pPr>
      <w:rPr>
        <w:rFonts w:ascii="Monotype Sorts" w:hAnsi="Monotype Sorts" w:hint="default"/>
      </w:rPr>
    </w:lvl>
    <w:lvl w:ilvl="3" w:tplc="6A9C6040" w:tentative="1">
      <w:start w:val="1"/>
      <w:numFmt w:val="bullet"/>
      <w:lvlText w:val="l"/>
      <w:lvlJc w:val="left"/>
      <w:pPr>
        <w:tabs>
          <w:tab w:val="num" w:pos="2880"/>
        </w:tabs>
        <w:ind w:left="2880" w:hanging="360"/>
      </w:pPr>
      <w:rPr>
        <w:rFonts w:ascii="Monotype Sorts" w:hAnsi="Monotype Sorts" w:hint="default"/>
      </w:rPr>
    </w:lvl>
    <w:lvl w:ilvl="4" w:tplc="E640B78A" w:tentative="1">
      <w:start w:val="1"/>
      <w:numFmt w:val="bullet"/>
      <w:lvlText w:val="l"/>
      <w:lvlJc w:val="left"/>
      <w:pPr>
        <w:tabs>
          <w:tab w:val="num" w:pos="3600"/>
        </w:tabs>
        <w:ind w:left="3600" w:hanging="360"/>
      </w:pPr>
      <w:rPr>
        <w:rFonts w:ascii="Monotype Sorts" w:hAnsi="Monotype Sorts" w:hint="default"/>
      </w:rPr>
    </w:lvl>
    <w:lvl w:ilvl="5" w:tplc="980221B8" w:tentative="1">
      <w:start w:val="1"/>
      <w:numFmt w:val="bullet"/>
      <w:lvlText w:val="l"/>
      <w:lvlJc w:val="left"/>
      <w:pPr>
        <w:tabs>
          <w:tab w:val="num" w:pos="4320"/>
        </w:tabs>
        <w:ind w:left="4320" w:hanging="360"/>
      </w:pPr>
      <w:rPr>
        <w:rFonts w:ascii="Monotype Sorts" w:hAnsi="Monotype Sorts" w:hint="default"/>
      </w:rPr>
    </w:lvl>
    <w:lvl w:ilvl="6" w:tplc="FEBAE9C0" w:tentative="1">
      <w:start w:val="1"/>
      <w:numFmt w:val="bullet"/>
      <w:lvlText w:val="l"/>
      <w:lvlJc w:val="left"/>
      <w:pPr>
        <w:tabs>
          <w:tab w:val="num" w:pos="5040"/>
        </w:tabs>
        <w:ind w:left="5040" w:hanging="360"/>
      </w:pPr>
      <w:rPr>
        <w:rFonts w:ascii="Monotype Sorts" w:hAnsi="Monotype Sorts" w:hint="default"/>
      </w:rPr>
    </w:lvl>
    <w:lvl w:ilvl="7" w:tplc="31481CE2" w:tentative="1">
      <w:start w:val="1"/>
      <w:numFmt w:val="bullet"/>
      <w:lvlText w:val="l"/>
      <w:lvlJc w:val="left"/>
      <w:pPr>
        <w:tabs>
          <w:tab w:val="num" w:pos="5760"/>
        </w:tabs>
        <w:ind w:left="5760" w:hanging="360"/>
      </w:pPr>
      <w:rPr>
        <w:rFonts w:ascii="Monotype Sorts" w:hAnsi="Monotype Sorts" w:hint="default"/>
      </w:rPr>
    </w:lvl>
    <w:lvl w:ilvl="8" w:tplc="945273F0" w:tentative="1">
      <w:start w:val="1"/>
      <w:numFmt w:val="bullet"/>
      <w:lvlText w:val="l"/>
      <w:lvlJc w:val="left"/>
      <w:pPr>
        <w:tabs>
          <w:tab w:val="num" w:pos="6480"/>
        </w:tabs>
        <w:ind w:left="6480" w:hanging="360"/>
      </w:pPr>
      <w:rPr>
        <w:rFonts w:ascii="Monotype Sorts" w:hAnsi="Monotype Sorts" w:hint="default"/>
      </w:rPr>
    </w:lvl>
  </w:abstractNum>
  <w:abstractNum w:abstractNumId="42"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43" w15:restartNumberingAfterBreak="0">
    <w:nsid w:val="2DFA0A71"/>
    <w:multiLevelType w:val="hybridMultilevel"/>
    <w:tmpl w:val="5D9EEDB2"/>
    <w:lvl w:ilvl="0" w:tplc="107E068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E2B7082"/>
    <w:multiLevelType w:val="hybridMultilevel"/>
    <w:tmpl w:val="55DAEFE0"/>
    <w:lvl w:ilvl="0" w:tplc="2CDA176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2E384827"/>
    <w:multiLevelType w:val="hybridMultilevel"/>
    <w:tmpl w:val="8AFA10A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6" w15:restartNumberingAfterBreak="0">
    <w:nsid w:val="2E72160D"/>
    <w:multiLevelType w:val="hybridMultilevel"/>
    <w:tmpl w:val="6D88852C"/>
    <w:lvl w:ilvl="0" w:tplc="0816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2EC75546"/>
    <w:multiLevelType w:val="multilevel"/>
    <w:tmpl w:val="E1A05250"/>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1310"/>
        </w:tabs>
        <w:ind w:left="1310" w:hanging="600"/>
      </w:pPr>
      <w:rPr>
        <w:rFonts w:hint="default"/>
        <w:b/>
      </w:rPr>
    </w:lvl>
    <w:lvl w:ilvl="2">
      <w:start w:val="10"/>
      <w:numFmt w:val="decimal"/>
      <w:lvlText w:val="%1.%2.%3."/>
      <w:lvlJc w:val="left"/>
      <w:pPr>
        <w:tabs>
          <w:tab w:val="num" w:pos="1407"/>
        </w:tabs>
        <w:ind w:left="1407" w:hanging="840"/>
      </w:pPr>
      <w:rPr>
        <w:rFonts w:hint="default"/>
        <w:b/>
      </w:rPr>
    </w:lvl>
    <w:lvl w:ilvl="3">
      <w:start w:val="4"/>
      <w:numFmt w:val="decimal"/>
      <w:lvlText w:val="%1.%2.%3.%4."/>
      <w:lvlJc w:val="left"/>
      <w:pPr>
        <w:tabs>
          <w:tab w:val="num" w:pos="3229"/>
        </w:tabs>
        <w:ind w:left="3229" w:hanging="9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31BC4612"/>
    <w:multiLevelType w:val="hybridMultilevel"/>
    <w:tmpl w:val="C30C499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9" w15:restartNumberingAfterBreak="0">
    <w:nsid w:val="322D2335"/>
    <w:multiLevelType w:val="hybridMultilevel"/>
    <w:tmpl w:val="47781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27C01D3"/>
    <w:multiLevelType w:val="hybridMultilevel"/>
    <w:tmpl w:val="50FAE84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33C140B4"/>
    <w:multiLevelType w:val="hybridMultilevel"/>
    <w:tmpl w:val="F7366C52"/>
    <w:lvl w:ilvl="0" w:tplc="107E068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3EA5516"/>
    <w:multiLevelType w:val="hybridMultilevel"/>
    <w:tmpl w:val="CD9A015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3" w15:restartNumberingAfterBreak="0">
    <w:nsid w:val="342E0212"/>
    <w:multiLevelType w:val="hybridMultilevel"/>
    <w:tmpl w:val="2A50C92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4" w15:restartNumberingAfterBreak="0">
    <w:nsid w:val="350E0CCD"/>
    <w:multiLevelType w:val="hybridMultilevel"/>
    <w:tmpl w:val="E7E25A4A"/>
    <w:lvl w:ilvl="0" w:tplc="08160001">
      <w:start w:val="1"/>
      <w:numFmt w:val="bullet"/>
      <w:lvlText w:val=""/>
      <w:lvlJc w:val="left"/>
      <w:pPr>
        <w:ind w:left="720" w:hanging="360"/>
      </w:pPr>
      <w:rPr>
        <w:rFonts w:ascii="Symbol" w:hAnsi="Symbol" w:hint="default"/>
      </w:rPr>
    </w:lvl>
    <w:lvl w:ilvl="1" w:tplc="49D25686">
      <w:numFmt w:val="bullet"/>
      <w:lvlText w:val="–"/>
      <w:lvlJc w:val="left"/>
      <w:pPr>
        <w:ind w:left="1440" w:hanging="360"/>
      </w:pPr>
      <w:rPr>
        <w:rFonts w:ascii="Times New Roman" w:eastAsiaTheme="minorHAnsi" w:hAnsi="Times New Roman" w:cs="Times New Roman"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5" w15:restartNumberingAfterBreak="0">
    <w:nsid w:val="35F36EDD"/>
    <w:multiLevelType w:val="multilevel"/>
    <w:tmpl w:val="E1A05250"/>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1310"/>
        </w:tabs>
        <w:ind w:left="1310" w:hanging="600"/>
      </w:pPr>
      <w:rPr>
        <w:rFonts w:hint="default"/>
        <w:b/>
      </w:rPr>
    </w:lvl>
    <w:lvl w:ilvl="2">
      <w:start w:val="10"/>
      <w:numFmt w:val="decimal"/>
      <w:lvlText w:val="%1.%2.%3."/>
      <w:lvlJc w:val="left"/>
      <w:pPr>
        <w:tabs>
          <w:tab w:val="num" w:pos="1407"/>
        </w:tabs>
        <w:ind w:left="1407" w:hanging="840"/>
      </w:pPr>
      <w:rPr>
        <w:rFonts w:hint="default"/>
        <w:b/>
      </w:rPr>
    </w:lvl>
    <w:lvl w:ilvl="3">
      <w:start w:val="4"/>
      <w:numFmt w:val="decimal"/>
      <w:lvlText w:val="%1.%2.%3.%4."/>
      <w:lvlJc w:val="left"/>
      <w:pPr>
        <w:tabs>
          <w:tab w:val="num" w:pos="3229"/>
        </w:tabs>
        <w:ind w:left="3229" w:hanging="9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36564E33"/>
    <w:multiLevelType w:val="hybridMultilevel"/>
    <w:tmpl w:val="752EF29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7" w15:restartNumberingAfterBreak="0">
    <w:nsid w:val="367C67B9"/>
    <w:multiLevelType w:val="hybridMultilevel"/>
    <w:tmpl w:val="AB4E6F82"/>
    <w:lvl w:ilvl="0" w:tplc="D8DACBF0">
      <w:start w:val="1"/>
      <w:numFmt w:val="lowerLetter"/>
      <w:lvlText w:val="%1)"/>
      <w:lvlJc w:val="left"/>
      <w:pPr>
        <w:ind w:left="1854" w:hanging="360"/>
      </w:pPr>
      <w:rPr>
        <w:rFonts w:hint="default"/>
        <w:b/>
        <w:sz w:val="22"/>
      </w:rPr>
    </w:lvl>
    <w:lvl w:ilvl="1" w:tplc="FFFFFFFF">
      <w:start w:val="1"/>
      <w:numFmt w:val="bullet"/>
      <w:lvlText w:val="o"/>
      <w:lvlJc w:val="left"/>
      <w:pPr>
        <w:tabs>
          <w:tab w:val="num" w:pos="3960"/>
        </w:tabs>
        <w:ind w:left="3960" w:hanging="360"/>
      </w:pPr>
      <w:rPr>
        <w:rFonts w:ascii="Courier New" w:hAnsi="Courier New" w:cs="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cs="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cs="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58" w15:restartNumberingAfterBreak="0">
    <w:nsid w:val="38A310D7"/>
    <w:multiLevelType w:val="hybridMultilevel"/>
    <w:tmpl w:val="89867746"/>
    <w:lvl w:ilvl="0" w:tplc="8C10BD94">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9" w15:restartNumberingAfterBreak="0">
    <w:nsid w:val="39152C30"/>
    <w:multiLevelType w:val="hybridMultilevel"/>
    <w:tmpl w:val="AC72FDB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0" w15:restartNumberingAfterBreak="0">
    <w:nsid w:val="39AF1BD1"/>
    <w:multiLevelType w:val="multilevel"/>
    <w:tmpl w:val="363CEA16"/>
    <w:lvl w:ilvl="0">
      <w:start w:val="1"/>
      <w:numFmt w:val="decimal"/>
      <w:pStyle w:val="Heading1"/>
      <w:lvlText w:val="%1"/>
      <w:lvlJc w:val="left"/>
      <w:pPr>
        <w:ind w:left="432" w:hanging="432"/>
      </w:pPr>
      <w:rPr>
        <w:rFonts w:hint="default"/>
        <w:b/>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b w: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62" w15:restartNumberingAfterBreak="0">
    <w:nsid w:val="3AC60CBC"/>
    <w:multiLevelType w:val="hybridMultilevel"/>
    <w:tmpl w:val="9A6E1A46"/>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63" w15:restartNumberingAfterBreak="0">
    <w:nsid w:val="3B7E19AE"/>
    <w:multiLevelType w:val="hybridMultilevel"/>
    <w:tmpl w:val="B8C6387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3CAD7C82"/>
    <w:multiLevelType w:val="multilevel"/>
    <w:tmpl w:val="384E971E"/>
    <w:lvl w:ilvl="0">
      <w:start w:val="1"/>
      <w:numFmt w:val="bullet"/>
      <w:pStyle w:val="EYBulletedList1"/>
      <w:lvlText w:val="•"/>
      <w:lvlJc w:val="left"/>
      <w:pPr>
        <w:tabs>
          <w:tab w:val="num" w:pos="288"/>
        </w:tabs>
        <w:ind w:left="288" w:hanging="288"/>
      </w:pPr>
      <w:rPr>
        <w:rFonts w:ascii="EYInterstate Light" w:hAnsi="EYInterstate Light" w:hint="default"/>
        <w:b w:val="0"/>
        <w:i w:val="0"/>
        <w:color w:val="FFD200"/>
        <w:sz w:val="20"/>
      </w:rPr>
    </w:lvl>
    <w:lvl w:ilvl="1">
      <w:start w:val="1"/>
      <w:numFmt w:val="bullet"/>
      <w:pStyle w:val="EYBulletedList2"/>
      <w:lvlText w:val="•"/>
      <w:lvlJc w:val="left"/>
      <w:pPr>
        <w:tabs>
          <w:tab w:val="num" w:pos="576"/>
        </w:tabs>
        <w:ind w:left="576" w:hanging="288"/>
      </w:pPr>
      <w:rPr>
        <w:rFonts w:ascii="EYInterstate Light" w:hAnsi="EYInterstate Light" w:hint="default"/>
        <w:b w:val="0"/>
        <w:i w:val="0"/>
        <w:color w:val="FFD200"/>
        <w:sz w:val="20"/>
      </w:rPr>
    </w:lvl>
    <w:lvl w:ilvl="2">
      <w:start w:val="1"/>
      <w:numFmt w:val="bullet"/>
      <w:pStyle w:val="EYBulletedList3"/>
      <w:lvlText w:val="•"/>
      <w:lvlJc w:val="left"/>
      <w:pPr>
        <w:tabs>
          <w:tab w:val="num" w:pos="864"/>
        </w:tabs>
        <w:ind w:left="864" w:hanging="288"/>
      </w:pPr>
      <w:rPr>
        <w:rFonts w:ascii="EYInterstate Light" w:hAnsi="EYInterstate Light" w:hint="default"/>
        <w:b w:val="0"/>
        <w:i w:val="0"/>
        <w:color w:val="FFD200"/>
        <w:sz w:val="20"/>
      </w:rPr>
    </w:lvl>
    <w:lvl w:ilvl="3">
      <w:start w:val="1"/>
      <w:numFmt w:val="bullet"/>
      <w:lvlText w:val="►"/>
      <w:lvlJc w:val="left"/>
      <w:pPr>
        <w:tabs>
          <w:tab w:val="num" w:pos="1289"/>
        </w:tabs>
        <w:ind w:left="1152" w:hanging="288"/>
      </w:pPr>
      <w:rPr>
        <w:rFonts w:ascii="Arial" w:hAnsi="Arial" w:cs="Times New Roman" w:hint="default"/>
        <w:sz w:val="16"/>
      </w:rPr>
    </w:lvl>
    <w:lvl w:ilvl="4">
      <w:start w:val="1"/>
      <w:numFmt w:val="bullet"/>
      <w:lvlText w:val="►"/>
      <w:lvlJc w:val="left"/>
      <w:pPr>
        <w:tabs>
          <w:tab w:val="num" w:pos="1577"/>
        </w:tabs>
        <w:ind w:left="1440" w:hanging="288"/>
      </w:pPr>
      <w:rPr>
        <w:rFonts w:ascii="Arial" w:hAnsi="Arial" w:cs="Times New Roman" w:hint="default"/>
        <w:sz w:val="16"/>
      </w:rPr>
    </w:lvl>
    <w:lvl w:ilvl="5">
      <w:start w:val="1"/>
      <w:numFmt w:val="bullet"/>
      <w:lvlText w:val="►"/>
      <w:lvlJc w:val="left"/>
      <w:pPr>
        <w:tabs>
          <w:tab w:val="num" w:pos="1865"/>
        </w:tabs>
        <w:ind w:left="1728" w:hanging="288"/>
      </w:pPr>
      <w:rPr>
        <w:rFonts w:ascii="Arial" w:hAnsi="Arial" w:cs="Times New Roman" w:hint="default"/>
        <w:sz w:val="16"/>
      </w:rPr>
    </w:lvl>
    <w:lvl w:ilvl="6">
      <w:start w:val="1"/>
      <w:numFmt w:val="none"/>
      <w:suff w:val="nothing"/>
      <w:lvlText w:val=""/>
      <w:lvlJc w:val="left"/>
      <w:pPr>
        <w:ind w:left="2016" w:hanging="288"/>
      </w:pPr>
    </w:lvl>
    <w:lvl w:ilvl="7">
      <w:start w:val="1"/>
      <w:numFmt w:val="none"/>
      <w:suff w:val="nothing"/>
      <w:lvlText w:val=""/>
      <w:lvlJc w:val="left"/>
      <w:pPr>
        <w:ind w:left="2304" w:hanging="288"/>
      </w:pPr>
    </w:lvl>
    <w:lvl w:ilvl="8">
      <w:start w:val="1"/>
      <w:numFmt w:val="none"/>
      <w:suff w:val="nothing"/>
      <w:lvlText w:val=""/>
      <w:lvlJc w:val="left"/>
      <w:pPr>
        <w:ind w:left="2592" w:hanging="288"/>
      </w:pPr>
    </w:lvl>
  </w:abstractNum>
  <w:abstractNum w:abstractNumId="65" w15:restartNumberingAfterBreak="0">
    <w:nsid w:val="3D8562F7"/>
    <w:multiLevelType w:val="hybridMultilevel"/>
    <w:tmpl w:val="F54851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D98317B"/>
    <w:multiLevelType w:val="hybridMultilevel"/>
    <w:tmpl w:val="4656A61E"/>
    <w:lvl w:ilvl="0" w:tplc="8C10BD94">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7" w15:restartNumberingAfterBreak="0">
    <w:nsid w:val="3D9A0704"/>
    <w:multiLevelType w:val="hybridMultilevel"/>
    <w:tmpl w:val="72CC561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8" w15:restartNumberingAfterBreak="0">
    <w:nsid w:val="3D9E1D91"/>
    <w:multiLevelType w:val="hybridMultilevel"/>
    <w:tmpl w:val="CADCF7C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9" w15:restartNumberingAfterBreak="0">
    <w:nsid w:val="42045B91"/>
    <w:multiLevelType w:val="hybridMultilevel"/>
    <w:tmpl w:val="12C0ACB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0"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15:restartNumberingAfterBreak="0">
    <w:nsid w:val="449A048C"/>
    <w:multiLevelType w:val="hybridMultilevel"/>
    <w:tmpl w:val="3B9E70B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2" w15:restartNumberingAfterBreak="0">
    <w:nsid w:val="453D68F5"/>
    <w:multiLevelType w:val="hybridMultilevel"/>
    <w:tmpl w:val="B10A5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5481EA4"/>
    <w:multiLevelType w:val="multilevel"/>
    <w:tmpl w:val="F710DC40"/>
    <w:lvl w:ilvl="0">
      <w:start w:val="1"/>
      <w:numFmt w:val="lowerRoman"/>
      <w:lvlText w:val="%1)"/>
      <w:lvlJc w:val="left"/>
      <w:pPr>
        <w:tabs>
          <w:tab w:val="num" w:pos="1437"/>
        </w:tabs>
        <w:ind w:left="1437" w:hanging="360"/>
      </w:pPr>
      <w:rPr>
        <w:rFonts w:hint="default"/>
      </w:r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15:restartNumberingAfterBreak="0">
    <w:nsid w:val="4577178F"/>
    <w:multiLevelType w:val="hybridMultilevel"/>
    <w:tmpl w:val="0E38BE6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5"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6"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7" w15:restartNumberingAfterBreak="0">
    <w:nsid w:val="4A432656"/>
    <w:multiLevelType w:val="multilevel"/>
    <w:tmpl w:val="AC885D7A"/>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8" w15:restartNumberingAfterBreak="0">
    <w:nsid w:val="4B3E4895"/>
    <w:multiLevelType w:val="hybridMultilevel"/>
    <w:tmpl w:val="90FA39E0"/>
    <w:lvl w:ilvl="0" w:tplc="EE527704">
      <w:start w:val="1"/>
      <w:numFmt w:val="bullet"/>
      <w:lvlText w:val="•"/>
      <w:lvlJc w:val="left"/>
      <w:pPr>
        <w:tabs>
          <w:tab w:val="num" w:pos="1068"/>
        </w:tabs>
        <w:ind w:left="1068" w:hanging="360"/>
      </w:pPr>
      <w:rPr>
        <w:rFonts w:ascii="Arial" w:hAnsi="Arial" w:hint="default"/>
      </w:rPr>
    </w:lvl>
    <w:lvl w:ilvl="1" w:tplc="08160003" w:tentative="1">
      <w:start w:val="1"/>
      <w:numFmt w:val="bullet"/>
      <w:lvlText w:val="o"/>
      <w:lvlJc w:val="left"/>
      <w:pPr>
        <w:ind w:left="-372" w:hanging="360"/>
      </w:pPr>
      <w:rPr>
        <w:rFonts w:ascii="Courier New" w:hAnsi="Courier New" w:cs="Courier New" w:hint="default"/>
      </w:rPr>
    </w:lvl>
    <w:lvl w:ilvl="2" w:tplc="08160005" w:tentative="1">
      <w:start w:val="1"/>
      <w:numFmt w:val="bullet"/>
      <w:lvlText w:val=""/>
      <w:lvlJc w:val="left"/>
      <w:pPr>
        <w:ind w:left="348" w:hanging="360"/>
      </w:pPr>
      <w:rPr>
        <w:rFonts w:ascii="Wingdings" w:hAnsi="Wingdings" w:hint="default"/>
      </w:rPr>
    </w:lvl>
    <w:lvl w:ilvl="3" w:tplc="08160001" w:tentative="1">
      <w:start w:val="1"/>
      <w:numFmt w:val="bullet"/>
      <w:lvlText w:val=""/>
      <w:lvlJc w:val="left"/>
      <w:pPr>
        <w:ind w:left="1068" w:hanging="360"/>
      </w:pPr>
      <w:rPr>
        <w:rFonts w:ascii="Symbol" w:hAnsi="Symbol" w:hint="default"/>
      </w:rPr>
    </w:lvl>
    <w:lvl w:ilvl="4" w:tplc="08160003" w:tentative="1">
      <w:start w:val="1"/>
      <w:numFmt w:val="bullet"/>
      <w:lvlText w:val="o"/>
      <w:lvlJc w:val="left"/>
      <w:pPr>
        <w:ind w:left="1788" w:hanging="360"/>
      </w:pPr>
      <w:rPr>
        <w:rFonts w:ascii="Courier New" w:hAnsi="Courier New" w:cs="Courier New" w:hint="default"/>
      </w:rPr>
    </w:lvl>
    <w:lvl w:ilvl="5" w:tplc="08160005" w:tentative="1">
      <w:start w:val="1"/>
      <w:numFmt w:val="bullet"/>
      <w:lvlText w:val=""/>
      <w:lvlJc w:val="left"/>
      <w:pPr>
        <w:ind w:left="2508" w:hanging="360"/>
      </w:pPr>
      <w:rPr>
        <w:rFonts w:ascii="Wingdings" w:hAnsi="Wingdings" w:hint="default"/>
      </w:rPr>
    </w:lvl>
    <w:lvl w:ilvl="6" w:tplc="08160001" w:tentative="1">
      <w:start w:val="1"/>
      <w:numFmt w:val="bullet"/>
      <w:lvlText w:val=""/>
      <w:lvlJc w:val="left"/>
      <w:pPr>
        <w:ind w:left="3228" w:hanging="360"/>
      </w:pPr>
      <w:rPr>
        <w:rFonts w:ascii="Symbol" w:hAnsi="Symbol" w:hint="default"/>
      </w:rPr>
    </w:lvl>
    <w:lvl w:ilvl="7" w:tplc="08160003" w:tentative="1">
      <w:start w:val="1"/>
      <w:numFmt w:val="bullet"/>
      <w:lvlText w:val="o"/>
      <w:lvlJc w:val="left"/>
      <w:pPr>
        <w:ind w:left="3948" w:hanging="360"/>
      </w:pPr>
      <w:rPr>
        <w:rFonts w:ascii="Courier New" w:hAnsi="Courier New" w:cs="Courier New" w:hint="default"/>
      </w:rPr>
    </w:lvl>
    <w:lvl w:ilvl="8" w:tplc="08160005" w:tentative="1">
      <w:start w:val="1"/>
      <w:numFmt w:val="bullet"/>
      <w:lvlText w:val=""/>
      <w:lvlJc w:val="left"/>
      <w:pPr>
        <w:ind w:left="4668" w:hanging="360"/>
      </w:pPr>
      <w:rPr>
        <w:rFonts w:ascii="Wingdings" w:hAnsi="Wingdings" w:hint="default"/>
      </w:rPr>
    </w:lvl>
  </w:abstractNum>
  <w:abstractNum w:abstractNumId="79" w15:restartNumberingAfterBreak="0">
    <w:nsid w:val="4B4F4A9B"/>
    <w:multiLevelType w:val="hybridMultilevel"/>
    <w:tmpl w:val="FBF6C23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4C26245E"/>
    <w:multiLevelType w:val="hybridMultilevel"/>
    <w:tmpl w:val="BD1A14FE"/>
    <w:lvl w:ilvl="0" w:tplc="EBF0F1EE">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1" w15:restartNumberingAfterBreak="0">
    <w:nsid w:val="4D3668D3"/>
    <w:multiLevelType w:val="hybridMultilevel"/>
    <w:tmpl w:val="5880BDB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2" w15:restartNumberingAfterBreak="0">
    <w:nsid w:val="4D865365"/>
    <w:multiLevelType w:val="multilevel"/>
    <w:tmpl w:val="08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4EF24F10"/>
    <w:multiLevelType w:val="hybridMultilevel"/>
    <w:tmpl w:val="D990F70E"/>
    <w:lvl w:ilvl="0" w:tplc="08090001">
      <w:start w:val="1"/>
      <w:numFmt w:val="bullet"/>
      <w:lvlText w:val=""/>
      <w:lvlJc w:val="left"/>
      <w:pPr>
        <w:ind w:left="780" w:hanging="360"/>
      </w:pPr>
      <w:rPr>
        <w:rFonts w:ascii="Symbol" w:hAnsi="Symbol"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85" w15:restartNumberingAfterBreak="0">
    <w:nsid w:val="553A4846"/>
    <w:multiLevelType w:val="hybridMultilevel"/>
    <w:tmpl w:val="B066AAC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6" w15:restartNumberingAfterBreak="0">
    <w:nsid w:val="57D978BE"/>
    <w:multiLevelType w:val="hybridMultilevel"/>
    <w:tmpl w:val="49B2A3D8"/>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7" w15:restartNumberingAfterBreak="0">
    <w:nsid w:val="58C24108"/>
    <w:multiLevelType w:val="hybridMultilevel"/>
    <w:tmpl w:val="41BAFCD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A5D7915"/>
    <w:multiLevelType w:val="hybridMultilevel"/>
    <w:tmpl w:val="589CDF2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9" w15:restartNumberingAfterBreak="0">
    <w:nsid w:val="5A7217F8"/>
    <w:multiLevelType w:val="hybridMultilevel"/>
    <w:tmpl w:val="54C201DC"/>
    <w:lvl w:ilvl="0" w:tplc="0409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0" w15:restartNumberingAfterBreak="0">
    <w:nsid w:val="5BAB0ACC"/>
    <w:multiLevelType w:val="hybridMultilevel"/>
    <w:tmpl w:val="B340504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1" w15:restartNumberingAfterBreak="0">
    <w:nsid w:val="5C2013EC"/>
    <w:multiLevelType w:val="hybridMultilevel"/>
    <w:tmpl w:val="1520F07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2" w15:restartNumberingAfterBreak="0">
    <w:nsid w:val="5C7D790E"/>
    <w:multiLevelType w:val="hybridMultilevel"/>
    <w:tmpl w:val="B45CCE9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3" w15:restartNumberingAfterBreak="0">
    <w:nsid w:val="5D25140B"/>
    <w:multiLevelType w:val="hybridMultilevel"/>
    <w:tmpl w:val="3F4C920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4" w15:restartNumberingAfterBreak="0">
    <w:nsid w:val="5D5B3164"/>
    <w:multiLevelType w:val="hybridMultilevel"/>
    <w:tmpl w:val="FBB62B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E257E15"/>
    <w:multiLevelType w:val="hybridMultilevel"/>
    <w:tmpl w:val="CC7ADE7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6" w15:restartNumberingAfterBreak="0">
    <w:nsid w:val="5E4019F2"/>
    <w:multiLevelType w:val="hybridMultilevel"/>
    <w:tmpl w:val="FF62F0F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7" w15:restartNumberingAfterBreak="0">
    <w:nsid w:val="5FE357EE"/>
    <w:multiLevelType w:val="hybridMultilevel"/>
    <w:tmpl w:val="00565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0C06A59"/>
    <w:multiLevelType w:val="hybridMultilevel"/>
    <w:tmpl w:val="34A05B3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9" w15:restartNumberingAfterBreak="0">
    <w:nsid w:val="61A6748D"/>
    <w:multiLevelType w:val="hybridMultilevel"/>
    <w:tmpl w:val="479A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1C91EDA"/>
    <w:multiLevelType w:val="multilevel"/>
    <w:tmpl w:val="887E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2076A19"/>
    <w:multiLevelType w:val="hybridMultilevel"/>
    <w:tmpl w:val="FC1C79D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2" w15:restartNumberingAfterBreak="0">
    <w:nsid w:val="645F5EDD"/>
    <w:multiLevelType w:val="hybridMultilevel"/>
    <w:tmpl w:val="0B029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488790A"/>
    <w:multiLevelType w:val="hybridMultilevel"/>
    <w:tmpl w:val="987C5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5C74832"/>
    <w:multiLevelType w:val="hybridMultilevel"/>
    <w:tmpl w:val="E8C459B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06" w15:restartNumberingAfterBreak="0">
    <w:nsid w:val="668A10F7"/>
    <w:multiLevelType w:val="singleLevel"/>
    <w:tmpl w:val="08090001"/>
    <w:lvl w:ilvl="0">
      <w:start w:val="1"/>
      <w:numFmt w:val="bullet"/>
      <w:lvlText w:val=""/>
      <w:lvlJc w:val="left"/>
      <w:pPr>
        <w:ind w:left="1437" w:hanging="360"/>
      </w:pPr>
      <w:rPr>
        <w:rFonts w:ascii="Symbol" w:hAnsi="Symbol" w:hint="default"/>
      </w:rPr>
    </w:lvl>
  </w:abstractNum>
  <w:abstractNum w:abstractNumId="10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0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09" w15:restartNumberingAfterBreak="0">
    <w:nsid w:val="6F3935BC"/>
    <w:multiLevelType w:val="hybridMultilevel"/>
    <w:tmpl w:val="7B6EBB3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0" w15:restartNumberingAfterBreak="0">
    <w:nsid w:val="756B65EB"/>
    <w:multiLevelType w:val="hybridMultilevel"/>
    <w:tmpl w:val="6DCA67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765156E0"/>
    <w:multiLevelType w:val="hybridMultilevel"/>
    <w:tmpl w:val="10D86ED2"/>
    <w:lvl w:ilvl="0" w:tplc="C8002584">
      <w:start w:val="1"/>
      <w:numFmt w:val="decimal"/>
      <w:lvlText w:val="%1."/>
      <w:lvlJc w:val="left"/>
      <w:pPr>
        <w:tabs>
          <w:tab w:val="num" w:pos="720"/>
        </w:tabs>
        <w:ind w:left="720" w:hanging="360"/>
      </w:pPr>
    </w:lvl>
    <w:lvl w:ilvl="1" w:tplc="A26CB31A" w:tentative="1">
      <w:start w:val="1"/>
      <w:numFmt w:val="decimal"/>
      <w:lvlText w:val="%2."/>
      <w:lvlJc w:val="left"/>
      <w:pPr>
        <w:tabs>
          <w:tab w:val="num" w:pos="1440"/>
        </w:tabs>
        <w:ind w:left="1440" w:hanging="360"/>
      </w:pPr>
    </w:lvl>
    <w:lvl w:ilvl="2" w:tplc="761EE442" w:tentative="1">
      <w:start w:val="1"/>
      <w:numFmt w:val="decimal"/>
      <w:lvlText w:val="%3."/>
      <w:lvlJc w:val="left"/>
      <w:pPr>
        <w:tabs>
          <w:tab w:val="num" w:pos="2160"/>
        </w:tabs>
        <w:ind w:left="2160" w:hanging="360"/>
      </w:pPr>
    </w:lvl>
    <w:lvl w:ilvl="3" w:tplc="3FA03F6C" w:tentative="1">
      <w:start w:val="1"/>
      <w:numFmt w:val="decimal"/>
      <w:lvlText w:val="%4."/>
      <w:lvlJc w:val="left"/>
      <w:pPr>
        <w:tabs>
          <w:tab w:val="num" w:pos="2880"/>
        </w:tabs>
        <w:ind w:left="2880" w:hanging="360"/>
      </w:pPr>
    </w:lvl>
    <w:lvl w:ilvl="4" w:tplc="7C7C22A6" w:tentative="1">
      <w:start w:val="1"/>
      <w:numFmt w:val="decimal"/>
      <w:lvlText w:val="%5."/>
      <w:lvlJc w:val="left"/>
      <w:pPr>
        <w:tabs>
          <w:tab w:val="num" w:pos="3600"/>
        </w:tabs>
        <w:ind w:left="3600" w:hanging="360"/>
      </w:pPr>
    </w:lvl>
    <w:lvl w:ilvl="5" w:tplc="BEB4888E" w:tentative="1">
      <w:start w:val="1"/>
      <w:numFmt w:val="decimal"/>
      <w:lvlText w:val="%6."/>
      <w:lvlJc w:val="left"/>
      <w:pPr>
        <w:tabs>
          <w:tab w:val="num" w:pos="4320"/>
        </w:tabs>
        <w:ind w:left="4320" w:hanging="360"/>
      </w:pPr>
    </w:lvl>
    <w:lvl w:ilvl="6" w:tplc="1AF21C8A" w:tentative="1">
      <w:start w:val="1"/>
      <w:numFmt w:val="decimal"/>
      <w:lvlText w:val="%7."/>
      <w:lvlJc w:val="left"/>
      <w:pPr>
        <w:tabs>
          <w:tab w:val="num" w:pos="5040"/>
        </w:tabs>
        <w:ind w:left="5040" w:hanging="360"/>
      </w:pPr>
    </w:lvl>
    <w:lvl w:ilvl="7" w:tplc="5FBAB8B6" w:tentative="1">
      <w:start w:val="1"/>
      <w:numFmt w:val="decimal"/>
      <w:lvlText w:val="%8."/>
      <w:lvlJc w:val="left"/>
      <w:pPr>
        <w:tabs>
          <w:tab w:val="num" w:pos="5760"/>
        </w:tabs>
        <w:ind w:left="5760" w:hanging="360"/>
      </w:pPr>
    </w:lvl>
    <w:lvl w:ilvl="8" w:tplc="B53C7174" w:tentative="1">
      <w:start w:val="1"/>
      <w:numFmt w:val="decimal"/>
      <w:lvlText w:val="%9."/>
      <w:lvlJc w:val="left"/>
      <w:pPr>
        <w:tabs>
          <w:tab w:val="num" w:pos="6480"/>
        </w:tabs>
        <w:ind w:left="6480" w:hanging="360"/>
      </w:pPr>
    </w:lvl>
  </w:abstractNum>
  <w:abstractNum w:abstractNumId="112" w15:restartNumberingAfterBreak="0">
    <w:nsid w:val="78842C2C"/>
    <w:multiLevelType w:val="hybridMultilevel"/>
    <w:tmpl w:val="0E2858F8"/>
    <w:lvl w:ilvl="0" w:tplc="08090011">
      <w:start w:val="1"/>
      <w:numFmt w:val="decimal"/>
      <w:lvlText w:val="%1)"/>
      <w:lvlJc w:val="left"/>
      <w:pPr>
        <w:ind w:left="780" w:hanging="360"/>
      </w:p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13" w15:restartNumberingAfterBreak="0">
    <w:nsid w:val="78A82194"/>
    <w:multiLevelType w:val="hybridMultilevel"/>
    <w:tmpl w:val="A6FED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8BA5696"/>
    <w:multiLevelType w:val="hybridMultilevel"/>
    <w:tmpl w:val="DD5CAC3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5" w15:restartNumberingAfterBreak="0">
    <w:nsid w:val="796734CD"/>
    <w:multiLevelType w:val="hybridMultilevel"/>
    <w:tmpl w:val="D242A69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6" w15:restartNumberingAfterBreak="0">
    <w:nsid w:val="7A4D2EBD"/>
    <w:multiLevelType w:val="hybridMultilevel"/>
    <w:tmpl w:val="4D8A24AE"/>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117" w15:restartNumberingAfterBreak="0">
    <w:nsid w:val="7C285BF1"/>
    <w:multiLevelType w:val="hybridMultilevel"/>
    <w:tmpl w:val="0C3E1DCA"/>
    <w:lvl w:ilvl="0" w:tplc="107E068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8" w15:restartNumberingAfterBreak="0">
    <w:nsid w:val="7C2F7AE6"/>
    <w:multiLevelType w:val="hybridMultilevel"/>
    <w:tmpl w:val="4798267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574362404">
    <w:abstractNumId w:val="27"/>
  </w:num>
  <w:num w:numId="2" w16cid:durableId="1090347239">
    <w:abstractNumId w:val="18"/>
  </w:num>
  <w:num w:numId="3" w16cid:durableId="1474565648">
    <w:abstractNumId w:val="92"/>
  </w:num>
  <w:num w:numId="4" w16cid:durableId="1644114816">
    <w:abstractNumId w:val="54"/>
  </w:num>
  <w:num w:numId="5" w16cid:durableId="2090420074">
    <w:abstractNumId w:val="60"/>
  </w:num>
  <w:num w:numId="6" w16cid:durableId="369457355">
    <w:abstractNumId w:val="109"/>
  </w:num>
  <w:num w:numId="7" w16cid:durableId="2085489172">
    <w:abstractNumId w:val="78"/>
  </w:num>
  <w:num w:numId="8" w16cid:durableId="494608307">
    <w:abstractNumId w:val="74"/>
  </w:num>
  <w:num w:numId="9" w16cid:durableId="1597051772">
    <w:abstractNumId w:val="52"/>
  </w:num>
  <w:num w:numId="10" w16cid:durableId="1175877037">
    <w:abstractNumId w:val="104"/>
  </w:num>
  <w:num w:numId="11" w16cid:durableId="479738206">
    <w:abstractNumId w:val="38"/>
  </w:num>
  <w:num w:numId="12" w16cid:durableId="1440493150">
    <w:abstractNumId w:val="59"/>
  </w:num>
  <w:num w:numId="13" w16cid:durableId="1231574041">
    <w:abstractNumId w:val="85"/>
  </w:num>
  <w:num w:numId="14" w16cid:durableId="1021470795">
    <w:abstractNumId w:val="14"/>
  </w:num>
  <w:num w:numId="15" w16cid:durableId="142087729">
    <w:abstractNumId w:val="45"/>
  </w:num>
  <w:num w:numId="16" w16cid:durableId="1590121031">
    <w:abstractNumId w:val="24"/>
  </w:num>
  <w:num w:numId="17" w16cid:durableId="1092237644">
    <w:abstractNumId w:val="53"/>
  </w:num>
  <w:num w:numId="18" w16cid:durableId="1356733397">
    <w:abstractNumId w:val="56"/>
  </w:num>
  <w:num w:numId="19" w16cid:durableId="1512993358">
    <w:abstractNumId w:val="69"/>
  </w:num>
  <w:num w:numId="20" w16cid:durableId="1639188457">
    <w:abstractNumId w:val="48"/>
  </w:num>
  <w:num w:numId="21" w16cid:durableId="1685789828">
    <w:abstractNumId w:val="93"/>
  </w:num>
  <w:num w:numId="22" w16cid:durableId="15471231">
    <w:abstractNumId w:val="114"/>
  </w:num>
  <w:num w:numId="23" w16cid:durableId="2029257615">
    <w:abstractNumId w:val="115"/>
  </w:num>
  <w:num w:numId="24" w16cid:durableId="1006636096">
    <w:abstractNumId w:val="96"/>
  </w:num>
  <w:num w:numId="25" w16cid:durableId="1048531258">
    <w:abstractNumId w:val="101"/>
  </w:num>
  <w:num w:numId="26" w16cid:durableId="2093306824">
    <w:abstractNumId w:val="9"/>
  </w:num>
  <w:num w:numId="27" w16cid:durableId="2098019484">
    <w:abstractNumId w:val="22"/>
  </w:num>
  <w:num w:numId="28" w16cid:durableId="634406857">
    <w:abstractNumId w:val="68"/>
  </w:num>
  <w:num w:numId="29" w16cid:durableId="249195325">
    <w:abstractNumId w:val="35"/>
  </w:num>
  <w:num w:numId="30" w16cid:durableId="943264461">
    <w:abstractNumId w:val="11"/>
  </w:num>
  <w:num w:numId="31" w16cid:durableId="856845666">
    <w:abstractNumId w:val="1"/>
  </w:num>
  <w:num w:numId="32" w16cid:durableId="94907650">
    <w:abstractNumId w:val="0"/>
  </w:num>
  <w:num w:numId="33" w16cid:durableId="311910732">
    <w:abstractNumId w:val="77"/>
  </w:num>
  <w:num w:numId="34" w16cid:durableId="342705316">
    <w:abstractNumId w:val="84"/>
  </w:num>
  <w:num w:numId="35" w16cid:durableId="1884170685">
    <w:abstractNumId w:val="61"/>
  </w:num>
  <w:num w:numId="36" w16cid:durableId="2057660720">
    <w:abstractNumId w:val="42"/>
  </w:num>
  <w:num w:numId="37" w16cid:durableId="1291012235">
    <w:abstractNumId w:val="12"/>
  </w:num>
  <w:num w:numId="38" w16cid:durableId="1611425301">
    <w:abstractNumId w:val="105"/>
  </w:num>
  <w:num w:numId="39" w16cid:durableId="104159689">
    <w:abstractNumId w:val="107"/>
  </w:num>
  <w:num w:numId="40" w16cid:durableId="1175343656">
    <w:abstractNumId w:val="106"/>
  </w:num>
  <w:num w:numId="41" w16cid:durableId="163520373">
    <w:abstractNumId w:val="108"/>
  </w:num>
  <w:num w:numId="42" w16cid:durableId="582957576">
    <w:abstractNumId w:val="28"/>
  </w:num>
  <w:num w:numId="43" w16cid:durableId="136341846">
    <w:abstractNumId w:val="70"/>
  </w:num>
  <w:num w:numId="44" w16cid:durableId="2138376967">
    <w:abstractNumId w:val="75"/>
  </w:num>
  <w:num w:numId="45" w16cid:durableId="1560093289">
    <w:abstractNumId w:val="73"/>
  </w:num>
  <w:num w:numId="46" w16cid:durableId="396976593">
    <w:abstractNumId w:val="5"/>
  </w:num>
  <w:num w:numId="47" w16cid:durableId="1659721818">
    <w:abstractNumId w:val="76"/>
  </w:num>
  <w:num w:numId="48" w16cid:durableId="688213879">
    <w:abstractNumId w:val="31"/>
  </w:num>
  <w:num w:numId="49" w16cid:durableId="1126043574">
    <w:abstractNumId w:val="57"/>
  </w:num>
  <w:num w:numId="50" w16cid:durableId="992872220">
    <w:abstractNumId w:val="82"/>
  </w:num>
  <w:num w:numId="51" w16cid:durableId="2067532043">
    <w:abstractNumId w:val="4"/>
  </w:num>
  <w:num w:numId="52" w16cid:durableId="951520329">
    <w:abstractNumId w:val="41"/>
  </w:num>
  <w:num w:numId="53" w16cid:durableId="1650861535">
    <w:abstractNumId w:val="37"/>
  </w:num>
  <w:num w:numId="54" w16cid:durableId="746534817">
    <w:abstractNumId w:val="62"/>
  </w:num>
  <w:num w:numId="55" w16cid:durableId="241524995">
    <w:abstractNumId w:val="16"/>
  </w:num>
  <w:num w:numId="56" w16cid:durableId="73673856">
    <w:abstractNumId w:val="81"/>
  </w:num>
  <w:num w:numId="57" w16cid:durableId="498274266">
    <w:abstractNumId w:val="39"/>
  </w:num>
  <w:num w:numId="58" w16cid:durableId="48849987">
    <w:abstractNumId w:val="87"/>
  </w:num>
  <w:num w:numId="59" w16cid:durableId="1701470975">
    <w:abstractNumId w:val="66"/>
  </w:num>
  <w:num w:numId="60" w16cid:durableId="1858232843">
    <w:abstractNumId w:val="65"/>
  </w:num>
  <w:num w:numId="61" w16cid:durableId="1502508806">
    <w:abstractNumId w:val="47"/>
  </w:num>
  <w:num w:numId="62" w16cid:durableId="1171290358">
    <w:abstractNumId w:val="55"/>
  </w:num>
  <w:num w:numId="63" w16cid:durableId="1401056841">
    <w:abstractNumId w:val="86"/>
  </w:num>
  <w:num w:numId="64" w16cid:durableId="1554195310">
    <w:abstractNumId w:val="58"/>
  </w:num>
  <w:num w:numId="65" w16cid:durableId="1298223469">
    <w:abstractNumId w:val="79"/>
  </w:num>
  <w:num w:numId="66" w16cid:durableId="2051684541">
    <w:abstractNumId w:val="17"/>
  </w:num>
  <w:num w:numId="67" w16cid:durableId="1481459462">
    <w:abstractNumId w:val="34"/>
  </w:num>
  <w:num w:numId="68" w16cid:durableId="1972898601">
    <w:abstractNumId w:val="99"/>
  </w:num>
  <w:num w:numId="69" w16cid:durableId="1809666058">
    <w:abstractNumId w:val="25"/>
  </w:num>
  <w:num w:numId="70" w16cid:durableId="1936160147">
    <w:abstractNumId w:val="3"/>
  </w:num>
  <w:num w:numId="71" w16cid:durableId="1078475924">
    <w:abstractNumId w:val="112"/>
  </w:num>
  <w:num w:numId="72" w16cid:durableId="977612468">
    <w:abstractNumId w:val="83"/>
  </w:num>
  <w:num w:numId="73" w16cid:durableId="840389201">
    <w:abstractNumId w:val="94"/>
  </w:num>
  <w:num w:numId="74" w16cid:durableId="1694576144">
    <w:abstractNumId w:val="110"/>
  </w:num>
  <w:num w:numId="75" w16cid:durableId="1352533681">
    <w:abstractNumId w:val="49"/>
  </w:num>
  <w:num w:numId="76" w16cid:durableId="122822041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62186080">
    <w:abstractNumId w:val="30"/>
  </w:num>
  <w:num w:numId="78" w16cid:durableId="822086979">
    <w:abstractNumId w:val="26"/>
  </w:num>
  <w:num w:numId="79" w16cid:durableId="93327400">
    <w:abstractNumId w:val="113"/>
  </w:num>
  <w:num w:numId="80" w16cid:durableId="929853875">
    <w:abstractNumId w:val="51"/>
  </w:num>
  <w:num w:numId="81" w16cid:durableId="885335248">
    <w:abstractNumId w:val="117"/>
  </w:num>
  <w:num w:numId="82" w16cid:durableId="1676109399">
    <w:abstractNumId w:val="43"/>
  </w:num>
  <w:num w:numId="83" w16cid:durableId="1711342896">
    <w:abstractNumId w:val="72"/>
  </w:num>
  <w:num w:numId="84" w16cid:durableId="103623971">
    <w:abstractNumId w:val="29"/>
  </w:num>
  <w:num w:numId="85" w16cid:durableId="1846091035">
    <w:abstractNumId w:val="91"/>
  </w:num>
  <w:num w:numId="86" w16cid:durableId="1804812066">
    <w:abstractNumId w:val="13"/>
  </w:num>
  <w:num w:numId="87" w16cid:durableId="228738225">
    <w:abstractNumId w:val="32"/>
  </w:num>
  <w:num w:numId="88" w16cid:durableId="2013995207">
    <w:abstractNumId w:val="7"/>
  </w:num>
  <w:num w:numId="89" w16cid:durableId="1949696753">
    <w:abstractNumId w:val="102"/>
  </w:num>
  <w:num w:numId="90" w16cid:durableId="122160859">
    <w:abstractNumId w:val="2"/>
  </w:num>
  <w:num w:numId="91" w16cid:durableId="2113088432">
    <w:abstractNumId w:val="103"/>
  </w:num>
  <w:num w:numId="92" w16cid:durableId="1626617336">
    <w:abstractNumId w:val="19"/>
  </w:num>
  <w:num w:numId="93" w16cid:durableId="1510439673">
    <w:abstractNumId w:val="36"/>
  </w:num>
  <w:num w:numId="94" w16cid:durableId="14885340">
    <w:abstractNumId w:val="15"/>
  </w:num>
  <w:num w:numId="95" w16cid:durableId="1064720107">
    <w:abstractNumId w:val="21"/>
  </w:num>
  <w:num w:numId="96" w16cid:durableId="42485293">
    <w:abstractNumId w:val="97"/>
  </w:num>
  <w:num w:numId="97" w16cid:durableId="2013140324">
    <w:abstractNumId w:val="116"/>
  </w:num>
  <w:num w:numId="98" w16cid:durableId="1649747116">
    <w:abstractNumId w:val="44"/>
  </w:num>
  <w:num w:numId="99" w16cid:durableId="825364130">
    <w:abstractNumId w:val="98"/>
  </w:num>
  <w:num w:numId="100" w16cid:durableId="1380589660">
    <w:abstractNumId w:val="95"/>
  </w:num>
  <w:num w:numId="101" w16cid:durableId="143818675">
    <w:abstractNumId w:val="8"/>
  </w:num>
  <w:num w:numId="102" w16cid:durableId="673608887">
    <w:abstractNumId w:val="111"/>
  </w:num>
  <w:num w:numId="103" w16cid:durableId="159389232">
    <w:abstractNumId w:val="100"/>
  </w:num>
  <w:num w:numId="104" w16cid:durableId="186064937">
    <w:abstractNumId w:val="80"/>
  </w:num>
  <w:num w:numId="105" w16cid:durableId="1572349018">
    <w:abstractNumId w:val="10"/>
  </w:num>
  <w:num w:numId="106" w16cid:durableId="1533760916">
    <w:abstractNumId w:val="50"/>
  </w:num>
  <w:num w:numId="107" w16cid:durableId="2120878705">
    <w:abstractNumId w:val="46"/>
  </w:num>
  <w:num w:numId="108" w16cid:durableId="1134713825">
    <w:abstractNumId w:val="88"/>
  </w:num>
  <w:num w:numId="109" w16cid:durableId="646399003">
    <w:abstractNumId w:val="33"/>
  </w:num>
  <w:num w:numId="110" w16cid:durableId="1118990089">
    <w:abstractNumId w:val="40"/>
  </w:num>
  <w:num w:numId="111" w16cid:durableId="82820794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96605757">
    <w:abstractNumId w:val="64"/>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113" w16cid:durableId="311834049">
    <w:abstractNumId w:val="6"/>
  </w:num>
  <w:num w:numId="114" w16cid:durableId="2132938685">
    <w:abstractNumId w:val="23"/>
  </w:num>
  <w:num w:numId="115" w16cid:durableId="591860599">
    <w:abstractNumId w:val="63"/>
  </w:num>
  <w:num w:numId="116" w16cid:durableId="52430946">
    <w:abstractNumId w:val="20"/>
  </w:num>
  <w:num w:numId="117" w16cid:durableId="705758414">
    <w:abstractNumId w:val="118"/>
  </w:num>
  <w:num w:numId="118" w16cid:durableId="2081713124">
    <w:abstractNumId w:val="90"/>
  </w:num>
  <w:num w:numId="119" w16cid:durableId="2595871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583677712">
    <w:abstractNumId w:val="71"/>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pt-PT" w:vendorID="64" w:dllVersion="6" w:nlCheck="1" w:checkStyle="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T"/>
  </w:docVar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41905C3-8D32-432B-8A7B-5AB9F5F8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E" w:eastAsia="en-IE" w:bidi="ar-SA"/>
      </w:rPr>
    </w:rPrDefault>
    <w:pPrDefault>
      <w:pPr>
        <w:widowControl w:val="0"/>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qFormat="1"/>
    <w:lsdException w:name="annotation text" w:semiHidden="1" w:uiPriority="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Times New Roman" w:hAnsi="Times New Roman"/>
      <w:sz w:val="24"/>
    </w:rPr>
  </w:style>
  <w:style w:type="paragraph" w:styleId="Heading1">
    <w:name w:val="heading 1"/>
    <w:basedOn w:val="Normal"/>
    <w:next w:val="Normal"/>
    <w:link w:val="Heading1Char"/>
    <w:qFormat/>
    <w:pPr>
      <w:keepNext/>
      <w:keepLines/>
      <w:widowControl/>
      <w:numPr>
        <w:numId w:val="5"/>
      </w:numPr>
      <w:ind w:left="431" w:hanging="431"/>
      <w:outlineLvl w:val="0"/>
    </w:pPr>
    <w:rPr>
      <w:rFonts w:ascii="Calibri" w:eastAsiaTheme="majorEastAsia" w:hAnsi="Calibri" w:cstheme="majorBidi"/>
      <w:b/>
      <w:sz w:val="32"/>
    </w:rPr>
  </w:style>
  <w:style w:type="paragraph" w:styleId="Heading2">
    <w:name w:val="heading 2"/>
    <w:basedOn w:val="Normal"/>
    <w:next w:val="Normal"/>
    <w:link w:val="Heading2Char"/>
    <w:unhideWhenUsed/>
    <w:qFormat/>
    <w:pPr>
      <w:keepNext/>
      <w:keepLines/>
      <w:widowControl/>
      <w:numPr>
        <w:ilvl w:val="1"/>
        <w:numId w:val="5"/>
      </w:numPr>
      <w:ind w:left="578" w:hanging="578"/>
      <w:outlineLvl w:val="1"/>
    </w:pPr>
    <w:rPr>
      <w:rFonts w:ascii="Calibri" w:eastAsiaTheme="majorEastAsia" w:hAnsi="Calibri" w:cstheme="majorBidi"/>
      <w:b/>
      <w:sz w:val="28"/>
    </w:rPr>
  </w:style>
  <w:style w:type="paragraph" w:styleId="Heading3">
    <w:name w:val="heading 3"/>
    <w:basedOn w:val="Normal"/>
    <w:next w:val="Normal"/>
    <w:link w:val="Heading3Char"/>
    <w:unhideWhenUsed/>
    <w:qFormat/>
    <w:pPr>
      <w:keepNext/>
      <w:keepLines/>
      <w:widowControl/>
      <w:numPr>
        <w:ilvl w:val="2"/>
        <w:numId w:val="5"/>
      </w:numPr>
      <w:outlineLvl w:val="2"/>
    </w:pPr>
    <w:rPr>
      <w:rFonts w:ascii="Calibri" w:eastAsiaTheme="majorEastAsia" w:hAnsi="Calibri" w:cstheme="majorBidi"/>
      <w:b/>
      <w:i/>
    </w:rPr>
  </w:style>
  <w:style w:type="paragraph" w:styleId="Heading4">
    <w:name w:val="heading 4"/>
    <w:basedOn w:val="Normal"/>
    <w:next w:val="Normal"/>
    <w:link w:val="Heading4Char"/>
    <w:unhideWhenUsed/>
    <w:qFormat/>
    <w:pPr>
      <w:keepNext/>
      <w:keepLines/>
      <w:widowControl/>
      <w:numPr>
        <w:ilvl w:val="3"/>
        <w:numId w:val="5"/>
      </w:numPr>
      <w:spacing w:before="240" w:after="120"/>
      <w:outlineLvl w:val="3"/>
    </w:pPr>
    <w:rPr>
      <w:rFonts w:asciiTheme="majorHAnsi" w:eastAsiaTheme="majorEastAsia" w:hAnsiTheme="majorHAnsi" w:cstheme="majorBidi"/>
      <w:i/>
    </w:rPr>
  </w:style>
  <w:style w:type="paragraph" w:styleId="Heading5">
    <w:name w:val="heading 5"/>
    <w:basedOn w:val="Normal"/>
    <w:next w:val="Normal"/>
    <w:link w:val="Heading5Char"/>
    <w:unhideWhenUsed/>
    <w:qFormat/>
    <w:pPr>
      <w:keepNext/>
      <w:keepLines/>
      <w:widowControl/>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pPr>
      <w:keepNext/>
      <w:keepLines/>
      <w:widowControl/>
      <w:numPr>
        <w:ilvl w:val="5"/>
        <w:numId w:val="5"/>
      </w:numPr>
      <w:spacing w:before="200" w:after="0"/>
      <w:outlineLvl w:val="5"/>
    </w:pPr>
    <w:rPr>
      <w:rFonts w:asciiTheme="majorHAnsi" w:eastAsiaTheme="majorEastAsia" w:hAnsiTheme="majorHAnsi" w:cstheme="majorBidi"/>
      <w:i/>
      <w:color w:val="243F60" w:themeColor="accent1" w:themeShade="7F"/>
    </w:rPr>
  </w:style>
  <w:style w:type="paragraph" w:styleId="Heading7">
    <w:name w:val="heading 7"/>
    <w:basedOn w:val="Normal"/>
    <w:next w:val="Normal"/>
    <w:link w:val="Heading7Char"/>
    <w:unhideWhenUsed/>
    <w:qFormat/>
    <w:pPr>
      <w:keepNext/>
      <w:keepLines/>
      <w:widowControl/>
      <w:numPr>
        <w:ilvl w:val="6"/>
        <w:numId w:val="5"/>
      </w:numPr>
      <w:spacing w:before="200" w:after="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nhideWhenUsed/>
    <w:qFormat/>
    <w:pPr>
      <w:keepNext/>
      <w:keepLines/>
      <w:widowControl/>
      <w:numPr>
        <w:ilvl w:val="7"/>
        <w:numId w:val="5"/>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pPr>
      <w:keepNext/>
      <w:keepLines/>
      <w:widowControl/>
      <w:numPr>
        <w:ilvl w:val="8"/>
        <w:numId w:val="5"/>
      </w:numPr>
      <w:spacing w:before="200" w:after="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widowControl/>
      <w:spacing w:after="0"/>
      <w:ind w:left="720"/>
      <w:contextualSpacing/>
    </w:pPr>
  </w:style>
  <w:style w:type="paragraph" w:styleId="FootnoteText">
    <w:name w:val="footnote text"/>
    <w:basedOn w:val="Normal"/>
    <w:link w:val="FootnoteTextChar"/>
    <w:uiPriority w:val="9"/>
    <w:unhideWhenUsed/>
    <w:qFormat/>
    <w:pPr>
      <w:widowControl/>
      <w:spacing w:after="0" w:line="240" w:lineRule="auto"/>
    </w:pPr>
    <w:rPr>
      <w:sz w:val="20"/>
    </w:rPr>
  </w:style>
  <w:style w:type="character" w:customStyle="1" w:styleId="FootnoteTextChar">
    <w:name w:val="Footnote Text Char"/>
    <w:basedOn w:val="DefaultParagraphFont"/>
    <w:link w:val="FootnoteText"/>
    <w:uiPriority w:val="9"/>
    <w:rPr>
      <w:rFonts w:ascii="Times New Roman" w:hAnsi="Times New Roman"/>
      <w:sz w:val="20"/>
    </w:rPr>
  </w:style>
  <w:style w:type="character" w:styleId="FootnoteReference">
    <w:name w:val="footnote reference"/>
    <w:basedOn w:val="DefaultParagraphFont"/>
    <w:uiPriority w:val="9"/>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rPr>
      <w:rFonts w:ascii="Calibri" w:eastAsiaTheme="majorEastAsia" w:hAnsi="Calibri" w:cstheme="majorBidi"/>
      <w:b/>
      <w:sz w:val="32"/>
    </w:rPr>
  </w:style>
  <w:style w:type="character" w:customStyle="1" w:styleId="Heading2Char">
    <w:name w:val="Heading 2 Char"/>
    <w:basedOn w:val="DefaultParagraphFont"/>
    <w:link w:val="Heading2"/>
    <w:rPr>
      <w:rFonts w:ascii="Calibri" w:eastAsiaTheme="majorEastAsia" w:hAnsi="Calibri" w:cstheme="majorBidi"/>
      <w:b/>
      <w:sz w:val="28"/>
    </w:rPr>
  </w:style>
  <w:style w:type="character" w:customStyle="1" w:styleId="Heading3Char">
    <w:name w:val="Heading 3 Char"/>
    <w:basedOn w:val="DefaultParagraphFont"/>
    <w:link w:val="Heading3"/>
    <w:rPr>
      <w:rFonts w:ascii="Calibri" w:eastAsiaTheme="majorEastAsia" w:hAnsi="Calibri" w:cstheme="majorBidi"/>
      <w:b/>
      <w:i/>
      <w:sz w:val="24"/>
    </w:rPr>
  </w:style>
  <w:style w:type="character" w:customStyle="1" w:styleId="Heading4Char">
    <w:name w:val="Heading 4 Char"/>
    <w:basedOn w:val="DefaultParagraphFont"/>
    <w:link w:val="Heading4"/>
    <w:rPr>
      <w:rFonts w:asciiTheme="majorHAnsi" w:eastAsiaTheme="majorEastAsia" w:hAnsiTheme="majorHAnsi" w:cstheme="majorBidi"/>
      <w:i/>
      <w:sz w:val="24"/>
    </w:rPr>
  </w:style>
  <w:style w:type="character" w:customStyle="1" w:styleId="Heading5Char">
    <w:name w:val="Heading 5 Char"/>
    <w:basedOn w:val="DefaultParagraphFont"/>
    <w:link w:val="Heading5"/>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rPr>
      <w:rFonts w:asciiTheme="majorHAnsi" w:eastAsiaTheme="majorEastAsia" w:hAnsiTheme="majorHAnsi" w:cstheme="majorBidi"/>
      <w:i/>
      <w:color w:val="243F60" w:themeColor="accent1" w:themeShade="7F"/>
      <w:sz w:val="24"/>
    </w:rPr>
  </w:style>
  <w:style w:type="character" w:customStyle="1" w:styleId="Heading7Char">
    <w:name w:val="Heading 7 Char"/>
    <w:basedOn w:val="DefaultParagraphFont"/>
    <w:link w:val="Heading7"/>
    <w:rPr>
      <w:rFonts w:asciiTheme="majorHAnsi" w:eastAsiaTheme="majorEastAsia" w:hAnsiTheme="majorHAnsi" w:cstheme="majorBidi"/>
      <w:i/>
      <w:color w:val="404040" w:themeColor="text1" w:themeTint="BF"/>
      <w:sz w:val="24"/>
    </w:rPr>
  </w:style>
  <w:style w:type="character" w:customStyle="1" w:styleId="Heading8Char">
    <w:name w:val="Heading 8 Char"/>
    <w:basedOn w:val="DefaultParagraphFont"/>
    <w:link w:val="Heading8"/>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rPr>
      <w:rFonts w:asciiTheme="majorHAnsi" w:eastAsiaTheme="majorEastAsia" w:hAnsiTheme="majorHAnsi" w:cstheme="majorBidi"/>
      <w:i/>
      <w:color w:val="404040" w:themeColor="text1" w:themeTint="BF"/>
      <w:sz w:val="20"/>
    </w:rPr>
  </w:style>
  <w:style w:type="paragraph" w:styleId="NoSpacing">
    <w:name w:val="No Spacing"/>
    <w:uiPriority w:val="1"/>
    <w:qFormat/>
    <w:pPr>
      <w:spacing w:after="0" w:line="240" w:lineRule="auto"/>
    </w:pPr>
    <w:rPr>
      <w:sz w:val="24"/>
    </w:rPr>
  </w:style>
  <w:style w:type="paragraph" w:customStyle="1" w:styleId="Default">
    <w:name w:val="Default"/>
    <w:pPr>
      <w:widowControl/>
      <w:autoSpaceDE w:val="0"/>
      <w:autoSpaceDN w:val="0"/>
      <w:adjustRightInd w:val="0"/>
      <w:spacing w:after="0" w:line="240" w:lineRule="auto"/>
    </w:pPr>
    <w:rPr>
      <w:rFonts w:ascii="Times New Roman" w:hAnsi="Times New Roman" w:cs="Times New Roman"/>
      <w:sz w:val="24"/>
    </w:rPr>
  </w:style>
  <w:style w:type="paragraph" w:styleId="BalloonText">
    <w:name w:val="Balloon Text"/>
    <w:basedOn w:val="Normal"/>
    <w:link w:val="BalloonTextChar"/>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semiHidden/>
    <w:rPr>
      <w:rFonts w:ascii="Segoe UI" w:hAnsi="Segoe UI" w:cs="Segoe UI"/>
      <w:sz w:val="18"/>
    </w:rPr>
  </w:style>
  <w:style w:type="paragraph" w:styleId="TOCHeading">
    <w:name w:val="TOC Heading"/>
    <w:basedOn w:val="Heading1"/>
    <w:next w:val="Normal"/>
    <w:unhideWhenUsed/>
    <w:qFormat/>
    <w:pPr>
      <w:numPr>
        <w:numId w:val="0"/>
      </w:numPr>
      <w:spacing w:before="240" w:after="0" w:line="259" w:lineRule="auto"/>
      <w:jc w:val="left"/>
      <w:outlineLvl w:val="9"/>
    </w:pPr>
    <w:rPr>
      <w:rFonts w:asciiTheme="majorHAnsi" w:hAnsiTheme="majorHAnsi"/>
      <w:b w:val="0"/>
      <w:color w:val="365F91" w:themeColor="accent1" w:themeShade="BF"/>
    </w:rPr>
  </w:style>
  <w:style w:type="paragraph" w:styleId="TOC1">
    <w:name w:val="toc 1"/>
    <w:basedOn w:val="Normal"/>
    <w:next w:val="Normal"/>
    <w:autoRedefine/>
    <w:uiPriority w:val="39"/>
    <w:unhideWhenUsed/>
    <w:pPr>
      <w:tabs>
        <w:tab w:val="left" w:pos="480"/>
        <w:tab w:val="right" w:leader="dot" w:pos="9030"/>
      </w:tabs>
      <w:spacing w:before="120" w:after="120"/>
      <w:jc w:val="left"/>
    </w:pPr>
    <w:rPr>
      <w:rFonts w:asciiTheme="minorHAnsi" w:hAnsiTheme="minorHAnsi" w:cstheme="minorHAnsi"/>
      <w:b/>
      <w:caps/>
      <w:sz w:val="20"/>
    </w:rPr>
  </w:style>
  <w:style w:type="paragraph" w:styleId="TOC2">
    <w:name w:val="toc 2"/>
    <w:basedOn w:val="Normal"/>
    <w:next w:val="Normal"/>
    <w:autoRedefine/>
    <w:uiPriority w:val="39"/>
    <w:unhideWhenUsed/>
    <w:pPr>
      <w:tabs>
        <w:tab w:val="left" w:pos="720"/>
        <w:tab w:val="right" w:leader="dot" w:pos="9030"/>
      </w:tabs>
      <w:spacing w:after="0"/>
      <w:ind w:left="240"/>
      <w:jc w:val="left"/>
    </w:pPr>
    <w:rPr>
      <w:rFonts w:asciiTheme="minorHAnsi" w:hAnsiTheme="minorHAnsi" w:cstheme="minorHAnsi"/>
      <w:smallCaps/>
      <w:sz w:val="20"/>
    </w:rPr>
  </w:style>
  <w:style w:type="paragraph" w:styleId="TOC3">
    <w:name w:val="toc 3"/>
    <w:basedOn w:val="Normal"/>
    <w:next w:val="Normal"/>
    <w:autoRedefine/>
    <w:uiPriority w:val="39"/>
    <w:unhideWhenUsed/>
    <w:pPr>
      <w:spacing w:after="0"/>
      <w:ind w:left="480"/>
      <w:jc w:val="left"/>
    </w:pPr>
    <w:rPr>
      <w:rFonts w:asciiTheme="minorHAnsi" w:hAnsiTheme="minorHAnsi" w:cstheme="minorHAnsi"/>
      <w:i/>
      <w:sz w:val="20"/>
    </w:rPr>
  </w:style>
  <w:style w:type="paragraph" w:styleId="TOC4">
    <w:name w:val="toc 4"/>
    <w:basedOn w:val="Normal"/>
    <w:next w:val="Normal"/>
    <w:autoRedefine/>
    <w:unhideWhenUsed/>
    <w:pPr>
      <w:spacing w:after="0"/>
      <w:ind w:left="720"/>
      <w:jc w:val="left"/>
    </w:pPr>
    <w:rPr>
      <w:rFonts w:asciiTheme="minorHAnsi" w:hAnsiTheme="minorHAnsi" w:cstheme="minorHAnsi"/>
      <w:sz w:val="18"/>
    </w:rPr>
  </w:style>
  <w:style w:type="paragraph" w:styleId="TOC5">
    <w:name w:val="toc 5"/>
    <w:basedOn w:val="Normal"/>
    <w:next w:val="Normal"/>
    <w:autoRedefine/>
    <w:unhideWhenUsed/>
    <w:pPr>
      <w:spacing w:after="0"/>
      <w:ind w:left="960"/>
      <w:jc w:val="left"/>
    </w:pPr>
    <w:rPr>
      <w:rFonts w:asciiTheme="minorHAnsi" w:hAnsiTheme="minorHAnsi" w:cstheme="minorHAnsi"/>
      <w:sz w:val="18"/>
    </w:rPr>
  </w:style>
  <w:style w:type="paragraph" w:styleId="TOC6">
    <w:name w:val="toc 6"/>
    <w:basedOn w:val="Normal"/>
    <w:next w:val="Normal"/>
    <w:autoRedefine/>
    <w:unhideWhenUsed/>
    <w:pPr>
      <w:spacing w:after="0"/>
      <w:ind w:left="1200"/>
      <w:jc w:val="left"/>
    </w:pPr>
    <w:rPr>
      <w:rFonts w:asciiTheme="minorHAnsi" w:hAnsiTheme="minorHAnsi" w:cstheme="minorHAnsi"/>
      <w:sz w:val="18"/>
    </w:rPr>
  </w:style>
  <w:style w:type="paragraph" w:styleId="TOC7">
    <w:name w:val="toc 7"/>
    <w:basedOn w:val="Normal"/>
    <w:next w:val="Normal"/>
    <w:autoRedefine/>
    <w:unhideWhenUsed/>
    <w:pPr>
      <w:spacing w:after="0"/>
      <w:ind w:left="1440"/>
      <w:jc w:val="left"/>
    </w:pPr>
    <w:rPr>
      <w:rFonts w:asciiTheme="minorHAnsi" w:hAnsiTheme="minorHAnsi" w:cstheme="minorHAnsi"/>
      <w:sz w:val="18"/>
    </w:rPr>
  </w:style>
  <w:style w:type="paragraph" w:styleId="TOC8">
    <w:name w:val="toc 8"/>
    <w:basedOn w:val="Normal"/>
    <w:next w:val="Normal"/>
    <w:autoRedefine/>
    <w:unhideWhenUsed/>
    <w:pPr>
      <w:spacing w:after="0"/>
      <w:ind w:left="1680"/>
      <w:jc w:val="left"/>
    </w:pPr>
    <w:rPr>
      <w:rFonts w:asciiTheme="minorHAnsi" w:hAnsiTheme="minorHAnsi" w:cstheme="minorHAnsi"/>
      <w:sz w:val="18"/>
    </w:rPr>
  </w:style>
  <w:style w:type="paragraph" w:styleId="TOC9">
    <w:name w:val="toc 9"/>
    <w:basedOn w:val="Normal"/>
    <w:next w:val="Normal"/>
    <w:autoRedefine/>
    <w:unhideWhenUsed/>
    <w:pPr>
      <w:spacing w:after="0"/>
      <w:ind w:left="1920"/>
      <w:jc w:val="left"/>
    </w:pPr>
    <w:rPr>
      <w:rFonts w:asciiTheme="minorHAnsi" w:hAnsiTheme="minorHAnsi" w:cstheme="minorHAnsi"/>
      <w:sz w:val="18"/>
    </w:rPr>
  </w:style>
  <w:style w:type="paragraph" w:customStyle="1" w:styleId="Text1">
    <w:name w:val="Text 1"/>
    <w:basedOn w:val="Normal"/>
    <w:link w:val="Text1Char"/>
    <w:pPr>
      <w:widowControl/>
      <w:spacing w:line="240" w:lineRule="auto"/>
      <w:ind w:left="482"/>
    </w:pPr>
    <w:rPr>
      <w:rFonts w:eastAsia="Times New Roman" w:cs="Times New Roman"/>
    </w:rPr>
  </w:style>
  <w:style w:type="paragraph" w:customStyle="1" w:styleId="Text2">
    <w:name w:val="Text 2"/>
    <w:basedOn w:val="Normal"/>
    <w:pPr>
      <w:widowControl/>
      <w:tabs>
        <w:tab w:val="left" w:pos="2160"/>
      </w:tabs>
      <w:spacing w:line="240" w:lineRule="auto"/>
      <w:ind w:left="1077"/>
    </w:pPr>
    <w:rPr>
      <w:rFonts w:eastAsia="Times New Roman" w:cs="Times New Roman"/>
    </w:rPr>
  </w:style>
  <w:style w:type="paragraph" w:customStyle="1" w:styleId="Text3">
    <w:name w:val="Text 3"/>
    <w:basedOn w:val="Normal"/>
    <w:pPr>
      <w:widowControl/>
      <w:tabs>
        <w:tab w:val="left" w:pos="2302"/>
      </w:tabs>
      <w:spacing w:line="240" w:lineRule="auto"/>
      <w:ind w:left="1916"/>
    </w:pPr>
    <w:rPr>
      <w:rFonts w:eastAsia="Times New Roman" w:cs="Times New Roman"/>
    </w:rPr>
  </w:style>
  <w:style w:type="paragraph" w:customStyle="1" w:styleId="Text4">
    <w:name w:val="Text 4"/>
    <w:basedOn w:val="Normal"/>
    <w:pPr>
      <w:widowControl/>
      <w:spacing w:line="240" w:lineRule="auto"/>
      <w:ind w:left="2880"/>
    </w:pPr>
    <w:rPr>
      <w:rFonts w:eastAsia="Times New Roman" w:cs="Times New Roman"/>
    </w:rPr>
  </w:style>
  <w:style w:type="paragraph" w:customStyle="1" w:styleId="Address">
    <w:name w:val="Address"/>
    <w:basedOn w:val="Normal"/>
    <w:pPr>
      <w:widowControl/>
      <w:spacing w:after="0" w:line="240" w:lineRule="auto"/>
      <w:jc w:val="left"/>
    </w:pPr>
    <w:rPr>
      <w:rFonts w:eastAsia="Times New Roman" w:cs="Times New Roman"/>
    </w:rPr>
  </w:style>
  <w:style w:type="paragraph" w:customStyle="1" w:styleId="AddressTL">
    <w:name w:val="AddressTL"/>
    <w:basedOn w:val="Normal"/>
    <w:next w:val="Normal"/>
    <w:pPr>
      <w:widowControl/>
      <w:spacing w:after="720" w:line="240" w:lineRule="auto"/>
      <w:jc w:val="left"/>
    </w:pPr>
    <w:rPr>
      <w:rFonts w:eastAsia="Times New Roman" w:cs="Times New Roman"/>
    </w:rPr>
  </w:style>
  <w:style w:type="paragraph" w:customStyle="1" w:styleId="AddressTR">
    <w:name w:val="AddressTR"/>
    <w:basedOn w:val="Normal"/>
    <w:next w:val="Normal"/>
    <w:pPr>
      <w:widowControl/>
      <w:spacing w:after="720" w:line="240" w:lineRule="auto"/>
      <w:ind w:left="5103"/>
      <w:jc w:val="left"/>
    </w:pPr>
    <w:rPr>
      <w:rFonts w:eastAsia="Times New Roman" w:cs="Times New Roman"/>
    </w:rPr>
  </w:style>
  <w:style w:type="paragraph" w:styleId="BlockText">
    <w:name w:val="Block Text"/>
    <w:basedOn w:val="Normal"/>
    <w:pPr>
      <w:widowControl/>
      <w:spacing w:after="120" w:line="240" w:lineRule="auto"/>
      <w:ind w:left="1440" w:right="1440"/>
    </w:pPr>
    <w:rPr>
      <w:rFonts w:eastAsia="Times New Roman" w:cs="Times New Roman"/>
    </w:rPr>
  </w:style>
  <w:style w:type="paragraph" w:styleId="BodyText">
    <w:name w:val="Body Text"/>
    <w:basedOn w:val="Normal"/>
    <w:link w:val="BodyTextChar"/>
    <w:pPr>
      <w:widowControl/>
      <w:spacing w:after="120" w:line="240" w:lineRule="auto"/>
    </w:pPr>
    <w:rPr>
      <w:rFonts w:eastAsia="Times New Roman" w:cs="Times New Roman"/>
    </w:rPr>
  </w:style>
  <w:style w:type="character" w:customStyle="1" w:styleId="BodyTextChar">
    <w:name w:val="Body Text Char"/>
    <w:basedOn w:val="DefaultParagraphFont"/>
    <w:link w:val="BodyText"/>
    <w:rPr>
      <w:rFonts w:ascii="Times New Roman" w:eastAsia="Times New Roman" w:hAnsi="Times New Roman" w:cs="Times New Roman"/>
      <w:sz w:val="24"/>
    </w:rPr>
  </w:style>
  <w:style w:type="paragraph" w:styleId="BodyText2">
    <w:name w:val="Body Text 2"/>
    <w:basedOn w:val="Normal"/>
    <w:link w:val="BodyText2Char"/>
    <w:pPr>
      <w:widowControl/>
      <w:spacing w:after="120" w:line="480" w:lineRule="auto"/>
    </w:pPr>
    <w:rPr>
      <w:rFonts w:eastAsia="Times New Roman" w:cs="Times New Roman"/>
    </w:rPr>
  </w:style>
  <w:style w:type="character" w:customStyle="1" w:styleId="BodyText2Char">
    <w:name w:val="Body Text 2 Char"/>
    <w:basedOn w:val="DefaultParagraphFont"/>
    <w:link w:val="BodyText2"/>
    <w:rPr>
      <w:rFonts w:ascii="Times New Roman" w:eastAsia="Times New Roman" w:hAnsi="Times New Roman" w:cs="Times New Roman"/>
      <w:sz w:val="24"/>
    </w:rPr>
  </w:style>
  <w:style w:type="paragraph" w:styleId="BodyText3">
    <w:name w:val="Body Text 3"/>
    <w:basedOn w:val="Normal"/>
    <w:link w:val="BodyText3Char"/>
    <w:pPr>
      <w:widowControl/>
      <w:spacing w:after="120" w:line="240" w:lineRule="auto"/>
    </w:pPr>
    <w:rPr>
      <w:rFonts w:eastAsia="Times New Roman" w:cs="Times New Roman"/>
      <w:sz w:val="16"/>
    </w:rPr>
  </w:style>
  <w:style w:type="character" w:customStyle="1" w:styleId="BodyText3Char">
    <w:name w:val="Body Text 3 Char"/>
    <w:basedOn w:val="DefaultParagraphFont"/>
    <w:link w:val="BodyText3"/>
    <w:rPr>
      <w:rFonts w:ascii="Times New Roman" w:eastAsia="Times New Roman" w:hAnsi="Times New Roman" w:cs="Times New Roman"/>
      <w:sz w:val="16"/>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rPr>
  </w:style>
  <w:style w:type="paragraph" w:styleId="BodyTextIndent">
    <w:name w:val="Body Text Indent"/>
    <w:basedOn w:val="Normal"/>
    <w:link w:val="BodyTextIndentChar"/>
    <w:pPr>
      <w:widowControl/>
      <w:spacing w:after="120" w:line="240" w:lineRule="auto"/>
      <w:ind w:left="283"/>
    </w:pPr>
    <w:rPr>
      <w:rFonts w:eastAsia="Times New Roman" w:cs="Times New Roman"/>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rPr>
  </w:style>
  <w:style w:type="paragraph" w:styleId="BodyTextIndent2">
    <w:name w:val="Body Text Indent 2"/>
    <w:basedOn w:val="Normal"/>
    <w:link w:val="BodyTextIndent2Char"/>
    <w:pPr>
      <w:widowControl/>
      <w:spacing w:after="120" w:line="480" w:lineRule="auto"/>
      <w:ind w:left="283"/>
    </w:pPr>
    <w:rPr>
      <w:rFonts w:eastAsia="Times New Roman" w:cs="Times New Roman"/>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rPr>
  </w:style>
  <w:style w:type="paragraph" w:styleId="BodyTextIndent3">
    <w:name w:val="Body Text Indent 3"/>
    <w:basedOn w:val="Normal"/>
    <w:link w:val="BodyTextIndent3Char"/>
    <w:pPr>
      <w:widowControl/>
      <w:spacing w:after="120" w:line="240" w:lineRule="auto"/>
      <w:ind w:left="283"/>
    </w:pPr>
    <w:rPr>
      <w:rFonts w:eastAsia="Times New Roman" w:cs="Times New Roman"/>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rPr>
  </w:style>
  <w:style w:type="paragraph" w:styleId="Caption">
    <w:name w:val="caption"/>
    <w:basedOn w:val="Normal"/>
    <w:next w:val="Normal"/>
    <w:qFormat/>
    <w:pPr>
      <w:widowControl/>
      <w:spacing w:before="120" w:after="120" w:line="240" w:lineRule="auto"/>
    </w:pPr>
    <w:rPr>
      <w:rFonts w:eastAsia="Times New Roman" w:cs="Times New Roman"/>
      <w:b/>
    </w:rPr>
  </w:style>
  <w:style w:type="paragraph" w:styleId="Closing">
    <w:name w:val="Closing"/>
    <w:basedOn w:val="Normal"/>
    <w:next w:val="Signature"/>
    <w:link w:val="ClosingChar"/>
    <w:pPr>
      <w:widowControl/>
      <w:tabs>
        <w:tab w:val="left" w:pos="5103"/>
      </w:tabs>
      <w:spacing w:before="240" w:line="240" w:lineRule="auto"/>
      <w:ind w:left="5103"/>
      <w:jc w:val="left"/>
    </w:pPr>
    <w:rPr>
      <w:rFonts w:eastAsia="Times New Roman" w:cs="Times New Roman"/>
    </w:rPr>
  </w:style>
  <w:style w:type="character" w:customStyle="1" w:styleId="ClosingChar">
    <w:name w:val="Closing Char"/>
    <w:basedOn w:val="DefaultParagraphFont"/>
    <w:link w:val="Closing"/>
    <w:rPr>
      <w:rFonts w:ascii="Times New Roman" w:eastAsia="Times New Roman" w:hAnsi="Times New Roman" w:cs="Times New Roman"/>
      <w:sz w:val="24"/>
    </w:rPr>
  </w:style>
  <w:style w:type="paragraph" w:styleId="Signature">
    <w:name w:val="Signature"/>
    <w:basedOn w:val="Normal"/>
    <w:next w:val="Contact"/>
    <w:link w:val="SignatureChar"/>
    <w:pPr>
      <w:widowControl/>
      <w:tabs>
        <w:tab w:val="left" w:pos="5103"/>
      </w:tabs>
      <w:spacing w:before="1200" w:after="0" w:line="240" w:lineRule="auto"/>
      <w:ind w:left="5103"/>
      <w:jc w:val="center"/>
    </w:pPr>
    <w:rPr>
      <w:rFonts w:eastAsia="Times New Roman" w:cs="Times New Roman"/>
    </w:rPr>
  </w:style>
  <w:style w:type="character" w:customStyle="1" w:styleId="SignatureChar">
    <w:name w:val="Signature Char"/>
    <w:basedOn w:val="DefaultParagraphFont"/>
    <w:link w:val="Signature"/>
    <w:rPr>
      <w:rFonts w:ascii="Times New Roman" w:eastAsia="Times New Roman" w:hAnsi="Times New Roman" w:cs="Times New Roman"/>
      <w:sz w:val="24"/>
    </w:rPr>
  </w:style>
  <w:style w:type="paragraph" w:customStyle="1" w:styleId="Enclosures">
    <w:name w:val="Enclosures"/>
    <w:basedOn w:val="Normal"/>
    <w:next w:val="Participants"/>
    <w:pPr>
      <w:keepNext/>
      <w:keepLines/>
      <w:widowControl/>
      <w:tabs>
        <w:tab w:val="left" w:pos="5670"/>
      </w:tabs>
      <w:spacing w:before="480" w:after="0" w:line="240" w:lineRule="auto"/>
      <w:ind w:left="1985" w:hanging="1985"/>
      <w:jc w:val="left"/>
    </w:pPr>
    <w:rPr>
      <w:rFonts w:eastAsia="Times New Roman" w:cs="Times New Roman"/>
    </w:rPr>
  </w:style>
  <w:style w:type="paragraph" w:customStyle="1" w:styleId="Participants">
    <w:name w:val="Participants"/>
    <w:basedOn w:val="Normal"/>
    <w:next w:val="Copies"/>
    <w:pPr>
      <w:widowControl/>
      <w:tabs>
        <w:tab w:val="left" w:pos="2552"/>
        <w:tab w:val="left" w:pos="2835"/>
        <w:tab w:val="left" w:pos="5670"/>
        <w:tab w:val="left" w:pos="6379"/>
        <w:tab w:val="left" w:pos="6804"/>
      </w:tabs>
      <w:spacing w:before="480" w:after="0" w:line="240" w:lineRule="auto"/>
      <w:ind w:left="1985" w:hanging="1985"/>
      <w:jc w:val="left"/>
    </w:pPr>
    <w:rPr>
      <w:rFonts w:eastAsia="Times New Roman" w:cs="Times New Roman"/>
    </w:rPr>
  </w:style>
  <w:style w:type="paragraph" w:customStyle="1" w:styleId="Copies">
    <w:name w:val="Copies"/>
    <w:basedOn w:val="Normal"/>
    <w:next w:val="Normal"/>
    <w:pPr>
      <w:widowControl/>
      <w:tabs>
        <w:tab w:val="left" w:pos="2552"/>
        <w:tab w:val="left" w:pos="2835"/>
        <w:tab w:val="left" w:pos="5670"/>
        <w:tab w:val="left" w:pos="6379"/>
        <w:tab w:val="left" w:pos="6804"/>
      </w:tabs>
      <w:spacing w:before="480" w:after="0" w:line="240" w:lineRule="auto"/>
      <w:ind w:left="1985" w:hanging="1985"/>
      <w:jc w:val="left"/>
    </w:pPr>
    <w:rPr>
      <w:rFonts w:eastAsia="Times New Roman" w:cs="Times New Roman"/>
    </w:rPr>
  </w:style>
  <w:style w:type="paragraph" w:styleId="CommentText">
    <w:name w:val="annotation text"/>
    <w:basedOn w:val="Normal"/>
    <w:link w:val="CommentTextChar"/>
    <w:uiPriority w:val="9"/>
    <w:semiHidden/>
    <w:pPr>
      <w:widowControl/>
      <w:spacing w:line="240" w:lineRule="auto"/>
    </w:pPr>
    <w:rPr>
      <w:rFonts w:eastAsia="Times New Roman" w:cs="Times New Roman"/>
      <w:sz w:val="20"/>
    </w:rPr>
  </w:style>
  <w:style w:type="character" w:customStyle="1" w:styleId="CommentTextChar">
    <w:name w:val="Comment Text Char"/>
    <w:basedOn w:val="DefaultParagraphFont"/>
    <w:link w:val="CommentText"/>
    <w:uiPriority w:val="9"/>
    <w:semiHidden/>
    <w:rPr>
      <w:rFonts w:ascii="Times New Roman" w:eastAsia="Times New Roman" w:hAnsi="Times New Roman" w:cs="Times New Roman"/>
      <w:sz w:val="20"/>
    </w:rPr>
  </w:style>
  <w:style w:type="paragraph" w:styleId="Date">
    <w:name w:val="Date"/>
    <w:basedOn w:val="Normal"/>
    <w:next w:val="References"/>
    <w:link w:val="DateChar"/>
    <w:pPr>
      <w:widowControl/>
      <w:spacing w:after="0" w:line="240" w:lineRule="auto"/>
      <w:ind w:left="5103" w:right="-567"/>
      <w:jc w:val="left"/>
    </w:pPr>
    <w:rPr>
      <w:rFonts w:eastAsia="Times New Roman" w:cs="Times New Roman"/>
    </w:rPr>
  </w:style>
  <w:style w:type="character" w:customStyle="1" w:styleId="DateChar">
    <w:name w:val="Date Char"/>
    <w:basedOn w:val="DefaultParagraphFont"/>
    <w:link w:val="Date"/>
    <w:rPr>
      <w:rFonts w:ascii="Times New Roman" w:eastAsia="Times New Roman" w:hAnsi="Times New Roman" w:cs="Times New Roman"/>
      <w:sz w:val="24"/>
    </w:rPr>
  </w:style>
  <w:style w:type="paragraph" w:customStyle="1" w:styleId="References">
    <w:name w:val="References"/>
    <w:basedOn w:val="Normal"/>
    <w:next w:val="AddressTR"/>
    <w:pPr>
      <w:widowControl/>
      <w:spacing w:line="240" w:lineRule="auto"/>
      <w:ind w:left="5103"/>
      <w:jc w:val="left"/>
    </w:pPr>
    <w:rPr>
      <w:rFonts w:eastAsia="Times New Roman" w:cs="Times New Roman"/>
      <w:sz w:val="20"/>
    </w:rPr>
  </w:style>
  <w:style w:type="paragraph" w:styleId="DocumentMap">
    <w:name w:val="Document Map"/>
    <w:basedOn w:val="Normal"/>
    <w:link w:val="DocumentMapChar"/>
    <w:semiHidden/>
    <w:pPr>
      <w:widowControl/>
      <w:shd w:val="clear" w:color="auto" w:fill="000080"/>
      <w:spacing w:line="240" w:lineRule="auto"/>
    </w:pPr>
    <w:rPr>
      <w:rFonts w:ascii="Tahoma" w:eastAsia="Times New Roman" w:hAnsi="Tahoma" w:cs="Times New Roman"/>
    </w:rPr>
  </w:style>
  <w:style w:type="character" w:customStyle="1" w:styleId="DocumentMapChar">
    <w:name w:val="Document Map Char"/>
    <w:basedOn w:val="DefaultParagraphFont"/>
    <w:link w:val="DocumentMap"/>
    <w:semiHidden/>
    <w:rPr>
      <w:rFonts w:ascii="Tahoma" w:eastAsia="Times New Roman" w:hAnsi="Tahoma" w:cs="Times New Roman"/>
      <w:sz w:val="24"/>
      <w:shd w:val="clear" w:color="auto" w:fill="000080"/>
    </w:rPr>
  </w:style>
  <w:style w:type="paragraph" w:customStyle="1" w:styleId="DoubSign">
    <w:name w:val="DoubSign"/>
    <w:basedOn w:val="Normal"/>
    <w:next w:val="Contact"/>
    <w:pPr>
      <w:widowControl/>
      <w:tabs>
        <w:tab w:val="left" w:pos="5103"/>
      </w:tabs>
      <w:spacing w:before="1200" w:after="0" w:line="240" w:lineRule="auto"/>
      <w:jc w:val="left"/>
    </w:pPr>
    <w:rPr>
      <w:rFonts w:eastAsia="Times New Roman" w:cs="Times New Roman"/>
    </w:rPr>
  </w:style>
  <w:style w:type="paragraph" w:styleId="EndnoteText">
    <w:name w:val="endnote text"/>
    <w:basedOn w:val="Normal"/>
    <w:link w:val="EndnoteTextChar"/>
    <w:semiHidden/>
    <w:pPr>
      <w:widowControl/>
      <w:spacing w:line="240" w:lineRule="auto"/>
    </w:pPr>
    <w:rPr>
      <w:rFonts w:eastAsia="Times New Roman" w:cs="Times New Roman"/>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rPr>
  </w:style>
  <w:style w:type="paragraph" w:styleId="EnvelopeAddress">
    <w:name w:val="envelope address"/>
    <w:basedOn w:val="Normal"/>
    <w:pPr>
      <w:framePr w:w="7920" w:h="1980" w:hRule="exact" w:hSpace="180" w:wrap="auto" w:hAnchor="page" w:xAlign="center" w:yAlign="bottom"/>
      <w:widowControl/>
      <w:spacing w:after="0" w:line="240" w:lineRule="auto"/>
    </w:pPr>
    <w:rPr>
      <w:rFonts w:eastAsia="Times New Roman" w:cs="Times New Roman"/>
    </w:rPr>
  </w:style>
  <w:style w:type="paragraph" w:styleId="EnvelopeReturn">
    <w:name w:val="envelope return"/>
    <w:basedOn w:val="Normal"/>
    <w:pPr>
      <w:widowControl/>
      <w:spacing w:after="0" w:line="240" w:lineRule="auto"/>
    </w:pPr>
    <w:rPr>
      <w:rFonts w:eastAsia="Times New Roman" w:cs="Times New Roman"/>
      <w:sz w:val="20"/>
    </w:rPr>
  </w:style>
  <w:style w:type="paragraph" w:styleId="Footer">
    <w:name w:val="footer"/>
    <w:basedOn w:val="Normal"/>
    <w:link w:val="FooterChar"/>
    <w:uiPriority w:val="99"/>
    <w:pPr>
      <w:widowControl/>
      <w:spacing w:after="0" w:line="240" w:lineRule="auto"/>
      <w:ind w:right="-567"/>
      <w:jc w:val="left"/>
    </w:pPr>
    <w:rPr>
      <w:rFonts w:ascii="Arial" w:eastAsia="Times New Roman" w:hAnsi="Arial" w:cs="Times New Roman"/>
      <w:sz w:val="16"/>
    </w:rPr>
  </w:style>
  <w:style w:type="character" w:customStyle="1" w:styleId="FooterChar">
    <w:name w:val="Footer Char"/>
    <w:basedOn w:val="DefaultParagraphFont"/>
    <w:link w:val="Footer"/>
    <w:uiPriority w:val="99"/>
    <w:rPr>
      <w:rFonts w:ascii="Arial" w:eastAsia="Times New Roman" w:hAnsi="Arial" w:cs="Times New Roman"/>
      <w:sz w:val="16"/>
    </w:rPr>
  </w:style>
  <w:style w:type="paragraph" w:styleId="Header">
    <w:name w:val="header"/>
    <w:basedOn w:val="Normal"/>
    <w:link w:val="HeaderChar"/>
    <w:pPr>
      <w:widowControl/>
      <w:tabs>
        <w:tab w:val="center" w:pos="4153"/>
        <w:tab w:val="right" w:pos="8306"/>
      </w:tabs>
      <w:spacing w:line="240" w:lineRule="auto"/>
    </w:pPr>
    <w:rPr>
      <w:rFonts w:eastAsia="Times New Roman" w:cs="Times New Roman"/>
    </w:rPr>
  </w:style>
  <w:style w:type="character" w:customStyle="1" w:styleId="HeaderChar">
    <w:name w:val="Header Char"/>
    <w:basedOn w:val="DefaultParagraphFont"/>
    <w:link w:val="Header"/>
    <w:rPr>
      <w:rFonts w:ascii="Times New Roman" w:eastAsia="Times New Roman" w:hAnsi="Times New Roman" w:cs="Times New Roman"/>
      <w:sz w:val="24"/>
    </w:rPr>
  </w:style>
  <w:style w:type="paragraph" w:styleId="Index1">
    <w:name w:val="index 1"/>
    <w:basedOn w:val="Normal"/>
    <w:next w:val="Normal"/>
    <w:autoRedefine/>
    <w:semiHidden/>
    <w:pPr>
      <w:widowControl/>
      <w:spacing w:line="240" w:lineRule="auto"/>
      <w:ind w:left="240" w:hanging="240"/>
    </w:pPr>
    <w:rPr>
      <w:rFonts w:eastAsia="Times New Roman" w:cs="Times New Roman"/>
    </w:rPr>
  </w:style>
  <w:style w:type="paragraph" w:styleId="Index2">
    <w:name w:val="index 2"/>
    <w:basedOn w:val="Normal"/>
    <w:next w:val="Normal"/>
    <w:autoRedefine/>
    <w:semiHidden/>
    <w:pPr>
      <w:widowControl/>
      <w:spacing w:line="240" w:lineRule="auto"/>
      <w:ind w:left="480" w:hanging="240"/>
    </w:pPr>
    <w:rPr>
      <w:rFonts w:eastAsia="Times New Roman" w:cs="Times New Roman"/>
    </w:rPr>
  </w:style>
  <w:style w:type="paragraph" w:styleId="Index3">
    <w:name w:val="index 3"/>
    <w:basedOn w:val="Normal"/>
    <w:next w:val="Normal"/>
    <w:autoRedefine/>
    <w:semiHidden/>
    <w:pPr>
      <w:widowControl/>
      <w:spacing w:line="240" w:lineRule="auto"/>
      <w:ind w:left="720" w:hanging="240"/>
    </w:pPr>
    <w:rPr>
      <w:rFonts w:eastAsia="Times New Roman" w:cs="Times New Roman"/>
    </w:rPr>
  </w:style>
  <w:style w:type="paragraph" w:styleId="Index4">
    <w:name w:val="index 4"/>
    <w:basedOn w:val="Normal"/>
    <w:next w:val="Normal"/>
    <w:autoRedefine/>
    <w:semiHidden/>
    <w:pPr>
      <w:widowControl/>
      <w:spacing w:line="240" w:lineRule="auto"/>
      <w:ind w:left="960" w:hanging="240"/>
    </w:pPr>
    <w:rPr>
      <w:rFonts w:eastAsia="Times New Roman" w:cs="Times New Roman"/>
    </w:rPr>
  </w:style>
  <w:style w:type="paragraph" w:styleId="Index5">
    <w:name w:val="index 5"/>
    <w:basedOn w:val="Normal"/>
    <w:next w:val="Normal"/>
    <w:autoRedefine/>
    <w:semiHidden/>
    <w:pPr>
      <w:widowControl/>
      <w:spacing w:line="240" w:lineRule="auto"/>
      <w:ind w:left="1200" w:hanging="240"/>
    </w:pPr>
    <w:rPr>
      <w:rFonts w:eastAsia="Times New Roman" w:cs="Times New Roman"/>
    </w:rPr>
  </w:style>
  <w:style w:type="paragraph" w:styleId="Index6">
    <w:name w:val="index 6"/>
    <w:basedOn w:val="Normal"/>
    <w:next w:val="Normal"/>
    <w:autoRedefine/>
    <w:semiHidden/>
    <w:pPr>
      <w:widowControl/>
      <w:spacing w:line="240" w:lineRule="auto"/>
      <w:ind w:left="1440" w:hanging="240"/>
    </w:pPr>
    <w:rPr>
      <w:rFonts w:eastAsia="Times New Roman" w:cs="Times New Roman"/>
    </w:rPr>
  </w:style>
  <w:style w:type="paragraph" w:styleId="Index7">
    <w:name w:val="index 7"/>
    <w:basedOn w:val="Normal"/>
    <w:next w:val="Normal"/>
    <w:autoRedefine/>
    <w:semiHidden/>
    <w:pPr>
      <w:widowControl/>
      <w:spacing w:line="240" w:lineRule="auto"/>
      <w:ind w:left="1680" w:hanging="240"/>
    </w:pPr>
    <w:rPr>
      <w:rFonts w:eastAsia="Times New Roman" w:cs="Times New Roman"/>
    </w:rPr>
  </w:style>
  <w:style w:type="paragraph" w:styleId="Index8">
    <w:name w:val="index 8"/>
    <w:basedOn w:val="Normal"/>
    <w:next w:val="Normal"/>
    <w:autoRedefine/>
    <w:semiHidden/>
    <w:pPr>
      <w:widowControl/>
      <w:spacing w:line="240" w:lineRule="auto"/>
      <w:ind w:left="1920" w:hanging="240"/>
    </w:pPr>
    <w:rPr>
      <w:rFonts w:eastAsia="Times New Roman" w:cs="Times New Roman"/>
    </w:rPr>
  </w:style>
  <w:style w:type="paragraph" w:styleId="Index9">
    <w:name w:val="index 9"/>
    <w:basedOn w:val="Normal"/>
    <w:next w:val="Normal"/>
    <w:autoRedefine/>
    <w:semiHidden/>
    <w:pPr>
      <w:widowControl/>
      <w:spacing w:line="240" w:lineRule="auto"/>
      <w:ind w:left="2160" w:hanging="240"/>
    </w:pPr>
    <w:rPr>
      <w:rFonts w:eastAsia="Times New Roman" w:cs="Times New Roman"/>
    </w:rPr>
  </w:style>
  <w:style w:type="paragraph" w:styleId="IndexHeading">
    <w:name w:val="index heading"/>
    <w:basedOn w:val="Normal"/>
    <w:next w:val="Index1"/>
    <w:semiHidden/>
    <w:pPr>
      <w:widowControl/>
      <w:spacing w:line="240" w:lineRule="auto"/>
    </w:pPr>
    <w:rPr>
      <w:rFonts w:ascii="Arial" w:eastAsia="Times New Roman" w:hAnsi="Arial" w:cs="Times New Roman"/>
      <w:b/>
    </w:rPr>
  </w:style>
  <w:style w:type="paragraph" w:styleId="List">
    <w:name w:val="List"/>
    <w:basedOn w:val="Normal"/>
    <w:pPr>
      <w:widowControl/>
      <w:spacing w:line="240" w:lineRule="auto"/>
      <w:ind w:left="283" w:hanging="283"/>
    </w:pPr>
    <w:rPr>
      <w:rFonts w:eastAsia="Times New Roman" w:cs="Times New Roman"/>
    </w:rPr>
  </w:style>
  <w:style w:type="paragraph" w:styleId="List2">
    <w:name w:val="List 2"/>
    <w:basedOn w:val="Normal"/>
    <w:pPr>
      <w:widowControl/>
      <w:spacing w:line="240" w:lineRule="auto"/>
      <w:ind w:left="566" w:hanging="283"/>
    </w:pPr>
    <w:rPr>
      <w:rFonts w:eastAsia="Times New Roman" w:cs="Times New Roman"/>
    </w:rPr>
  </w:style>
  <w:style w:type="paragraph" w:styleId="List3">
    <w:name w:val="List 3"/>
    <w:basedOn w:val="Normal"/>
    <w:pPr>
      <w:widowControl/>
      <w:spacing w:line="240" w:lineRule="auto"/>
      <w:ind w:left="849" w:hanging="283"/>
    </w:pPr>
    <w:rPr>
      <w:rFonts w:eastAsia="Times New Roman" w:cs="Times New Roman"/>
    </w:rPr>
  </w:style>
  <w:style w:type="paragraph" w:styleId="List4">
    <w:name w:val="List 4"/>
    <w:basedOn w:val="Normal"/>
    <w:pPr>
      <w:widowControl/>
      <w:spacing w:line="240" w:lineRule="auto"/>
      <w:ind w:left="1132" w:hanging="283"/>
    </w:pPr>
    <w:rPr>
      <w:rFonts w:eastAsia="Times New Roman" w:cs="Times New Roman"/>
    </w:rPr>
  </w:style>
  <w:style w:type="paragraph" w:styleId="List5">
    <w:name w:val="List 5"/>
    <w:basedOn w:val="Normal"/>
    <w:pPr>
      <w:widowControl/>
      <w:spacing w:line="240" w:lineRule="auto"/>
      <w:ind w:left="1415" w:hanging="283"/>
    </w:pPr>
    <w:rPr>
      <w:rFonts w:eastAsia="Times New Roman" w:cs="Times New Roman"/>
    </w:rPr>
  </w:style>
  <w:style w:type="paragraph" w:styleId="ListBullet">
    <w:name w:val="List Bullet"/>
    <w:basedOn w:val="Normal"/>
    <w:pPr>
      <w:widowControl/>
      <w:numPr>
        <w:numId w:val="34"/>
      </w:numPr>
      <w:spacing w:line="240" w:lineRule="auto"/>
    </w:pPr>
    <w:rPr>
      <w:rFonts w:eastAsia="Times New Roman" w:cs="Times New Roman"/>
    </w:rPr>
  </w:style>
  <w:style w:type="paragraph" w:styleId="ListBullet2">
    <w:name w:val="List Bullet 2"/>
    <w:basedOn w:val="Text2"/>
    <w:pPr>
      <w:numPr>
        <w:numId w:val="36"/>
      </w:numPr>
      <w:tabs>
        <w:tab w:val="clear" w:pos="2160"/>
      </w:tabs>
    </w:pPr>
  </w:style>
  <w:style w:type="paragraph" w:styleId="ListBullet3">
    <w:name w:val="List Bullet 3"/>
    <w:basedOn w:val="Text3"/>
    <w:pPr>
      <w:numPr>
        <w:numId w:val="48"/>
      </w:numPr>
      <w:tabs>
        <w:tab w:val="clear" w:pos="2302"/>
      </w:tabs>
    </w:pPr>
  </w:style>
  <w:style w:type="paragraph" w:styleId="ListBullet4">
    <w:name w:val="List Bullet 4"/>
    <w:basedOn w:val="Text4"/>
    <w:pPr>
      <w:numPr>
        <w:numId w:val="37"/>
      </w:numPr>
    </w:pPr>
  </w:style>
  <w:style w:type="paragraph" w:styleId="ListBullet5">
    <w:name w:val="List Bullet 5"/>
    <w:basedOn w:val="Normal"/>
    <w:autoRedefine/>
    <w:pPr>
      <w:widowControl/>
      <w:numPr>
        <w:numId w:val="31"/>
      </w:numPr>
      <w:spacing w:line="240" w:lineRule="auto"/>
    </w:pPr>
    <w:rPr>
      <w:rFonts w:eastAsia="Times New Roman" w:cs="Times New Roman"/>
    </w:rPr>
  </w:style>
  <w:style w:type="paragraph" w:styleId="ListContinue">
    <w:name w:val="List Continue"/>
    <w:basedOn w:val="Normal"/>
    <w:pPr>
      <w:widowControl/>
      <w:spacing w:after="120" w:line="240" w:lineRule="auto"/>
      <w:ind w:left="283"/>
    </w:pPr>
    <w:rPr>
      <w:rFonts w:eastAsia="Times New Roman" w:cs="Times New Roman"/>
    </w:rPr>
  </w:style>
  <w:style w:type="paragraph" w:styleId="ListContinue2">
    <w:name w:val="List Continue 2"/>
    <w:basedOn w:val="Normal"/>
    <w:pPr>
      <w:widowControl/>
      <w:spacing w:after="120" w:line="240" w:lineRule="auto"/>
      <w:ind w:left="566"/>
    </w:pPr>
    <w:rPr>
      <w:rFonts w:eastAsia="Times New Roman" w:cs="Times New Roman"/>
    </w:rPr>
  </w:style>
  <w:style w:type="paragraph" w:styleId="ListContinue3">
    <w:name w:val="List Continue 3"/>
    <w:basedOn w:val="Normal"/>
    <w:pPr>
      <w:widowControl/>
      <w:spacing w:after="120" w:line="240" w:lineRule="auto"/>
      <w:ind w:left="849"/>
    </w:pPr>
    <w:rPr>
      <w:rFonts w:eastAsia="Times New Roman" w:cs="Times New Roman"/>
    </w:rPr>
  </w:style>
  <w:style w:type="paragraph" w:styleId="ListContinue4">
    <w:name w:val="List Continue 4"/>
    <w:basedOn w:val="Normal"/>
    <w:pPr>
      <w:widowControl/>
      <w:spacing w:after="120" w:line="240" w:lineRule="auto"/>
      <w:ind w:left="1132"/>
    </w:pPr>
    <w:rPr>
      <w:rFonts w:eastAsia="Times New Roman" w:cs="Times New Roman"/>
    </w:rPr>
  </w:style>
  <w:style w:type="paragraph" w:styleId="ListContinue5">
    <w:name w:val="List Continue 5"/>
    <w:basedOn w:val="Normal"/>
    <w:pPr>
      <w:widowControl/>
      <w:spacing w:after="120" w:line="240" w:lineRule="auto"/>
      <w:ind w:left="1415"/>
    </w:pPr>
    <w:rPr>
      <w:rFonts w:eastAsia="Times New Roman" w:cs="Times New Roman"/>
    </w:rPr>
  </w:style>
  <w:style w:type="paragraph" w:styleId="ListNumber">
    <w:name w:val="List Number"/>
    <w:basedOn w:val="Normal"/>
    <w:pPr>
      <w:widowControl/>
      <w:numPr>
        <w:numId w:val="43"/>
      </w:numPr>
      <w:spacing w:line="240" w:lineRule="auto"/>
    </w:pPr>
    <w:rPr>
      <w:rFonts w:eastAsia="Times New Roman" w:cs="Times New Roman"/>
    </w:rPr>
  </w:style>
  <w:style w:type="paragraph" w:styleId="ListNumber2">
    <w:name w:val="List Number 2"/>
    <w:basedOn w:val="Text2"/>
    <w:pPr>
      <w:tabs>
        <w:tab w:val="clear" w:pos="2160"/>
      </w:tabs>
      <w:ind w:left="0"/>
    </w:pPr>
  </w:style>
  <w:style w:type="paragraph" w:styleId="ListNumber3">
    <w:name w:val="List Number 3"/>
    <w:basedOn w:val="Text3"/>
    <w:pPr>
      <w:numPr>
        <w:numId w:val="46"/>
      </w:numPr>
      <w:tabs>
        <w:tab w:val="clear" w:pos="2302"/>
      </w:tabs>
    </w:pPr>
  </w:style>
  <w:style w:type="paragraph" w:styleId="ListNumber4">
    <w:name w:val="List Number 4"/>
    <w:basedOn w:val="Text4"/>
    <w:pPr>
      <w:numPr>
        <w:numId w:val="47"/>
      </w:numPr>
    </w:pPr>
  </w:style>
  <w:style w:type="paragraph" w:styleId="ListNumber5">
    <w:name w:val="List Number 5"/>
    <w:basedOn w:val="Normal"/>
    <w:pPr>
      <w:widowControl/>
      <w:numPr>
        <w:numId w:val="32"/>
      </w:numPr>
      <w:spacing w:line="240" w:lineRule="auto"/>
    </w:pPr>
    <w:rPr>
      <w:rFonts w:eastAsia="Times New Roman" w:cs="Times New Roman"/>
    </w:rPr>
  </w:style>
  <w:style w:type="paragraph" w:styleId="MacroText">
    <w:name w:val="macro"/>
    <w:link w:val="MacroTextChar"/>
    <w:semiHidden/>
    <w:pPr>
      <w:widowControl/>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rPr>
  </w:style>
  <w:style w:type="character" w:customStyle="1" w:styleId="MacroTextChar">
    <w:name w:val="Macro Text Char"/>
    <w:basedOn w:val="DefaultParagraphFont"/>
    <w:link w:val="MacroText"/>
    <w:semiHidden/>
    <w:rPr>
      <w:rFonts w:ascii="Courier New" w:eastAsia="Times New Roman" w:hAnsi="Courier New" w:cs="Times New Roman"/>
      <w:sz w:val="20"/>
    </w:rPr>
  </w:style>
  <w:style w:type="paragraph" w:styleId="MessageHeader">
    <w:name w:val="Message Header"/>
    <w:basedOn w:val="Normal"/>
    <w:link w:val="MessageHeaderChar"/>
    <w:pPr>
      <w:widowControl/>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Times New Roman"/>
    </w:rPr>
  </w:style>
  <w:style w:type="character" w:customStyle="1" w:styleId="MessageHeaderChar">
    <w:name w:val="Message Header Char"/>
    <w:basedOn w:val="DefaultParagraphFont"/>
    <w:link w:val="MessageHeader"/>
    <w:rPr>
      <w:rFonts w:ascii="Arial" w:eastAsia="Times New Roman" w:hAnsi="Arial" w:cs="Times New Roman"/>
      <w:sz w:val="24"/>
      <w:shd w:val="pct20" w:color="auto" w:fill="auto"/>
    </w:rPr>
  </w:style>
  <w:style w:type="paragraph" w:styleId="NormalIndent">
    <w:name w:val="Normal Indent"/>
    <w:basedOn w:val="Normal"/>
    <w:pPr>
      <w:widowControl/>
      <w:spacing w:line="240" w:lineRule="auto"/>
      <w:ind w:left="720"/>
    </w:pPr>
    <w:rPr>
      <w:rFonts w:eastAsia="Times New Roman" w:cs="Times New Roman"/>
    </w:rPr>
  </w:style>
  <w:style w:type="paragraph" w:styleId="NoteHeading">
    <w:name w:val="Note Heading"/>
    <w:basedOn w:val="Normal"/>
    <w:next w:val="Normal"/>
    <w:link w:val="NoteHeadingChar"/>
    <w:pPr>
      <w:widowControl/>
      <w:spacing w:line="240" w:lineRule="auto"/>
    </w:pPr>
    <w:rPr>
      <w:rFonts w:eastAsia="Times New Roman" w:cs="Times New Roman"/>
    </w:rPr>
  </w:style>
  <w:style w:type="character" w:customStyle="1" w:styleId="NoteHeadingChar">
    <w:name w:val="Note Heading Char"/>
    <w:basedOn w:val="DefaultParagraphFont"/>
    <w:link w:val="NoteHeading"/>
    <w:rPr>
      <w:rFonts w:ascii="Times New Roman" w:eastAsia="Times New Roman" w:hAnsi="Times New Roman" w:cs="Times New Roman"/>
      <w:sz w:val="24"/>
    </w:rPr>
  </w:style>
  <w:style w:type="paragraph" w:customStyle="1" w:styleId="NoteHead">
    <w:name w:val="NoteHead"/>
    <w:basedOn w:val="Normal"/>
    <w:next w:val="Subject"/>
    <w:pPr>
      <w:widowControl/>
      <w:spacing w:before="720" w:after="720" w:line="240" w:lineRule="auto"/>
      <w:jc w:val="center"/>
    </w:pPr>
    <w:rPr>
      <w:rFonts w:eastAsia="Times New Roman" w:cs="Times New Roman"/>
      <w:b/>
      <w:smallCaps/>
    </w:rPr>
  </w:style>
  <w:style w:type="paragraph" w:customStyle="1" w:styleId="Subject">
    <w:name w:val="Subject"/>
    <w:basedOn w:val="Normal"/>
    <w:next w:val="Normal"/>
    <w:pPr>
      <w:widowControl/>
      <w:spacing w:after="480" w:line="240" w:lineRule="auto"/>
      <w:ind w:left="1531" w:hanging="1531"/>
      <w:jc w:val="left"/>
    </w:pPr>
    <w:rPr>
      <w:rFonts w:eastAsia="Times New Roman" w:cs="Times New Roman"/>
      <w:b/>
    </w:rPr>
  </w:style>
  <w:style w:type="paragraph" w:customStyle="1" w:styleId="NoteList">
    <w:name w:val="NoteList"/>
    <w:basedOn w:val="Normal"/>
    <w:next w:val="Subject"/>
    <w:pPr>
      <w:widowControl/>
      <w:tabs>
        <w:tab w:val="left" w:pos="5823"/>
      </w:tabs>
      <w:spacing w:before="720" w:after="720" w:line="240" w:lineRule="auto"/>
      <w:ind w:left="5104" w:hanging="3119"/>
      <w:jc w:val="left"/>
    </w:pPr>
    <w:rPr>
      <w:rFonts w:eastAsia="Times New Roman" w:cs="Times New Roman"/>
      <w:b/>
      <w:smallCaps/>
    </w:rPr>
  </w:style>
  <w:style w:type="paragraph" w:customStyle="1" w:styleId="NumPar1">
    <w:name w:val="NumPar 1"/>
    <w:basedOn w:val="Heading1"/>
    <w:next w:val="Text1"/>
    <w:pPr>
      <w:keepNext w:val="0"/>
      <w:keepLines w:val="0"/>
      <w:spacing w:line="240" w:lineRule="auto"/>
      <w:ind w:left="432" w:hanging="432"/>
      <w:outlineLvl w:val="9"/>
    </w:pPr>
    <w:rPr>
      <w:rFonts w:ascii="Times New Roman" w:eastAsia="Times New Roman" w:hAnsi="Times New Roman" w:cs="Times New Roman"/>
      <w:b w:val="0"/>
      <w:sz w:val="24"/>
    </w:rPr>
  </w:style>
  <w:style w:type="paragraph" w:customStyle="1" w:styleId="NumPar2">
    <w:name w:val="NumPar 2"/>
    <w:basedOn w:val="Heading2"/>
    <w:next w:val="Text2"/>
    <w:pPr>
      <w:keepNext w:val="0"/>
      <w:keepLines w:val="0"/>
      <w:spacing w:line="240" w:lineRule="auto"/>
      <w:ind w:left="576" w:hanging="576"/>
      <w:outlineLvl w:val="9"/>
    </w:pPr>
    <w:rPr>
      <w:rFonts w:ascii="Times New Roman" w:eastAsia="Times New Roman" w:hAnsi="Times New Roman" w:cs="Times New Roman"/>
      <w:b w:val="0"/>
      <w:sz w:val="24"/>
    </w:rPr>
  </w:style>
  <w:style w:type="paragraph" w:customStyle="1" w:styleId="NumPar3">
    <w:name w:val="NumPar 3"/>
    <w:basedOn w:val="Heading3"/>
    <w:next w:val="Text3"/>
    <w:pPr>
      <w:keepNext w:val="0"/>
      <w:keepLines w:val="0"/>
      <w:spacing w:line="240" w:lineRule="auto"/>
      <w:outlineLvl w:val="9"/>
    </w:pPr>
    <w:rPr>
      <w:rFonts w:ascii="Times New Roman" w:eastAsia="Times New Roman" w:hAnsi="Times New Roman" w:cs="Times New Roman"/>
      <w:b w:val="0"/>
      <w:i w:val="0"/>
    </w:rPr>
  </w:style>
  <w:style w:type="paragraph" w:customStyle="1" w:styleId="NumPar4">
    <w:name w:val="NumPar 4"/>
    <w:basedOn w:val="Heading4"/>
    <w:next w:val="Text4"/>
    <w:pPr>
      <w:keepNext w:val="0"/>
      <w:keepLines w:val="0"/>
      <w:spacing w:before="0" w:after="240" w:line="240" w:lineRule="auto"/>
      <w:outlineLvl w:val="9"/>
    </w:pPr>
    <w:rPr>
      <w:rFonts w:ascii="Times New Roman" w:eastAsia="Times New Roman" w:hAnsi="Times New Roman" w:cs="Times New Roman"/>
      <w:i w:val="0"/>
    </w:rPr>
  </w:style>
  <w:style w:type="paragraph" w:styleId="PlainText">
    <w:name w:val="Plain Text"/>
    <w:basedOn w:val="Normal"/>
    <w:link w:val="PlainTextChar"/>
    <w:pPr>
      <w:widowControl/>
      <w:spacing w:line="240" w:lineRule="auto"/>
    </w:pPr>
    <w:rPr>
      <w:rFonts w:ascii="Courier New" w:eastAsia="Times New Roman" w:hAnsi="Courier New" w:cs="Times New Roman"/>
      <w:sz w:val="20"/>
    </w:rPr>
  </w:style>
  <w:style w:type="character" w:customStyle="1" w:styleId="PlainTextChar">
    <w:name w:val="Plain Text Char"/>
    <w:basedOn w:val="DefaultParagraphFont"/>
    <w:link w:val="PlainText"/>
    <w:rPr>
      <w:rFonts w:ascii="Courier New" w:eastAsia="Times New Roman" w:hAnsi="Courier New" w:cs="Times New Roman"/>
      <w:sz w:val="20"/>
    </w:rPr>
  </w:style>
  <w:style w:type="paragraph" w:styleId="Salutation">
    <w:name w:val="Salutation"/>
    <w:basedOn w:val="Normal"/>
    <w:next w:val="Normal"/>
    <w:link w:val="SalutationChar"/>
    <w:pPr>
      <w:widowControl/>
      <w:spacing w:line="240" w:lineRule="auto"/>
    </w:pPr>
    <w:rPr>
      <w:rFonts w:eastAsia="Times New Roman" w:cs="Times New Roman"/>
    </w:rPr>
  </w:style>
  <w:style w:type="character" w:customStyle="1" w:styleId="SalutationChar">
    <w:name w:val="Salutation Char"/>
    <w:basedOn w:val="DefaultParagraphFont"/>
    <w:link w:val="Salutation"/>
    <w:rPr>
      <w:rFonts w:ascii="Times New Roman" w:eastAsia="Times New Roman" w:hAnsi="Times New Roman" w:cs="Times New Roman"/>
      <w:sz w:val="24"/>
    </w:rPr>
  </w:style>
  <w:style w:type="paragraph" w:styleId="Subtitle">
    <w:name w:val="Subtitle"/>
    <w:basedOn w:val="Normal"/>
    <w:link w:val="SubtitleChar"/>
    <w:qFormat/>
    <w:pPr>
      <w:widowControl/>
      <w:spacing w:after="60" w:line="240" w:lineRule="auto"/>
      <w:jc w:val="center"/>
      <w:outlineLvl w:val="1"/>
    </w:pPr>
    <w:rPr>
      <w:rFonts w:ascii="Arial" w:eastAsia="Times New Roman" w:hAnsi="Arial" w:cs="Times New Roman"/>
    </w:rPr>
  </w:style>
  <w:style w:type="character" w:customStyle="1" w:styleId="SubtitleChar">
    <w:name w:val="Subtitle Char"/>
    <w:basedOn w:val="DefaultParagraphFont"/>
    <w:link w:val="Subtitle"/>
    <w:rPr>
      <w:rFonts w:ascii="Arial" w:eastAsia="Times New Roman" w:hAnsi="Arial" w:cs="Times New Roman"/>
      <w:sz w:val="24"/>
    </w:rPr>
  </w:style>
  <w:style w:type="paragraph" w:styleId="TableofAuthorities">
    <w:name w:val="table of authorities"/>
    <w:basedOn w:val="Normal"/>
    <w:next w:val="Normal"/>
    <w:semiHidden/>
    <w:pPr>
      <w:widowControl/>
      <w:spacing w:line="240" w:lineRule="auto"/>
      <w:ind w:left="240" w:hanging="240"/>
    </w:pPr>
    <w:rPr>
      <w:rFonts w:eastAsia="Times New Roman" w:cs="Times New Roman"/>
    </w:rPr>
  </w:style>
  <w:style w:type="paragraph" w:styleId="TableofFigures">
    <w:name w:val="table of figures"/>
    <w:basedOn w:val="Normal"/>
    <w:next w:val="Normal"/>
    <w:semiHidden/>
    <w:pPr>
      <w:widowControl/>
      <w:spacing w:line="240" w:lineRule="auto"/>
      <w:ind w:left="480" w:hanging="480"/>
    </w:pPr>
    <w:rPr>
      <w:rFonts w:eastAsia="Times New Roman" w:cs="Times New Roman"/>
    </w:rPr>
  </w:style>
  <w:style w:type="paragraph" w:styleId="Title">
    <w:name w:val="Title"/>
    <w:basedOn w:val="Normal"/>
    <w:link w:val="TitleChar"/>
    <w:qFormat/>
    <w:pPr>
      <w:widowControl/>
      <w:spacing w:before="240" w:after="60" w:line="240" w:lineRule="auto"/>
      <w:jc w:val="center"/>
      <w:outlineLvl w:val="0"/>
    </w:pPr>
    <w:rPr>
      <w:rFonts w:ascii="Arial" w:eastAsia="Times New Roman" w:hAnsi="Arial" w:cs="Times New Roman"/>
      <w:b/>
      <w:kern w:val="28"/>
      <w:sz w:val="32"/>
    </w:rPr>
  </w:style>
  <w:style w:type="character" w:customStyle="1" w:styleId="TitleChar">
    <w:name w:val="Title Char"/>
    <w:basedOn w:val="DefaultParagraphFont"/>
    <w:link w:val="Title"/>
    <w:rPr>
      <w:rFonts w:ascii="Arial" w:eastAsia="Times New Roman" w:hAnsi="Arial" w:cs="Times New Roman"/>
      <w:b/>
      <w:kern w:val="28"/>
      <w:sz w:val="32"/>
    </w:rPr>
  </w:style>
  <w:style w:type="paragraph" w:styleId="TOAHeading">
    <w:name w:val="toa heading"/>
    <w:basedOn w:val="Normal"/>
    <w:next w:val="Normal"/>
    <w:semiHidden/>
    <w:pPr>
      <w:widowControl/>
      <w:spacing w:before="120" w:line="240" w:lineRule="auto"/>
    </w:pPr>
    <w:rPr>
      <w:rFonts w:ascii="Arial" w:eastAsia="Times New Roman" w:hAnsi="Arial" w:cs="Times New Roman"/>
      <w:b/>
    </w:rPr>
  </w:style>
  <w:style w:type="paragraph" w:customStyle="1" w:styleId="YReferences">
    <w:name w:val="YReferences"/>
    <w:basedOn w:val="Normal"/>
    <w:next w:val="Normal"/>
    <w:pPr>
      <w:widowControl/>
      <w:spacing w:after="480" w:line="240" w:lineRule="auto"/>
      <w:ind w:left="1531" w:hanging="1531"/>
    </w:pPr>
    <w:rPr>
      <w:rFonts w:eastAsia="Times New Roman" w:cs="Times New Roman"/>
    </w:rPr>
  </w:style>
  <w:style w:type="paragraph" w:customStyle="1" w:styleId="ListBullet1">
    <w:name w:val="List Bullet 1"/>
    <w:basedOn w:val="Text1"/>
    <w:pPr>
      <w:numPr>
        <w:numId w:val="35"/>
      </w:numPr>
    </w:pPr>
  </w:style>
  <w:style w:type="paragraph" w:customStyle="1" w:styleId="ListDash">
    <w:name w:val="List Dash"/>
    <w:basedOn w:val="Normal"/>
    <w:pPr>
      <w:widowControl/>
      <w:numPr>
        <w:numId w:val="38"/>
      </w:numPr>
      <w:spacing w:line="240" w:lineRule="auto"/>
    </w:pPr>
    <w:rPr>
      <w:rFonts w:eastAsia="Times New Roman" w:cs="Times New Roman"/>
    </w:rPr>
  </w:style>
  <w:style w:type="paragraph" w:customStyle="1" w:styleId="ListDash1">
    <w:name w:val="List Dash 1"/>
    <w:basedOn w:val="Text1"/>
    <w:pPr>
      <w:numPr>
        <w:numId w:val="39"/>
      </w:numPr>
    </w:pPr>
  </w:style>
  <w:style w:type="paragraph" w:customStyle="1" w:styleId="ListDash2">
    <w:name w:val="List Dash 2"/>
    <w:basedOn w:val="Text2"/>
    <w:pPr>
      <w:tabs>
        <w:tab w:val="clear" w:pos="2160"/>
      </w:tabs>
      <w:ind w:left="0"/>
    </w:pPr>
  </w:style>
  <w:style w:type="paragraph" w:customStyle="1" w:styleId="ListDash3">
    <w:name w:val="List Dash 3"/>
    <w:basedOn w:val="Text3"/>
    <w:pPr>
      <w:numPr>
        <w:numId w:val="41"/>
      </w:numPr>
    </w:pPr>
  </w:style>
  <w:style w:type="paragraph" w:customStyle="1" w:styleId="ListDash4">
    <w:name w:val="List Dash 4"/>
    <w:basedOn w:val="Text4"/>
    <w:pPr>
      <w:numPr>
        <w:numId w:val="42"/>
      </w:numPr>
    </w:pPr>
  </w:style>
  <w:style w:type="paragraph" w:customStyle="1" w:styleId="ListNumberLevel2">
    <w:name w:val="List Number (Level 2)"/>
    <w:basedOn w:val="Normal"/>
    <w:pPr>
      <w:widowControl/>
      <w:numPr>
        <w:ilvl w:val="1"/>
        <w:numId w:val="43"/>
      </w:numPr>
      <w:spacing w:line="240" w:lineRule="auto"/>
    </w:pPr>
    <w:rPr>
      <w:rFonts w:eastAsia="Times New Roman" w:cs="Times New Roman"/>
    </w:rPr>
  </w:style>
  <w:style w:type="paragraph" w:customStyle="1" w:styleId="ListNumberLevel3">
    <w:name w:val="List Number (Level 3)"/>
    <w:basedOn w:val="Normal"/>
    <w:pPr>
      <w:widowControl/>
      <w:numPr>
        <w:ilvl w:val="2"/>
        <w:numId w:val="43"/>
      </w:numPr>
      <w:spacing w:line="240" w:lineRule="auto"/>
    </w:pPr>
    <w:rPr>
      <w:rFonts w:eastAsia="Times New Roman" w:cs="Times New Roman"/>
    </w:rPr>
  </w:style>
  <w:style w:type="paragraph" w:customStyle="1" w:styleId="ListNumberLevel4">
    <w:name w:val="List Number (Level 4)"/>
    <w:basedOn w:val="Normal"/>
    <w:pPr>
      <w:widowControl/>
      <w:numPr>
        <w:ilvl w:val="3"/>
        <w:numId w:val="43"/>
      </w:numPr>
      <w:spacing w:line="240" w:lineRule="auto"/>
    </w:pPr>
    <w:rPr>
      <w:rFonts w:eastAsia="Times New Roman" w:cs="Times New Roman"/>
    </w:rPr>
  </w:style>
  <w:style w:type="paragraph" w:customStyle="1" w:styleId="ListNumber1">
    <w:name w:val="List Number 1"/>
    <w:basedOn w:val="Text1"/>
    <w:pPr>
      <w:numPr>
        <w:numId w:val="44"/>
      </w:numPr>
    </w:pPr>
  </w:style>
  <w:style w:type="paragraph" w:customStyle="1" w:styleId="ListNumber1Level2">
    <w:name w:val="List Number 1 (Level 2)"/>
    <w:basedOn w:val="Text1"/>
    <w:pPr>
      <w:numPr>
        <w:ilvl w:val="1"/>
        <w:numId w:val="44"/>
      </w:numPr>
    </w:pPr>
  </w:style>
  <w:style w:type="paragraph" w:customStyle="1" w:styleId="ListNumber1Level3">
    <w:name w:val="List Number 1 (Level 3)"/>
    <w:basedOn w:val="Text1"/>
    <w:pPr>
      <w:numPr>
        <w:ilvl w:val="2"/>
        <w:numId w:val="44"/>
      </w:numPr>
    </w:pPr>
  </w:style>
  <w:style w:type="paragraph" w:customStyle="1" w:styleId="ListNumber1Level4">
    <w:name w:val="List Number 1 (Level 4)"/>
    <w:basedOn w:val="Text1"/>
    <w:pPr>
      <w:numPr>
        <w:ilvl w:val="3"/>
        <w:numId w:val="44"/>
      </w:numPr>
    </w:pPr>
  </w:style>
  <w:style w:type="paragraph" w:customStyle="1" w:styleId="ListNumber2Level2">
    <w:name w:val="List Number 2 (Level 2)"/>
    <w:basedOn w:val="Text2"/>
    <w:pPr>
      <w:numPr>
        <w:ilvl w:val="1"/>
        <w:numId w:val="45"/>
      </w:numPr>
      <w:tabs>
        <w:tab w:val="clear" w:pos="2160"/>
      </w:tabs>
    </w:pPr>
  </w:style>
  <w:style w:type="paragraph" w:customStyle="1" w:styleId="ListNumber2Level3">
    <w:name w:val="List Number 2 (Level 3)"/>
    <w:basedOn w:val="Text2"/>
    <w:pPr>
      <w:numPr>
        <w:ilvl w:val="2"/>
        <w:numId w:val="45"/>
      </w:numPr>
      <w:tabs>
        <w:tab w:val="clear" w:pos="2160"/>
      </w:tabs>
    </w:pPr>
  </w:style>
  <w:style w:type="paragraph" w:customStyle="1" w:styleId="ListNumber2Level4">
    <w:name w:val="List Number 2 (Level 4)"/>
    <w:basedOn w:val="Text2"/>
    <w:pPr>
      <w:numPr>
        <w:ilvl w:val="3"/>
        <w:numId w:val="45"/>
      </w:numPr>
      <w:tabs>
        <w:tab w:val="clear" w:pos="2160"/>
      </w:tabs>
    </w:pPr>
  </w:style>
  <w:style w:type="paragraph" w:customStyle="1" w:styleId="ListNumber3Level2">
    <w:name w:val="List Number 3 (Level 2)"/>
    <w:basedOn w:val="Text3"/>
    <w:pPr>
      <w:numPr>
        <w:ilvl w:val="1"/>
        <w:numId w:val="46"/>
      </w:numPr>
    </w:pPr>
  </w:style>
  <w:style w:type="paragraph" w:customStyle="1" w:styleId="ListNumber3Level3">
    <w:name w:val="List Number 3 (Level 3)"/>
    <w:basedOn w:val="Text3"/>
    <w:pPr>
      <w:numPr>
        <w:ilvl w:val="2"/>
        <w:numId w:val="46"/>
      </w:numPr>
    </w:pPr>
  </w:style>
  <w:style w:type="paragraph" w:customStyle="1" w:styleId="ListNumber3Level4">
    <w:name w:val="List Number 3 (Level 4)"/>
    <w:basedOn w:val="Text3"/>
    <w:pPr>
      <w:numPr>
        <w:ilvl w:val="3"/>
        <w:numId w:val="46"/>
      </w:numPr>
    </w:pPr>
  </w:style>
  <w:style w:type="paragraph" w:customStyle="1" w:styleId="ListNumber4Level2">
    <w:name w:val="List Number 4 (Level 2)"/>
    <w:basedOn w:val="Text4"/>
    <w:pPr>
      <w:numPr>
        <w:ilvl w:val="1"/>
        <w:numId w:val="47"/>
      </w:numPr>
    </w:pPr>
  </w:style>
  <w:style w:type="paragraph" w:customStyle="1" w:styleId="ListNumber4Level3">
    <w:name w:val="List Number 4 (Level 3)"/>
    <w:basedOn w:val="Text4"/>
    <w:pPr>
      <w:numPr>
        <w:ilvl w:val="2"/>
        <w:numId w:val="47"/>
      </w:numPr>
    </w:pPr>
  </w:style>
  <w:style w:type="paragraph" w:customStyle="1" w:styleId="ListNumber4Level4">
    <w:name w:val="List Number 4 (Level 4)"/>
    <w:basedOn w:val="Text4"/>
    <w:pPr>
      <w:numPr>
        <w:ilvl w:val="3"/>
        <w:numId w:val="47"/>
      </w:numPr>
    </w:pPr>
  </w:style>
  <w:style w:type="paragraph" w:customStyle="1" w:styleId="Contact">
    <w:name w:val="Contact"/>
    <w:basedOn w:val="Normal"/>
    <w:next w:val="Enclosures"/>
    <w:pPr>
      <w:widowControl/>
      <w:spacing w:before="480" w:after="0" w:line="240" w:lineRule="auto"/>
      <w:ind w:left="567" w:hanging="567"/>
      <w:jc w:val="left"/>
    </w:pPr>
    <w:rPr>
      <w:rFonts w:eastAsia="Times New Roman" w:cs="Times New Roman"/>
    </w:rPr>
  </w:style>
  <w:style w:type="paragraph" w:customStyle="1" w:styleId="DisclaimerNotice">
    <w:name w:val="Disclaimer Notice"/>
    <w:basedOn w:val="Normal"/>
    <w:next w:val="AddressTR"/>
    <w:pPr>
      <w:widowControl/>
      <w:spacing w:line="240" w:lineRule="auto"/>
      <w:ind w:left="5103"/>
      <w:jc w:val="left"/>
    </w:pPr>
    <w:rPr>
      <w:rFonts w:eastAsia="Times New Roman" w:cs="Times New Roman"/>
      <w:i/>
      <w:sz w:val="20"/>
    </w:rPr>
  </w:style>
  <w:style w:type="paragraph" w:customStyle="1" w:styleId="Disclaimer">
    <w:name w:val="Disclaimer"/>
    <w:basedOn w:val="Normal"/>
    <w:pPr>
      <w:keepLines/>
      <w:widowControl/>
      <w:pBdr>
        <w:top w:val="single" w:sz="4" w:space="1" w:color="auto"/>
      </w:pBdr>
      <w:spacing w:before="480" w:after="0" w:line="240" w:lineRule="auto"/>
    </w:pPr>
    <w:rPr>
      <w:rFonts w:eastAsia="Times New Roman" w:cs="Times New Roman"/>
      <w:i/>
    </w:rPr>
  </w:style>
  <w:style w:type="character" w:styleId="FollowedHyperlink">
    <w:name w:val="FollowedHyperlink"/>
    <w:rPr>
      <w:color w:val="800080"/>
      <w:u w:val="single"/>
    </w:rPr>
  </w:style>
  <w:style w:type="paragraph" w:customStyle="1" w:styleId="DisclaimerSJ">
    <w:name w:val="Disclaimer_SJ"/>
    <w:basedOn w:val="Normal"/>
    <w:next w:val="Normal"/>
    <w:pPr>
      <w:widowControl/>
      <w:spacing w:after="0" w:line="240" w:lineRule="auto"/>
    </w:pPr>
    <w:rPr>
      <w:rFonts w:ascii="Arial" w:eastAsia="Times New Roman" w:hAnsi="Arial" w:cs="Times New Roman"/>
      <w:b/>
      <w:sz w:val="16"/>
    </w:rPr>
  </w:style>
  <w:style w:type="paragraph" w:customStyle="1" w:styleId="ZCom">
    <w:name w:val="Z_Com"/>
    <w:basedOn w:val="Normal"/>
    <w:next w:val="ZDGName"/>
    <w:pPr>
      <w:autoSpaceDE w:val="0"/>
      <w:autoSpaceDN w:val="0"/>
      <w:spacing w:after="0" w:line="240" w:lineRule="auto"/>
      <w:ind w:right="85"/>
    </w:pPr>
    <w:rPr>
      <w:rFonts w:ascii="Arial" w:eastAsia="Times New Roman" w:hAnsi="Arial" w:cs="Arial"/>
    </w:rPr>
  </w:style>
  <w:style w:type="paragraph" w:customStyle="1" w:styleId="ZDGName">
    <w:name w:val="Z_DGName"/>
    <w:basedOn w:val="Normal"/>
    <w:pPr>
      <w:autoSpaceDE w:val="0"/>
      <w:autoSpaceDN w:val="0"/>
      <w:spacing w:after="0" w:line="240" w:lineRule="auto"/>
      <w:ind w:right="85"/>
      <w:jc w:val="left"/>
    </w:pPr>
    <w:rPr>
      <w:rFonts w:ascii="Arial" w:eastAsia="Times New Roman" w:hAnsi="Arial" w:cs="Arial"/>
      <w:sz w:val="16"/>
    </w:rPr>
  </w:style>
  <w:style w:type="table" w:styleId="TableGrid">
    <w:name w:val="Table Grid"/>
    <w:basedOn w:val="TableNormal"/>
    <w:pPr>
      <w:widowControl/>
      <w:spacing w:after="240" w:line="360" w:lineRule="auto"/>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line="240" w:lineRule="auto"/>
      <w:jc w:val="left"/>
    </w:pPr>
    <w:rPr>
      <w:rFonts w:eastAsia="Times New Roman" w:cs="Times New Roman"/>
    </w:rPr>
  </w:style>
  <w:style w:type="paragraph" w:customStyle="1" w:styleId="CharCharCharChar">
    <w:name w:val="Char Char Char Char"/>
    <w:basedOn w:val="Normal"/>
    <w:pPr>
      <w:widowControl/>
      <w:spacing w:after="160" w:line="240" w:lineRule="exact"/>
      <w:jc w:val="left"/>
    </w:pPr>
    <w:rPr>
      <w:rFonts w:ascii="Tahoma" w:eastAsia="Times New Roman" w:hAnsi="Tahoma" w:cs="Times New Roman"/>
      <w:sz w:val="20"/>
    </w:rPr>
  </w:style>
  <w:style w:type="paragraph" w:customStyle="1" w:styleId="CharCharCharCharCharCharCharCharChar">
    <w:name w:val="Char Char Char Char Char Char Char Char Char"/>
    <w:basedOn w:val="Normal"/>
    <w:pPr>
      <w:widowControl/>
      <w:spacing w:after="160" w:line="240" w:lineRule="exact"/>
      <w:jc w:val="left"/>
    </w:pPr>
    <w:rPr>
      <w:rFonts w:ascii="Tahoma" w:eastAsia="Times New Roman" w:hAnsi="Tahoma" w:cs="Times New Roman"/>
      <w:sz w:val="20"/>
    </w:rPr>
  </w:style>
  <w:style w:type="character" w:customStyle="1" w:styleId="Text1Char">
    <w:name w:val="Text 1 Char"/>
    <w:link w:val="Text1"/>
    <w:rPr>
      <w:rFonts w:ascii="Times New Roman" w:eastAsia="Times New Roman" w:hAnsi="Times New Roman" w:cs="Times New Roman"/>
      <w:sz w:val="24"/>
    </w:rPr>
  </w:style>
  <w:style w:type="character" w:customStyle="1" w:styleId="CharacterStyle1">
    <w:name w:val="Character Style 1"/>
    <w:rPr>
      <w:sz w:val="24"/>
    </w:rPr>
  </w:style>
  <w:style w:type="character" w:styleId="Emphasis">
    <w:name w:val="Emphasis"/>
    <w:qFormat/>
    <w:rPr>
      <w:i/>
    </w:rPr>
  </w:style>
  <w:style w:type="paragraph" w:styleId="Revision">
    <w:name w:val="Revision"/>
    <w:hidden/>
    <w:uiPriority w:val="99"/>
    <w:semiHidden/>
    <w:pPr>
      <w:widowControl/>
      <w:spacing w:after="0" w:line="240" w:lineRule="auto"/>
    </w:pPr>
    <w:rPr>
      <w:rFonts w:ascii="Times New Roman" w:eastAsia="Times New Roman" w:hAnsi="Times New Roman" w:cs="Times New Roman"/>
      <w:sz w:val="24"/>
    </w:rPr>
  </w:style>
  <w:style w:type="character" w:styleId="CommentReference">
    <w:name w:val="annotation reference"/>
    <w:uiPriority w:val="99"/>
    <w:rPr>
      <w:sz w:val="16"/>
    </w:rPr>
  </w:style>
  <w:style w:type="paragraph" w:styleId="CommentSubject">
    <w:name w:val="annotation subject"/>
    <w:basedOn w:val="CommentText"/>
    <w:next w:val="CommentText"/>
    <w:link w:val="CommentSubjectChar"/>
    <w:rPr>
      <w:b/>
    </w:rPr>
  </w:style>
  <w:style w:type="character" w:customStyle="1" w:styleId="CommentSubjectChar">
    <w:name w:val="Comment Subject Char"/>
    <w:basedOn w:val="CommentTextChar"/>
    <w:link w:val="CommentSubject"/>
    <w:rPr>
      <w:rFonts w:ascii="Times New Roman" w:eastAsia="Times New Roman" w:hAnsi="Times New Roman" w:cs="Times New Roman"/>
      <w:b/>
      <w:sz w:val="20"/>
    </w:rPr>
  </w:style>
  <w:style w:type="character" w:customStyle="1" w:styleId="Bodytext2Bold">
    <w:name w:val="Body text (2) + Bold"/>
    <w:basedOn w:val="DefaultParagraphFont"/>
    <w:rPr>
      <w:rFonts w:ascii="Times New Roman" w:eastAsia="Times New Roman" w:hAnsi="Times New Roman" w:cs="Times New Roman"/>
      <w:b/>
      <w:i w:val="0"/>
      <w:iCs w:val="0"/>
      <w:smallCaps w:val="0"/>
      <w:strike w:val="0"/>
      <w:spacing w:val="0"/>
      <w:w w:val="100"/>
      <w:position w:val="0"/>
      <w:sz w:val="24"/>
      <w:u w:val="none"/>
    </w:rPr>
  </w:style>
  <w:style w:type="character" w:customStyle="1" w:styleId="Bodytext20">
    <w:name w:val="Body text (2)"/>
    <w:basedOn w:val="DefaultParagraphFont"/>
    <w:rPr>
      <w:rFonts w:ascii="Times New Roman" w:eastAsia="Times New Roman" w:hAnsi="Times New Roman" w:cs="Times New Roman"/>
      <w:b w:val="0"/>
      <w:bCs w:val="0"/>
      <w:i w:val="0"/>
      <w:iCs w:val="0"/>
      <w:smallCaps w:val="0"/>
      <w:strike w:val="0"/>
      <w:spacing w:val="0"/>
      <w:w w:val="100"/>
      <w:position w:val="0"/>
      <w:sz w:val="24"/>
      <w:u w:val="none"/>
    </w:rPr>
  </w:style>
  <w:style w:type="paragraph" w:customStyle="1" w:styleId="TextBody">
    <w:name w:val="Text Body"/>
    <w:basedOn w:val="Normal"/>
    <w:pPr>
      <w:widowControl/>
      <w:suppressAutoHyphens/>
      <w:overflowPunct w:val="0"/>
      <w:spacing w:after="140" w:line="288" w:lineRule="auto"/>
      <w:jc w:val="left"/>
    </w:pPr>
    <w:rPr>
      <w:rFonts w:ascii="Calibri" w:eastAsia="Droid Sans Fallback" w:hAnsi="Calibri" w:cs="Calibri"/>
      <w:color w:val="00000A"/>
      <w:sz w:val="22"/>
    </w:rPr>
  </w:style>
  <w:style w:type="character" w:customStyle="1" w:styleId="InternetLink">
    <w:name w:val="Internet Link"/>
    <w:rPr>
      <w:color w:val="000080"/>
      <w:u w:val="single"/>
    </w:rPr>
  </w:style>
  <w:style w:type="character" w:customStyle="1" w:styleId="StrongEmphasis">
    <w:name w:val="Strong Emphasis"/>
    <w:rPr>
      <w:b/>
    </w:rPr>
  </w:style>
  <w:style w:type="paragraph" w:customStyle="1" w:styleId="TitoloecontenutoLTGliederung1">
    <w:name w:val="Titolo e contenuto~LT~Gliederung 1"/>
    <w:pPr>
      <w:widowControl/>
      <w:suppressAutoHyphens/>
      <w:spacing w:after="283" w:line="254" w:lineRule="auto"/>
    </w:pPr>
    <w:rPr>
      <w:rFonts w:ascii="FreeSans" w:eastAsia="DejaVu Sans" w:hAnsi="FreeSans" w:cs="Liberation Sans"/>
      <w:sz w:val="64"/>
    </w:rPr>
  </w:style>
  <w:style w:type="paragraph" w:customStyle="1" w:styleId="paragraph">
    <w:name w:val="paragraph"/>
    <w:basedOn w:val="Normal"/>
    <w:pPr>
      <w:widowControl/>
      <w:spacing w:before="100" w:beforeAutospacing="1" w:after="100" w:afterAutospacing="1" w:line="240" w:lineRule="auto"/>
      <w:jc w:val="left"/>
    </w:pPr>
    <w:rPr>
      <w:rFonts w:eastAsia="Times New Roman" w:cs="Times New Roman"/>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uperscript">
    <w:name w:val="superscript"/>
    <w:basedOn w:val="DefaultParagraphFont"/>
  </w:style>
  <w:style w:type="character" w:customStyle="1" w:styleId="findhit">
    <w:name w:val="findhit"/>
    <w:basedOn w:val="DefaultParagraphFont"/>
  </w:style>
  <w:style w:type="character" w:customStyle="1" w:styleId="EYNormalChar">
    <w:name w:val="EY Normal Char"/>
    <w:basedOn w:val="DefaultParagraphFont"/>
    <w:link w:val="EYNormal"/>
    <w:locked/>
    <w:rPr>
      <w:rFonts w:cs="Arial"/>
      <w:kern w:val="12"/>
    </w:rPr>
  </w:style>
  <w:style w:type="paragraph" w:customStyle="1" w:styleId="EYNormal">
    <w:name w:val="EY Normal"/>
    <w:link w:val="EYNormalChar"/>
    <w:pPr>
      <w:widowControl/>
      <w:spacing w:after="0" w:line="240" w:lineRule="auto"/>
    </w:pPr>
    <w:rPr>
      <w:rFonts w:cs="Arial"/>
      <w:kern w:val="12"/>
    </w:rPr>
  </w:style>
  <w:style w:type="paragraph" w:customStyle="1" w:styleId="EYBulletedList1">
    <w:name w:val="EY Bulleted List 1"/>
    <w:pPr>
      <w:widowControl/>
      <w:numPr>
        <w:numId w:val="112"/>
      </w:numPr>
      <w:spacing w:after="0" w:line="240" w:lineRule="auto"/>
    </w:pPr>
    <w:rPr>
      <w:rFonts w:eastAsia="Times New Roman" w:cs="Times New Roman"/>
      <w:kern w:val="12"/>
      <w:sz w:val="20"/>
    </w:rPr>
  </w:style>
  <w:style w:type="paragraph" w:customStyle="1" w:styleId="EYBulletedList2">
    <w:name w:val="EY Bulleted List 2"/>
    <w:pPr>
      <w:widowControl/>
      <w:numPr>
        <w:ilvl w:val="1"/>
        <w:numId w:val="112"/>
      </w:numPr>
      <w:spacing w:after="0" w:line="240" w:lineRule="auto"/>
    </w:pPr>
    <w:rPr>
      <w:rFonts w:eastAsia="Times New Roman" w:cs="Times New Roman"/>
      <w:kern w:val="12"/>
      <w:sz w:val="20"/>
    </w:rPr>
  </w:style>
  <w:style w:type="paragraph" w:customStyle="1" w:styleId="EYBulletedList3">
    <w:name w:val="EY Bulleted List 3"/>
    <w:pPr>
      <w:widowControl/>
      <w:numPr>
        <w:ilvl w:val="2"/>
        <w:numId w:val="112"/>
      </w:numPr>
      <w:spacing w:after="0" w:line="240" w:lineRule="auto"/>
    </w:pPr>
    <w:rPr>
      <w:rFonts w:eastAsia="Times New Roman" w:cs="Times New Roman"/>
      <w:kern w:val="12"/>
      <w:sz w:val="20"/>
    </w:rPr>
  </w:style>
  <w:style w:type="paragraph" w:customStyle="1" w:styleId="EYHeading1">
    <w:name w:val="EY Heading 1"/>
    <w:basedOn w:val="EYNormal"/>
    <w:next w:val="EYNormal"/>
    <w:pPr>
      <w:pageBreakBefore/>
      <w:numPr>
        <w:numId w:val="113"/>
      </w:numPr>
      <w:spacing w:after="360"/>
      <w:outlineLvl w:val="0"/>
    </w:pPr>
    <w:rPr>
      <w:color w:val="F6F5EF" w:themeColor="background2" w:themeTint="80"/>
      <w:sz w:val="32"/>
    </w:rPr>
  </w:style>
  <w:style w:type="paragraph" w:customStyle="1" w:styleId="EYHeading2">
    <w:name w:val="EY Heading 2"/>
    <w:basedOn w:val="EYHeading1"/>
    <w:next w:val="EYNormal"/>
    <w:pPr>
      <w:keepNext/>
      <w:pageBreakBefore w:val="0"/>
      <w:numPr>
        <w:ilvl w:val="1"/>
      </w:numPr>
      <w:spacing w:before="120" w:after="120"/>
      <w:outlineLvl w:val="1"/>
    </w:pPr>
    <w:rPr>
      <w:sz w:val="28"/>
    </w:rPr>
  </w:style>
  <w:style w:type="paragraph" w:customStyle="1" w:styleId="EYHeading3">
    <w:name w:val="EY Heading 3"/>
    <w:basedOn w:val="EYHeading1"/>
    <w:next w:val="EYNormal"/>
    <w:pPr>
      <w:keepNext/>
      <w:pageBreakBefore w:val="0"/>
      <w:numPr>
        <w:ilvl w:val="2"/>
      </w:numPr>
      <w:spacing w:before="120" w:after="120"/>
      <w:outlineLvl w:val="2"/>
    </w:pPr>
    <w:rPr>
      <w:sz w:val="26"/>
    </w:rPr>
  </w:style>
  <w:style w:type="paragraph" w:customStyle="1" w:styleId="EYHeading4">
    <w:name w:val="EY Heading 4"/>
    <w:basedOn w:val="EYHeading3"/>
    <w:next w:val="EYNormal"/>
    <w:pPr>
      <w:numPr>
        <w:ilvl w:val="3"/>
      </w:numPr>
      <w:outlineLvl w:val="3"/>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853">
      <w:bodyDiv w:val="1"/>
      <w:marLeft w:val="0"/>
      <w:marRight w:val="0"/>
      <w:marTop w:val="0"/>
      <w:marBottom w:val="0"/>
      <w:divBdr>
        <w:top w:val="none" w:sz="0" w:space="0" w:color="auto"/>
        <w:left w:val="none" w:sz="0" w:space="0" w:color="auto"/>
        <w:bottom w:val="none" w:sz="0" w:space="0" w:color="auto"/>
        <w:right w:val="none" w:sz="0" w:space="0" w:color="auto"/>
      </w:divBdr>
    </w:div>
    <w:div w:id="30306364">
      <w:bodyDiv w:val="1"/>
      <w:marLeft w:val="0"/>
      <w:marRight w:val="0"/>
      <w:marTop w:val="0"/>
      <w:marBottom w:val="0"/>
      <w:divBdr>
        <w:top w:val="none" w:sz="0" w:space="0" w:color="auto"/>
        <w:left w:val="none" w:sz="0" w:space="0" w:color="auto"/>
        <w:bottom w:val="none" w:sz="0" w:space="0" w:color="auto"/>
        <w:right w:val="none" w:sz="0" w:space="0" w:color="auto"/>
      </w:divBdr>
      <w:divsChild>
        <w:div w:id="119887584">
          <w:marLeft w:val="547"/>
          <w:marRight w:val="0"/>
          <w:marTop w:val="154"/>
          <w:marBottom w:val="100"/>
          <w:divBdr>
            <w:top w:val="none" w:sz="0" w:space="0" w:color="auto"/>
            <w:left w:val="none" w:sz="0" w:space="0" w:color="auto"/>
            <w:bottom w:val="none" w:sz="0" w:space="0" w:color="auto"/>
            <w:right w:val="none" w:sz="0" w:space="0" w:color="auto"/>
          </w:divBdr>
        </w:div>
      </w:divsChild>
    </w:div>
    <w:div w:id="41370615">
      <w:bodyDiv w:val="1"/>
      <w:marLeft w:val="0"/>
      <w:marRight w:val="0"/>
      <w:marTop w:val="0"/>
      <w:marBottom w:val="0"/>
      <w:divBdr>
        <w:top w:val="none" w:sz="0" w:space="0" w:color="auto"/>
        <w:left w:val="none" w:sz="0" w:space="0" w:color="auto"/>
        <w:bottom w:val="none" w:sz="0" w:space="0" w:color="auto"/>
        <w:right w:val="none" w:sz="0" w:space="0" w:color="auto"/>
      </w:divBdr>
    </w:div>
    <w:div w:id="53240611">
      <w:bodyDiv w:val="1"/>
      <w:marLeft w:val="0"/>
      <w:marRight w:val="0"/>
      <w:marTop w:val="0"/>
      <w:marBottom w:val="0"/>
      <w:divBdr>
        <w:top w:val="none" w:sz="0" w:space="0" w:color="auto"/>
        <w:left w:val="none" w:sz="0" w:space="0" w:color="auto"/>
        <w:bottom w:val="none" w:sz="0" w:space="0" w:color="auto"/>
        <w:right w:val="none" w:sz="0" w:space="0" w:color="auto"/>
      </w:divBdr>
    </w:div>
    <w:div w:id="194853847">
      <w:bodyDiv w:val="1"/>
      <w:marLeft w:val="0"/>
      <w:marRight w:val="0"/>
      <w:marTop w:val="0"/>
      <w:marBottom w:val="0"/>
      <w:divBdr>
        <w:top w:val="none" w:sz="0" w:space="0" w:color="auto"/>
        <w:left w:val="none" w:sz="0" w:space="0" w:color="auto"/>
        <w:bottom w:val="none" w:sz="0" w:space="0" w:color="auto"/>
        <w:right w:val="none" w:sz="0" w:space="0" w:color="auto"/>
      </w:divBdr>
    </w:div>
    <w:div w:id="229730756">
      <w:bodyDiv w:val="1"/>
      <w:marLeft w:val="0"/>
      <w:marRight w:val="0"/>
      <w:marTop w:val="0"/>
      <w:marBottom w:val="0"/>
      <w:divBdr>
        <w:top w:val="none" w:sz="0" w:space="0" w:color="auto"/>
        <w:left w:val="none" w:sz="0" w:space="0" w:color="auto"/>
        <w:bottom w:val="none" w:sz="0" w:space="0" w:color="auto"/>
        <w:right w:val="none" w:sz="0" w:space="0" w:color="auto"/>
      </w:divBdr>
    </w:div>
    <w:div w:id="618533091">
      <w:bodyDiv w:val="1"/>
      <w:marLeft w:val="0"/>
      <w:marRight w:val="0"/>
      <w:marTop w:val="0"/>
      <w:marBottom w:val="0"/>
      <w:divBdr>
        <w:top w:val="none" w:sz="0" w:space="0" w:color="auto"/>
        <w:left w:val="none" w:sz="0" w:space="0" w:color="auto"/>
        <w:bottom w:val="none" w:sz="0" w:space="0" w:color="auto"/>
        <w:right w:val="none" w:sz="0" w:space="0" w:color="auto"/>
      </w:divBdr>
      <w:divsChild>
        <w:div w:id="46465445">
          <w:marLeft w:val="1166"/>
          <w:marRight w:val="0"/>
          <w:marTop w:val="96"/>
          <w:marBottom w:val="0"/>
          <w:divBdr>
            <w:top w:val="none" w:sz="0" w:space="0" w:color="auto"/>
            <w:left w:val="none" w:sz="0" w:space="0" w:color="auto"/>
            <w:bottom w:val="none" w:sz="0" w:space="0" w:color="auto"/>
            <w:right w:val="none" w:sz="0" w:space="0" w:color="auto"/>
          </w:divBdr>
        </w:div>
        <w:div w:id="1477187038">
          <w:marLeft w:val="1166"/>
          <w:marRight w:val="0"/>
          <w:marTop w:val="96"/>
          <w:marBottom w:val="0"/>
          <w:divBdr>
            <w:top w:val="none" w:sz="0" w:space="0" w:color="auto"/>
            <w:left w:val="none" w:sz="0" w:space="0" w:color="auto"/>
            <w:bottom w:val="none" w:sz="0" w:space="0" w:color="auto"/>
            <w:right w:val="none" w:sz="0" w:space="0" w:color="auto"/>
          </w:divBdr>
        </w:div>
        <w:div w:id="1876187290">
          <w:marLeft w:val="547"/>
          <w:marRight w:val="0"/>
          <w:marTop w:val="115"/>
          <w:marBottom w:val="0"/>
          <w:divBdr>
            <w:top w:val="none" w:sz="0" w:space="0" w:color="auto"/>
            <w:left w:val="none" w:sz="0" w:space="0" w:color="auto"/>
            <w:bottom w:val="none" w:sz="0" w:space="0" w:color="auto"/>
            <w:right w:val="none" w:sz="0" w:space="0" w:color="auto"/>
          </w:divBdr>
        </w:div>
        <w:div w:id="1906642796">
          <w:marLeft w:val="1166"/>
          <w:marRight w:val="0"/>
          <w:marTop w:val="96"/>
          <w:marBottom w:val="0"/>
          <w:divBdr>
            <w:top w:val="none" w:sz="0" w:space="0" w:color="auto"/>
            <w:left w:val="none" w:sz="0" w:space="0" w:color="auto"/>
            <w:bottom w:val="none" w:sz="0" w:space="0" w:color="auto"/>
            <w:right w:val="none" w:sz="0" w:space="0" w:color="auto"/>
          </w:divBdr>
        </w:div>
      </w:divsChild>
    </w:div>
    <w:div w:id="737827191">
      <w:bodyDiv w:val="1"/>
      <w:marLeft w:val="0"/>
      <w:marRight w:val="0"/>
      <w:marTop w:val="0"/>
      <w:marBottom w:val="0"/>
      <w:divBdr>
        <w:top w:val="none" w:sz="0" w:space="0" w:color="auto"/>
        <w:left w:val="none" w:sz="0" w:space="0" w:color="auto"/>
        <w:bottom w:val="none" w:sz="0" w:space="0" w:color="auto"/>
        <w:right w:val="none" w:sz="0" w:space="0" w:color="auto"/>
      </w:divBdr>
    </w:div>
    <w:div w:id="1121875024">
      <w:bodyDiv w:val="1"/>
      <w:marLeft w:val="0"/>
      <w:marRight w:val="0"/>
      <w:marTop w:val="0"/>
      <w:marBottom w:val="0"/>
      <w:divBdr>
        <w:top w:val="none" w:sz="0" w:space="0" w:color="auto"/>
        <w:left w:val="none" w:sz="0" w:space="0" w:color="auto"/>
        <w:bottom w:val="none" w:sz="0" w:space="0" w:color="auto"/>
        <w:right w:val="none" w:sz="0" w:space="0" w:color="auto"/>
      </w:divBdr>
    </w:div>
    <w:div w:id="1331326650">
      <w:bodyDiv w:val="1"/>
      <w:marLeft w:val="0"/>
      <w:marRight w:val="0"/>
      <w:marTop w:val="0"/>
      <w:marBottom w:val="0"/>
      <w:divBdr>
        <w:top w:val="none" w:sz="0" w:space="0" w:color="auto"/>
        <w:left w:val="none" w:sz="0" w:space="0" w:color="auto"/>
        <w:bottom w:val="none" w:sz="0" w:space="0" w:color="auto"/>
        <w:right w:val="none" w:sz="0" w:space="0" w:color="auto"/>
      </w:divBdr>
      <w:divsChild>
        <w:div w:id="1998069257">
          <w:marLeft w:val="0"/>
          <w:marRight w:val="0"/>
          <w:marTop w:val="75"/>
          <w:marBottom w:val="0"/>
          <w:divBdr>
            <w:top w:val="none" w:sz="0" w:space="0" w:color="auto"/>
            <w:left w:val="none" w:sz="0" w:space="0" w:color="auto"/>
            <w:bottom w:val="none" w:sz="0" w:space="0" w:color="auto"/>
            <w:right w:val="none" w:sz="0" w:space="0" w:color="auto"/>
          </w:divBdr>
          <w:divsChild>
            <w:div w:id="703796322">
              <w:marLeft w:val="0"/>
              <w:marRight w:val="0"/>
              <w:marTop w:val="0"/>
              <w:marBottom w:val="0"/>
              <w:divBdr>
                <w:top w:val="none" w:sz="0" w:space="0" w:color="auto"/>
                <w:left w:val="none" w:sz="0" w:space="0" w:color="auto"/>
                <w:bottom w:val="none" w:sz="0" w:space="0" w:color="auto"/>
                <w:right w:val="none" w:sz="0" w:space="0" w:color="auto"/>
              </w:divBdr>
              <w:divsChild>
                <w:div w:id="1074089493">
                  <w:marLeft w:val="0"/>
                  <w:marRight w:val="0"/>
                  <w:marTop w:val="0"/>
                  <w:marBottom w:val="0"/>
                  <w:divBdr>
                    <w:top w:val="none" w:sz="0" w:space="0" w:color="auto"/>
                    <w:left w:val="none" w:sz="0" w:space="0" w:color="auto"/>
                    <w:bottom w:val="none" w:sz="0" w:space="0" w:color="auto"/>
                    <w:right w:val="none" w:sz="0" w:space="0" w:color="auto"/>
                  </w:divBdr>
                  <w:divsChild>
                    <w:div w:id="1787234610">
                      <w:marLeft w:val="0"/>
                      <w:marRight w:val="0"/>
                      <w:marTop w:val="0"/>
                      <w:marBottom w:val="0"/>
                      <w:divBdr>
                        <w:top w:val="none" w:sz="0" w:space="0" w:color="auto"/>
                        <w:left w:val="none" w:sz="0" w:space="0" w:color="auto"/>
                        <w:bottom w:val="none" w:sz="0" w:space="0" w:color="auto"/>
                        <w:right w:val="none" w:sz="0" w:space="0" w:color="auto"/>
                      </w:divBdr>
                      <w:divsChild>
                        <w:div w:id="79830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371556">
      <w:bodyDiv w:val="1"/>
      <w:marLeft w:val="0"/>
      <w:marRight w:val="0"/>
      <w:marTop w:val="0"/>
      <w:marBottom w:val="0"/>
      <w:divBdr>
        <w:top w:val="none" w:sz="0" w:space="0" w:color="auto"/>
        <w:left w:val="none" w:sz="0" w:space="0" w:color="auto"/>
        <w:bottom w:val="none" w:sz="0" w:space="0" w:color="auto"/>
        <w:right w:val="none" w:sz="0" w:space="0" w:color="auto"/>
      </w:divBdr>
    </w:div>
    <w:div w:id="1373841604">
      <w:bodyDiv w:val="1"/>
      <w:marLeft w:val="0"/>
      <w:marRight w:val="0"/>
      <w:marTop w:val="0"/>
      <w:marBottom w:val="0"/>
      <w:divBdr>
        <w:top w:val="none" w:sz="0" w:space="0" w:color="auto"/>
        <w:left w:val="none" w:sz="0" w:space="0" w:color="auto"/>
        <w:bottom w:val="none" w:sz="0" w:space="0" w:color="auto"/>
        <w:right w:val="none" w:sz="0" w:space="0" w:color="auto"/>
      </w:divBdr>
    </w:div>
    <w:div w:id="1382440587">
      <w:bodyDiv w:val="1"/>
      <w:marLeft w:val="0"/>
      <w:marRight w:val="0"/>
      <w:marTop w:val="0"/>
      <w:marBottom w:val="0"/>
      <w:divBdr>
        <w:top w:val="none" w:sz="0" w:space="0" w:color="auto"/>
        <w:left w:val="none" w:sz="0" w:space="0" w:color="auto"/>
        <w:bottom w:val="none" w:sz="0" w:space="0" w:color="auto"/>
        <w:right w:val="none" w:sz="0" w:space="0" w:color="auto"/>
      </w:divBdr>
    </w:div>
    <w:div w:id="1511405637">
      <w:bodyDiv w:val="1"/>
      <w:marLeft w:val="0"/>
      <w:marRight w:val="0"/>
      <w:marTop w:val="0"/>
      <w:marBottom w:val="0"/>
      <w:divBdr>
        <w:top w:val="none" w:sz="0" w:space="0" w:color="auto"/>
        <w:left w:val="none" w:sz="0" w:space="0" w:color="auto"/>
        <w:bottom w:val="none" w:sz="0" w:space="0" w:color="auto"/>
        <w:right w:val="none" w:sz="0" w:space="0" w:color="auto"/>
      </w:divBdr>
      <w:divsChild>
        <w:div w:id="1170870693">
          <w:marLeft w:val="547"/>
          <w:marRight w:val="0"/>
          <w:marTop w:val="134"/>
          <w:marBottom w:val="0"/>
          <w:divBdr>
            <w:top w:val="none" w:sz="0" w:space="0" w:color="auto"/>
            <w:left w:val="none" w:sz="0" w:space="0" w:color="auto"/>
            <w:bottom w:val="none" w:sz="0" w:space="0" w:color="auto"/>
            <w:right w:val="none" w:sz="0" w:space="0" w:color="auto"/>
          </w:divBdr>
        </w:div>
        <w:div w:id="1630934173">
          <w:marLeft w:val="1166"/>
          <w:marRight w:val="0"/>
          <w:marTop w:val="115"/>
          <w:marBottom w:val="0"/>
          <w:divBdr>
            <w:top w:val="none" w:sz="0" w:space="0" w:color="auto"/>
            <w:left w:val="none" w:sz="0" w:space="0" w:color="auto"/>
            <w:bottom w:val="none" w:sz="0" w:space="0" w:color="auto"/>
            <w:right w:val="none" w:sz="0" w:space="0" w:color="auto"/>
          </w:divBdr>
        </w:div>
        <w:div w:id="1953975026">
          <w:marLeft w:val="1166"/>
          <w:marRight w:val="0"/>
          <w:marTop w:val="115"/>
          <w:marBottom w:val="0"/>
          <w:divBdr>
            <w:top w:val="none" w:sz="0" w:space="0" w:color="auto"/>
            <w:left w:val="none" w:sz="0" w:space="0" w:color="auto"/>
            <w:bottom w:val="none" w:sz="0" w:space="0" w:color="auto"/>
            <w:right w:val="none" w:sz="0" w:space="0" w:color="auto"/>
          </w:divBdr>
        </w:div>
        <w:div w:id="2044478981">
          <w:marLeft w:val="1166"/>
          <w:marRight w:val="0"/>
          <w:marTop w:val="115"/>
          <w:marBottom w:val="0"/>
          <w:divBdr>
            <w:top w:val="none" w:sz="0" w:space="0" w:color="auto"/>
            <w:left w:val="none" w:sz="0" w:space="0" w:color="auto"/>
            <w:bottom w:val="none" w:sz="0" w:space="0" w:color="auto"/>
            <w:right w:val="none" w:sz="0" w:space="0" w:color="auto"/>
          </w:divBdr>
        </w:div>
      </w:divsChild>
    </w:div>
    <w:div w:id="1538930701">
      <w:bodyDiv w:val="1"/>
      <w:marLeft w:val="0"/>
      <w:marRight w:val="0"/>
      <w:marTop w:val="0"/>
      <w:marBottom w:val="0"/>
      <w:divBdr>
        <w:top w:val="none" w:sz="0" w:space="0" w:color="auto"/>
        <w:left w:val="none" w:sz="0" w:space="0" w:color="auto"/>
        <w:bottom w:val="none" w:sz="0" w:space="0" w:color="auto"/>
        <w:right w:val="none" w:sz="0" w:space="0" w:color="auto"/>
      </w:divBdr>
    </w:div>
    <w:div w:id="1925920834">
      <w:bodyDiv w:val="1"/>
      <w:marLeft w:val="0"/>
      <w:marRight w:val="0"/>
      <w:marTop w:val="0"/>
      <w:marBottom w:val="0"/>
      <w:divBdr>
        <w:top w:val="none" w:sz="0" w:space="0" w:color="auto"/>
        <w:left w:val="none" w:sz="0" w:space="0" w:color="auto"/>
        <w:bottom w:val="none" w:sz="0" w:space="0" w:color="auto"/>
        <w:right w:val="none" w:sz="0" w:space="0" w:color="auto"/>
      </w:divBdr>
    </w:div>
    <w:div w:id="2067141139">
      <w:bodyDiv w:val="1"/>
      <w:marLeft w:val="0"/>
      <w:marRight w:val="0"/>
      <w:marTop w:val="0"/>
      <w:marBottom w:val="0"/>
      <w:divBdr>
        <w:top w:val="none" w:sz="0" w:space="0" w:color="auto"/>
        <w:left w:val="none" w:sz="0" w:space="0" w:color="auto"/>
        <w:bottom w:val="none" w:sz="0" w:space="0" w:color="auto"/>
        <w:right w:val="none" w:sz="0" w:space="0" w:color="auto"/>
      </w:divBdr>
    </w:div>
    <w:div w:id="2101485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mailto:AGRI-FINANCIAL-AUDIT@ec.europa.eu" TargetMode="External"/><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5916d707-d898-42a5-99bd-db8eedc3fc7c</Id>
  <Names>
    <Latin>
      <FirstName>Anett</FirstName>
      <LastName>TOROK‑VIVANCO</LastName>
    </Latin>
    <Greek>
      <FirstName/>
      <LastName/>
    </Greek>
    <Cyrillic>
      <FirstName/>
      <LastName/>
    </Cyrillic>
    <DocumentScript>
      <FirstName>Anett</FirstName>
      <LastName>TOROK‑VIVANCO</LastName>
      <FullName>Anett TOROK‑VIVANCO</FullName>
    </DocumentScript>
  </Names>
  <Initials>AT</Initials>
  <Gender>f</Gender>
  <Email>Anett.TOROK@ec.europa.eu</Email>
  <Service>AGRI.DDG3.H.5</Service>
  <Function ShowInSignature="true"/>
  <WebAddress/>
  <InheritedWebAddress>WebAddress</InheritedWebAddress>
  <OrgaEntity1>
    <Id>470cbc82-089a-40a5-a69c-f5abfd74f289</Id>
    <LogicalLevel>1</LogicalLevel>
    <Name>AGRI</Name>
    <HeadLine1>DIRECTORATE-GENERAL FOR AGRICULTURE AND RURAL DEVELOPMENT</HeadLine1>
    <HeadLine2/>
    <PrimaryAddressId>f03b5801-04c9-4931-aa17-c6d6c70bc579</PrimaryAddressId>
    <SecondaryAddressId/>
    <WebAddress>WebAddress</WebAddress>
    <InheritedWebAddress>WebAddress</InheritedWebAddress>
    <ShowInHeader>true</ShowInHeader>
  </OrgaEntity1>
  <OrgaEntity2>
    <Id>e1be2115-331d-411d-8aa7-cc8751fad1e8</Id>
    <LogicalLevel>2</LogicalLevel>
    <Name>AGRI.DDG3.H</Name>
    <HeadLine1>Directorate H. Assurance and Audit</HeadLine1>
    <HeadLine2/>
    <PrimaryAddressId>f03b5801-04c9-4931-aa17-c6d6c70bc579</PrimaryAddressId>
    <SecondaryAddressId/>
    <WebAddress/>
    <InheritedWebAddress>WebAddress</InheritedWebAddress>
    <ShowInHeader>true</ShowInHeader>
  </OrgaEntity2>
  <OrgaEntity3>
    <Id>82f5ef33-a19a-4ba9-8dcf-d1b02770e3d7</Id>
    <LogicalLevel>3</LogicalLevel>
    <Name>AGRI.DDG3.H.5</Name>
    <HeadLine1>H.5. Assurance and financial audit</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+32 229 51788</Phone>
    <Office>L130 03/234</Office>
  </MainWorkplace>
  <Workplaces>
    <Workplace IsMain="false">
      <AddressId>1264fb81-f6bb-475e-9f9d-a937d3be6ee2</AddressId>
      <Fax/>
      <Phone/>
      <Office/>
    </Workplace>
    <Workplace IsMain="true">
      <AddressId>f03b5801-04c9-4931-aa17-c6d6c70bc579</AddressId>
      <Fax/>
      <Phone>+32 229 51788</Phone>
      <Office>L130 03/234</Office>
    </Workplace>
  </Workplaces>
</Author>
</file>

<file path=customXml/item2.xml><?xml version="1.0" encoding="utf-8"?>
<EurolookProperties>
  <ProductCustomizationId/>
  <Created>
    <Version>4.1</Version>
    <Date>2018-12-18T12:11:11</Date>
    <Language>EN</Language>
    <Note/>
  </Created>
  <Edited>
    <Version>10.0.42447.0</Version>
    <Date>2021-06-30T12:07:13</Date>
  </Edited>
  <DocumentModel>
    <Id>a68dca3e-24ca-4dba-8741-3c79d129d370</Id>
    <Name>Letter</Name>
  </DocumentModel>
  <DocumentDate/>
  <DocumentVersion/>
  <CompatibilityMode>Eurolook4X</CompatibilityMode>
</EurolookProperties>
</file>

<file path=customXml/item3.xml><?xml version="1.0" encoding="utf-8"?>
<Texts>
  <SecurityPersonalData>Personal data</SecurityPersonalData>
  <SecurityLimitedDG>Limited</SecurityLimitedDG>
  <OpeningMembersOfParliament2>Sir/Madam,</OpeningMembersOfParliament2>
  <OpeningAmbassadors2>Sir/Madam, </OpeningAmbassadors2>
  <SecurityPharma>Pharma investigations</SecurityPharma>
  <OpeningMinisters3>Dear Home Secretary,</OpeningMinisters3>
  <SecurityMediationServiceMatter>Mediation Service matter</SecurityMediationServiceMatter>
  <SecurityDeadline>Deadline</SecurityDeadline>
  <OpeningIndividualsPlural>Dear Sir, </OpeningIndividualsPlural>
  <SecurityEconomyAndFinance>Economy and finance – special handling</SecurityEconomyAndFinance>
  <FooterFax>Fax</FooterFax>
  <OpeningAmbassadors>[Your] Excellency,</OpeningAmbassadors>
  <ClosingSecretariesGeneral>I have the honour to be, Sir/Madam, Yours faithfully,</ClosingSecretariesGeneral>
  <NoteCopy>c.c.:</NoteCopy>
  <OpeningMinisters>Sir/Madam/My Lord, </OpeningMinisters>
  <OpeningIndividualsLessFormal>Dear Mr/Mrs/Ms/Dr [surname],</OpeningIndividualsLessFormal>
  <FooterOffice>Office:</FooterOffice>
  <SecurityOlafInvestigations>OLAF investigations</SecurityOlafInvestigations>
  <ClosingHeadsOfGovernment2>Yours faithfully, </ClosingHeadsOfGovernment2>
  <NoteReference>Ref.:</NoteReference>
  <Closing>Yours faithfully, </Closing>
  <ClosingMinisters2>Yours faithfully, </ClosingMinisters2>
  <OpeningAmbassadors3>Dear Ambassador, </OpeningAmbassadors3>
  <ClosingAmbassadors2>Yours faithfully,</ClosingAmbassadors2>
  <SecurityInternal>Commission internal</SecurityInternal>
  <SecurityOlafSpecialHandling>OLAF investigations – special handling</SecurityOlafSpecialHandling>
  <NoteParticipants>Participants:</NoteParticipants>
  <ClosingMembersOfParliament2>Yours faithfully, </ClosingMembersOfParliament2>
  <SecurityPersonal>Personal</SecurityPersonal>
  <CourtProceduralDocuments>Court procedural documents</CourtProceduralDocuments>
  <ClosingPresidentsEUInst>Yours faithfully, </ClosingPresidentsEUInst>
  <OpeningPresidentsEUInst2>Dear Mr/Madam President,</OpeningPresidentsEUInst2>
  <SecurityCompOperationsHandling>Handling instructions are provided by the DG COMP (comp-lso@ec.europa.eu)</SecurityCompOperationsHandling>
  <NoteParticipant>Participant:</NoteParticipant>
  <ClosingMinisters3>Yours sincerely, </ClosingMinisters3>
  <OpeningMinisters2>Dear Minister,</OpeningMinisters2>
  <OpeningMinisters4>Dear Mr/Ms [surname],</OpeningMinisters4>
  <OrgaRoot>EUROPEAN COMMISSION</OrgaRoot>
  <NoteCopies>c.c.:</NoteCopies>
  <ClosingAmbassadors>I have the honour to be, Sir/Madam, Yours faithfully,</ClosingAmbassadors>
  <ClosingMembersOfParliament>Yours faithfully,</ClosingMembersOfParliament>
  <NoteSubject>Subject:</NoteSubject>
  <Contact>Contact:</Contact>
  <ClosingPresidentsEUInst3>Yours faithfully, </ClosingPresidentsEUInst3>
  <ClosingHeadsOfGovernment>I remain, Sir/Madam, Yours faithfully, </ClosingHeadsOfGovernment>
  <OpeningHeadsOfGovernment2>Dear Prime Minister, </OpeningHeadsOfGovernment2>
  <Closing2>Yours sincerely, </Closing2>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ClosingMinisters>I remain [or I am], Sir/Madam/My Lord, Yours faithfully,</ClosingMinisters>
  <SecurityEtsLimited>ETS limited</SecurityEtsLimited>
  <ClosingHeadsOfState>I have the honour to be, Sir/Madam, Yours faithfully,</ClosingHeadsOfState>
  <SecurityStaffMatter>Staff matter</SecurityStaffMatter>
  <SecurityOpinionLegalService>Opinion of the Legal Service</SecurityOpinionLegalService>
  <OpeningSecretariesGeneral>Sir/Madam,</OpeningSecretariesGeneral>
  <SecurityEtsSensitive>ETS sensitive</SecurityEtsSensitive>
  <OpeningHeadsOfState3>Madam President,</OpeningHeadsOfState3>
  <OpeningIndividualsFormal>Dear Madam,</OpeningIndividualsFormal>
  <OpeningMembersOfParliament>Dear Mr/Mrs [surname],</OpeningMembersOfParliament>
  <SecurityEtsCritical>ETS critical</SecurityEtsCritical>
  <SecurityCompSpecial>COMP - special handling</SecurityCompSpecial>
  <OpeningPresidentsEUInst>Dear Mr/Madam President,</OpeningPresidentsEUInst>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AddressFooterBrussels>Commission européenne/Europese Commissie, 1049 Bruxelles/Brussel, BELGIQUE/BELGIË — Tel. +32 22991111</AddressFooterBrussels>
  <SecurityIasOperations>IAS operations</SecurityIasOperations>
  <OpeningHeadsOfState2>Mr President,</OpeningHeadsOfState2>
  <FooterPhone>Tel. direct line</FooterPhone>
  <OpeningHeadsOfGovernment>Excellency,</OpeningHeadsOfGovernment>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losingHeadsOfState2>Yours faithfully, </ClosingHeadsOfState2>
  <Contacts>Contacts:</Contacts>
  <ClosingPresidentsEUInst2>Yours faithfully, </ClosingPresidentsEUInst2>
  <OpeningHeadsOfState>Excellency,</OpeningHeadsOfState>
  <SecurityEmbargo>Embargo until</SecurityEmbargo>
  <ClosingSecretariesGeneral2>Yours faithfully, </ClosingSecretariesGeneral2>
  <SecurityLimited>Limited</SecurityLimited>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b:Source>
    <b:Tag>The</b:Tag>
    <b:SourceType>Book</b:SourceType>
    <b:Guid>{6A4713FC-7960-40DD-86CB-668B3CBE9B65}</b:Guid>
    <b:Author>
      <b:Author>
        <b:NameList>
          <b:Person>
            <b:Last>The American Institute of Certified Public Accountants (AICPA)</b:Last>
            <b:First>Audit</b:First>
            <b:Middle>Sampling Manual</b:Middle>
          </b:Person>
        </b:NameList>
      </b:Author>
    </b:Author>
    <b:RefOrder>1</b:RefOrder>
  </b:Source>
</b:Sources>
</file>

<file path=customXml/itemProps1.xml><?xml version="1.0" encoding="utf-8"?>
<ds:datastoreItem xmlns:ds="http://schemas.openxmlformats.org/officeDocument/2006/customXml" ds:itemID="{B6DE2095-8CA2-4110-9A75-81644CF071C1}">
  <ds:schemaRefs/>
</ds:datastoreItem>
</file>

<file path=customXml/itemProps2.xml><?xml version="1.0" encoding="utf-8"?>
<ds:datastoreItem xmlns:ds="http://schemas.openxmlformats.org/officeDocument/2006/customXml" ds:itemID="{E17803D7-5AFB-4B4F-BB19-AE6F8CBC6B24}">
  <ds:schemaRefs/>
</ds:datastoreItem>
</file>

<file path=customXml/itemProps3.xml><?xml version="1.0" encoding="utf-8"?>
<ds:datastoreItem xmlns:ds="http://schemas.openxmlformats.org/officeDocument/2006/customXml" ds:itemID="{22F3F6C3-87AF-4E9F-BD0B-6CBB1A7B6E34}">
  <ds:schemaRefs/>
</ds:datastoreItem>
</file>

<file path=customXml/itemProps4.xml><?xml version="1.0" encoding="utf-8"?>
<ds:datastoreItem xmlns:ds="http://schemas.openxmlformats.org/officeDocument/2006/customXml" ds:itemID="{080287AD-DA34-4894-82D8-F83264F6A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34</TotalTime>
  <Pages>13</Pages>
  <Words>4232</Words>
  <Characters>22134</Characters>
  <Application>Microsoft Office Word</Application>
  <DocSecurity>0</DocSecurity>
  <Lines>481</Lines>
  <Paragraphs>255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XXXXXXX</Company>
  <LinksUpToDate>false</LinksUpToDate>
  <CharactersWithSpaces>26111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XXXXXXX</dc:creator>
  <cp:keywords>EL4</cp:keywords>
  <cp:lastModifiedBy>DELCOURT Gwenaelle (AGRI-EXT)</cp:lastModifiedBy>
  <cp:revision>17</cp:revision>
  <cp:lastPrinted>2021-06-30T09:17:00Z</cp:lastPrinted>
  <dcterms:created xsi:type="dcterms:W3CDTF">2023-01-10T16:36:00Z</dcterms:created>
  <dcterms:modified xsi:type="dcterms:W3CDTF">2023-06-08T11:20:00Z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2017-09-13T00:00:00Z</vt:filetime>
  </property>
  <property fmtid="{D5CDD505-2E9C-101B-9397-08002B2CF9AE}" pid="3" name="LastSaved">
    <vt:filetime>2019-01-30T00:00:00Z</vt:filetime>
  </property>
  <property fmtid="{D5CDD505-2E9C-101B-9397-08002B2CF9AE}" pid="4" name="TemplateVersion">
    <vt:lpwstr>4.1.6.3</vt:lpwstr>
  </property>
  <property fmtid="{D5CDD505-2E9C-101B-9397-08002B2CF9AE}" pid="5" name="EurolookVersion">
    <vt:lpwstr>4.1</vt:lpwstr>
  </property>
  <property fmtid="{D5CDD505-2E9C-101B-9397-08002B2CF9AE}" pid="6" name="DocID_EU">
    <vt:lpwstr/>
  </property>
  <property fmtid="{D5CDD505-2E9C-101B-9397-08002B2CF9AE}" pid="7" name="Created using">
    <vt:lpwstr>EL 4.1XL XL [20040326]</vt:lpwstr>
  </property>
  <property fmtid="{D5CDD505-2E9C-101B-9397-08002B2CF9AE}" pid="8" name="Formatting">
    <vt:lpwstr>4.1</vt:lpwstr>
  </property>
  <property fmtid="{D5CDD505-2E9C-101B-9397-08002B2CF9AE}" pid="9" name="Last edited using">
    <vt:lpwstr>EL 4.6 Build 50000</vt:lpwstr>
  </property>
  <property fmtid="{D5CDD505-2E9C-101B-9397-08002B2CF9AE}" pid="10" name="EL_Author">
    <vt:lpwstr>Kittel Gilles</vt:lpwstr>
  </property>
  <property fmtid="{D5CDD505-2E9C-101B-9397-08002B2CF9AE}" pid="11" name="Type">
    <vt:lpwstr>Eurolook Note &amp; Letter</vt:lpwstr>
  </property>
  <property fmtid="{D5CDD505-2E9C-101B-9397-08002B2CF9AE}" pid="12" name="Language">
    <vt:lpwstr>EN</vt:lpwstr>
  </property>
  <property fmtid="{D5CDD505-2E9C-101B-9397-08002B2CF9AE}" pid="13" name="EL_Language">
    <vt:lpwstr>EN</vt:lpwstr>
  </property>
  <property fmtid="{D5CDD505-2E9C-101B-9397-08002B2CF9AE}" pid="14" name="_NewReviewCycle">
    <vt:lpwstr/>
  </property>
  <property fmtid="{D5CDD505-2E9C-101B-9397-08002B2CF9AE}" pid="15" name="ELDocType">
    <vt:lpwstr>not.dot</vt:lpwstr>
  </property>
  <property fmtid="{D5CDD505-2E9C-101B-9397-08002B2CF9AE}" pid="16" name="MSIP_Label_6bd9ddd1-4d20-43f6-abfa-fc3c07406f94_Enabled">
    <vt:lpwstr>true</vt:lpwstr>
  </property>
  <property fmtid="{D5CDD505-2E9C-101B-9397-08002B2CF9AE}" pid="17" name="MSIP_Label_6bd9ddd1-4d20-43f6-abfa-fc3c07406f94_SetDate">
    <vt:lpwstr>2023-05-17T15:10:14Z</vt:lpwstr>
  </property>
  <property fmtid="{D5CDD505-2E9C-101B-9397-08002B2CF9AE}" pid="18" name="MSIP_Label_6bd9ddd1-4d20-43f6-abfa-fc3c07406f94_Method">
    <vt:lpwstr>Standard</vt:lpwstr>
  </property>
  <property fmtid="{D5CDD505-2E9C-101B-9397-08002B2CF9AE}" pid="19" name="MSIP_Label_6bd9ddd1-4d20-43f6-abfa-fc3c07406f94_Name">
    <vt:lpwstr>Commission Use</vt:lpwstr>
  </property>
  <property fmtid="{D5CDD505-2E9C-101B-9397-08002B2CF9AE}" pid="20" name="MSIP_Label_6bd9ddd1-4d20-43f6-abfa-fc3c07406f94_SiteId">
    <vt:lpwstr>b24c8b06-522c-46fe-9080-70926f8dddb1</vt:lpwstr>
  </property>
  <property fmtid="{D5CDD505-2E9C-101B-9397-08002B2CF9AE}" pid="21" name="MSIP_Label_6bd9ddd1-4d20-43f6-abfa-fc3c07406f94_ActionId">
    <vt:lpwstr>ac1c542d-644a-4bf2-a771-7f4bcb8b7106</vt:lpwstr>
  </property>
  <property fmtid="{D5CDD505-2E9C-101B-9397-08002B2CF9AE}" pid="22" name="MSIP_Label_6bd9ddd1-4d20-43f6-abfa-fc3c07406f94_ContentBits">
    <vt:lpwstr>0</vt:lpwstr>
  </property>
</Properties>
</file>