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Layout w:type="fixed"/>
        <w:tblCellMar>
          <w:left w:w="0" w:type="dxa"/>
          <w:right w:w="0" w:type="dxa"/>
        </w:tblCellMar>
        <w:tblLook w:val="0000" w:firstRow="0" w:lastRow="0" w:firstColumn="0" w:lastColumn="0" w:noHBand="0" w:noVBand="0"/>
      </w:tblPr>
      <w:tblGrid>
        <w:gridCol w:w="2381"/>
        <w:gridCol w:w="7087"/>
      </w:tblGrid>
      <w:tr w:rsidR="00DB3F3D" w14:paraId="31D60E2C" w14:textId="77777777">
        <w:trPr>
          <w:trHeight w:val="1440"/>
        </w:trPr>
        <w:tc>
          <w:tcPr>
            <w:tcW w:w="2381" w:type="dxa"/>
            <w:tcBorders>
              <w:top w:val="nil"/>
              <w:left w:val="nil"/>
              <w:bottom w:val="nil"/>
              <w:right w:val="nil"/>
            </w:tcBorders>
          </w:tcPr>
          <w:p w14:paraId="6A9DAE1B" w14:textId="77777777" w:rsidR="00DB3F3D" w:rsidRDefault="000C0F2B">
            <w:pPr>
              <w:pStyle w:val="ZCom"/>
              <w:rPr>
                <w:rFonts w:ascii="Times New Roman" w:hAnsi="Times New Roman" w:cs="Times New Roman"/>
              </w:rPr>
            </w:pPr>
            <w:r>
              <w:rPr>
                <w:rFonts w:ascii="Times New Roman" w:hAnsi="Times New Roman"/>
                <w:noProof/>
                <w:sz w:val="20"/>
              </w:rPr>
              <w:drawing>
                <wp:inline distT="0" distB="0" distL="0" distR="0" wp14:anchorId="05CBC291" wp14:editId="74F3FA6E">
                  <wp:extent cx="1364615" cy="675640"/>
                  <wp:effectExtent l="0" t="0" r="6985" b="0"/>
                  <wp:docPr id="1" name="Picture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4615" cy="675640"/>
                          </a:xfrm>
                          <a:prstGeom prst="rect">
                            <a:avLst/>
                          </a:prstGeom>
                          <a:noFill/>
                          <a:ln>
                            <a:noFill/>
                          </a:ln>
                        </pic:spPr>
                      </pic:pic>
                    </a:graphicData>
                  </a:graphic>
                </wp:inline>
              </w:drawing>
            </w:r>
          </w:p>
        </w:tc>
        <w:tc>
          <w:tcPr>
            <w:tcW w:w="7087" w:type="dxa"/>
            <w:tcBorders>
              <w:top w:val="nil"/>
              <w:left w:val="nil"/>
              <w:bottom w:val="nil"/>
              <w:right w:val="nil"/>
            </w:tcBorders>
          </w:tcPr>
          <w:p w14:paraId="3E2D24CA" w14:textId="77777777" w:rsidR="00DB3F3D" w:rsidRDefault="000C0F2B">
            <w:pPr>
              <w:pStyle w:val="ZCom"/>
              <w:spacing w:before="90"/>
              <w:rPr>
                <w:rFonts w:ascii="Times New Roman" w:hAnsi="Times New Roman" w:cs="Times New Roman"/>
              </w:rPr>
            </w:pPr>
            <w:r>
              <w:rPr>
                <w:rFonts w:ascii="Times New Roman" w:hAnsi="Times New Roman"/>
              </w:rPr>
              <w:t>EVROPSKA KOMISIJA</w:t>
            </w:r>
          </w:p>
          <w:p w14:paraId="64E93132" w14:textId="77777777" w:rsidR="00DB3F3D" w:rsidRDefault="000C0F2B">
            <w:pPr>
              <w:pStyle w:val="ZDGName"/>
              <w:rPr>
                <w:rFonts w:ascii="Times New Roman" w:hAnsi="Times New Roman" w:cs="Times New Roman"/>
              </w:rPr>
            </w:pPr>
            <w:r>
              <w:rPr>
                <w:rFonts w:ascii="Times New Roman" w:hAnsi="Times New Roman"/>
              </w:rPr>
              <w:t>GENERALNI DIREKTORAT ZA KMETIJSTVO IN RAZVOJ PODEŽELJA</w:t>
            </w:r>
          </w:p>
          <w:p w14:paraId="611146DE" w14:textId="77777777" w:rsidR="00DB3F3D" w:rsidRDefault="000C0F2B">
            <w:pPr>
              <w:pStyle w:val="ZDGName"/>
              <w:rPr>
                <w:rFonts w:ascii="Times New Roman" w:hAnsi="Times New Roman" w:cs="Times New Roman"/>
              </w:rPr>
            </w:pPr>
            <w:r>
              <w:rPr>
                <w:rFonts w:ascii="Times New Roman" w:hAnsi="Times New Roman"/>
              </w:rPr>
              <w:t xml:space="preserve"> </w:t>
            </w:r>
          </w:p>
          <w:p w14:paraId="6ED8AE94" w14:textId="77777777" w:rsidR="00DB3F3D" w:rsidRDefault="000C0F2B">
            <w:pPr>
              <w:pStyle w:val="ZDGName"/>
              <w:rPr>
                <w:rFonts w:ascii="Times New Roman" w:hAnsi="Times New Roman" w:cs="Times New Roman"/>
              </w:rPr>
            </w:pPr>
            <w:r>
              <w:rPr>
                <w:rFonts w:ascii="Times New Roman" w:hAnsi="Times New Roman"/>
              </w:rPr>
              <w:t>Direktorat H. Revizijska zagotovila in revizija</w:t>
            </w:r>
          </w:p>
          <w:p w14:paraId="09AE4E3E" w14:textId="77777777" w:rsidR="00DB3F3D" w:rsidRDefault="000C0F2B">
            <w:pPr>
              <w:pStyle w:val="ZDGName"/>
              <w:rPr>
                <w:rFonts w:ascii="Times New Roman" w:hAnsi="Times New Roman" w:cs="Times New Roman"/>
              </w:rPr>
            </w:pPr>
            <w:r>
              <w:rPr>
                <w:rFonts w:ascii="Times New Roman" w:hAnsi="Times New Roman"/>
                <w:b/>
                <w:snapToGrid w:val="0"/>
              </w:rPr>
              <w:t>H.4 Revizijska zagotovila in finančna revizija</w:t>
            </w:r>
          </w:p>
          <w:p w14:paraId="7EFC5857" w14:textId="77777777" w:rsidR="00DB3F3D" w:rsidRDefault="00DB3F3D">
            <w:pPr>
              <w:pStyle w:val="ZDGName"/>
              <w:rPr>
                <w:rFonts w:ascii="Times New Roman" w:hAnsi="Times New Roman" w:cs="Times New Roman"/>
              </w:rPr>
            </w:pPr>
          </w:p>
        </w:tc>
      </w:tr>
    </w:tbl>
    <w:p w14:paraId="7BEA7E87" w14:textId="77777777" w:rsidR="00DB3F3D" w:rsidRDefault="000C0F2B">
      <w:pPr>
        <w:pStyle w:val="Date"/>
        <w:ind w:left="5670" w:firstLine="0"/>
      </w:pPr>
      <w:r>
        <w:t xml:space="preserve">Bruselj, </w:t>
      </w:r>
      <w:r>
        <w:br/>
      </w:r>
      <w:r>
        <w:rPr>
          <w:sz w:val="20"/>
        </w:rPr>
        <w:t>agri.h.4(2023)1684105</w:t>
      </w:r>
      <w:r>
        <w:tab/>
      </w:r>
    </w:p>
    <w:p w14:paraId="6E050B5C" w14:textId="77777777" w:rsidR="00DB3F3D" w:rsidRDefault="00DB3F3D">
      <w:pPr>
        <w:pStyle w:val="NoteHead"/>
        <w:overflowPunct w:val="0"/>
        <w:autoSpaceDE w:val="0"/>
        <w:autoSpaceDN w:val="0"/>
        <w:adjustRightInd w:val="0"/>
        <w:spacing w:before="480"/>
        <w:textAlignment w:val="baseline"/>
        <w:outlineLvl w:val="0"/>
        <w:rPr>
          <w:sz w:val="40"/>
          <w:szCs w:val="40"/>
          <w:lang w:eastAsia="en-GB"/>
        </w:rPr>
      </w:pPr>
    </w:p>
    <w:p w14:paraId="5291AE40" w14:textId="77777777" w:rsidR="00DB3F3D" w:rsidRDefault="000C0F2B">
      <w:pPr>
        <w:pStyle w:val="NoteHead"/>
        <w:overflowPunct w:val="0"/>
        <w:autoSpaceDE w:val="0"/>
        <w:autoSpaceDN w:val="0"/>
        <w:adjustRightInd w:val="0"/>
        <w:spacing w:before="480"/>
        <w:textAlignment w:val="baseline"/>
        <w:outlineLvl w:val="0"/>
        <w:rPr>
          <w:sz w:val="40"/>
          <w:szCs w:val="40"/>
        </w:rPr>
      </w:pPr>
      <w:bookmarkStart w:id="0" w:name="_Toc134086077"/>
      <w:r>
        <w:rPr>
          <w:sz w:val="40"/>
        </w:rPr>
        <w:t>Smernica št. 5</w:t>
      </w:r>
      <w:bookmarkEnd w:id="0"/>
    </w:p>
    <w:p w14:paraId="39D6A165" w14:textId="77777777" w:rsidR="00DB3F3D" w:rsidRDefault="000C0F2B">
      <w:pPr>
        <w:overflowPunct w:val="0"/>
        <w:autoSpaceDE w:val="0"/>
        <w:autoSpaceDN w:val="0"/>
        <w:adjustRightInd w:val="0"/>
        <w:jc w:val="center"/>
        <w:textAlignment w:val="baseline"/>
        <w:rPr>
          <w:b/>
          <w:bCs/>
          <w:sz w:val="32"/>
          <w:szCs w:val="32"/>
        </w:rPr>
      </w:pPr>
      <w:r>
        <w:rPr>
          <w:b/>
          <w:sz w:val="32"/>
        </w:rPr>
        <w:t>SMERNICE ZA CERTIFIKACIJSKO REVIZIJO OBRAČUNOV EKJS/EKSRP</w:t>
      </w:r>
    </w:p>
    <w:p w14:paraId="79FA78DA" w14:textId="77777777" w:rsidR="00DB3F3D" w:rsidRDefault="000C0F2B">
      <w:pPr>
        <w:pStyle w:val="NoteHead"/>
        <w:overflowPunct w:val="0"/>
        <w:autoSpaceDE w:val="0"/>
        <w:autoSpaceDN w:val="0"/>
        <w:adjustRightInd w:val="0"/>
        <w:spacing w:before="480" w:after="0"/>
        <w:ind w:left="567" w:firstLine="0"/>
        <w:textAlignment w:val="baseline"/>
        <w:rPr>
          <w:sz w:val="28"/>
          <w:szCs w:val="28"/>
        </w:rPr>
      </w:pPr>
      <w:r>
        <w:rPr>
          <w:sz w:val="28"/>
        </w:rPr>
        <w:t xml:space="preserve">Smernice glede upravljanja dolga in poročanja </w:t>
      </w:r>
    </w:p>
    <w:p w14:paraId="18FB493F" w14:textId="77777777" w:rsidR="00DB3F3D" w:rsidRDefault="00DB3F3D">
      <w:pPr>
        <w:pStyle w:val="NoteHead"/>
        <w:overflowPunct w:val="0"/>
        <w:autoSpaceDE w:val="0"/>
        <w:autoSpaceDN w:val="0"/>
        <w:adjustRightInd w:val="0"/>
        <w:spacing w:before="480" w:after="0"/>
        <w:textAlignment w:val="baseline"/>
        <w:rPr>
          <w:sz w:val="28"/>
          <w:szCs w:val="28"/>
          <w:lang w:eastAsia="en-GB"/>
        </w:rPr>
      </w:pPr>
    </w:p>
    <w:p w14:paraId="7B35A7B6" w14:textId="77777777" w:rsidR="00DB3F3D" w:rsidRDefault="00DB3F3D">
      <w:pPr>
        <w:pStyle w:val="NoteHead"/>
        <w:overflowPunct w:val="0"/>
        <w:autoSpaceDE w:val="0"/>
        <w:autoSpaceDN w:val="0"/>
        <w:adjustRightInd w:val="0"/>
        <w:spacing w:before="480" w:after="0"/>
        <w:textAlignment w:val="baseline"/>
        <w:rPr>
          <w:sz w:val="28"/>
          <w:szCs w:val="28"/>
          <w:lang w:eastAsia="en-GB"/>
        </w:rPr>
      </w:pPr>
    </w:p>
    <w:p w14:paraId="546FE94D" w14:textId="77777777" w:rsidR="00DB3F3D" w:rsidRDefault="00DB3F3D">
      <w:pPr>
        <w:jc w:val="center"/>
        <w:rPr>
          <w:b/>
        </w:rPr>
      </w:pPr>
    </w:p>
    <w:p w14:paraId="6456164C" w14:textId="77777777" w:rsidR="00DB3F3D" w:rsidRDefault="000C0F2B">
      <w:pPr>
        <w:overflowPunct w:val="0"/>
        <w:autoSpaceDE w:val="0"/>
        <w:autoSpaceDN w:val="0"/>
        <w:adjustRightInd w:val="0"/>
        <w:ind w:left="1418" w:hanging="1418"/>
        <w:textAlignment w:val="baseline"/>
        <w:rPr>
          <w:b/>
          <w:sz w:val="20"/>
        </w:rPr>
      </w:pPr>
      <w:r>
        <w:br w:type="page"/>
      </w:r>
    </w:p>
    <w:p w14:paraId="55A24DF4" w14:textId="77777777" w:rsidR="00DB3F3D" w:rsidRDefault="00DB3F3D">
      <w:bookmarkStart w:id="1" w:name="_Toc422216426"/>
    </w:p>
    <w:p w14:paraId="4E957C81" w14:textId="77777777" w:rsidR="00DB3F3D" w:rsidRDefault="000C0F2B">
      <w:pPr>
        <w:pStyle w:val="TOCHeading"/>
      </w:pPr>
      <w:r>
        <w:t>KAZALO</w:t>
      </w:r>
    </w:p>
    <w:p w14:paraId="010A4283" w14:textId="6456A176" w:rsidR="00FD4FE7" w:rsidRDefault="000C0F2B">
      <w:pPr>
        <w:pStyle w:val="TOC1"/>
        <w:rPr>
          <w:rFonts w:asciiTheme="minorHAnsi" w:eastAsiaTheme="minorEastAsia" w:hAnsiTheme="minorHAnsi" w:cstheme="minorBidi"/>
          <w:caps w:val="0"/>
          <w:noProof/>
          <w:sz w:val="22"/>
          <w:szCs w:val="22"/>
          <w:lang w:val="en-IE" w:eastAsia="en-IE"/>
        </w:rPr>
      </w:pPr>
      <w:r>
        <w:rPr>
          <w:caps w:val="0"/>
        </w:rPr>
        <w:fldChar w:fldCharType="begin"/>
      </w:r>
      <w:r>
        <w:rPr>
          <w:caps w:val="0"/>
        </w:rPr>
        <w:instrText xml:space="preserve"> TOC \o "1-4" \h \z \u </w:instrText>
      </w:r>
      <w:r>
        <w:rPr>
          <w:caps w:val="0"/>
        </w:rPr>
        <w:fldChar w:fldCharType="separate"/>
      </w:r>
      <w:hyperlink w:anchor="_Toc134086077" w:history="1">
        <w:r w:rsidR="00FD4FE7" w:rsidRPr="00C64228">
          <w:rPr>
            <w:rStyle w:val="Hyperlink"/>
            <w:noProof/>
          </w:rPr>
          <w:t>Smernica št. 5</w:t>
        </w:r>
        <w:r w:rsidR="00FD4FE7">
          <w:rPr>
            <w:noProof/>
            <w:webHidden/>
          </w:rPr>
          <w:tab/>
        </w:r>
        <w:r w:rsidR="00FD4FE7">
          <w:rPr>
            <w:noProof/>
            <w:webHidden/>
          </w:rPr>
          <w:fldChar w:fldCharType="begin"/>
        </w:r>
        <w:r w:rsidR="00FD4FE7">
          <w:rPr>
            <w:noProof/>
            <w:webHidden/>
          </w:rPr>
          <w:instrText xml:space="preserve"> PAGEREF _Toc134086077 \h </w:instrText>
        </w:r>
        <w:r w:rsidR="00FD4FE7">
          <w:rPr>
            <w:noProof/>
            <w:webHidden/>
          </w:rPr>
        </w:r>
        <w:r w:rsidR="00FD4FE7">
          <w:rPr>
            <w:noProof/>
            <w:webHidden/>
          </w:rPr>
          <w:fldChar w:fldCharType="separate"/>
        </w:r>
        <w:r w:rsidR="00FD4FE7">
          <w:rPr>
            <w:noProof/>
            <w:webHidden/>
          </w:rPr>
          <w:t>1</w:t>
        </w:r>
        <w:r w:rsidR="00FD4FE7">
          <w:rPr>
            <w:noProof/>
            <w:webHidden/>
          </w:rPr>
          <w:fldChar w:fldCharType="end"/>
        </w:r>
      </w:hyperlink>
    </w:p>
    <w:p w14:paraId="01A63C0A" w14:textId="653291E1" w:rsidR="00FD4FE7" w:rsidRDefault="00D313CA">
      <w:pPr>
        <w:pStyle w:val="TOC1"/>
        <w:rPr>
          <w:rFonts w:asciiTheme="minorHAnsi" w:eastAsiaTheme="minorEastAsia" w:hAnsiTheme="minorHAnsi" w:cstheme="minorBidi"/>
          <w:caps w:val="0"/>
          <w:noProof/>
          <w:sz w:val="22"/>
          <w:szCs w:val="22"/>
          <w:lang w:val="en-IE" w:eastAsia="en-IE"/>
        </w:rPr>
      </w:pPr>
      <w:hyperlink w:anchor="_Toc134086078" w:history="1">
        <w:r w:rsidR="00FD4FE7" w:rsidRPr="00C64228">
          <w:rPr>
            <w:rStyle w:val="Hyperlink"/>
            <w:noProof/>
          </w:rPr>
          <w:t>Uvod</w:t>
        </w:r>
        <w:r w:rsidR="00FD4FE7">
          <w:rPr>
            <w:noProof/>
            <w:webHidden/>
          </w:rPr>
          <w:tab/>
        </w:r>
        <w:r w:rsidR="00FD4FE7">
          <w:rPr>
            <w:noProof/>
            <w:webHidden/>
          </w:rPr>
          <w:fldChar w:fldCharType="begin"/>
        </w:r>
        <w:r w:rsidR="00FD4FE7">
          <w:rPr>
            <w:noProof/>
            <w:webHidden/>
          </w:rPr>
          <w:instrText xml:space="preserve"> PAGEREF _Toc134086078 \h </w:instrText>
        </w:r>
        <w:r w:rsidR="00FD4FE7">
          <w:rPr>
            <w:noProof/>
            <w:webHidden/>
          </w:rPr>
        </w:r>
        <w:r w:rsidR="00FD4FE7">
          <w:rPr>
            <w:noProof/>
            <w:webHidden/>
          </w:rPr>
          <w:fldChar w:fldCharType="separate"/>
        </w:r>
        <w:r w:rsidR="00FD4FE7">
          <w:rPr>
            <w:noProof/>
            <w:webHidden/>
          </w:rPr>
          <w:t>7</w:t>
        </w:r>
        <w:r w:rsidR="00FD4FE7">
          <w:rPr>
            <w:noProof/>
            <w:webHidden/>
          </w:rPr>
          <w:fldChar w:fldCharType="end"/>
        </w:r>
      </w:hyperlink>
    </w:p>
    <w:p w14:paraId="6159F1B2" w14:textId="053116AA" w:rsidR="00FD4FE7" w:rsidRPr="000C0F2B" w:rsidRDefault="00D313CA">
      <w:pPr>
        <w:pStyle w:val="TOC1"/>
        <w:rPr>
          <w:rFonts w:asciiTheme="minorHAnsi" w:eastAsiaTheme="minorEastAsia" w:hAnsiTheme="minorHAnsi" w:cstheme="minorBidi"/>
          <w:b/>
          <w:bCs/>
          <w:caps w:val="0"/>
          <w:noProof/>
          <w:sz w:val="22"/>
          <w:szCs w:val="22"/>
          <w:lang w:val="en-IE" w:eastAsia="en-IE"/>
        </w:rPr>
      </w:pPr>
      <w:hyperlink w:anchor="_Toc134086079" w:history="1">
        <w:r w:rsidR="00FD4FE7" w:rsidRPr="000C0F2B">
          <w:rPr>
            <w:rStyle w:val="Hyperlink"/>
            <w:b/>
            <w:bCs/>
            <w:noProof/>
          </w:rPr>
          <w:t>ODDELEK A – UPRAVLJANJE DOLGA IN POROČANJE V OKVIRU UREDBE (EU) ŠT. 1306/2013</w:t>
        </w:r>
        <w:r w:rsidR="00FD4FE7" w:rsidRPr="000C0F2B">
          <w:rPr>
            <w:b/>
            <w:bCs/>
            <w:noProof/>
            <w:webHidden/>
          </w:rPr>
          <w:tab/>
        </w:r>
        <w:r w:rsidR="00FD4FE7" w:rsidRPr="000C0F2B">
          <w:rPr>
            <w:b/>
            <w:bCs/>
            <w:noProof/>
            <w:webHidden/>
          </w:rPr>
          <w:fldChar w:fldCharType="begin"/>
        </w:r>
        <w:r w:rsidR="00FD4FE7" w:rsidRPr="000C0F2B">
          <w:rPr>
            <w:b/>
            <w:bCs/>
            <w:noProof/>
            <w:webHidden/>
          </w:rPr>
          <w:instrText xml:space="preserve"> PAGEREF _Toc134086079 \h </w:instrText>
        </w:r>
        <w:r w:rsidR="00FD4FE7" w:rsidRPr="000C0F2B">
          <w:rPr>
            <w:b/>
            <w:bCs/>
            <w:noProof/>
            <w:webHidden/>
          </w:rPr>
        </w:r>
        <w:r w:rsidR="00FD4FE7" w:rsidRPr="000C0F2B">
          <w:rPr>
            <w:b/>
            <w:bCs/>
            <w:noProof/>
            <w:webHidden/>
          </w:rPr>
          <w:fldChar w:fldCharType="separate"/>
        </w:r>
        <w:r w:rsidR="00FD4FE7" w:rsidRPr="000C0F2B">
          <w:rPr>
            <w:b/>
            <w:bCs/>
            <w:noProof/>
            <w:webHidden/>
          </w:rPr>
          <w:t>10</w:t>
        </w:r>
        <w:r w:rsidR="00FD4FE7" w:rsidRPr="000C0F2B">
          <w:rPr>
            <w:b/>
            <w:bCs/>
            <w:noProof/>
            <w:webHidden/>
          </w:rPr>
          <w:fldChar w:fldCharType="end"/>
        </w:r>
      </w:hyperlink>
    </w:p>
    <w:p w14:paraId="529A297E" w14:textId="43AAC767" w:rsidR="00FD4FE7" w:rsidRDefault="00D313CA">
      <w:pPr>
        <w:pStyle w:val="TOC1"/>
        <w:rPr>
          <w:rFonts w:asciiTheme="minorHAnsi" w:eastAsiaTheme="minorEastAsia" w:hAnsiTheme="minorHAnsi" w:cstheme="minorBidi"/>
          <w:caps w:val="0"/>
          <w:noProof/>
          <w:sz w:val="22"/>
          <w:szCs w:val="22"/>
          <w:lang w:val="en-IE" w:eastAsia="en-IE"/>
        </w:rPr>
      </w:pPr>
      <w:hyperlink w:anchor="_Toc134086080" w:history="1">
        <w:r w:rsidR="00FD4FE7" w:rsidRPr="00C64228">
          <w:rPr>
            <w:rStyle w:val="Hyperlink"/>
            <w:noProof/>
          </w:rPr>
          <w:t>DEL 1.  UPRAVLJANJE DOLGA</w:t>
        </w:r>
        <w:r w:rsidR="00FD4FE7">
          <w:rPr>
            <w:noProof/>
            <w:webHidden/>
          </w:rPr>
          <w:tab/>
        </w:r>
        <w:r w:rsidR="00FD4FE7">
          <w:rPr>
            <w:noProof/>
            <w:webHidden/>
          </w:rPr>
          <w:fldChar w:fldCharType="begin"/>
        </w:r>
        <w:r w:rsidR="00FD4FE7">
          <w:rPr>
            <w:noProof/>
            <w:webHidden/>
          </w:rPr>
          <w:instrText xml:space="preserve"> PAGEREF _Toc134086080 \h </w:instrText>
        </w:r>
        <w:r w:rsidR="00FD4FE7">
          <w:rPr>
            <w:noProof/>
            <w:webHidden/>
          </w:rPr>
        </w:r>
        <w:r w:rsidR="00FD4FE7">
          <w:rPr>
            <w:noProof/>
            <w:webHidden/>
          </w:rPr>
          <w:fldChar w:fldCharType="separate"/>
        </w:r>
        <w:r w:rsidR="00FD4FE7">
          <w:rPr>
            <w:noProof/>
            <w:webHidden/>
          </w:rPr>
          <w:t>11</w:t>
        </w:r>
        <w:r w:rsidR="00FD4FE7">
          <w:rPr>
            <w:noProof/>
            <w:webHidden/>
          </w:rPr>
          <w:fldChar w:fldCharType="end"/>
        </w:r>
      </w:hyperlink>
    </w:p>
    <w:p w14:paraId="7F36A09C" w14:textId="521D5B7F" w:rsidR="00FD4FE7" w:rsidRDefault="00D313CA">
      <w:pPr>
        <w:pStyle w:val="TOC2"/>
        <w:tabs>
          <w:tab w:val="left" w:pos="1077"/>
        </w:tabs>
        <w:rPr>
          <w:rFonts w:asciiTheme="minorHAnsi" w:eastAsiaTheme="minorEastAsia" w:hAnsiTheme="minorHAnsi" w:cstheme="minorBidi"/>
          <w:noProof/>
          <w:sz w:val="22"/>
          <w:szCs w:val="22"/>
          <w:lang w:val="en-IE" w:eastAsia="en-IE"/>
        </w:rPr>
      </w:pPr>
      <w:hyperlink w:anchor="_Toc134086081" w:history="1">
        <w:r w:rsidR="00FD4FE7" w:rsidRPr="00C64228">
          <w:rPr>
            <w:rStyle w:val="Hyperlink"/>
            <w:noProof/>
          </w:rPr>
          <w:t>1.1.</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„Novi“ primeri in „stari“ primeri</w:t>
        </w:r>
        <w:r w:rsidR="00FD4FE7">
          <w:rPr>
            <w:noProof/>
            <w:webHidden/>
          </w:rPr>
          <w:tab/>
        </w:r>
        <w:r w:rsidR="00FD4FE7">
          <w:rPr>
            <w:noProof/>
            <w:webHidden/>
          </w:rPr>
          <w:fldChar w:fldCharType="begin"/>
        </w:r>
        <w:r w:rsidR="00FD4FE7">
          <w:rPr>
            <w:noProof/>
            <w:webHidden/>
          </w:rPr>
          <w:instrText xml:space="preserve"> PAGEREF _Toc134086081 \h </w:instrText>
        </w:r>
        <w:r w:rsidR="00FD4FE7">
          <w:rPr>
            <w:noProof/>
            <w:webHidden/>
          </w:rPr>
        </w:r>
        <w:r w:rsidR="00FD4FE7">
          <w:rPr>
            <w:noProof/>
            <w:webHidden/>
          </w:rPr>
          <w:fldChar w:fldCharType="separate"/>
        </w:r>
        <w:r w:rsidR="00FD4FE7">
          <w:rPr>
            <w:noProof/>
            <w:webHidden/>
          </w:rPr>
          <w:t>11</w:t>
        </w:r>
        <w:r w:rsidR="00FD4FE7">
          <w:rPr>
            <w:noProof/>
            <w:webHidden/>
          </w:rPr>
          <w:fldChar w:fldCharType="end"/>
        </w:r>
      </w:hyperlink>
    </w:p>
    <w:p w14:paraId="6DBC78B4" w14:textId="751368B4" w:rsidR="00FD4FE7" w:rsidRDefault="00D313CA">
      <w:pPr>
        <w:pStyle w:val="TOC2"/>
        <w:tabs>
          <w:tab w:val="left" w:pos="1077"/>
        </w:tabs>
        <w:rPr>
          <w:rFonts w:asciiTheme="minorHAnsi" w:eastAsiaTheme="minorEastAsia" w:hAnsiTheme="minorHAnsi" w:cstheme="minorBidi"/>
          <w:noProof/>
          <w:sz w:val="22"/>
          <w:szCs w:val="22"/>
          <w:lang w:val="en-IE" w:eastAsia="en-IE"/>
        </w:rPr>
      </w:pPr>
      <w:hyperlink w:anchor="_Toc134086082" w:history="1">
        <w:r w:rsidR="00FD4FE7" w:rsidRPr="00C64228">
          <w:rPr>
            <w:rStyle w:val="Hyperlink"/>
            <w:noProof/>
          </w:rPr>
          <w:t>1.2.</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Priznanje dolga</w:t>
        </w:r>
        <w:r w:rsidR="00FD4FE7">
          <w:rPr>
            <w:noProof/>
            <w:webHidden/>
          </w:rPr>
          <w:tab/>
        </w:r>
        <w:r w:rsidR="00FD4FE7">
          <w:rPr>
            <w:noProof/>
            <w:webHidden/>
          </w:rPr>
          <w:fldChar w:fldCharType="begin"/>
        </w:r>
        <w:r w:rsidR="00FD4FE7">
          <w:rPr>
            <w:noProof/>
            <w:webHidden/>
          </w:rPr>
          <w:instrText xml:space="preserve"> PAGEREF _Toc134086082 \h </w:instrText>
        </w:r>
        <w:r w:rsidR="00FD4FE7">
          <w:rPr>
            <w:noProof/>
            <w:webHidden/>
          </w:rPr>
        </w:r>
        <w:r w:rsidR="00FD4FE7">
          <w:rPr>
            <w:noProof/>
            <w:webHidden/>
          </w:rPr>
          <w:fldChar w:fldCharType="separate"/>
        </w:r>
        <w:r w:rsidR="00FD4FE7">
          <w:rPr>
            <w:noProof/>
            <w:webHidden/>
          </w:rPr>
          <w:t>11</w:t>
        </w:r>
        <w:r w:rsidR="00FD4FE7">
          <w:rPr>
            <w:noProof/>
            <w:webHidden/>
          </w:rPr>
          <w:fldChar w:fldCharType="end"/>
        </w:r>
      </w:hyperlink>
    </w:p>
    <w:p w14:paraId="726F914A" w14:textId="3C1CE376" w:rsidR="00FD4FE7" w:rsidRDefault="00D313CA">
      <w:pPr>
        <w:pStyle w:val="TOC2"/>
        <w:tabs>
          <w:tab w:val="left" w:pos="1077"/>
        </w:tabs>
        <w:rPr>
          <w:rFonts w:asciiTheme="minorHAnsi" w:eastAsiaTheme="minorEastAsia" w:hAnsiTheme="minorHAnsi" w:cstheme="minorBidi"/>
          <w:noProof/>
          <w:sz w:val="22"/>
          <w:szCs w:val="22"/>
          <w:lang w:val="en-IE" w:eastAsia="en-IE"/>
        </w:rPr>
      </w:pPr>
      <w:hyperlink w:anchor="_Toc134086083" w:history="1">
        <w:r w:rsidR="00FD4FE7" w:rsidRPr="00C64228">
          <w:rPr>
            <w:rStyle w:val="Hyperlink"/>
            <w:noProof/>
          </w:rPr>
          <w:t>1.3.</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Vodenje knjige terjatev</w:t>
        </w:r>
        <w:r w:rsidR="00FD4FE7">
          <w:rPr>
            <w:noProof/>
            <w:webHidden/>
          </w:rPr>
          <w:tab/>
        </w:r>
        <w:r w:rsidR="00FD4FE7">
          <w:rPr>
            <w:noProof/>
            <w:webHidden/>
          </w:rPr>
          <w:fldChar w:fldCharType="begin"/>
        </w:r>
        <w:r w:rsidR="00FD4FE7">
          <w:rPr>
            <w:noProof/>
            <w:webHidden/>
          </w:rPr>
          <w:instrText xml:space="preserve"> PAGEREF _Toc134086083 \h </w:instrText>
        </w:r>
        <w:r w:rsidR="00FD4FE7">
          <w:rPr>
            <w:noProof/>
            <w:webHidden/>
          </w:rPr>
        </w:r>
        <w:r w:rsidR="00FD4FE7">
          <w:rPr>
            <w:noProof/>
            <w:webHidden/>
          </w:rPr>
          <w:fldChar w:fldCharType="separate"/>
        </w:r>
        <w:r w:rsidR="00FD4FE7">
          <w:rPr>
            <w:noProof/>
            <w:webHidden/>
          </w:rPr>
          <w:t>12</w:t>
        </w:r>
        <w:r w:rsidR="00FD4FE7">
          <w:rPr>
            <w:noProof/>
            <w:webHidden/>
          </w:rPr>
          <w:fldChar w:fldCharType="end"/>
        </w:r>
      </w:hyperlink>
    </w:p>
    <w:p w14:paraId="3D25C67C" w14:textId="60DAEFF1" w:rsidR="00FD4FE7" w:rsidRDefault="00D313CA">
      <w:pPr>
        <w:pStyle w:val="TOC2"/>
        <w:tabs>
          <w:tab w:val="left" w:pos="1077"/>
        </w:tabs>
        <w:rPr>
          <w:rFonts w:asciiTheme="minorHAnsi" w:eastAsiaTheme="minorEastAsia" w:hAnsiTheme="minorHAnsi" w:cstheme="minorBidi"/>
          <w:noProof/>
          <w:sz w:val="22"/>
          <w:szCs w:val="22"/>
          <w:lang w:val="en-IE" w:eastAsia="en-IE"/>
        </w:rPr>
      </w:pPr>
      <w:hyperlink w:anchor="_Toc134086084" w:history="1">
        <w:r w:rsidR="00FD4FE7" w:rsidRPr="00C64228">
          <w:rPr>
            <w:rStyle w:val="Hyperlink"/>
            <w:noProof/>
          </w:rPr>
          <w:t>1.4.</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Postopki spremljanja:</w:t>
        </w:r>
        <w:r w:rsidR="00FD4FE7">
          <w:rPr>
            <w:noProof/>
            <w:webHidden/>
          </w:rPr>
          <w:tab/>
        </w:r>
        <w:r w:rsidR="00FD4FE7">
          <w:rPr>
            <w:noProof/>
            <w:webHidden/>
          </w:rPr>
          <w:fldChar w:fldCharType="begin"/>
        </w:r>
        <w:r w:rsidR="00FD4FE7">
          <w:rPr>
            <w:noProof/>
            <w:webHidden/>
          </w:rPr>
          <w:instrText xml:space="preserve"> PAGEREF _Toc134086084 \h </w:instrText>
        </w:r>
        <w:r w:rsidR="00FD4FE7">
          <w:rPr>
            <w:noProof/>
            <w:webHidden/>
          </w:rPr>
        </w:r>
        <w:r w:rsidR="00FD4FE7">
          <w:rPr>
            <w:noProof/>
            <w:webHidden/>
          </w:rPr>
          <w:fldChar w:fldCharType="separate"/>
        </w:r>
        <w:r w:rsidR="00FD4FE7">
          <w:rPr>
            <w:noProof/>
            <w:webHidden/>
          </w:rPr>
          <w:t>12</w:t>
        </w:r>
        <w:r w:rsidR="00FD4FE7">
          <w:rPr>
            <w:noProof/>
            <w:webHidden/>
          </w:rPr>
          <w:fldChar w:fldCharType="end"/>
        </w:r>
      </w:hyperlink>
    </w:p>
    <w:p w14:paraId="6D3C4D99" w14:textId="7AEC7D0D" w:rsidR="00FD4FE7" w:rsidRDefault="00D313CA">
      <w:pPr>
        <w:pStyle w:val="TOC2"/>
        <w:tabs>
          <w:tab w:val="left" w:pos="1077"/>
        </w:tabs>
        <w:rPr>
          <w:rFonts w:asciiTheme="minorHAnsi" w:eastAsiaTheme="minorEastAsia" w:hAnsiTheme="minorHAnsi" w:cstheme="minorBidi"/>
          <w:noProof/>
          <w:sz w:val="22"/>
          <w:szCs w:val="22"/>
          <w:lang w:val="en-IE" w:eastAsia="en-IE"/>
        </w:rPr>
      </w:pPr>
      <w:hyperlink w:anchor="_Toc134086085" w:history="1">
        <w:r w:rsidR="00FD4FE7" w:rsidRPr="00C64228">
          <w:rPr>
            <w:rStyle w:val="Hyperlink"/>
            <w:noProof/>
          </w:rPr>
          <w:t>1.5.</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Izterjava zneskov:</w:t>
        </w:r>
        <w:r w:rsidR="00FD4FE7">
          <w:rPr>
            <w:noProof/>
            <w:webHidden/>
          </w:rPr>
          <w:tab/>
        </w:r>
        <w:r w:rsidR="00FD4FE7">
          <w:rPr>
            <w:noProof/>
            <w:webHidden/>
          </w:rPr>
          <w:fldChar w:fldCharType="begin"/>
        </w:r>
        <w:r w:rsidR="00FD4FE7">
          <w:rPr>
            <w:noProof/>
            <w:webHidden/>
          </w:rPr>
          <w:instrText xml:space="preserve"> PAGEREF _Toc134086085 \h </w:instrText>
        </w:r>
        <w:r w:rsidR="00FD4FE7">
          <w:rPr>
            <w:noProof/>
            <w:webHidden/>
          </w:rPr>
        </w:r>
        <w:r w:rsidR="00FD4FE7">
          <w:rPr>
            <w:noProof/>
            <w:webHidden/>
          </w:rPr>
          <w:fldChar w:fldCharType="separate"/>
        </w:r>
        <w:r w:rsidR="00FD4FE7">
          <w:rPr>
            <w:noProof/>
            <w:webHidden/>
          </w:rPr>
          <w:t>13</w:t>
        </w:r>
        <w:r w:rsidR="00FD4FE7">
          <w:rPr>
            <w:noProof/>
            <w:webHidden/>
          </w:rPr>
          <w:fldChar w:fldCharType="end"/>
        </w:r>
      </w:hyperlink>
    </w:p>
    <w:p w14:paraId="3D79DC85" w14:textId="668F66CB" w:rsidR="00FD4FE7" w:rsidRDefault="00D313CA">
      <w:pPr>
        <w:pStyle w:val="TOC2"/>
        <w:tabs>
          <w:tab w:val="left" w:pos="1077"/>
        </w:tabs>
        <w:rPr>
          <w:rFonts w:asciiTheme="minorHAnsi" w:eastAsiaTheme="minorEastAsia" w:hAnsiTheme="minorHAnsi" w:cstheme="minorBidi"/>
          <w:noProof/>
          <w:sz w:val="22"/>
          <w:szCs w:val="22"/>
          <w:lang w:val="en-IE" w:eastAsia="en-IE"/>
        </w:rPr>
      </w:pPr>
      <w:hyperlink w:anchor="_Toc134086086" w:history="1">
        <w:r w:rsidR="00FD4FE7" w:rsidRPr="00C64228">
          <w:rPr>
            <w:rStyle w:val="Hyperlink"/>
            <w:noProof/>
          </w:rPr>
          <w:t>1.6.</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EKJS in EKSRP – Knjiženje in izjava o izterjavah</w:t>
        </w:r>
        <w:r w:rsidR="00FD4FE7">
          <w:rPr>
            <w:noProof/>
            <w:webHidden/>
          </w:rPr>
          <w:tab/>
        </w:r>
        <w:r w:rsidR="00FD4FE7">
          <w:rPr>
            <w:noProof/>
            <w:webHidden/>
          </w:rPr>
          <w:fldChar w:fldCharType="begin"/>
        </w:r>
        <w:r w:rsidR="00FD4FE7">
          <w:rPr>
            <w:noProof/>
            <w:webHidden/>
          </w:rPr>
          <w:instrText xml:space="preserve"> PAGEREF _Toc134086086 \h </w:instrText>
        </w:r>
        <w:r w:rsidR="00FD4FE7">
          <w:rPr>
            <w:noProof/>
            <w:webHidden/>
          </w:rPr>
        </w:r>
        <w:r w:rsidR="00FD4FE7">
          <w:rPr>
            <w:noProof/>
            <w:webHidden/>
          </w:rPr>
          <w:fldChar w:fldCharType="separate"/>
        </w:r>
        <w:r w:rsidR="00FD4FE7">
          <w:rPr>
            <w:noProof/>
            <w:webHidden/>
          </w:rPr>
          <w:t>13</w:t>
        </w:r>
        <w:r w:rsidR="00FD4FE7">
          <w:rPr>
            <w:noProof/>
            <w:webHidden/>
          </w:rPr>
          <w:fldChar w:fldCharType="end"/>
        </w:r>
      </w:hyperlink>
    </w:p>
    <w:p w14:paraId="070DB090" w14:textId="27CD58D1" w:rsidR="00FD4FE7" w:rsidRDefault="00D313CA">
      <w:pPr>
        <w:pStyle w:val="TOC2"/>
        <w:tabs>
          <w:tab w:val="left" w:pos="1077"/>
        </w:tabs>
        <w:rPr>
          <w:rFonts w:asciiTheme="minorHAnsi" w:eastAsiaTheme="minorEastAsia" w:hAnsiTheme="minorHAnsi" w:cstheme="minorBidi"/>
          <w:noProof/>
          <w:sz w:val="22"/>
          <w:szCs w:val="22"/>
          <w:lang w:val="en-IE" w:eastAsia="en-IE"/>
        </w:rPr>
      </w:pPr>
      <w:hyperlink w:anchor="_Toc134086087" w:history="1">
        <w:r w:rsidR="00FD4FE7" w:rsidRPr="00C64228">
          <w:rPr>
            <w:rStyle w:val="Hyperlink"/>
            <w:noProof/>
          </w:rPr>
          <w:t>1.7.</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Ključne in pomožne kontrole</w:t>
        </w:r>
        <w:r w:rsidR="00FD4FE7">
          <w:rPr>
            <w:noProof/>
            <w:webHidden/>
          </w:rPr>
          <w:tab/>
        </w:r>
        <w:r w:rsidR="00FD4FE7">
          <w:rPr>
            <w:noProof/>
            <w:webHidden/>
          </w:rPr>
          <w:fldChar w:fldCharType="begin"/>
        </w:r>
        <w:r w:rsidR="00FD4FE7">
          <w:rPr>
            <w:noProof/>
            <w:webHidden/>
          </w:rPr>
          <w:instrText xml:space="preserve"> PAGEREF _Toc134086087 \h </w:instrText>
        </w:r>
        <w:r w:rsidR="00FD4FE7">
          <w:rPr>
            <w:noProof/>
            <w:webHidden/>
          </w:rPr>
        </w:r>
        <w:r w:rsidR="00FD4FE7">
          <w:rPr>
            <w:noProof/>
            <w:webHidden/>
          </w:rPr>
          <w:fldChar w:fldCharType="separate"/>
        </w:r>
        <w:r w:rsidR="00FD4FE7">
          <w:rPr>
            <w:noProof/>
            <w:webHidden/>
          </w:rPr>
          <w:t>13</w:t>
        </w:r>
        <w:r w:rsidR="00FD4FE7">
          <w:rPr>
            <w:noProof/>
            <w:webHidden/>
          </w:rPr>
          <w:fldChar w:fldCharType="end"/>
        </w:r>
      </w:hyperlink>
    </w:p>
    <w:p w14:paraId="333B3A69" w14:textId="56781F69" w:rsidR="00FD4FE7" w:rsidRDefault="00D313CA">
      <w:pPr>
        <w:pStyle w:val="TOC1"/>
        <w:rPr>
          <w:rFonts w:asciiTheme="minorHAnsi" w:eastAsiaTheme="minorEastAsia" w:hAnsiTheme="minorHAnsi" w:cstheme="minorBidi"/>
          <w:caps w:val="0"/>
          <w:noProof/>
          <w:sz w:val="22"/>
          <w:szCs w:val="22"/>
          <w:lang w:val="en-IE" w:eastAsia="en-IE"/>
        </w:rPr>
      </w:pPr>
      <w:hyperlink w:anchor="_Toc134086088" w:history="1">
        <w:r w:rsidR="00FD4FE7" w:rsidRPr="00C64228">
          <w:rPr>
            <w:rStyle w:val="Hyperlink"/>
            <w:noProof/>
          </w:rPr>
          <w:t>DEL 2. POROČANJE O DOLGU</w:t>
        </w:r>
        <w:r w:rsidR="00FD4FE7">
          <w:rPr>
            <w:noProof/>
            <w:webHidden/>
          </w:rPr>
          <w:tab/>
        </w:r>
        <w:r w:rsidR="00FD4FE7">
          <w:rPr>
            <w:noProof/>
            <w:webHidden/>
          </w:rPr>
          <w:fldChar w:fldCharType="begin"/>
        </w:r>
        <w:r w:rsidR="00FD4FE7">
          <w:rPr>
            <w:noProof/>
            <w:webHidden/>
          </w:rPr>
          <w:instrText xml:space="preserve"> PAGEREF _Toc134086088 \h </w:instrText>
        </w:r>
        <w:r w:rsidR="00FD4FE7">
          <w:rPr>
            <w:noProof/>
            <w:webHidden/>
          </w:rPr>
        </w:r>
        <w:r w:rsidR="00FD4FE7">
          <w:rPr>
            <w:noProof/>
            <w:webHidden/>
          </w:rPr>
          <w:fldChar w:fldCharType="separate"/>
        </w:r>
        <w:r w:rsidR="00FD4FE7">
          <w:rPr>
            <w:noProof/>
            <w:webHidden/>
          </w:rPr>
          <w:t>14</w:t>
        </w:r>
        <w:r w:rsidR="00FD4FE7">
          <w:rPr>
            <w:noProof/>
            <w:webHidden/>
          </w:rPr>
          <w:fldChar w:fldCharType="end"/>
        </w:r>
      </w:hyperlink>
    </w:p>
    <w:p w14:paraId="023CAD88" w14:textId="2FA29B5D" w:rsidR="00FD4FE7" w:rsidRDefault="00D313CA">
      <w:pPr>
        <w:pStyle w:val="TOC1"/>
        <w:rPr>
          <w:rFonts w:asciiTheme="minorHAnsi" w:eastAsiaTheme="minorEastAsia" w:hAnsiTheme="minorHAnsi" w:cstheme="minorBidi"/>
          <w:caps w:val="0"/>
          <w:noProof/>
          <w:sz w:val="22"/>
          <w:szCs w:val="22"/>
          <w:lang w:val="en-IE" w:eastAsia="en-IE"/>
        </w:rPr>
      </w:pPr>
      <w:hyperlink w:anchor="_Toc134086089" w:history="1">
        <w:r w:rsidR="00FD4FE7" w:rsidRPr="00C64228">
          <w:rPr>
            <w:rStyle w:val="Hyperlink"/>
            <w:noProof/>
          </w:rPr>
          <w:t>2.1. Preglednica iz Priloge II k Uredbi (EU) št. 908/2014</w:t>
        </w:r>
        <w:r w:rsidR="00FD4FE7">
          <w:rPr>
            <w:noProof/>
            <w:webHidden/>
          </w:rPr>
          <w:tab/>
        </w:r>
        <w:r w:rsidR="00FD4FE7">
          <w:rPr>
            <w:noProof/>
            <w:webHidden/>
          </w:rPr>
          <w:fldChar w:fldCharType="begin"/>
        </w:r>
        <w:r w:rsidR="00FD4FE7">
          <w:rPr>
            <w:noProof/>
            <w:webHidden/>
          </w:rPr>
          <w:instrText xml:space="preserve"> PAGEREF _Toc134086089 \h </w:instrText>
        </w:r>
        <w:r w:rsidR="00FD4FE7">
          <w:rPr>
            <w:noProof/>
            <w:webHidden/>
          </w:rPr>
        </w:r>
        <w:r w:rsidR="00FD4FE7">
          <w:rPr>
            <w:noProof/>
            <w:webHidden/>
          </w:rPr>
          <w:fldChar w:fldCharType="separate"/>
        </w:r>
        <w:r w:rsidR="00FD4FE7">
          <w:rPr>
            <w:noProof/>
            <w:webHidden/>
          </w:rPr>
          <w:t>15</w:t>
        </w:r>
        <w:r w:rsidR="00FD4FE7">
          <w:rPr>
            <w:noProof/>
            <w:webHidden/>
          </w:rPr>
          <w:fldChar w:fldCharType="end"/>
        </w:r>
      </w:hyperlink>
    </w:p>
    <w:p w14:paraId="6CD9F6A5" w14:textId="1FE4F18A" w:rsidR="00FD4FE7" w:rsidRDefault="00D313CA">
      <w:pPr>
        <w:pStyle w:val="TOC2"/>
        <w:rPr>
          <w:rFonts w:asciiTheme="minorHAnsi" w:eastAsiaTheme="minorEastAsia" w:hAnsiTheme="minorHAnsi" w:cstheme="minorBidi"/>
          <w:noProof/>
          <w:sz w:val="22"/>
          <w:szCs w:val="22"/>
          <w:lang w:val="en-IE" w:eastAsia="en-IE"/>
        </w:rPr>
      </w:pPr>
      <w:hyperlink w:anchor="_Toc134086090" w:history="1">
        <w:r w:rsidR="00FD4FE7" w:rsidRPr="00C64228">
          <w:rPr>
            <w:rStyle w:val="Hyperlink"/>
            <w:noProof/>
          </w:rPr>
          <w:t>2.1.1. Primeri, o katerih se poroča</w:t>
        </w:r>
        <w:r w:rsidR="00FD4FE7">
          <w:rPr>
            <w:noProof/>
            <w:webHidden/>
          </w:rPr>
          <w:tab/>
        </w:r>
        <w:r w:rsidR="00FD4FE7">
          <w:rPr>
            <w:noProof/>
            <w:webHidden/>
          </w:rPr>
          <w:fldChar w:fldCharType="begin"/>
        </w:r>
        <w:r w:rsidR="00FD4FE7">
          <w:rPr>
            <w:noProof/>
            <w:webHidden/>
          </w:rPr>
          <w:instrText xml:space="preserve"> PAGEREF _Toc134086090 \h </w:instrText>
        </w:r>
        <w:r w:rsidR="00FD4FE7">
          <w:rPr>
            <w:noProof/>
            <w:webHidden/>
          </w:rPr>
        </w:r>
        <w:r w:rsidR="00FD4FE7">
          <w:rPr>
            <w:noProof/>
            <w:webHidden/>
          </w:rPr>
          <w:fldChar w:fldCharType="separate"/>
        </w:r>
        <w:r w:rsidR="00FD4FE7">
          <w:rPr>
            <w:noProof/>
            <w:webHidden/>
          </w:rPr>
          <w:t>15</w:t>
        </w:r>
        <w:r w:rsidR="00FD4FE7">
          <w:rPr>
            <w:noProof/>
            <w:webHidden/>
          </w:rPr>
          <w:fldChar w:fldCharType="end"/>
        </w:r>
      </w:hyperlink>
    </w:p>
    <w:p w14:paraId="00D819A6" w14:textId="3CF82D55" w:rsidR="00FD4FE7" w:rsidRDefault="00D313CA">
      <w:pPr>
        <w:pStyle w:val="TOC2"/>
        <w:rPr>
          <w:rFonts w:asciiTheme="minorHAnsi" w:eastAsiaTheme="minorEastAsia" w:hAnsiTheme="minorHAnsi" w:cstheme="minorBidi"/>
          <w:noProof/>
          <w:sz w:val="22"/>
          <w:szCs w:val="22"/>
          <w:lang w:val="en-IE" w:eastAsia="en-IE"/>
        </w:rPr>
      </w:pPr>
      <w:hyperlink w:anchor="_Toc134086091" w:history="1">
        <w:r w:rsidR="00FD4FE7" w:rsidRPr="00C64228">
          <w:rPr>
            <w:rStyle w:val="Hyperlink"/>
            <w:noProof/>
          </w:rPr>
          <w:t>2.1.2. Vsebina stolpcev</w:t>
        </w:r>
        <w:r w:rsidR="00FD4FE7">
          <w:rPr>
            <w:noProof/>
            <w:webHidden/>
          </w:rPr>
          <w:tab/>
        </w:r>
        <w:r w:rsidR="00FD4FE7">
          <w:rPr>
            <w:noProof/>
            <w:webHidden/>
          </w:rPr>
          <w:fldChar w:fldCharType="begin"/>
        </w:r>
        <w:r w:rsidR="00FD4FE7">
          <w:rPr>
            <w:noProof/>
            <w:webHidden/>
          </w:rPr>
          <w:instrText xml:space="preserve"> PAGEREF _Toc134086091 \h </w:instrText>
        </w:r>
        <w:r w:rsidR="00FD4FE7">
          <w:rPr>
            <w:noProof/>
            <w:webHidden/>
          </w:rPr>
        </w:r>
        <w:r w:rsidR="00FD4FE7">
          <w:rPr>
            <w:noProof/>
            <w:webHidden/>
          </w:rPr>
          <w:fldChar w:fldCharType="separate"/>
        </w:r>
        <w:r w:rsidR="00FD4FE7">
          <w:rPr>
            <w:noProof/>
            <w:webHidden/>
          </w:rPr>
          <w:t>16</w:t>
        </w:r>
        <w:r w:rsidR="00FD4FE7">
          <w:rPr>
            <w:noProof/>
            <w:webHidden/>
          </w:rPr>
          <w:fldChar w:fldCharType="end"/>
        </w:r>
      </w:hyperlink>
    </w:p>
    <w:p w14:paraId="7D5CA987" w14:textId="41560AEE"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092" w:history="1">
        <w:r w:rsidR="00FD4FE7" w:rsidRPr="00C64228">
          <w:rPr>
            <w:rStyle w:val="Hyperlink"/>
            <w:noProof/>
          </w:rPr>
          <w:t>2.1.2.1.</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(A) – Plačilna agencija</w:t>
        </w:r>
        <w:r w:rsidR="00FD4FE7">
          <w:rPr>
            <w:noProof/>
            <w:webHidden/>
          </w:rPr>
          <w:tab/>
        </w:r>
        <w:r w:rsidR="00FD4FE7">
          <w:rPr>
            <w:noProof/>
            <w:webHidden/>
          </w:rPr>
          <w:fldChar w:fldCharType="begin"/>
        </w:r>
        <w:r w:rsidR="00FD4FE7">
          <w:rPr>
            <w:noProof/>
            <w:webHidden/>
          </w:rPr>
          <w:instrText xml:space="preserve"> PAGEREF _Toc134086092 \h </w:instrText>
        </w:r>
        <w:r w:rsidR="00FD4FE7">
          <w:rPr>
            <w:noProof/>
            <w:webHidden/>
          </w:rPr>
        </w:r>
        <w:r w:rsidR="00FD4FE7">
          <w:rPr>
            <w:noProof/>
            <w:webHidden/>
          </w:rPr>
          <w:fldChar w:fldCharType="separate"/>
        </w:r>
        <w:r w:rsidR="00FD4FE7">
          <w:rPr>
            <w:noProof/>
            <w:webHidden/>
          </w:rPr>
          <w:t>16</w:t>
        </w:r>
        <w:r w:rsidR="00FD4FE7">
          <w:rPr>
            <w:noProof/>
            <w:webHidden/>
          </w:rPr>
          <w:fldChar w:fldCharType="end"/>
        </w:r>
      </w:hyperlink>
    </w:p>
    <w:p w14:paraId="66E09109" w14:textId="172659B8"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093" w:history="1">
        <w:r w:rsidR="00FD4FE7" w:rsidRPr="00C64228">
          <w:rPr>
            <w:rStyle w:val="Hyperlink"/>
            <w:noProof/>
          </w:rPr>
          <w:t>2.1.2.2.</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(B) – Sklad</w:t>
        </w:r>
        <w:r w:rsidR="00FD4FE7">
          <w:rPr>
            <w:noProof/>
            <w:webHidden/>
          </w:rPr>
          <w:tab/>
        </w:r>
        <w:r w:rsidR="00FD4FE7">
          <w:rPr>
            <w:noProof/>
            <w:webHidden/>
          </w:rPr>
          <w:fldChar w:fldCharType="begin"/>
        </w:r>
        <w:r w:rsidR="00FD4FE7">
          <w:rPr>
            <w:noProof/>
            <w:webHidden/>
          </w:rPr>
          <w:instrText xml:space="preserve"> PAGEREF _Toc134086093 \h </w:instrText>
        </w:r>
        <w:r w:rsidR="00FD4FE7">
          <w:rPr>
            <w:noProof/>
            <w:webHidden/>
          </w:rPr>
        </w:r>
        <w:r w:rsidR="00FD4FE7">
          <w:rPr>
            <w:noProof/>
            <w:webHidden/>
          </w:rPr>
          <w:fldChar w:fldCharType="separate"/>
        </w:r>
        <w:r w:rsidR="00FD4FE7">
          <w:rPr>
            <w:noProof/>
            <w:webHidden/>
          </w:rPr>
          <w:t>16</w:t>
        </w:r>
        <w:r w:rsidR="00FD4FE7">
          <w:rPr>
            <w:noProof/>
            <w:webHidden/>
          </w:rPr>
          <w:fldChar w:fldCharType="end"/>
        </w:r>
      </w:hyperlink>
    </w:p>
    <w:p w14:paraId="5028E85A" w14:textId="05E8C1E6"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094" w:history="1">
        <w:r w:rsidR="00FD4FE7" w:rsidRPr="00C64228">
          <w:rPr>
            <w:rStyle w:val="Hyperlink"/>
            <w:noProof/>
          </w:rPr>
          <w:t>2.1.2.3.</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(AA) – Primer (staro/novo)</w:t>
        </w:r>
        <w:r w:rsidR="00FD4FE7">
          <w:rPr>
            <w:noProof/>
            <w:webHidden/>
          </w:rPr>
          <w:tab/>
        </w:r>
        <w:r w:rsidR="00FD4FE7">
          <w:rPr>
            <w:noProof/>
            <w:webHidden/>
          </w:rPr>
          <w:fldChar w:fldCharType="begin"/>
        </w:r>
        <w:r w:rsidR="00FD4FE7">
          <w:rPr>
            <w:noProof/>
            <w:webHidden/>
          </w:rPr>
          <w:instrText xml:space="preserve"> PAGEREF _Toc134086094 \h </w:instrText>
        </w:r>
        <w:r w:rsidR="00FD4FE7">
          <w:rPr>
            <w:noProof/>
            <w:webHidden/>
          </w:rPr>
        </w:r>
        <w:r w:rsidR="00FD4FE7">
          <w:rPr>
            <w:noProof/>
            <w:webHidden/>
          </w:rPr>
          <w:fldChar w:fldCharType="separate"/>
        </w:r>
        <w:r w:rsidR="00FD4FE7">
          <w:rPr>
            <w:noProof/>
            <w:webHidden/>
          </w:rPr>
          <w:t>16</w:t>
        </w:r>
        <w:r w:rsidR="00FD4FE7">
          <w:rPr>
            <w:noProof/>
            <w:webHidden/>
          </w:rPr>
          <w:fldChar w:fldCharType="end"/>
        </w:r>
      </w:hyperlink>
    </w:p>
    <w:p w14:paraId="4C66959E" w14:textId="5D51325F"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095" w:history="1">
        <w:r w:rsidR="00FD4FE7" w:rsidRPr="00C64228">
          <w:rPr>
            <w:rStyle w:val="Hyperlink"/>
            <w:noProof/>
          </w:rPr>
          <w:t>2.1.2.4.</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(V1) – Proračunsko leto izvirnega odhodka</w:t>
        </w:r>
        <w:r w:rsidR="00FD4FE7">
          <w:rPr>
            <w:noProof/>
            <w:webHidden/>
          </w:rPr>
          <w:tab/>
        </w:r>
        <w:r w:rsidR="00FD4FE7">
          <w:rPr>
            <w:noProof/>
            <w:webHidden/>
          </w:rPr>
          <w:fldChar w:fldCharType="begin"/>
        </w:r>
        <w:r w:rsidR="00FD4FE7">
          <w:rPr>
            <w:noProof/>
            <w:webHidden/>
          </w:rPr>
          <w:instrText xml:space="preserve"> PAGEREF _Toc134086095 \h </w:instrText>
        </w:r>
        <w:r w:rsidR="00FD4FE7">
          <w:rPr>
            <w:noProof/>
            <w:webHidden/>
          </w:rPr>
        </w:r>
        <w:r w:rsidR="00FD4FE7">
          <w:rPr>
            <w:noProof/>
            <w:webHidden/>
          </w:rPr>
          <w:fldChar w:fldCharType="separate"/>
        </w:r>
        <w:r w:rsidR="00FD4FE7">
          <w:rPr>
            <w:noProof/>
            <w:webHidden/>
          </w:rPr>
          <w:t>17</w:t>
        </w:r>
        <w:r w:rsidR="00FD4FE7">
          <w:rPr>
            <w:noProof/>
            <w:webHidden/>
          </w:rPr>
          <w:fldChar w:fldCharType="end"/>
        </w:r>
      </w:hyperlink>
    </w:p>
    <w:p w14:paraId="1686AED6" w14:textId="1839885D"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096" w:history="1">
        <w:r w:rsidR="00FD4FE7" w:rsidRPr="00C64228">
          <w:rPr>
            <w:rStyle w:val="Hyperlink"/>
            <w:noProof/>
          </w:rPr>
          <w:t>2.1.2.5.</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(V2) – Proračunske kode izvirnega odhodka</w:t>
        </w:r>
        <w:r w:rsidR="00FD4FE7">
          <w:rPr>
            <w:noProof/>
            <w:webHidden/>
          </w:rPr>
          <w:tab/>
        </w:r>
        <w:r w:rsidR="00FD4FE7">
          <w:rPr>
            <w:noProof/>
            <w:webHidden/>
          </w:rPr>
          <w:fldChar w:fldCharType="begin"/>
        </w:r>
        <w:r w:rsidR="00FD4FE7">
          <w:rPr>
            <w:noProof/>
            <w:webHidden/>
          </w:rPr>
          <w:instrText xml:space="preserve"> PAGEREF _Toc134086096 \h </w:instrText>
        </w:r>
        <w:r w:rsidR="00FD4FE7">
          <w:rPr>
            <w:noProof/>
            <w:webHidden/>
          </w:rPr>
        </w:r>
        <w:r w:rsidR="00FD4FE7">
          <w:rPr>
            <w:noProof/>
            <w:webHidden/>
          </w:rPr>
          <w:fldChar w:fldCharType="separate"/>
        </w:r>
        <w:r w:rsidR="00FD4FE7">
          <w:rPr>
            <w:noProof/>
            <w:webHidden/>
          </w:rPr>
          <w:t>17</w:t>
        </w:r>
        <w:r w:rsidR="00FD4FE7">
          <w:rPr>
            <w:noProof/>
            <w:webHidden/>
          </w:rPr>
          <w:fldChar w:fldCharType="end"/>
        </w:r>
      </w:hyperlink>
    </w:p>
    <w:p w14:paraId="47EDF273" w14:textId="5B276A3A"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097" w:history="1">
        <w:r w:rsidR="00FD4FE7" w:rsidRPr="00C64228">
          <w:rPr>
            <w:rStyle w:val="Hyperlink"/>
            <w:noProof/>
          </w:rPr>
          <w:t>2.1.2.6.</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(C) – Proračunsko leto n</w:t>
        </w:r>
        <w:r w:rsidR="00FD4FE7">
          <w:rPr>
            <w:noProof/>
            <w:webHidden/>
          </w:rPr>
          <w:tab/>
        </w:r>
        <w:r w:rsidR="00FD4FE7">
          <w:rPr>
            <w:noProof/>
            <w:webHidden/>
          </w:rPr>
          <w:fldChar w:fldCharType="begin"/>
        </w:r>
        <w:r w:rsidR="00FD4FE7">
          <w:rPr>
            <w:noProof/>
            <w:webHidden/>
          </w:rPr>
          <w:instrText xml:space="preserve"> PAGEREF _Toc134086097 \h </w:instrText>
        </w:r>
        <w:r w:rsidR="00FD4FE7">
          <w:rPr>
            <w:noProof/>
            <w:webHidden/>
          </w:rPr>
        </w:r>
        <w:r w:rsidR="00FD4FE7">
          <w:rPr>
            <w:noProof/>
            <w:webHidden/>
          </w:rPr>
          <w:fldChar w:fldCharType="separate"/>
        </w:r>
        <w:r w:rsidR="00FD4FE7">
          <w:rPr>
            <w:noProof/>
            <w:webHidden/>
          </w:rPr>
          <w:t>18</w:t>
        </w:r>
        <w:r w:rsidR="00FD4FE7">
          <w:rPr>
            <w:noProof/>
            <w:webHidden/>
          </w:rPr>
          <w:fldChar w:fldCharType="end"/>
        </w:r>
      </w:hyperlink>
    </w:p>
    <w:p w14:paraId="0E7B1426" w14:textId="10A95B98"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098" w:history="1">
        <w:r w:rsidR="00FD4FE7" w:rsidRPr="00C64228">
          <w:rPr>
            <w:rStyle w:val="Hyperlink"/>
            <w:noProof/>
          </w:rPr>
          <w:t>2.1.2.7.</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(D) – Denarna enota</w:t>
        </w:r>
        <w:r w:rsidR="00FD4FE7">
          <w:rPr>
            <w:noProof/>
            <w:webHidden/>
          </w:rPr>
          <w:tab/>
        </w:r>
        <w:r w:rsidR="00FD4FE7">
          <w:rPr>
            <w:noProof/>
            <w:webHidden/>
          </w:rPr>
          <w:fldChar w:fldCharType="begin"/>
        </w:r>
        <w:r w:rsidR="00FD4FE7">
          <w:rPr>
            <w:noProof/>
            <w:webHidden/>
          </w:rPr>
          <w:instrText xml:space="preserve"> PAGEREF _Toc134086098 \h </w:instrText>
        </w:r>
        <w:r w:rsidR="00FD4FE7">
          <w:rPr>
            <w:noProof/>
            <w:webHidden/>
          </w:rPr>
        </w:r>
        <w:r w:rsidR="00FD4FE7">
          <w:rPr>
            <w:noProof/>
            <w:webHidden/>
          </w:rPr>
          <w:fldChar w:fldCharType="separate"/>
        </w:r>
        <w:r w:rsidR="00FD4FE7">
          <w:rPr>
            <w:noProof/>
            <w:webHidden/>
          </w:rPr>
          <w:t>18</w:t>
        </w:r>
        <w:r w:rsidR="00FD4FE7">
          <w:rPr>
            <w:noProof/>
            <w:webHidden/>
          </w:rPr>
          <w:fldChar w:fldCharType="end"/>
        </w:r>
      </w:hyperlink>
    </w:p>
    <w:p w14:paraId="22C0BEA3" w14:textId="3C2CFA09"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099" w:history="1">
        <w:r w:rsidR="00FD4FE7" w:rsidRPr="00C64228">
          <w:rPr>
            <w:rStyle w:val="Hyperlink"/>
            <w:noProof/>
          </w:rPr>
          <w:t>2.1.2.8.</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(E) – Identifikacijska številka primera</w:t>
        </w:r>
        <w:r w:rsidR="00FD4FE7">
          <w:rPr>
            <w:noProof/>
            <w:webHidden/>
          </w:rPr>
          <w:tab/>
        </w:r>
        <w:r w:rsidR="00FD4FE7">
          <w:rPr>
            <w:noProof/>
            <w:webHidden/>
          </w:rPr>
          <w:fldChar w:fldCharType="begin"/>
        </w:r>
        <w:r w:rsidR="00FD4FE7">
          <w:rPr>
            <w:noProof/>
            <w:webHidden/>
          </w:rPr>
          <w:instrText xml:space="preserve"> PAGEREF _Toc134086099 \h </w:instrText>
        </w:r>
        <w:r w:rsidR="00FD4FE7">
          <w:rPr>
            <w:noProof/>
            <w:webHidden/>
          </w:rPr>
        </w:r>
        <w:r w:rsidR="00FD4FE7">
          <w:rPr>
            <w:noProof/>
            <w:webHidden/>
          </w:rPr>
          <w:fldChar w:fldCharType="separate"/>
        </w:r>
        <w:r w:rsidR="00FD4FE7">
          <w:rPr>
            <w:noProof/>
            <w:webHidden/>
          </w:rPr>
          <w:t>18</w:t>
        </w:r>
        <w:r w:rsidR="00FD4FE7">
          <w:rPr>
            <w:noProof/>
            <w:webHidden/>
          </w:rPr>
          <w:fldChar w:fldCharType="end"/>
        </w:r>
      </w:hyperlink>
    </w:p>
    <w:p w14:paraId="575E3BF8" w14:textId="2207B298"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00" w:history="1">
        <w:r w:rsidR="00FD4FE7" w:rsidRPr="00C64228">
          <w:rPr>
            <w:rStyle w:val="Hyperlink"/>
            <w:noProof/>
          </w:rPr>
          <w:t>2.1.2.9.</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(F) – Identifikacija OLAF (PSES ali IMS), če je primerno</w:t>
        </w:r>
        <w:r w:rsidR="00FD4FE7">
          <w:rPr>
            <w:noProof/>
            <w:webHidden/>
          </w:rPr>
          <w:tab/>
        </w:r>
        <w:r w:rsidR="00FD4FE7">
          <w:rPr>
            <w:noProof/>
            <w:webHidden/>
          </w:rPr>
          <w:fldChar w:fldCharType="begin"/>
        </w:r>
        <w:r w:rsidR="00FD4FE7">
          <w:rPr>
            <w:noProof/>
            <w:webHidden/>
          </w:rPr>
          <w:instrText xml:space="preserve"> PAGEREF _Toc134086100 \h </w:instrText>
        </w:r>
        <w:r w:rsidR="00FD4FE7">
          <w:rPr>
            <w:noProof/>
            <w:webHidden/>
          </w:rPr>
        </w:r>
        <w:r w:rsidR="00FD4FE7">
          <w:rPr>
            <w:noProof/>
            <w:webHidden/>
          </w:rPr>
          <w:fldChar w:fldCharType="separate"/>
        </w:r>
        <w:r w:rsidR="00FD4FE7">
          <w:rPr>
            <w:noProof/>
            <w:webHidden/>
          </w:rPr>
          <w:t>18</w:t>
        </w:r>
        <w:r w:rsidR="00FD4FE7">
          <w:rPr>
            <w:noProof/>
            <w:webHidden/>
          </w:rPr>
          <w:fldChar w:fldCharType="end"/>
        </w:r>
      </w:hyperlink>
    </w:p>
    <w:p w14:paraId="552F813E" w14:textId="614DDA51"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01" w:history="1">
        <w:r w:rsidR="00FD4FE7" w:rsidRPr="00C64228">
          <w:rPr>
            <w:rStyle w:val="Hyperlink"/>
            <w:noProof/>
          </w:rPr>
          <w:t>2.1.2.10.</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(G) – Primer vključen v knjigo terjatev? D/N</w:t>
        </w:r>
        <w:r w:rsidR="00FD4FE7">
          <w:rPr>
            <w:noProof/>
            <w:webHidden/>
          </w:rPr>
          <w:tab/>
        </w:r>
        <w:r w:rsidR="00FD4FE7">
          <w:rPr>
            <w:noProof/>
            <w:webHidden/>
          </w:rPr>
          <w:fldChar w:fldCharType="begin"/>
        </w:r>
        <w:r w:rsidR="00FD4FE7">
          <w:rPr>
            <w:noProof/>
            <w:webHidden/>
          </w:rPr>
          <w:instrText xml:space="preserve"> PAGEREF _Toc134086101 \h </w:instrText>
        </w:r>
        <w:r w:rsidR="00FD4FE7">
          <w:rPr>
            <w:noProof/>
            <w:webHidden/>
          </w:rPr>
        </w:r>
        <w:r w:rsidR="00FD4FE7">
          <w:rPr>
            <w:noProof/>
            <w:webHidden/>
          </w:rPr>
          <w:fldChar w:fldCharType="separate"/>
        </w:r>
        <w:r w:rsidR="00FD4FE7">
          <w:rPr>
            <w:noProof/>
            <w:webHidden/>
          </w:rPr>
          <w:t>19</w:t>
        </w:r>
        <w:r w:rsidR="00FD4FE7">
          <w:rPr>
            <w:noProof/>
            <w:webHidden/>
          </w:rPr>
          <w:fldChar w:fldCharType="end"/>
        </w:r>
      </w:hyperlink>
    </w:p>
    <w:p w14:paraId="1A7E13CC" w14:textId="0C63BDC0"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02" w:history="1">
        <w:r w:rsidR="00FD4FE7" w:rsidRPr="00C64228">
          <w:rPr>
            <w:rStyle w:val="Hyperlink"/>
            <w:noProof/>
          </w:rPr>
          <w:t>2.1.2.11.</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(H) – Identifikacija upravičenca</w:t>
        </w:r>
        <w:r w:rsidR="00FD4FE7">
          <w:rPr>
            <w:noProof/>
            <w:webHidden/>
          </w:rPr>
          <w:tab/>
        </w:r>
        <w:r w:rsidR="00FD4FE7">
          <w:rPr>
            <w:noProof/>
            <w:webHidden/>
          </w:rPr>
          <w:fldChar w:fldCharType="begin"/>
        </w:r>
        <w:r w:rsidR="00FD4FE7">
          <w:rPr>
            <w:noProof/>
            <w:webHidden/>
          </w:rPr>
          <w:instrText xml:space="preserve"> PAGEREF _Toc134086102 \h </w:instrText>
        </w:r>
        <w:r w:rsidR="00FD4FE7">
          <w:rPr>
            <w:noProof/>
            <w:webHidden/>
          </w:rPr>
        </w:r>
        <w:r w:rsidR="00FD4FE7">
          <w:rPr>
            <w:noProof/>
            <w:webHidden/>
          </w:rPr>
          <w:fldChar w:fldCharType="separate"/>
        </w:r>
        <w:r w:rsidR="00FD4FE7">
          <w:rPr>
            <w:noProof/>
            <w:webHidden/>
          </w:rPr>
          <w:t>19</w:t>
        </w:r>
        <w:r w:rsidR="00FD4FE7">
          <w:rPr>
            <w:noProof/>
            <w:webHidden/>
          </w:rPr>
          <w:fldChar w:fldCharType="end"/>
        </w:r>
      </w:hyperlink>
    </w:p>
    <w:p w14:paraId="71CA3EA4" w14:textId="3B2468AE"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03" w:history="1">
        <w:r w:rsidR="00FD4FE7" w:rsidRPr="00C64228">
          <w:rPr>
            <w:rStyle w:val="Hyperlink"/>
            <w:noProof/>
          </w:rPr>
          <w:t>2.1.2.12.</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(I) – Program zaključen? (samo za EKSRP za obdobje 2007–2013 in ZIRP)</w:t>
        </w:r>
        <w:r w:rsidR="00FD4FE7">
          <w:rPr>
            <w:noProof/>
            <w:webHidden/>
          </w:rPr>
          <w:tab/>
        </w:r>
        <w:r w:rsidR="00FD4FE7">
          <w:rPr>
            <w:noProof/>
            <w:webHidden/>
          </w:rPr>
          <w:fldChar w:fldCharType="begin"/>
        </w:r>
        <w:r w:rsidR="00FD4FE7">
          <w:rPr>
            <w:noProof/>
            <w:webHidden/>
          </w:rPr>
          <w:instrText xml:space="preserve"> PAGEREF _Toc134086103 \h </w:instrText>
        </w:r>
        <w:r w:rsidR="00FD4FE7">
          <w:rPr>
            <w:noProof/>
            <w:webHidden/>
          </w:rPr>
        </w:r>
        <w:r w:rsidR="00FD4FE7">
          <w:rPr>
            <w:noProof/>
            <w:webHidden/>
          </w:rPr>
          <w:fldChar w:fldCharType="separate"/>
        </w:r>
        <w:r w:rsidR="00FD4FE7">
          <w:rPr>
            <w:noProof/>
            <w:webHidden/>
          </w:rPr>
          <w:t>19</w:t>
        </w:r>
        <w:r w:rsidR="00FD4FE7">
          <w:rPr>
            <w:noProof/>
            <w:webHidden/>
          </w:rPr>
          <w:fldChar w:fldCharType="end"/>
        </w:r>
      </w:hyperlink>
    </w:p>
    <w:p w14:paraId="76D208FE" w14:textId="3A9828DB"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04" w:history="1">
        <w:r w:rsidR="00FD4FE7" w:rsidRPr="00C64228">
          <w:rPr>
            <w:rStyle w:val="Hyperlink"/>
            <w:noProof/>
          </w:rPr>
          <w:t>2.1.2.13.</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(W) – Datum odobritve poročila o kontroli ali podobnega dokumenta iz člena 54(1) Uredbe (EU) št. 1306/2013</w:t>
        </w:r>
        <w:r w:rsidR="00FD4FE7">
          <w:rPr>
            <w:noProof/>
            <w:webHidden/>
          </w:rPr>
          <w:tab/>
        </w:r>
        <w:r w:rsidR="00FD4FE7">
          <w:rPr>
            <w:noProof/>
            <w:webHidden/>
          </w:rPr>
          <w:fldChar w:fldCharType="begin"/>
        </w:r>
        <w:r w:rsidR="00FD4FE7">
          <w:rPr>
            <w:noProof/>
            <w:webHidden/>
          </w:rPr>
          <w:instrText xml:space="preserve"> PAGEREF _Toc134086104 \h </w:instrText>
        </w:r>
        <w:r w:rsidR="00FD4FE7">
          <w:rPr>
            <w:noProof/>
            <w:webHidden/>
          </w:rPr>
        </w:r>
        <w:r w:rsidR="00FD4FE7">
          <w:rPr>
            <w:noProof/>
            <w:webHidden/>
          </w:rPr>
          <w:fldChar w:fldCharType="separate"/>
        </w:r>
        <w:r w:rsidR="00FD4FE7">
          <w:rPr>
            <w:noProof/>
            <w:webHidden/>
          </w:rPr>
          <w:t>20</w:t>
        </w:r>
        <w:r w:rsidR="00FD4FE7">
          <w:rPr>
            <w:noProof/>
            <w:webHidden/>
          </w:rPr>
          <w:fldChar w:fldCharType="end"/>
        </w:r>
      </w:hyperlink>
    </w:p>
    <w:p w14:paraId="72AFFC5F" w14:textId="5676F2C9"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05" w:history="1">
        <w:r w:rsidR="00FD4FE7" w:rsidRPr="00C64228">
          <w:rPr>
            <w:rStyle w:val="Hyperlink"/>
            <w:noProof/>
          </w:rPr>
          <w:t>2.1.2.14.</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(J) – Proračunsko leto prve upravne ali sodne ugotovitve nepravilnosti</w:t>
        </w:r>
        <w:r w:rsidR="00FD4FE7">
          <w:rPr>
            <w:noProof/>
            <w:webHidden/>
          </w:rPr>
          <w:tab/>
        </w:r>
        <w:r w:rsidR="00FD4FE7">
          <w:rPr>
            <w:noProof/>
            <w:webHidden/>
          </w:rPr>
          <w:fldChar w:fldCharType="begin"/>
        </w:r>
        <w:r w:rsidR="00FD4FE7">
          <w:rPr>
            <w:noProof/>
            <w:webHidden/>
          </w:rPr>
          <w:instrText xml:space="preserve"> PAGEREF _Toc134086105 \h </w:instrText>
        </w:r>
        <w:r w:rsidR="00FD4FE7">
          <w:rPr>
            <w:noProof/>
            <w:webHidden/>
          </w:rPr>
        </w:r>
        <w:r w:rsidR="00FD4FE7">
          <w:rPr>
            <w:noProof/>
            <w:webHidden/>
          </w:rPr>
          <w:fldChar w:fldCharType="separate"/>
        </w:r>
        <w:r w:rsidR="00FD4FE7">
          <w:rPr>
            <w:noProof/>
            <w:webHidden/>
          </w:rPr>
          <w:t>20</w:t>
        </w:r>
        <w:r w:rsidR="00FD4FE7">
          <w:rPr>
            <w:noProof/>
            <w:webHidden/>
          </w:rPr>
          <w:fldChar w:fldCharType="end"/>
        </w:r>
      </w:hyperlink>
    </w:p>
    <w:p w14:paraId="6471AB57" w14:textId="54EAB04D"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06" w:history="1">
        <w:r w:rsidR="00FD4FE7" w:rsidRPr="00C64228">
          <w:rPr>
            <w:rStyle w:val="Hyperlink"/>
            <w:noProof/>
          </w:rPr>
          <w:t>2.1.2.15.</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(X) – Datum zahtevka za izterjavo</w:t>
        </w:r>
        <w:r w:rsidR="00FD4FE7">
          <w:rPr>
            <w:noProof/>
            <w:webHidden/>
          </w:rPr>
          <w:tab/>
        </w:r>
        <w:r w:rsidR="00FD4FE7">
          <w:rPr>
            <w:noProof/>
            <w:webHidden/>
          </w:rPr>
          <w:fldChar w:fldCharType="begin"/>
        </w:r>
        <w:r w:rsidR="00FD4FE7">
          <w:rPr>
            <w:noProof/>
            <w:webHidden/>
          </w:rPr>
          <w:instrText xml:space="preserve"> PAGEREF _Toc134086106 \h </w:instrText>
        </w:r>
        <w:r w:rsidR="00FD4FE7">
          <w:rPr>
            <w:noProof/>
            <w:webHidden/>
          </w:rPr>
        </w:r>
        <w:r w:rsidR="00FD4FE7">
          <w:rPr>
            <w:noProof/>
            <w:webHidden/>
          </w:rPr>
          <w:fldChar w:fldCharType="separate"/>
        </w:r>
        <w:r w:rsidR="00FD4FE7">
          <w:rPr>
            <w:noProof/>
            <w:webHidden/>
          </w:rPr>
          <w:t>20</w:t>
        </w:r>
        <w:r w:rsidR="00FD4FE7">
          <w:rPr>
            <w:noProof/>
            <w:webHidden/>
          </w:rPr>
          <w:fldChar w:fldCharType="end"/>
        </w:r>
      </w:hyperlink>
    </w:p>
    <w:p w14:paraId="77C718EB" w14:textId="109C4705"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07" w:history="1">
        <w:r w:rsidR="00FD4FE7" w:rsidRPr="00C64228">
          <w:rPr>
            <w:rStyle w:val="Hyperlink"/>
            <w:noProof/>
          </w:rPr>
          <w:t>2.1.2.16.</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(K) – Predmet sodnega postopka?</w:t>
        </w:r>
        <w:r w:rsidR="00FD4FE7">
          <w:rPr>
            <w:noProof/>
            <w:webHidden/>
          </w:rPr>
          <w:tab/>
        </w:r>
        <w:r w:rsidR="00FD4FE7">
          <w:rPr>
            <w:noProof/>
            <w:webHidden/>
          </w:rPr>
          <w:fldChar w:fldCharType="begin"/>
        </w:r>
        <w:r w:rsidR="00FD4FE7">
          <w:rPr>
            <w:noProof/>
            <w:webHidden/>
          </w:rPr>
          <w:instrText xml:space="preserve"> PAGEREF _Toc134086107 \h </w:instrText>
        </w:r>
        <w:r w:rsidR="00FD4FE7">
          <w:rPr>
            <w:noProof/>
            <w:webHidden/>
          </w:rPr>
        </w:r>
        <w:r w:rsidR="00FD4FE7">
          <w:rPr>
            <w:noProof/>
            <w:webHidden/>
          </w:rPr>
          <w:fldChar w:fldCharType="separate"/>
        </w:r>
        <w:r w:rsidR="00FD4FE7">
          <w:rPr>
            <w:noProof/>
            <w:webHidden/>
          </w:rPr>
          <w:t>21</w:t>
        </w:r>
        <w:r w:rsidR="00FD4FE7">
          <w:rPr>
            <w:noProof/>
            <w:webHidden/>
          </w:rPr>
          <w:fldChar w:fldCharType="end"/>
        </w:r>
      </w:hyperlink>
    </w:p>
    <w:p w14:paraId="2C13FA4A" w14:textId="0585BDDE"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08" w:history="1">
        <w:r w:rsidR="00FD4FE7" w:rsidRPr="00C64228">
          <w:rPr>
            <w:rStyle w:val="Hyperlink"/>
            <w:noProof/>
          </w:rPr>
          <w:t>2.1.2.17.</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(L) – Prvotni znesek, ki ga je treba izterjati</w:t>
        </w:r>
        <w:r w:rsidR="00FD4FE7">
          <w:rPr>
            <w:noProof/>
            <w:webHidden/>
          </w:rPr>
          <w:tab/>
        </w:r>
        <w:r w:rsidR="00FD4FE7">
          <w:rPr>
            <w:noProof/>
            <w:webHidden/>
          </w:rPr>
          <w:fldChar w:fldCharType="begin"/>
        </w:r>
        <w:r w:rsidR="00FD4FE7">
          <w:rPr>
            <w:noProof/>
            <w:webHidden/>
          </w:rPr>
          <w:instrText xml:space="preserve"> PAGEREF _Toc134086108 \h </w:instrText>
        </w:r>
        <w:r w:rsidR="00FD4FE7">
          <w:rPr>
            <w:noProof/>
            <w:webHidden/>
          </w:rPr>
        </w:r>
        <w:r w:rsidR="00FD4FE7">
          <w:rPr>
            <w:noProof/>
            <w:webHidden/>
          </w:rPr>
          <w:fldChar w:fldCharType="separate"/>
        </w:r>
        <w:r w:rsidR="00FD4FE7">
          <w:rPr>
            <w:noProof/>
            <w:webHidden/>
          </w:rPr>
          <w:t>21</w:t>
        </w:r>
        <w:r w:rsidR="00FD4FE7">
          <w:rPr>
            <w:noProof/>
            <w:webHidden/>
          </w:rPr>
          <w:fldChar w:fldCharType="end"/>
        </w:r>
      </w:hyperlink>
    </w:p>
    <w:p w14:paraId="1575B9BC" w14:textId="6CBC74BA"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09" w:history="1">
        <w:r w:rsidR="00FD4FE7" w:rsidRPr="00C64228">
          <w:rPr>
            <w:rStyle w:val="Hyperlink"/>
            <w:noProof/>
          </w:rPr>
          <w:t>2.1.2.18.</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Stolpca (L1) in (L2) – Prvotni znesek, ki ga je treba izterjati (glavnica), in prvotni znesek, ki ga je treba izterjati (obresti)</w:t>
        </w:r>
        <w:r w:rsidR="00FD4FE7">
          <w:rPr>
            <w:noProof/>
            <w:webHidden/>
          </w:rPr>
          <w:tab/>
        </w:r>
        <w:r w:rsidR="00FD4FE7">
          <w:rPr>
            <w:noProof/>
            <w:webHidden/>
          </w:rPr>
          <w:fldChar w:fldCharType="begin"/>
        </w:r>
        <w:r w:rsidR="00FD4FE7">
          <w:rPr>
            <w:noProof/>
            <w:webHidden/>
          </w:rPr>
          <w:instrText xml:space="preserve"> PAGEREF _Toc134086109 \h </w:instrText>
        </w:r>
        <w:r w:rsidR="00FD4FE7">
          <w:rPr>
            <w:noProof/>
            <w:webHidden/>
          </w:rPr>
        </w:r>
        <w:r w:rsidR="00FD4FE7">
          <w:rPr>
            <w:noProof/>
            <w:webHidden/>
          </w:rPr>
          <w:fldChar w:fldCharType="separate"/>
        </w:r>
        <w:r w:rsidR="00FD4FE7">
          <w:rPr>
            <w:noProof/>
            <w:webHidden/>
          </w:rPr>
          <w:t>22</w:t>
        </w:r>
        <w:r w:rsidR="00FD4FE7">
          <w:rPr>
            <w:noProof/>
            <w:webHidden/>
          </w:rPr>
          <w:fldChar w:fldCharType="end"/>
        </w:r>
      </w:hyperlink>
    </w:p>
    <w:p w14:paraId="60631465" w14:textId="455E63BA"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10" w:history="1">
        <w:r w:rsidR="00FD4FE7" w:rsidRPr="00C64228">
          <w:rPr>
            <w:rStyle w:val="Hyperlink"/>
            <w:noProof/>
          </w:rPr>
          <w:t>2.1.2.19.</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Stolpca (Y1) in (Y2) – Znesek glavnice, za katerega je bila izterjava v teku ob koncu proračunskega leta n – 1, in obresti, za katere je bila izterjava v teku ob koncu proračunskega leta n – 1</w:t>
        </w:r>
        <w:r w:rsidR="00FD4FE7">
          <w:rPr>
            <w:noProof/>
            <w:webHidden/>
          </w:rPr>
          <w:tab/>
        </w:r>
        <w:r w:rsidR="00FD4FE7">
          <w:rPr>
            <w:noProof/>
            <w:webHidden/>
          </w:rPr>
          <w:fldChar w:fldCharType="begin"/>
        </w:r>
        <w:r w:rsidR="00FD4FE7">
          <w:rPr>
            <w:noProof/>
            <w:webHidden/>
          </w:rPr>
          <w:instrText xml:space="preserve"> PAGEREF _Toc134086110 \h </w:instrText>
        </w:r>
        <w:r w:rsidR="00FD4FE7">
          <w:rPr>
            <w:noProof/>
            <w:webHidden/>
          </w:rPr>
        </w:r>
        <w:r w:rsidR="00FD4FE7">
          <w:rPr>
            <w:noProof/>
            <w:webHidden/>
          </w:rPr>
          <w:fldChar w:fldCharType="separate"/>
        </w:r>
        <w:r w:rsidR="00FD4FE7">
          <w:rPr>
            <w:noProof/>
            <w:webHidden/>
          </w:rPr>
          <w:t>22</w:t>
        </w:r>
        <w:r w:rsidR="00FD4FE7">
          <w:rPr>
            <w:noProof/>
            <w:webHidden/>
          </w:rPr>
          <w:fldChar w:fldCharType="end"/>
        </w:r>
      </w:hyperlink>
    </w:p>
    <w:p w14:paraId="5412623F" w14:textId="45E5D0FC"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11" w:history="1">
        <w:r w:rsidR="00FD4FE7" w:rsidRPr="00C64228">
          <w:rPr>
            <w:rStyle w:val="Hyperlink"/>
            <w:noProof/>
          </w:rPr>
          <w:t>2.1.2.20.</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(M) – Skupni popravljeni znesek (celotno obdobje izterjave)</w:t>
        </w:r>
        <w:r w:rsidR="00FD4FE7">
          <w:rPr>
            <w:noProof/>
            <w:webHidden/>
          </w:rPr>
          <w:tab/>
        </w:r>
        <w:r w:rsidR="00FD4FE7">
          <w:rPr>
            <w:noProof/>
            <w:webHidden/>
          </w:rPr>
          <w:fldChar w:fldCharType="begin"/>
        </w:r>
        <w:r w:rsidR="00FD4FE7">
          <w:rPr>
            <w:noProof/>
            <w:webHidden/>
          </w:rPr>
          <w:instrText xml:space="preserve"> PAGEREF _Toc134086111 \h </w:instrText>
        </w:r>
        <w:r w:rsidR="00FD4FE7">
          <w:rPr>
            <w:noProof/>
            <w:webHidden/>
          </w:rPr>
        </w:r>
        <w:r w:rsidR="00FD4FE7">
          <w:rPr>
            <w:noProof/>
            <w:webHidden/>
          </w:rPr>
          <w:fldChar w:fldCharType="separate"/>
        </w:r>
        <w:r w:rsidR="00FD4FE7">
          <w:rPr>
            <w:noProof/>
            <w:webHidden/>
          </w:rPr>
          <w:t>22</w:t>
        </w:r>
        <w:r w:rsidR="00FD4FE7">
          <w:rPr>
            <w:noProof/>
            <w:webHidden/>
          </w:rPr>
          <w:fldChar w:fldCharType="end"/>
        </w:r>
      </w:hyperlink>
    </w:p>
    <w:p w14:paraId="604FF8E1" w14:textId="2C9BF0F5"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12" w:history="1">
        <w:r w:rsidR="00FD4FE7" w:rsidRPr="00C64228">
          <w:rPr>
            <w:rStyle w:val="Hyperlink"/>
            <w:noProof/>
          </w:rPr>
          <w:t>2.1.2.21.</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(N) – Skupni izterjani znesek (celotno obdobje izterjave)</w:t>
        </w:r>
        <w:r w:rsidR="00FD4FE7">
          <w:rPr>
            <w:noProof/>
            <w:webHidden/>
          </w:rPr>
          <w:tab/>
        </w:r>
        <w:r w:rsidR="00FD4FE7">
          <w:rPr>
            <w:noProof/>
            <w:webHidden/>
          </w:rPr>
          <w:fldChar w:fldCharType="begin"/>
        </w:r>
        <w:r w:rsidR="00FD4FE7">
          <w:rPr>
            <w:noProof/>
            <w:webHidden/>
          </w:rPr>
          <w:instrText xml:space="preserve"> PAGEREF _Toc134086112 \h </w:instrText>
        </w:r>
        <w:r w:rsidR="00FD4FE7">
          <w:rPr>
            <w:noProof/>
            <w:webHidden/>
          </w:rPr>
        </w:r>
        <w:r w:rsidR="00FD4FE7">
          <w:rPr>
            <w:noProof/>
            <w:webHidden/>
          </w:rPr>
          <w:fldChar w:fldCharType="separate"/>
        </w:r>
        <w:r w:rsidR="00FD4FE7">
          <w:rPr>
            <w:noProof/>
            <w:webHidden/>
          </w:rPr>
          <w:t>23</w:t>
        </w:r>
        <w:r w:rsidR="00FD4FE7">
          <w:rPr>
            <w:noProof/>
            <w:webHidden/>
          </w:rPr>
          <w:fldChar w:fldCharType="end"/>
        </w:r>
      </w:hyperlink>
    </w:p>
    <w:p w14:paraId="770BC273" w14:textId="473820B0"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13" w:history="1">
        <w:r w:rsidR="00FD4FE7" w:rsidRPr="00C64228">
          <w:rPr>
            <w:rStyle w:val="Hyperlink"/>
            <w:noProof/>
          </w:rPr>
          <w:t>2.1.2.22.</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(O) – Znesek, prijavljen kot neizterljiv</w:t>
        </w:r>
        <w:r w:rsidR="00FD4FE7">
          <w:rPr>
            <w:noProof/>
            <w:webHidden/>
          </w:rPr>
          <w:tab/>
        </w:r>
        <w:r w:rsidR="00FD4FE7">
          <w:rPr>
            <w:noProof/>
            <w:webHidden/>
          </w:rPr>
          <w:fldChar w:fldCharType="begin"/>
        </w:r>
        <w:r w:rsidR="00FD4FE7">
          <w:rPr>
            <w:noProof/>
            <w:webHidden/>
          </w:rPr>
          <w:instrText xml:space="preserve"> PAGEREF _Toc134086113 \h </w:instrText>
        </w:r>
        <w:r w:rsidR="00FD4FE7">
          <w:rPr>
            <w:noProof/>
            <w:webHidden/>
          </w:rPr>
        </w:r>
        <w:r w:rsidR="00FD4FE7">
          <w:rPr>
            <w:noProof/>
            <w:webHidden/>
          </w:rPr>
          <w:fldChar w:fldCharType="separate"/>
        </w:r>
        <w:r w:rsidR="00FD4FE7">
          <w:rPr>
            <w:noProof/>
            <w:webHidden/>
          </w:rPr>
          <w:t>23</w:t>
        </w:r>
        <w:r w:rsidR="00FD4FE7">
          <w:rPr>
            <w:noProof/>
            <w:webHidden/>
          </w:rPr>
          <w:fldChar w:fldCharType="end"/>
        </w:r>
      </w:hyperlink>
    </w:p>
    <w:p w14:paraId="192FB981" w14:textId="68B506C4"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14" w:history="1">
        <w:r w:rsidR="00FD4FE7" w:rsidRPr="00C64228">
          <w:rPr>
            <w:rStyle w:val="Hyperlink"/>
            <w:noProof/>
          </w:rPr>
          <w:t>2.1.2.23.</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Stolpca (O1) in (O2) – Znesek (glavnica), prijavljen kot neizterljiv, in znesek (obresti), prijavljen kot neizterljiv</w:t>
        </w:r>
        <w:r w:rsidR="00FD4FE7">
          <w:rPr>
            <w:noProof/>
            <w:webHidden/>
          </w:rPr>
          <w:tab/>
        </w:r>
        <w:r w:rsidR="00FD4FE7">
          <w:rPr>
            <w:noProof/>
            <w:webHidden/>
          </w:rPr>
          <w:fldChar w:fldCharType="begin"/>
        </w:r>
        <w:r w:rsidR="00FD4FE7">
          <w:rPr>
            <w:noProof/>
            <w:webHidden/>
          </w:rPr>
          <w:instrText xml:space="preserve"> PAGEREF _Toc134086114 \h </w:instrText>
        </w:r>
        <w:r w:rsidR="00FD4FE7">
          <w:rPr>
            <w:noProof/>
            <w:webHidden/>
          </w:rPr>
        </w:r>
        <w:r w:rsidR="00FD4FE7">
          <w:rPr>
            <w:noProof/>
            <w:webHidden/>
          </w:rPr>
          <w:fldChar w:fldCharType="separate"/>
        </w:r>
        <w:r w:rsidR="00FD4FE7">
          <w:rPr>
            <w:noProof/>
            <w:webHidden/>
          </w:rPr>
          <w:t>23</w:t>
        </w:r>
        <w:r w:rsidR="00FD4FE7">
          <w:rPr>
            <w:noProof/>
            <w:webHidden/>
          </w:rPr>
          <w:fldChar w:fldCharType="end"/>
        </w:r>
      </w:hyperlink>
    </w:p>
    <w:p w14:paraId="56EC49ED" w14:textId="2468C43D"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15" w:history="1">
        <w:r w:rsidR="00FD4FE7" w:rsidRPr="00C64228">
          <w:rPr>
            <w:rStyle w:val="Hyperlink"/>
            <w:noProof/>
          </w:rPr>
          <w:t>2.1.2.24.</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(P) – Proračunsko leto ugotovitve neizterljivosti</w:t>
        </w:r>
        <w:r w:rsidR="00FD4FE7">
          <w:rPr>
            <w:noProof/>
            <w:webHidden/>
          </w:rPr>
          <w:tab/>
        </w:r>
        <w:r w:rsidR="00FD4FE7">
          <w:rPr>
            <w:noProof/>
            <w:webHidden/>
          </w:rPr>
          <w:fldChar w:fldCharType="begin"/>
        </w:r>
        <w:r w:rsidR="00FD4FE7">
          <w:rPr>
            <w:noProof/>
            <w:webHidden/>
          </w:rPr>
          <w:instrText xml:space="preserve"> PAGEREF _Toc134086115 \h </w:instrText>
        </w:r>
        <w:r w:rsidR="00FD4FE7">
          <w:rPr>
            <w:noProof/>
            <w:webHidden/>
          </w:rPr>
        </w:r>
        <w:r w:rsidR="00FD4FE7">
          <w:rPr>
            <w:noProof/>
            <w:webHidden/>
          </w:rPr>
          <w:fldChar w:fldCharType="separate"/>
        </w:r>
        <w:r w:rsidR="00FD4FE7">
          <w:rPr>
            <w:noProof/>
            <w:webHidden/>
          </w:rPr>
          <w:t>23</w:t>
        </w:r>
        <w:r w:rsidR="00FD4FE7">
          <w:rPr>
            <w:noProof/>
            <w:webHidden/>
          </w:rPr>
          <w:fldChar w:fldCharType="end"/>
        </w:r>
      </w:hyperlink>
    </w:p>
    <w:p w14:paraId="41DCEE8D" w14:textId="2754DF39"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16" w:history="1">
        <w:r w:rsidR="00FD4FE7" w:rsidRPr="00C64228">
          <w:rPr>
            <w:rStyle w:val="Hyperlink"/>
            <w:noProof/>
          </w:rPr>
          <w:t>2.1.2.25.</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(Q) – Vzroki za neizterljivost</w:t>
        </w:r>
        <w:r w:rsidR="00FD4FE7">
          <w:rPr>
            <w:noProof/>
            <w:webHidden/>
          </w:rPr>
          <w:tab/>
        </w:r>
        <w:r w:rsidR="00FD4FE7">
          <w:rPr>
            <w:noProof/>
            <w:webHidden/>
          </w:rPr>
          <w:fldChar w:fldCharType="begin"/>
        </w:r>
        <w:r w:rsidR="00FD4FE7">
          <w:rPr>
            <w:noProof/>
            <w:webHidden/>
          </w:rPr>
          <w:instrText xml:space="preserve"> PAGEREF _Toc134086116 \h </w:instrText>
        </w:r>
        <w:r w:rsidR="00FD4FE7">
          <w:rPr>
            <w:noProof/>
            <w:webHidden/>
          </w:rPr>
        </w:r>
        <w:r w:rsidR="00FD4FE7">
          <w:rPr>
            <w:noProof/>
            <w:webHidden/>
          </w:rPr>
          <w:fldChar w:fldCharType="separate"/>
        </w:r>
        <w:r w:rsidR="00FD4FE7">
          <w:rPr>
            <w:noProof/>
            <w:webHidden/>
          </w:rPr>
          <w:t>24</w:t>
        </w:r>
        <w:r w:rsidR="00FD4FE7">
          <w:rPr>
            <w:noProof/>
            <w:webHidden/>
          </w:rPr>
          <w:fldChar w:fldCharType="end"/>
        </w:r>
      </w:hyperlink>
    </w:p>
    <w:p w14:paraId="53B86ED0" w14:textId="2DF9C2B4"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17" w:history="1">
        <w:r w:rsidR="00FD4FE7" w:rsidRPr="00C64228">
          <w:rPr>
            <w:rStyle w:val="Hyperlink"/>
            <w:noProof/>
          </w:rPr>
          <w:t>2.1.2.26.</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(R) – Popravljeni znesek (v proračunskem letu n)</w:t>
        </w:r>
        <w:r w:rsidR="00FD4FE7">
          <w:rPr>
            <w:noProof/>
            <w:webHidden/>
          </w:rPr>
          <w:tab/>
        </w:r>
        <w:r w:rsidR="00FD4FE7">
          <w:rPr>
            <w:noProof/>
            <w:webHidden/>
          </w:rPr>
          <w:fldChar w:fldCharType="begin"/>
        </w:r>
        <w:r w:rsidR="00FD4FE7">
          <w:rPr>
            <w:noProof/>
            <w:webHidden/>
          </w:rPr>
          <w:instrText xml:space="preserve"> PAGEREF _Toc134086117 \h </w:instrText>
        </w:r>
        <w:r w:rsidR="00FD4FE7">
          <w:rPr>
            <w:noProof/>
            <w:webHidden/>
          </w:rPr>
        </w:r>
        <w:r w:rsidR="00FD4FE7">
          <w:rPr>
            <w:noProof/>
            <w:webHidden/>
          </w:rPr>
          <w:fldChar w:fldCharType="separate"/>
        </w:r>
        <w:r w:rsidR="00FD4FE7">
          <w:rPr>
            <w:noProof/>
            <w:webHidden/>
          </w:rPr>
          <w:t>24</w:t>
        </w:r>
        <w:r w:rsidR="00FD4FE7">
          <w:rPr>
            <w:noProof/>
            <w:webHidden/>
          </w:rPr>
          <w:fldChar w:fldCharType="end"/>
        </w:r>
      </w:hyperlink>
    </w:p>
    <w:p w14:paraId="6580085D" w14:textId="20EDD257"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18" w:history="1">
        <w:r w:rsidR="00FD4FE7" w:rsidRPr="00C64228">
          <w:rPr>
            <w:rStyle w:val="Hyperlink"/>
            <w:noProof/>
          </w:rPr>
          <w:t>2.1.2.27.</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Stolpca (R1) in (R2) – Popravljeni znesek (glavnica) (v proračunskem letu n) in popravljeni znesek (obresti) (v proračunskem letu n)</w:t>
        </w:r>
        <w:r w:rsidR="00FD4FE7">
          <w:rPr>
            <w:noProof/>
            <w:webHidden/>
          </w:rPr>
          <w:tab/>
        </w:r>
        <w:r w:rsidR="00FD4FE7">
          <w:rPr>
            <w:noProof/>
            <w:webHidden/>
          </w:rPr>
          <w:fldChar w:fldCharType="begin"/>
        </w:r>
        <w:r w:rsidR="00FD4FE7">
          <w:rPr>
            <w:noProof/>
            <w:webHidden/>
          </w:rPr>
          <w:instrText xml:space="preserve"> PAGEREF _Toc134086118 \h </w:instrText>
        </w:r>
        <w:r w:rsidR="00FD4FE7">
          <w:rPr>
            <w:noProof/>
            <w:webHidden/>
          </w:rPr>
        </w:r>
        <w:r w:rsidR="00FD4FE7">
          <w:rPr>
            <w:noProof/>
            <w:webHidden/>
          </w:rPr>
          <w:fldChar w:fldCharType="separate"/>
        </w:r>
        <w:r w:rsidR="00FD4FE7">
          <w:rPr>
            <w:noProof/>
            <w:webHidden/>
          </w:rPr>
          <w:t>25</w:t>
        </w:r>
        <w:r w:rsidR="00FD4FE7">
          <w:rPr>
            <w:noProof/>
            <w:webHidden/>
          </w:rPr>
          <w:fldChar w:fldCharType="end"/>
        </w:r>
      </w:hyperlink>
    </w:p>
    <w:p w14:paraId="7BCDB9B7" w14:textId="03AD8A96"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19" w:history="1">
        <w:r w:rsidR="00FD4FE7" w:rsidRPr="00C64228">
          <w:rPr>
            <w:rStyle w:val="Hyperlink"/>
            <w:noProof/>
          </w:rPr>
          <w:t>2.1.2.28.</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(Z) – Obresti (v proračunskem letu n)</w:t>
        </w:r>
        <w:r w:rsidR="00FD4FE7">
          <w:rPr>
            <w:noProof/>
            <w:webHidden/>
          </w:rPr>
          <w:tab/>
        </w:r>
        <w:r w:rsidR="00FD4FE7">
          <w:rPr>
            <w:noProof/>
            <w:webHidden/>
          </w:rPr>
          <w:fldChar w:fldCharType="begin"/>
        </w:r>
        <w:r w:rsidR="00FD4FE7">
          <w:rPr>
            <w:noProof/>
            <w:webHidden/>
          </w:rPr>
          <w:instrText xml:space="preserve"> PAGEREF _Toc134086119 \h </w:instrText>
        </w:r>
        <w:r w:rsidR="00FD4FE7">
          <w:rPr>
            <w:noProof/>
            <w:webHidden/>
          </w:rPr>
        </w:r>
        <w:r w:rsidR="00FD4FE7">
          <w:rPr>
            <w:noProof/>
            <w:webHidden/>
          </w:rPr>
          <w:fldChar w:fldCharType="separate"/>
        </w:r>
        <w:r w:rsidR="00FD4FE7">
          <w:rPr>
            <w:noProof/>
            <w:webHidden/>
          </w:rPr>
          <w:t>25</w:t>
        </w:r>
        <w:r w:rsidR="00FD4FE7">
          <w:rPr>
            <w:noProof/>
            <w:webHidden/>
          </w:rPr>
          <w:fldChar w:fldCharType="end"/>
        </w:r>
      </w:hyperlink>
    </w:p>
    <w:p w14:paraId="1E5A8AD5" w14:textId="37C237C8"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20" w:history="1">
        <w:r w:rsidR="00FD4FE7" w:rsidRPr="00C64228">
          <w:rPr>
            <w:rStyle w:val="Hyperlink"/>
            <w:noProof/>
          </w:rPr>
          <w:t>2.1.2.29.</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(S) – Izterjani znesek (v proračunskem letu n)</w:t>
        </w:r>
        <w:r w:rsidR="00FD4FE7">
          <w:rPr>
            <w:noProof/>
            <w:webHidden/>
          </w:rPr>
          <w:tab/>
        </w:r>
        <w:r w:rsidR="00FD4FE7">
          <w:rPr>
            <w:noProof/>
            <w:webHidden/>
          </w:rPr>
          <w:fldChar w:fldCharType="begin"/>
        </w:r>
        <w:r w:rsidR="00FD4FE7">
          <w:rPr>
            <w:noProof/>
            <w:webHidden/>
          </w:rPr>
          <w:instrText xml:space="preserve"> PAGEREF _Toc134086120 \h </w:instrText>
        </w:r>
        <w:r w:rsidR="00FD4FE7">
          <w:rPr>
            <w:noProof/>
            <w:webHidden/>
          </w:rPr>
        </w:r>
        <w:r w:rsidR="00FD4FE7">
          <w:rPr>
            <w:noProof/>
            <w:webHidden/>
          </w:rPr>
          <w:fldChar w:fldCharType="separate"/>
        </w:r>
        <w:r w:rsidR="00FD4FE7">
          <w:rPr>
            <w:noProof/>
            <w:webHidden/>
          </w:rPr>
          <w:t>25</w:t>
        </w:r>
        <w:r w:rsidR="00FD4FE7">
          <w:rPr>
            <w:noProof/>
            <w:webHidden/>
          </w:rPr>
          <w:fldChar w:fldCharType="end"/>
        </w:r>
      </w:hyperlink>
    </w:p>
    <w:p w14:paraId="128CCFD8" w14:textId="205DBF33"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21" w:history="1">
        <w:r w:rsidR="00FD4FE7" w:rsidRPr="00C64228">
          <w:rPr>
            <w:rStyle w:val="Hyperlink"/>
            <w:noProof/>
          </w:rPr>
          <w:t>2.1.2.30.</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Stolpca (S1) in (S2) – Izterjani znesek (glavnica) (v proračunskem letu n) in izterjani znesek (obresti) (v proračunskem letu n)</w:t>
        </w:r>
        <w:r w:rsidR="00FD4FE7">
          <w:rPr>
            <w:noProof/>
            <w:webHidden/>
          </w:rPr>
          <w:tab/>
        </w:r>
        <w:r w:rsidR="00FD4FE7">
          <w:rPr>
            <w:noProof/>
            <w:webHidden/>
          </w:rPr>
          <w:fldChar w:fldCharType="begin"/>
        </w:r>
        <w:r w:rsidR="00FD4FE7">
          <w:rPr>
            <w:noProof/>
            <w:webHidden/>
          </w:rPr>
          <w:instrText xml:space="preserve"> PAGEREF _Toc134086121 \h </w:instrText>
        </w:r>
        <w:r w:rsidR="00FD4FE7">
          <w:rPr>
            <w:noProof/>
            <w:webHidden/>
          </w:rPr>
        </w:r>
        <w:r w:rsidR="00FD4FE7">
          <w:rPr>
            <w:noProof/>
            <w:webHidden/>
          </w:rPr>
          <w:fldChar w:fldCharType="separate"/>
        </w:r>
        <w:r w:rsidR="00FD4FE7">
          <w:rPr>
            <w:noProof/>
            <w:webHidden/>
          </w:rPr>
          <w:t>26</w:t>
        </w:r>
        <w:r w:rsidR="00FD4FE7">
          <w:rPr>
            <w:noProof/>
            <w:webHidden/>
          </w:rPr>
          <w:fldChar w:fldCharType="end"/>
        </w:r>
      </w:hyperlink>
    </w:p>
    <w:p w14:paraId="3F0E495E" w14:textId="5A7DE7DE"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22" w:history="1">
        <w:r w:rsidR="00FD4FE7" w:rsidRPr="00C64228">
          <w:rPr>
            <w:rStyle w:val="Hyperlink"/>
            <w:noProof/>
          </w:rPr>
          <w:t>2.1.2.31.</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(T) – Znesek, za katerega je izterjava v teku</w:t>
        </w:r>
        <w:r w:rsidR="00FD4FE7">
          <w:rPr>
            <w:noProof/>
            <w:webHidden/>
          </w:rPr>
          <w:tab/>
        </w:r>
        <w:r w:rsidR="00FD4FE7">
          <w:rPr>
            <w:noProof/>
            <w:webHidden/>
          </w:rPr>
          <w:fldChar w:fldCharType="begin"/>
        </w:r>
        <w:r w:rsidR="00FD4FE7">
          <w:rPr>
            <w:noProof/>
            <w:webHidden/>
          </w:rPr>
          <w:instrText xml:space="preserve"> PAGEREF _Toc134086122 \h </w:instrText>
        </w:r>
        <w:r w:rsidR="00FD4FE7">
          <w:rPr>
            <w:noProof/>
            <w:webHidden/>
          </w:rPr>
        </w:r>
        <w:r w:rsidR="00FD4FE7">
          <w:rPr>
            <w:noProof/>
            <w:webHidden/>
          </w:rPr>
          <w:fldChar w:fldCharType="separate"/>
        </w:r>
        <w:r w:rsidR="00FD4FE7">
          <w:rPr>
            <w:noProof/>
            <w:webHidden/>
          </w:rPr>
          <w:t>26</w:t>
        </w:r>
        <w:r w:rsidR="00FD4FE7">
          <w:rPr>
            <w:noProof/>
            <w:webHidden/>
          </w:rPr>
          <w:fldChar w:fldCharType="end"/>
        </w:r>
      </w:hyperlink>
    </w:p>
    <w:p w14:paraId="222161F5" w14:textId="6683F38A"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23" w:history="1">
        <w:r w:rsidR="00FD4FE7" w:rsidRPr="00C64228">
          <w:rPr>
            <w:rStyle w:val="Hyperlink"/>
            <w:noProof/>
          </w:rPr>
          <w:t>2.1.2.32.</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Stolpca (T1) in (T2) – Znesek (glavnica), za katerega je izterjava v teku, in znesek (obresti), za katerega je izterjava v teku</w:t>
        </w:r>
        <w:r w:rsidR="00FD4FE7">
          <w:rPr>
            <w:noProof/>
            <w:webHidden/>
          </w:rPr>
          <w:tab/>
        </w:r>
        <w:r w:rsidR="00FD4FE7">
          <w:rPr>
            <w:noProof/>
            <w:webHidden/>
          </w:rPr>
          <w:fldChar w:fldCharType="begin"/>
        </w:r>
        <w:r w:rsidR="00FD4FE7">
          <w:rPr>
            <w:noProof/>
            <w:webHidden/>
          </w:rPr>
          <w:instrText xml:space="preserve"> PAGEREF _Toc134086123 \h </w:instrText>
        </w:r>
        <w:r w:rsidR="00FD4FE7">
          <w:rPr>
            <w:noProof/>
            <w:webHidden/>
          </w:rPr>
        </w:r>
        <w:r w:rsidR="00FD4FE7">
          <w:rPr>
            <w:noProof/>
            <w:webHidden/>
          </w:rPr>
          <w:fldChar w:fldCharType="separate"/>
        </w:r>
        <w:r w:rsidR="00FD4FE7">
          <w:rPr>
            <w:noProof/>
            <w:webHidden/>
          </w:rPr>
          <w:t>26</w:t>
        </w:r>
        <w:r w:rsidR="00FD4FE7">
          <w:rPr>
            <w:noProof/>
            <w:webHidden/>
          </w:rPr>
          <w:fldChar w:fldCharType="end"/>
        </w:r>
      </w:hyperlink>
    </w:p>
    <w:p w14:paraId="75B7C06E" w14:textId="129A7CC3"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24" w:history="1">
        <w:r w:rsidR="00FD4FE7" w:rsidRPr="00C64228">
          <w:rPr>
            <w:rStyle w:val="Hyperlink"/>
            <w:noProof/>
          </w:rPr>
          <w:t>2.1.2.33.</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(BB) – Znesek, za katerega velja pravilo 50/50 v skladu s členom 54(2) Uredbe (EU) št. 1306/2013 ob koncu proračunskega leta n</w:t>
        </w:r>
        <w:r w:rsidR="00FD4FE7">
          <w:rPr>
            <w:noProof/>
            <w:webHidden/>
          </w:rPr>
          <w:tab/>
        </w:r>
        <w:r w:rsidR="00FD4FE7">
          <w:rPr>
            <w:noProof/>
            <w:webHidden/>
          </w:rPr>
          <w:fldChar w:fldCharType="begin"/>
        </w:r>
        <w:r w:rsidR="00FD4FE7">
          <w:rPr>
            <w:noProof/>
            <w:webHidden/>
          </w:rPr>
          <w:instrText xml:space="preserve"> PAGEREF _Toc134086124 \h </w:instrText>
        </w:r>
        <w:r w:rsidR="00FD4FE7">
          <w:rPr>
            <w:noProof/>
            <w:webHidden/>
          </w:rPr>
        </w:r>
        <w:r w:rsidR="00FD4FE7">
          <w:rPr>
            <w:noProof/>
            <w:webHidden/>
          </w:rPr>
          <w:fldChar w:fldCharType="separate"/>
        </w:r>
        <w:r w:rsidR="00FD4FE7">
          <w:rPr>
            <w:noProof/>
            <w:webHidden/>
          </w:rPr>
          <w:t>27</w:t>
        </w:r>
        <w:r w:rsidR="00FD4FE7">
          <w:rPr>
            <w:noProof/>
            <w:webHidden/>
          </w:rPr>
          <w:fldChar w:fldCharType="end"/>
        </w:r>
      </w:hyperlink>
    </w:p>
    <w:p w14:paraId="255E204B" w14:textId="7D588F20"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25" w:history="1">
        <w:r w:rsidR="00FD4FE7" w:rsidRPr="00C64228">
          <w:rPr>
            <w:rStyle w:val="Hyperlink"/>
            <w:noProof/>
          </w:rPr>
          <w:t>2.1.2.34.</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(U) – Znesek, ki ga je treba knjižiti v dobro proračuna EU</w:t>
        </w:r>
        <w:r w:rsidR="00FD4FE7">
          <w:rPr>
            <w:noProof/>
            <w:webHidden/>
          </w:rPr>
          <w:tab/>
        </w:r>
        <w:r w:rsidR="00FD4FE7">
          <w:rPr>
            <w:noProof/>
            <w:webHidden/>
          </w:rPr>
          <w:fldChar w:fldCharType="begin"/>
        </w:r>
        <w:r w:rsidR="00FD4FE7">
          <w:rPr>
            <w:noProof/>
            <w:webHidden/>
          </w:rPr>
          <w:instrText xml:space="preserve"> PAGEREF _Toc134086125 \h </w:instrText>
        </w:r>
        <w:r w:rsidR="00FD4FE7">
          <w:rPr>
            <w:noProof/>
            <w:webHidden/>
          </w:rPr>
        </w:r>
        <w:r w:rsidR="00FD4FE7">
          <w:rPr>
            <w:noProof/>
            <w:webHidden/>
          </w:rPr>
          <w:fldChar w:fldCharType="separate"/>
        </w:r>
        <w:r w:rsidR="00FD4FE7">
          <w:rPr>
            <w:noProof/>
            <w:webHidden/>
          </w:rPr>
          <w:t>27</w:t>
        </w:r>
        <w:r w:rsidR="00FD4FE7">
          <w:rPr>
            <w:noProof/>
            <w:webHidden/>
          </w:rPr>
          <w:fldChar w:fldCharType="end"/>
        </w:r>
      </w:hyperlink>
    </w:p>
    <w:p w14:paraId="2709991E" w14:textId="5779BAB5"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26" w:history="1">
        <w:r w:rsidR="00FD4FE7" w:rsidRPr="00C64228">
          <w:rPr>
            <w:rStyle w:val="Hyperlink"/>
            <w:noProof/>
          </w:rPr>
          <w:t>2.1.3.</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Tehnične specifikacije za elektronsko predložitev preglednice iz Priloge II</w:t>
        </w:r>
        <w:r w:rsidR="00FD4FE7">
          <w:rPr>
            <w:noProof/>
            <w:webHidden/>
          </w:rPr>
          <w:tab/>
        </w:r>
        <w:r w:rsidR="00FD4FE7">
          <w:rPr>
            <w:noProof/>
            <w:webHidden/>
          </w:rPr>
          <w:fldChar w:fldCharType="begin"/>
        </w:r>
        <w:r w:rsidR="00FD4FE7">
          <w:rPr>
            <w:noProof/>
            <w:webHidden/>
          </w:rPr>
          <w:instrText xml:space="preserve"> PAGEREF _Toc134086126 \h </w:instrText>
        </w:r>
        <w:r w:rsidR="00FD4FE7">
          <w:rPr>
            <w:noProof/>
            <w:webHidden/>
          </w:rPr>
        </w:r>
        <w:r w:rsidR="00FD4FE7">
          <w:rPr>
            <w:noProof/>
            <w:webHidden/>
          </w:rPr>
          <w:fldChar w:fldCharType="separate"/>
        </w:r>
        <w:r w:rsidR="00FD4FE7">
          <w:rPr>
            <w:noProof/>
            <w:webHidden/>
          </w:rPr>
          <w:t>28</w:t>
        </w:r>
        <w:r w:rsidR="00FD4FE7">
          <w:rPr>
            <w:noProof/>
            <w:webHidden/>
          </w:rPr>
          <w:fldChar w:fldCharType="end"/>
        </w:r>
      </w:hyperlink>
    </w:p>
    <w:p w14:paraId="3643CC65" w14:textId="155310D0"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27" w:history="1">
        <w:r w:rsidR="00FD4FE7" w:rsidRPr="00C64228">
          <w:rPr>
            <w:rStyle w:val="Hyperlink"/>
            <w:noProof/>
          </w:rPr>
          <w:t>2.1.4.</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Potrditev primerov nepravilnosti</w:t>
        </w:r>
        <w:r w:rsidR="00FD4FE7">
          <w:rPr>
            <w:noProof/>
            <w:webHidden/>
          </w:rPr>
          <w:tab/>
        </w:r>
        <w:r w:rsidR="00FD4FE7">
          <w:rPr>
            <w:noProof/>
            <w:webHidden/>
          </w:rPr>
          <w:fldChar w:fldCharType="begin"/>
        </w:r>
        <w:r w:rsidR="00FD4FE7">
          <w:rPr>
            <w:noProof/>
            <w:webHidden/>
          </w:rPr>
          <w:instrText xml:space="preserve"> PAGEREF _Toc134086127 \h </w:instrText>
        </w:r>
        <w:r w:rsidR="00FD4FE7">
          <w:rPr>
            <w:noProof/>
            <w:webHidden/>
          </w:rPr>
        </w:r>
        <w:r w:rsidR="00FD4FE7">
          <w:rPr>
            <w:noProof/>
            <w:webHidden/>
          </w:rPr>
          <w:fldChar w:fldCharType="separate"/>
        </w:r>
        <w:r w:rsidR="00FD4FE7">
          <w:rPr>
            <w:noProof/>
            <w:webHidden/>
          </w:rPr>
          <w:t>30</w:t>
        </w:r>
        <w:r w:rsidR="00FD4FE7">
          <w:rPr>
            <w:noProof/>
            <w:webHidden/>
          </w:rPr>
          <w:fldChar w:fldCharType="end"/>
        </w:r>
      </w:hyperlink>
    </w:p>
    <w:p w14:paraId="620516E1" w14:textId="639DEFA2"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28" w:history="1">
        <w:r w:rsidR="00FD4FE7" w:rsidRPr="00C64228">
          <w:rPr>
            <w:rStyle w:val="Hyperlink"/>
            <w:noProof/>
          </w:rPr>
          <w:t>2.1.5.</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Potrditev preglednice s povzetkom iz Priloge II</w:t>
        </w:r>
        <w:r w:rsidR="00FD4FE7">
          <w:rPr>
            <w:noProof/>
            <w:webHidden/>
          </w:rPr>
          <w:tab/>
        </w:r>
        <w:r w:rsidR="00FD4FE7">
          <w:rPr>
            <w:noProof/>
            <w:webHidden/>
          </w:rPr>
          <w:fldChar w:fldCharType="begin"/>
        </w:r>
        <w:r w:rsidR="00FD4FE7">
          <w:rPr>
            <w:noProof/>
            <w:webHidden/>
          </w:rPr>
          <w:instrText xml:space="preserve"> PAGEREF _Toc134086128 \h </w:instrText>
        </w:r>
        <w:r w:rsidR="00FD4FE7">
          <w:rPr>
            <w:noProof/>
            <w:webHidden/>
          </w:rPr>
        </w:r>
        <w:r w:rsidR="00FD4FE7">
          <w:rPr>
            <w:noProof/>
            <w:webHidden/>
          </w:rPr>
          <w:fldChar w:fldCharType="separate"/>
        </w:r>
        <w:r w:rsidR="00FD4FE7">
          <w:rPr>
            <w:noProof/>
            <w:webHidden/>
          </w:rPr>
          <w:t>31</w:t>
        </w:r>
        <w:r w:rsidR="00FD4FE7">
          <w:rPr>
            <w:noProof/>
            <w:webHidden/>
          </w:rPr>
          <w:fldChar w:fldCharType="end"/>
        </w:r>
      </w:hyperlink>
    </w:p>
    <w:p w14:paraId="784BADEC" w14:textId="13C5F238"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29" w:history="1">
        <w:r w:rsidR="00FD4FE7" w:rsidRPr="00C64228">
          <w:rPr>
            <w:rStyle w:val="Hyperlink"/>
            <w:noProof/>
          </w:rPr>
          <w:t>2.1.5.1.</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Vsebina stolpcev</w:t>
        </w:r>
        <w:r w:rsidR="00FD4FE7">
          <w:rPr>
            <w:noProof/>
            <w:webHidden/>
          </w:rPr>
          <w:tab/>
        </w:r>
        <w:r w:rsidR="00FD4FE7">
          <w:rPr>
            <w:noProof/>
            <w:webHidden/>
          </w:rPr>
          <w:fldChar w:fldCharType="begin"/>
        </w:r>
        <w:r w:rsidR="00FD4FE7">
          <w:rPr>
            <w:noProof/>
            <w:webHidden/>
          </w:rPr>
          <w:instrText xml:space="preserve"> PAGEREF _Toc134086129 \h </w:instrText>
        </w:r>
        <w:r w:rsidR="00FD4FE7">
          <w:rPr>
            <w:noProof/>
            <w:webHidden/>
          </w:rPr>
        </w:r>
        <w:r w:rsidR="00FD4FE7">
          <w:rPr>
            <w:noProof/>
            <w:webHidden/>
          </w:rPr>
          <w:fldChar w:fldCharType="separate"/>
        </w:r>
        <w:r w:rsidR="00FD4FE7">
          <w:rPr>
            <w:noProof/>
            <w:webHidden/>
          </w:rPr>
          <w:t>32</w:t>
        </w:r>
        <w:r w:rsidR="00FD4FE7">
          <w:rPr>
            <w:noProof/>
            <w:webHidden/>
          </w:rPr>
          <w:fldChar w:fldCharType="end"/>
        </w:r>
      </w:hyperlink>
    </w:p>
    <w:p w14:paraId="0A5C1E10" w14:textId="3283AADB" w:rsidR="00FD4FE7" w:rsidRPr="000C0F2B" w:rsidRDefault="00D313CA">
      <w:pPr>
        <w:pStyle w:val="TOC3"/>
        <w:tabs>
          <w:tab w:val="left" w:pos="2880"/>
        </w:tabs>
        <w:rPr>
          <w:rFonts w:asciiTheme="minorHAnsi" w:eastAsiaTheme="minorEastAsia" w:hAnsiTheme="minorHAnsi" w:cstheme="minorBidi"/>
          <w:noProof/>
          <w:sz w:val="22"/>
          <w:szCs w:val="22"/>
          <w:lang w:val="en-IE" w:eastAsia="en-IE"/>
        </w:rPr>
      </w:pPr>
      <w:hyperlink w:anchor="_Toc134086130" w:history="1">
        <w:r w:rsidR="00FD4FE7" w:rsidRPr="000C0F2B">
          <w:rPr>
            <w:rStyle w:val="Hyperlink"/>
            <w:noProof/>
          </w:rPr>
          <w:t>2.1.5.1.1.</w:t>
        </w:r>
        <w:r w:rsidR="00FD4FE7" w:rsidRPr="000C0F2B">
          <w:rPr>
            <w:rFonts w:asciiTheme="minorHAnsi" w:eastAsiaTheme="minorEastAsia" w:hAnsiTheme="minorHAnsi" w:cstheme="minorBidi"/>
            <w:noProof/>
            <w:sz w:val="22"/>
            <w:szCs w:val="22"/>
            <w:lang w:val="en-IE" w:eastAsia="en-IE"/>
          </w:rPr>
          <w:tab/>
        </w:r>
        <w:r w:rsidR="00FD4FE7" w:rsidRPr="000C0F2B">
          <w:rPr>
            <w:rStyle w:val="Hyperlink"/>
            <w:noProof/>
          </w:rPr>
          <w:t>Stolpec (AA) – Primer (staro/novo)</w:t>
        </w:r>
        <w:r w:rsidR="00FD4FE7" w:rsidRPr="000C0F2B">
          <w:rPr>
            <w:noProof/>
            <w:webHidden/>
          </w:rPr>
          <w:tab/>
        </w:r>
        <w:r w:rsidR="00FD4FE7" w:rsidRPr="000C0F2B">
          <w:rPr>
            <w:noProof/>
            <w:webHidden/>
          </w:rPr>
          <w:fldChar w:fldCharType="begin"/>
        </w:r>
        <w:r w:rsidR="00FD4FE7" w:rsidRPr="000C0F2B">
          <w:rPr>
            <w:noProof/>
            <w:webHidden/>
          </w:rPr>
          <w:instrText xml:space="preserve"> PAGEREF _Toc134086130 \h </w:instrText>
        </w:r>
        <w:r w:rsidR="00FD4FE7" w:rsidRPr="000C0F2B">
          <w:rPr>
            <w:noProof/>
            <w:webHidden/>
          </w:rPr>
        </w:r>
        <w:r w:rsidR="00FD4FE7" w:rsidRPr="000C0F2B">
          <w:rPr>
            <w:noProof/>
            <w:webHidden/>
          </w:rPr>
          <w:fldChar w:fldCharType="separate"/>
        </w:r>
        <w:r w:rsidR="00FD4FE7" w:rsidRPr="000C0F2B">
          <w:rPr>
            <w:noProof/>
            <w:webHidden/>
          </w:rPr>
          <w:t>32</w:t>
        </w:r>
        <w:r w:rsidR="00FD4FE7" w:rsidRPr="000C0F2B">
          <w:rPr>
            <w:noProof/>
            <w:webHidden/>
          </w:rPr>
          <w:fldChar w:fldCharType="end"/>
        </w:r>
      </w:hyperlink>
    </w:p>
    <w:p w14:paraId="0AFA11E0" w14:textId="05FDDD73" w:rsidR="00FD4FE7" w:rsidRPr="000C0F2B" w:rsidRDefault="00D313CA">
      <w:pPr>
        <w:pStyle w:val="TOC3"/>
        <w:tabs>
          <w:tab w:val="left" w:pos="2880"/>
        </w:tabs>
        <w:rPr>
          <w:rFonts w:asciiTheme="minorHAnsi" w:eastAsiaTheme="minorEastAsia" w:hAnsiTheme="minorHAnsi" w:cstheme="minorBidi"/>
          <w:noProof/>
          <w:sz w:val="22"/>
          <w:szCs w:val="22"/>
          <w:lang w:val="en-IE" w:eastAsia="en-IE"/>
        </w:rPr>
      </w:pPr>
      <w:hyperlink w:anchor="_Toc134086131" w:history="1">
        <w:r w:rsidR="00FD4FE7" w:rsidRPr="000C0F2B">
          <w:rPr>
            <w:rStyle w:val="Hyperlink"/>
            <w:noProof/>
          </w:rPr>
          <w:t>2.1.5.1.2.</w:t>
        </w:r>
        <w:r w:rsidR="00FD4FE7" w:rsidRPr="000C0F2B">
          <w:rPr>
            <w:rFonts w:asciiTheme="minorHAnsi" w:eastAsiaTheme="minorEastAsia" w:hAnsiTheme="minorHAnsi" w:cstheme="minorBidi"/>
            <w:noProof/>
            <w:sz w:val="22"/>
            <w:szCs w:val="22"/>
            <w:lang w:val="en-IE" w:eastAsia="en-IE"/>
          </w:rPr>
          <w:tab/>
        </w:r>
        <w:r w:rsidR="00FD4FE7" w:rsidRPr="000C0F2B">
          <w:rPr>
            <w:rStyle w:val="Hyperlink"/>
            <w:noProof/>
          </w:rPr>
          <w:t>Stolpec (A) – Plačilna agencija</w:t>
        </w:r>
        <w:r w:rsidR="00FD4FE7" w:rsidRPr="000C0F2B">
          <w:rPr>
            <w:noProof/>
            <w:webHidden/>
          </w:rPr>
          <w:tab/>
        </w:r>
        <w:r w:rsidR="00FD4FE7" w:rsidRPr="000C0F2B">
          <w:rPr>
            <w:noProof/>
            <w:webHidden/>
          </w:rPr>
          <w:fldChar w:fldCharType="begin"/>
        </w:r>
        <w:r w:rsidR="00FD4FE7" w:rsidRPr="000C0F2B">
          <w:rPr>
            <w:noProof/>
            <w:webHidden/>
          </w:rPr>
          <w:instrText xml:space="preserve"> PAGEREF _Toc134086131 \h </w:instrText>
        </w:r>
        <w:r w:rsidR="00FD4FE7" w:rsidRPr="000C0F2B">
          <w:rPr>
            <w:noProof/>
            <w:webHidden/>
          </w:rPr>
        </w:r>
        <w:r w:rsidR="00FD4FE7" w:rsidRPr="000C0F2B">
          <w:rPr>
            <w:noProof/>
            <w:webHidden/>
          </w:rPr>
          <w:fldChar w:fldCharType="separate"/>
        </w:r>
        <w:r w:rsidR="00FD4FE7" w:rsidRPr="000C0F2B">
          <w:rPr>
            <w:noProof/>
            <w:webHidden/>
          </w:rPr>
          <w:t>32</w:t>
        </w:r>
        <w:r w:rsidR="00FD4FE7" w:rsidRPr="000C0F2B">
          <w:rPr>
            <w:noProof/>
            <w:webHidden/>
          </w:rPr>
          <w:fldChar w:fldCharType="end"/>
        </w:r>
      </w:hyperlink>
    </w:p>
    <w:p w14:paraId="368C6B7C" w14:textId="64D07ED7" w:rsidR="00FD4FE7" w:rsidRPr="000C0F2B" w:rsidRDefault="00D313CA">
      <w:pPr>
        <w:pStyle w:val="TOC3"/>
        <w:tabs>
          <w:tab w:val="left" w:pos="2880"/>
        </w:tabs>
        <w:rPr>
          <w:rFonts w:asciiTheme="minorHAnsi" w:eastAsiaTheme="minorEastAsia" w:hAnsiTheme="minorHAnsi" w:cstheme="minorBidi"/>
          <w:noProof/>
          <w:sz w:val="22"/>
          <w:szCs w:val="22"/>
          <w:lang w:val="en-IE" w:eastAsia="en-IE"/>
        </w:rPr>
      </w:pPr>
      <w:hyperlink w:anchor="_Toc134086132" w:history="1">
        <w:r w:rsidR="00FD4FE7" w:rsidRPr="000C0F2B">
          <w:rPr>
            <w:rStyle w:val="Hyperlink"/>
            <w:noProof/>
          </w:rPr>
          <w:t>2.1.5.1.3.</w:t>
        </w:r>
        <w:r w:rsidR="00FD4FE7" w:rsidRPr="000C0F2B">
          <w:rPr>
            <w:rFonts w:asciiTheme="minorHAnsi" w:eastAsiaTheme="minorEastAsia" w:hAnsiTheme="minorHAnsi" w:cstheme="minorBidi"/>
            <w:noProof/>
            <w:sz w:val="22"/>
            <w:szCs w:val="22"/>
            <w:lang w:val="en-IE" w:eastAsia="en-IE"/>
          </w:rPr>
          <w:tab/>
        </w:r>
        <w:r w:rsidR="00FD4FE7" w:rsidRPr="000C0F2B">
          <w:rPr>
            <w:rStyle w:val="Hyperlink"/>
            <w:noProof/>
          </w:rPr>
          <w:t>Stolpec (B) – Sklad</w:t>
        </w:r>
        <w:r w:rsidR="00FD4FE7" w:rsidRPr="000C0F2B">
          <w:rPr>
            <w:noProof/>
            <w:webHidden/>
          </w:rPr>
          <w:tab/>
        </w:r>
        <w:r w:rsidR="00FD4FE7" w:rsidRPr="000C0F2B">
          <w:rPr>
            <w:noProof/>
            <w:webHidden/>
          </w:rPr>
          <w:fldChar w:fldCharType="begin"/>
        </w:r>
        <w:r w:rsidR="00FD4FE7" w:rsidRPr="000C0F2B">
          <w:rPr>
            <w:noProof/>
            <w:webHidden/>
          </w:rPr>
          <w:instrText xml:space="preserve"> PAGEREF _Toc134086132 \h </w:instrText>
        </w:r>
        <w:r w:rsidR="00FD4FE7" w:rsidRPr="000C0F2B">
          <w:rPr>
            <w:noProof/>
            <w:webHidden/>
          </w:rPr>
        </w:r>
        <w:r w:rsidR="00FD4FE7" w:rsidRPr="000C0F2B">
          <w:rPr>
            <w:noProof/>
            <w:webHidden/>
          </w:rPr>
          <w:fldChar w:fldCharType="separate"/>
        </w:r>
        <w:r w:rsidR="00FD4FE7" w:rsidRPr="000C0F2B">
          <w:rPr>
            <w:noProof/>
            <w:webHidden/>
          </w:rPr>
          <w:t>32</w:t>
        </w:r>
        <w:r w:rsidR="00FD4FE7" w:rsidRPr="000C0F2B">
          <w:rPr>
            <w:noProof/>
            <w:webHidden/>
          </w:rPr>
          <w:fldChar w:fldCharType="end"/>
        </w:r>
      </w:hyperlink>
    </w:p>
    <w:p w14:paraId="440434DC" w14:textId="5DE73792" w:rsidR="00FD4FE7" w:rsidRPr="000C0F2B" w:rsidRDefault="00D313CA">
      <w:pPr>
        <w:pStyle w:val="TOC3"/>
        <w:tabs>
          <w:tab w:val="left" w:pos="2880"/>
        </w:tabs>
        <w:rPr>
          <w:rFonts w:asciiTheme="minorHAnsi" w:eastAsiaTheme="minorEastAsia" w:hAnsiTheme="minorHAnsi" w:cstheme="minorBidi"/>
          <w:noProof/>
          <w:sz w:val="22"/>
          <w:szCs w:val="22"/>
          <w:lang w:val="en-IE" w:eastAsia="en-IE"/>
        </w:rPr>
      </w:pPr>
      <w:hyperlink w:anchor="_Toc134086133" w:history="1">
        <w:r w:rsidR="00FD4FE7" w:rsidRPr="000C0F2B">
          <w:rPr>
            <w:rStyle w:val="Hyperlink"/>
            <w:noProof/>
          </w:rPr>
          <w:t>2.1.5.1.4.</w:t>
        </w:r>
        <w:r w:rsidR="00FD4FE7" w:rsidRPr="000C0F2B">
          <w:rPr>
            <w:rFonts w:asciiTheme="minorHAnsi" w:eastAsiaTheme="minorEastAsia" w:hAnsiTheme="minorHAnsi" w:cstheme="minorBidi"/>
            <w:noProof/>
            <w:sz w:val="22"/>
            <w:szCs w:val="22"/>
            <w:lang w:val="en-IE" w:eastAsia="en-IE"/>
          </w:rPr>
          <w:tab/>
        </w:r>
        <w:r w:rsidR="00FD4FE7" w:rsidRPr="000C0F2B">
          <w:rPr>
            <w:rStyle w:val="Hyperlink"/>
            <w:noProof/>
          </w:rPr>
          <w:t>Stolpec (C) – Proračunsko leto n</w:t>
        </w:r>
        <w:r w:rsidR="00FD4FE7" w:rsidRPr="000C0F2B">
          <w:rPr>
            <w:noProof/>
            <w:webHidden/>
          </w:rPr>
          <w:tab/>
        </w:r>
        <w:r w:rsidR="00FD4FE7" w:rsidRPr="000C0F2B">
          <w:rPr>
            <w:noProof/>
            <w:webHidden/>
          </w:rPr>
          <w:fldChar w:fldCharType="begin"/>
        </w:r>
        <w:r w:rsidR="00FD4FE7" w:rsidRPr="000C0F2B">
          <w:rPr>
            <w:noProof/>
            <w:webHidden/>
          </w:rPr>
          <w:instrText xml:space="preserve"> PAGEREF _Toc134086133 \h </w:instrText>
        </w:r>
        <w:r w:rsidR="00FD4FE7" w:rsidRPr="000C0F2B">
          <w:rPr>
            <w:noProof/>
            <w:webHidden/>
          </w:rPr>
        </w:r>
        <w:r w:rsidR="00FD4FE7" w:rsidRPr="000C0F2B">
          <w:rPr>
            <w:noProof/>
            <w:webHidden/>
          </w:rPr>
          <w:fldChar w:fldCharType="separate"/>
        </w:r>
        <w:r w:rsidR="00FD4FE7" w:rsidRPr="000C0F2B">
          <w:rPr>
            <w:noProof/>
            <w:webHidden/>
          </w:rPr>
          <w:t>32</w:t>
        </w:r>
        <w:r w:rsidR="00FD4FE7" w:rsidRPr="000C0F2B">
          <w:rPr>
            <w:noProof/>
            <w:webHidden/>
          </w:rPr>
          <w:fldChar w:fldCharType="end"/>
        </w:r>
      </w:hyperlink>
    </w:p>
    <w:p w14:paraId="706CBA54" w14:textId="370205DB" w:rsidR="00FD4FE7" w:rsidRPr="000C0F2B" w:rsidRDefault="00D313CA">
      <w:pPr>
        <w:pStyle w:val="TOC3"/>
        <w:tabs>
          <w:tab w:val="left" w:pos="2880"/>
        </w:tabs>
        <w:rPr>
          <w:rFonts w:asciiTheme="minorHAnsi" w:eastAsiaTheme="minorEastAsia" w:hAnsiTheme="minorHAnsi" w:cstheme="minorBidi"/>
          <w:noProof/>
          <w:sz w:val="22"/>
          <w:szCs w:val="22"/>
          <w:lang w:val="en-IE" w:eastAsia="en-IE"/>
        </w:rPr>
      </w:pPr>
      <w:hyperlink w:anchor="_Toc134086134" w:history="1">
        <w:r w:rsidR="00FD4FE7" w:rsidRPr="000C0F2B">
          <w:rPr>
            <w:rStyle w:val="Hyperlink"/>
            <w:noProof/>
          </w:rPr>
          <w:t>2.1.5.1.5.</w:t>
        </w:r>
        <w:r w:rsidR="00FD4FE7" w:rsidRPr="000C0F2B">
          <w:rPr>
            <w:rFonts w:asciiTheme="minorHAnsi" w:eastAsiaTheme="minorEastAsia" w:hAnsiTheme="minorHAnsi" w:cstheme="minorBidi"/>
            <w:noProof/>
            <w:sz w:val="22"/>
            <w:szCs w:val="22"/>
            <w:lang w:val="en-IE" w:eastAsia="en-IE"/>
          </w:rPr>
          <w:tab/>
        </w:r>
        <w:r w:rsidR="00FD4FE7" w:rsidRPr="000C0F2B">
          <w:rPr>
            <w:rStyle w:val="Hyperlink"/>
            <w:noProof/>
          </w:rPr>
          <w:t>Stolpec (D) – Denarna enota</w:t>
        </w:r>
        <w:r w:rsidR="00FD4FE7" w:rsidRPr="000C0F2B">
          <w:rPr>
            <w:noProof/>
            <w:webHidden/>
          </w:rPr>
          <w:tab/>
        </w:r>
        <w:r w:rsidR="00FD4FE7" w:rsidRPr="000C0F2B">
          <w:rPr>
            <w:noProof/>
            <w:webHidden/>
          </w:rPr>
          <w:fldChar w:fldCharType="begin"/>
        </w:r>
        <w:r w:rsidR="00FD4FE7" w:rsidRPr="000C0F2B">
          <w:rPr>
            <w:noProof/>
            <w:webHidden/>
          </w:rPr>
          <w:instrText xml:space="preserve"> PAGEREF _Toc134086134 \h </w:instrText>
        </w:r>
        <w:r w:rsidR="00FD4FE7" w:rsidRPr="000C0F2B">
          <w:rPr>
            <w:noProof/>
            <w:webHidden/>
          </w:rPr>
        </w:r>
        <w:r w:rsidR="00FD4FE7" w:rsidRPr="000C0F2B">
          <w:rPr>
            <w:noProof/>
            <w:webHidden/>
          </w:rPr>
          <w:fldChar w:fldCharType="separate"/>
        </w:r>
        <w:r w:rsidR="00FD4FE7" w:rsidRPr="000C0F2B">
          <w:rPr>
            <w:noProof/>
            <w:webHidden/>
          </w:rPr>
          <w:t>32</w:t>
        </w:r>
        <w:r w:rsidR="00FD4FE7" w:rsidRPr="000C0F2B">
          <w:rPr>
            <w:noProof/>
            <w:webHidden/>
          </w:rPr>
          <w:fldChar w:fldCharType="end"/>
        </w:r>
      </w:hyperlink>
    </w:p>
    <w:p w14:paraId="163523A0" w14:textId="132C1D63" w:rsidR="00FD4FE7" w:rsidRPr="000C0F2B" w:rsidRDefault="00D313CA">
      <w:pPr>
        <w:pStyle w:val="TOC3"/>
        <w:tabs>
          <w:tab w:val="left" w:pos="2880"/>
        </w:tabs>
        <w:rPr>
          <w:rFonts w:asciiTheme="minorHAnsi" w:eastAsiaTheme="minorEastAsia" w:hAnsiTheme="minorHAnsi" w:cstheme="minorBidi"/>
          <w:noProof/>
          <w:sz w:val="22"/>
          <w:szCs w:val="22"/>
          <w:lang w:val="en-IE" w:eastAsia="en-IE"/>
        </w:rPr>
      </w:pPr>
      <w:hyperlink w:anchor="_Toc134086135" w:history="1">
        <w:r w:rsidR="00FD4FE7" w:rsidRPr="000C0F2B">
          <w:rPr>
            <w:rStyle w:val="Hyperlink"/>
            <w:noProof/>
          </w:rPr>
          <w:t>2.1.5.1.6.</w:t>
        </w:r>
        <w:r w:rsidR="00FD4FE7" w:rsidRPr="000C0F2B">
          <w:rPr>
            <w:rFonts w:asciiTheme="minorHAnsi" w:eastAsiaTheme="minorEastAsia" w:hAnsiTheme="minorHAnsi" w:cstheme="minorBidi"/>
            <w:noProof/>
            <w:sz w:val="22"/>
            <w:szCs w:val="22"/>
            <w:lang w:val="en-IE" w:eastAsia="en-IE"/>
          </w:rPr>
          <w:tab/>
        </w:r>
        <w:r w:rsidR="00FD4FE7" w:rsidRPr="000C0F2B">
          <w:rPr>
            <w:rStyle w:val="Hyperlink"/>
            <w:noProof/>
          </w:rPr>
          <w:t>Stolpec (Bal_P) – Začetno stanje – Glavnica</w:t>
        </w:r>
        <w:r w:rsidR="00FD4FE7" w:rsidRPr="000C0F2B">
          <w:rPr>
            <w:noProof/>
            <w:webHidden/>
          </w:rPr>
          <w:tab/>
        </w:r>
        <w:r w:rsidR="00FD4FE7" w:rsidRPr="000C0F2B">
          <w:rPr>
            <w:noProof/>
            <w:webHidden/>
          </w:rPr>
          <w:fldChar w:fldCharType="begin"/>
        </w:r>
        <w:r w:rsidR="00FD4FE7" w:rsidRPr="000C0F2B">
          <w:rPr>
            <w:noProof/>
            <w:webHidden/>
          </w:rPr>
          <w:instrText xml:space="preserve"> PAGEREF _Toc134086135 \h </w:instrText>
        </w:r>
        <w:r w:rsidR="00FD4FE7" w:rsidRPr="000C0F2B">
          <w:rPr>
            <w:noProof/>
            <w:webHidden/>
          </w:rPr>
        </w:r>
        <w:r w:rsidR="00FD4FE7" w:rsidRPr="000C0F2B">
          <w:rPr>
            <w:noProof/>
            <w:webHidden/>
          </w:rPr>
          <w:fldChar w:fldCharType="separate"/>
        </w:r>
        <w:r w:rsidR="00FD4FE7" w:rsidRPr="000C0F2B">
          <w:rPr>
            <w:noProof/>
            <w:webHidden/>
          </w:rPr>
          <w:t>32</w:t>
        </w:r>
        <w:r w:rsidR="00FD4FE7" w:rsidRPr="000C0F2B">
          <w:rPr>
            <w:noProof/>
            <w:webHidden/>
          </w:rPr>
          <w:fldChar w:fldCharType="end"/>
        </w:r>
      </w:hyperlink>
    </w:p>
    <w:p w14:paraId="0FA47563" w14:textId="458487AA" w:rsidR="00FD4FE7" w:rsidRPr="000C0F2B" w:rsidRDefault="00D313CA">
      <w:pPr>
        <w:pStyle w:val="TOC3"/>
        <w:tabs>
          <w:tab w:val="left" w:pos="2880"/>
        </w:tabs>
        <w:rPr>
          <w:rFonts w:asciiTheme="minorHAnsi" w:eastAsiaTheme="minorEastAsia" w:hAnsiTheme="minorHAnsi" w:cstheme="minorBidi"/>
          <w:noProof/>
          <w:sz w:val="22"/>
          <w:szCs w:val="22"/>
          <w:lang w:val="en-IE" w:eastAsia="en-IE"/>
        </w:rPr>
      </w:pPr>
      <w:hyperlink w:anchor="_Toc134086136" w:history="1">
        <w:r w:rsidR="00FD4FE7" w:rsidRPr="000C0F2B">
          <w:rPr>
            <w:rStyle w:val="Hyperlink"/>
            <w:noProof/>
          </w:rPr>
          <w:t>2.1.5.1.7.</w:t>
        </w:r>
        <w:r w:rsidR="00FD4FE7" w:rsidRPr="000C0F2B">
          <w:rPr>
            <w:rFonts w:asciiTheme="minorHAnsi" w:eastAsiaTheme="minorEastAsia" w:hAnsiTheme="minorHAnsi" w:cstheme="minorBidi"/>
            <w:noProof/>
            <w:sz w:val="22"/>
            <w:szCs w:val="22"/>
            <w:lang w:val="en-IE" w:eastAsia="en-IE"/>
          </w:rPr>
          <w:tab/>
        </w:r>
        <w:r w:rsidR="00FD4FE7" w:rsidRPr="000C0F2B">
          <w:rPr>
            <w:rStyle w:val="Hyperlink"/>
            <w:noProof/>
          </w:rPr>
          <w:t>Stolpec (Bal_I) – Začetno stanje – Obresti</w:t>
        </w:r>
        <w:r w:rsidR="00FD4FE7" w:rsidRPr="000C0F2B">
          <w:rPr>
            <w:noProof/>
            <w:webHidden/>
          </w:rPr>
          <w:tab/>
        </w:r>
        <w:r w:rsidR="00FD4FE7" w:rsidRPr="000C0F2B">
          <w:rPr>
            <w:noProof/>
            <w:webHidden/>
          </w:rPr>
          <w:fldChar w:fldCharType="begin"/>
        </w:r>
        <w:r w:rsidR="00FD4FE7" w:rsidRPr="000C0F2B">
          <w:rPr>
            <w:noProof/>
            <w:webHidden/>
          </w:rPr>
          <w:instrText xml:space="preserve"> PAGEREF _Toc134086136 \h </w:instrText>
        </w:r>
        <w:r w:rsidR="00FD4FE7" w:rsidRPr="000C0F2B">
          <w:rPr>
            <w:noProof/>
            <w:webHidden/>
          </w:rPr>
        </w:r>
        <w:r w:rsidR="00FD4FE7" w:rsidRPr="000C0F2B">
          <w:rPr>
            <w:noProof/>
            <w:webHidden/>
          </w:rPr>
          <w:fldChar w:fldCharType="separate"/>
        </w:r>
        <w:r w:rsidR="00FD4FE7" w:rsidRPr="000C0F2B">
          <w:rPr>
            <w:noProof/>
            <w:webHidden/>
          </w:rPr>
          <w:t>33</w:t>
        </w:r>
        <w:r w:rsidR="00FD4FE7" w:rsidRPr="000C0F2B">
          <w:rPr>
            <w:noProof/>
            <w:webHidden/>
          </w:rPr>
          <w:fldChar w:fldCharType="end"/>
        </w:r>
      </w:hyperlink>
    </w:p>
    <w:p w14:paraId="33381CA6" w14:textId="3DAE4FD3" w:rsidR="00FD4FE7" w:rsidRPr="000C0F2B" w:rsidRDefault="00D313CA">
      <w:pPr>
        <w:pStyle w:val="TOC3"/>
        <w:tabs>
          <w:tab w:val="left" w:pos="2880"/>
        </w:tabs>
        <w:rPr>
          <w:rFonts w:asciiTheme="minorHAnsi" w:eastAsiaTheme="minorEastAsia" w:hAnsiTheme="minorHAnsi" w:cstheme="minorBidi"/>
          <w:noProof/>
          <w:sz w:val="22"/>
          <w:szCs w:val="22"/>
          <w:lang w:val="en-IE" w:eastAsia="en-IE"/>
        </w:rPr>
      </w:pPr>
      <w:hyperlink w:anchor="_Toc134086137" w:history="1">
        <w:r w:rsidR="00FD4FE7" w:rsidRPr="000C0F2B">
          <w:rPr>
            <w:rStyle w:val="Hyperlink"/>
            <w:noProof/>
          </w:rPr>
          <w:t>2.1.5.1.8.</w:t>
        </w:r>
        <w:r w:rsidR="00FD4FE7" w:rsidRPr="000C0F2B">
          <w:rPr>
            <w:rFonts w:asciiTheme="minorHAnsi" w:eastAsiaTheme="minorEastAsia" w:hAnsiTheme="minorHAnsi" w:cstheme="minorBidi"/>
            <w:noProof/>
            <w:sz w:val="22"/>
            <w:szCs w:val="22"/>
            <w:lang w:val="en-IE" w:eastAsia="en-IE"/>
          </w:rPr>
          <w:tab/>
        </w:r>
        <w:r w:rsidR="00FD4FE7" w:rsidRPr="000C0F2B">
          <w:rPr>
            <w:rStyle w:val="Hyperlink"/>
            <w:noProof/>
          </w:rPr>
          <w:t>Stolpec (NewC_P) – Novi primeri v proračunskem letu n – Glavnica</w:t>
        </w:r>
        <w:r w:rsidR="00FD4FE7" w:rsidRPr="000C0F2B">
          <w:rPr>
            <w:noProof/>
            <w:webHidden/>
          </w:rPr>
          <w:tab/>
        </w:r>
        <w:r w:rsidR="00FD4FE7" w:rsidRPr="000C0F2B">
          <w:rPr>
            <w:noProof/>
            <w:webHidden/>
          </w:rPr>
          <w:fldChar w:fldCharType="begin"/>
        </w:r>
        <w:r w:rsidR="00FD4FE7" w:rsidRPr="000C0F2B">
          <w:rPr>
            <w:noProof/>
            <w:webHidden/>
          </w:rPr>
          <w:instrText xml:space="preserve"> PAGEREF _Toc134086137 \h </w:instrText>
        </w:r>
        <w:r w:rsidR="00FD4FE7" w:rsidRPr="000C0F2B">
          <w:rPr>
            <w:noProof/>
            <w:webHidden/>
          </w:rPr>
        </w:r>
        <w:r w:rsidR="00FD4FE7" w:rsidRPr="000C0F2B">
          <w:rPr>
            <w:noProof/>
            <w:webHidden/>
          </w:rPr>
          <w:fldChar w:fldCharType="separate"/>
        </w:r>
        <w:r w:rsidR="00FD4FE7" w:rsidRPr="000C0F2B">
          <w:rPr>
            <w:noProof/>
            <w:webHidden/>
          </w:rPr>
          <w:t>33</w:t>
        </w:r>
        <w:r w:rsidR="00FD4FE7" w:rsidRPr="000C0F2B">
          <w:rPr>
            <w:noProof/>
            <w:webHidden/>
          </w:rPr>
          <w:fldChar w:fldCharType="end"/>
        </w:r>
      </w:hyperlink>
    </w:p>
    <w:p w14:paraId="0AAFE34D" w14:textId="356FDF0E" w:rsidR="00FD4FE7" w:rsidRDefault="00D313CA">
      <w:pPr>
        <w:pStyle w:val="TOC3"/>
        <w:tabs>
          <w:tab w:val="left" w:pos="2880"/>
        </w:tabs>
        <w:rPr>
          <w:rFonts w:asciiTheme="minorHAnsi" w:eastAsiaTheme="minorEastAsia" w:hAnsiTheme="minorHAnsi" w:cstheme="minorBidi"/>
          <w:noProof/>
          <w:sz w:val="22"/>
          <w:szCs w:val="22"/>
          <w:lang w:val="en-IE" w:eastAsia="en-IE"/>
        </w:rPr>
      </w:pPr>
      <w:hyperlink w:anchor="_Toc134086138" w:history="1">
        <w:r w:rsidR="00FD4FE7" w:rsidRPr="000C0F2B">
          <w:rPr>
            <w:rStyle w:val="Hyperlink"/>
            <w:noProof/>
          </w:rPr>
          <w:t>2.1.5.1.9.</w:t>
        </w:r>
        <w:r w:rsidR="00FD4FE7" w:rsidRPr="000C0F2B">
          <w:rPr>
            <w:rFonts w:asciiTheme="minorHAnsi" w:eastAsiaTheme="minorEastAsia" w:hAnsiTheme="minorHAnsi" w:cstheme="minorBidi"/>
            <w:noProof/>
            <w:sz w:val="22"/>
            <w:szCs w:val="22"/>
            <w:lang w:val="en-IE" w:eastAsia="en-IE"/>
          </w:rPr>
          <w:tab/>
        </w:r>
        <w:r w:rsidR="00FD4FE7" w:rsidRPr="000C0F2B">
          <w:rPr>
            <w:rStyle w:val="Hyperlink"/>
            <w:noProof/>
          </w:rPr>
          <w:t>Stolpec (NewC_I) – Novi primeri v proračunskem letu n – Obresti</w:t>
        </w:r>
        <w:r w:rsidR="00FD4FE7" w:rsidRPr="000C0F2B">
          <w:rPr>
            <w:noProof/>
            <w:webHidden/>
          </w:rPr>
          <w:tab/>
        </w:r>
        <w:r w:rsidR="00FD4FE7" w:rsidRPr="000C0F2B">
          <w:rPr>
            <w:noProof/>
            <w:webHidden/>
          </w:rPr>
          <w:fldChar w:fldCharType="begin"/>
        </w:r>
        <w:r w:rsidR="00FD4FE7" w:rsidRPr="000C0F2B">
          <w:rPr>
            <w:noProof/>
            <w:webHidden/>
          </w:rPr>
          <w:instrText xml:space="preserve"> PAGEREF _Toc134086138 \h </w:instrText>
        </w:r>
        <w:r w:rsidR="00FD4FE7" w:rsidRPr="000C0F2B">
          <w:rPr>
            <w:noProof/>
            <w:webHidden/>
          </w:rPr>
        </w:r>
        <w:r w:rsidR="00FD4FE7" w:rsidRPr="000C0F2B">
          <w:rPr>
            <w:noProof/>
            <w:webHidden/>
          </w:rPr>
          <w:fldChar w:fldCharType="separate"/>
        </w:r>
        <w:r w:rsidR="00FD4FE7" w:rsidRPr="000C0F2B">
          <w:rPr>
            <w:noProof/>
            <w:webHidden/>
          </w:rPr>
          <w:t>33</w:t>
        </w:r>
        <w:r w:rsidR="00FD4FE7" w:rsidRPr="000C0F2B">
          <w:rPr>
            <w:noProof/>
            <w:webHidden/>
          </w:rPr>
          <w:fldChar w:fldCharType="end"/>
        </w:r>
      </w:hyperlink>
    </w:p>
    <w:p w14:paraId="18AFB008" w14:textId="677822AA" w:rsidR="00FD4FE7" w:rsidRPr="000C0F2B" w:rsidRDefault="00D313CA">
      <w:pPr>
        <w:pStyle w:val="TOC3"/>
        <w:tabs>
          <w:tab w:val="left" w:pos="2880"/>
        </w:tabs>
        <w:rPr>
          <w:rFonts w:asciiTheme="minorHAnsi" w:eastAsiaTheme="minorEastAsia" w:hAnsiTheme="minorHAnsi" w:cstheme="minorBidi"/>
          <w:noProof/>
          <w:sz w:val="22"/>
          <w:szCs w:val="22"/>
          <w:lang w:val="en-IE" w:eastAsia="en-IE"/>
        </w:rPr>
      </w:pPr>
      <w:hyperlink w:anchor="_Toc134086139" w:history="1">
        <w:r w:rsidR="00FD4FE7" w:rsidRPr="000C0F2B">
          <w:rPr>
            <w:rStyle w:val="Hyperlink"/>
            <w:noProof/>
          </w:rPr>
          <w:t>2.1.5.1.10.</w:t>
        </w:r>
        <w:r w:rsidR="00FD4FE7" w:rsidRPr="000C0F2B">
          <w:rPr>
            <w:rFonts w:asciiTheme="minorHAnsi" w:eastAsiaTheme="minorEastAsia" w:hAnsiTheme="minorHAnsi" w:cstheme="minorBidi"/>
            <w:noProof/>
            <w:sz w:val="22"/>
            <w:szCs w:val="22"/>
            <w:lang w:val="en-IE" w:eastAsia="en-IE"/>
          </w:rPr>
          <w:tab/>
        </w:r>
        <w:r w:rsidR="00FD4FE7" w:rsidRPr="000C0F2B">
          <w:rPr>
            <w:rStyle w:val="Hyperlink"/>
            <w:noProof/>
          </w:rPr>
          <w:t>Stolpec (R1) – Popravljeni znesek v proračunskem letu n – Glavnica</w:t>
        </w:r>
        <w:r w:rsidR="00FD4FE7" w:rsidRPr="000C0F2B">
          <w:rPr>
            <w:noProof/>
            <w:webHidden/>
          </w:rPr>
          <w:tab/>
        </w:r>
        <w:r w:rsidR="00FD4FE7" w:rsidRPr="000C0F2B">
          <w:rPr>
            <w:noProof/>
            <w:webHidden/>
          </w:rPr>
          <w:fldChar w:fldCharType="begin"/>
        </w:r>
        <w:r w:rsidR="00FD4FE7" w:rsidRPr="000C0F2B">
          <w:rPr>
            <w:noProof/>
            <w:webHidden/>
          </w:rPr>
          <w:instrText xml:space="preserve"> PAGEREF _Toc134086139 \h </w:instrText>
        </w:r>
        <w:r w:rsidR="00FD4FE7" w:rsidRPr="000C0F2B">
          <w:rPr>
            <w:noProof/>
            <w:webHidden/>
          </w:rPr>
        </w:r>
        <w:r w:rsidR="00FD4FE7" w:rsidRPr="000C0F2B">
          <w:rPr>
            <w:noProof/>
            <w:webHidden/>
          </w:rPr>
          <w:fldChar w:fldCharType="separate"/>
        </w:r>
        <w:r w:rsidR="00FD4FE7" w:rsidRPr="000C0F2B">
          <w:rPr>
            <w:noProof/>
            <w:webHidden/>
          </w:rPr>
          <w:t>33</w:t>
        </w:r>
        <w:r w:rsidR="00FD4FE7" w:rsidRPr="000C0F2B">
          <w:rPr>
            <w:noProof/>
            <w:webHidden/>
          </w:rPr>
          <w:fldChar w:fldCharType="end"/>
        </w:r>
      </w:hyperlink>
    </w:p>
    <w:p w14:paraId="2700D915" w14:textId="7A763B5D" w:rsidR="00FD4FE7" w:rsidRPr="000C0F2B" w:rsidRDefault="00D313CA">
      <w:pPr>
        <w:pStyle w:val="TOC3"/>
        <w:tabs>
          <w:tab w:val="left" w:pos="2880"/>
        </w:tabs>
        <w:rPr>
          <w:rFonts w:asciiTheme="minorHAnsi" w:eastAsiaTheme="minorEastAsia" w:hAnsiTheme="minorHAnsi" w:cstheme="minorBidi"/>
          <w:noProof/>
          <w:sz w:val="22"/>
          <w:szCs w:val="22"/>
          <w:lang w:val="en-IE" w:eastAsia="en-IE"/>
        </w:rPr>
      </w:pPr>
      <w:hyperlink w:anchor="_Toc134086140" w:history="1">
        <w:r w:rsidR="00FD4FE7" w:rsidRPr="000C0F2B">
          <w:rPr>
            <w:rStyle w:val="Hyperlink"/>
            <w:noProof/>
          </w:rPr>
          <w:t>2.1.5.1.11.</w:t>
        </w:r>
        <w:r w:rsidR="00FD4FE7" w:rsidRPr="000C0F2B">
          <w:rPr>
            <w:rFonts w:asciiTheme="minorHAnsi" w:eastAsiaTheme="minorEastAsia" w:hAnsiTheme="minorHAnsi" w:cstheme="minorBidi"/>
            <w:noProof/>
            <w:sz w:val="22"/>
            <w:szCs w:val="22"/>
            <w:lang w:val="en-IE" w:eastAsia="en-IE"/>
          </w:rPr>
          <w:tab/>
        </w:r>
        <w:r w:rsidR="00FD4FE7" w:rsidRPr="000C0F2B">
          <w:rPr>
            <w:rStyle w:val="Hyperlink"/>
            <w:noProof/>
          </w:rPr>
          <w:t>Stolpec (R2) – Popravljeni znesek v proračunskem letu n – Obresti</w:t>
        </w:r>
        <w:r w:rsidR="00FD4FE7" w:rsidRPr="000C0F2B">
          <w:rPr>
            <w:noProof/>
            <w:webHidden/>
          </w:rPr>
          <w:tab/>
        </w:r>
        <w:r w:rsidR="00FD4FE7" w:rsidRPr="000C0F2B">
          <w:rPr>
            <w:noProof/>
            <w:webHidden/>
          </w:rPr>
          <w:fldChar w:fldCharType="begin"/>
        </w:r>
        <w:r w:rsidR="00FD4FE7" w:rsidRPr="000C0F2B">
          <w:rPr>
            <w:noProof/>
            <w:webHidden/>
          </w:rPr>
          <w:instrText xml:space="preserve"> PAGEREF _Toc134086140 \h </w:instrText>
        </w:r>
        <w:r w:rsidR="00FD4FE7" w:rsidRPr="000C0F2B">
          <w:rPr>
            <w:noProof/>
            <w:webHidden/>
          </w:rPr>
        </w:r>
        <w:r w:rsidR="00FD4FE7" w:rsidRPr="000C0F2B">
          <w:rPr>
            <w:noProof/>
            <w:webHidden/>
          </w:rPr>
          <w:fldChar w:fldCharType="separate"/>
        </w:r>
        <w:r w:rsidR="00FD4FE7" w:rsidRPr="000C0F2B">
          <w:rPr>
            <w:noProof/>
            <w:webHidden/>
          </w:rPr>
          <w:t>33</w:t>
        </w:r>
        <w:r w:rsidR="00FD4FE7" w:rsidRPr="000C0F2B">
          <w:rPr>
            <w:noProof/>
            <w:webHidden/>
          </w:rPr>
          <w:fldChar w:fldCharType="end"/>
        </w:r>
      </w:hyperlink>
    </w:p>
    <w:p w14:paraId="6694BA9E" w14:textId="55EA572D" w:rsidR="00FD4FE7" w:rsidRPr="000C0F2B" w:rsidRDefault="00D313CA">
      <w:pPr>
        <w:pStyle w:val="TOC3"/>
        <w:tabs>
          <w:tab w:val="left" w:pos="2880"/>
        </w:tabs>
        <w:rPr>
          <w:rFonts w:asciiTheme="minorHAnsi" w:eastAsiaTheme="minorEastAsia" w:hAnsiTheme="minorHAnsi" w:cstheme="minorBidi"/>
          <w:noProof/>
          <w:sz w:val="22"/>
          <w:szCs w:val="22"/>
          <w:lang w:val="en-IE" w:eastAsia="en-IE"/>
        </w:rPr>
      </w:pPr>
      <w:hyperlink w:anchor="_Toc134086141" w:history="1">
        <w:r w:rsidR="00FD4FE7" w:rsidRPr="000C0F2B">
          <w:rPr>
            <w:rStyle w:val="Hyperlink"/>
            <w:noProof/>
          </w:rPr>
          <w:t>2.1.5.1.12.</w:t>
        </w:r>
        <w:r w:rsidR="00FD4FE7" w:rsidRPr="000C0F2B">
          <w:rPr>
            <w:rFonts w:asciiTheme="minorHAnsi" w:eastAsiaTheme="minorEastAsia" w:hAnsiTheme="minorHAnsi" w:cstheme="minorBidi"/>
            <w:noProof/>
            <w:sz w:val="22"/>
            <w:szCs w:val="22"/>
            <w:lang w:val="en-IE" w:eastAsia="en-IE"/>
          </w:rPr>
          <w:tab/>
        </w:r>
        <w:r w:rsidR="00FD4FE7" w:rsidRPr="000C0F2B">
          <w:rPr>
            <w:rStyle w:val="Hyperlink"/>
            <w:noProof/>
          </w:rPr>
          <w:t>Stolpec (Z) – Obresti v proračunskem letu n</w:t>
        </w:r>
        <w:r w:rsidR="00FD4FE7" w:rsidRPr="000C0F2B">
          <w:rPr>
            <w:noProof/>
            <w:webHidden/>
          </w:rPr>
          <w:tab/>
        </w:r>
        <w:r w:rsidR="00FD4FE7" w:rsidRPr="000C0F2B">
          <w:rPr>
            <w:noProof/>
            <w:webHidden/>
          </w:rPr>
          <w:fldChar w:fldCharType="begin"/>
        </w:r>
        <w:r w:rsidR="00FD4FE7" w:rsidRPr="000C0F2B">
          <w:rPr>
            <w:noProof/>
            <w:webHidden/>
          </w:rPr>
          <w:instrText xml:space="preserve"> PAGEREF _Toc134086141 \h </w:instrText>
        </w:r>
        <w:r w:rsidR="00FD4FE7" w:rsidRPr="000C0F2B">
          <w:rPr>
            <w:noProof/>
            <w:webHidden/>
          </w:rPr>
        </w:r>
        <w:r w:rsidR="00FD4FE7" w:rsidRPr="000C0F2B">
          <w:rPr>
            <w:noProof/>
            <w:webHidden/>
          </w:rPr>
          <w:fldChar w:fldCharType="separate"/>
        </w:r>
        <w:r w:rsidR="00FD4FE7" w:rsidRPr="000C0F2B">
          <w:rPr>
            <w:noProof/>
            <w:webHidden/>
          </w:rPr>
          <w:t>34</w:t>
        </w:r>
        <w:r w:rsidR="00FD4FE7" w:rsidRPr="000C0F2B">
          <w:rPr>
            <w:noProof/>
            <w:webHidden/>
          </w:rPr>
          <w:fldChar w:fldCharType="end"/>
        </w:r>
      </w:hyperlink>
    </w:p>
    <w:p w14:paraId="72C81DE1" w14:textId="7FFA294E" w:rsidR="00FD4FE7" w:rsidRPr="000C0F2B" w:rsidRDefault="00D313CA">
      <w:pPr>
        <w:pStyle w:val="TOC3"/>
        <w:tabs>
          <w:tab w:val="left" w:pos="2880"/>
        </w:tabs>
        <w:rPr>
          <w:rFonts w:asciiTheme="minorHAnsi" w:eastAsiaTheme="minorEastAsia" w:hAnsiTheme="minorHAnsi" w:cstheme="minorBidi"/>
          <w:noProof/>
          <w:sz w:val="22"/>
          <w:szCs w:val="22"/>
          <w:lang w:val="en-IE" w:eastAsia="en-IE"/>
        </w:rPr>
      </w:pPr>
      <w:hyperlink w:anchor="_Toc134086142" w:history="1">
        <w:r w:rsidR="00FD4FE7" w:rsidRPr="000C0F2B">
          <w:rPr>
            <w:rStyle w:val="Hyperlink"/>
            <w:noProof/>
          </w:rPr>
          <w:t>2.1.5.1.13.</w:t>
        </w:r>
        <w:r w:rsidR="00FD4FE7" w:rsidRPr="000C0F2B">
          <w:rPr>
            <w:rFonts w:asciiTheme="minorHAnsi" w:eastAsiaTheme="minorEastAsia" w:hAnsiTheme="minorHAnsi" w:cstheme="minorBidi"/>
            <w:noProof/>
            <w:sz w:val="22"/>
            <w:szCs w:val="22"/>
            <w:lang w:val="en-IE" w:eastAsia="en-IE"/>
          </w:rPr>
          <w:tab/>
        </w:r>
        <w:r w:rsidR="00FD4FE7" w:rsidRPr="000C0F2B">
          <w:rPr>
            <w:rStyle w:val="Hyperlink"/>
            <w:noProof/>
          </w:rPr>
          <w:t>Stolpec (S1) – Izterjani znesek v proračunskem letu n – Glavnica</w:t>
        </w:r>
        <w:r w:rsidR="00FD4FE7" w:rsidRPr="000C0F2B">
          <w:rPr>
            <w:noProof/>
            <w:webHidden/>
          </w:rPr>
          <w:tab/>
        </w:r>
        <w:r w:rsidR="00FD4FE7" w:rsidRPr="000C0F2B">
          <w:rPr>
            <w:noProof/>
            <w:webHidden/>
          </w:rPr>
          <w:fldChar w:fldCharType="begin"/>
        </w:r>
        <w:r w:rsidR="00FD4FE7" w:rsidRPr="000C0F2B">
          <w:rPr>
            <w:noProof/>
            <w:webHidden/>
          </w:rPr>
          <w:instrText xml:space="preserve"> PAGEREF _Toc134086142 \h </w:instrText>
        </w:r>
        <w:r w:rsidR="00FD4FE7" w:rsidRPr="000C0F2B">
          <w:rPr>
            <w:noProof/>
            <w:webHidden/>
          </w:rPr>
        </w:r>
        <w:r w:rsidR="00FD4FE7" w:rsidRPr="000C0F2B">
          <w:rPr>
            <w:noProof/>
            <w:webHidden/>
          </w:rPr>
          <w:fldChar w:fldCharType="separate"/>
        </w:r>
        <w:r w:rsidR="00FD4FE7" w:rsidRPr="000C0F2B">
          <w:rPr>
            <w:noProof/>
            <w:webHidden/>
          </w:rPr>
          <w:t>34</w:t>
        </w:r>
        <w:r w:rsidR="00FD4FE7" w:rsidRPr="000C0F2B">
          <w:rPr>
            <w:noProof/>
            <w:webHidden/>
          </w:rPr>
          <w:fldChar w:fldCharType="end"/>
        </w:r>
      </w:hyperlink>
    </w:p>
    <w:p w14:paraId="022F42D1" w14:textId="283545CC" w:rsidR="00FD4FE7" w:rsidRPr="000C0F2B" w:rsidRDefault="00D313CA">
      <w:pPr>
        <w:pStyle w:val="TOC3"/>
        <w:tabs>
          <w:tab w:val="left" w:pos="2880"/>
        </w:tabs>
        <w:rPr>
          <w:rFonts w:asciiTheme="minorHAnsi" w:eastAsiaTheme="minorEastAsia" w:hAnsiTheme="minorHAnsi" w:cstheme="minorBidi"/>
          <w:noProof/>
          <w:sz w:val="22"/>
          <w:szCs w:val="22"/>
          <w:lang w:val="en-IE" w:eastAsia="en-IE"/>
        </w:rPr>
      </w:pPr>
      <w:hyperlink w:anchor="_Toc134086143" w:history="1">
        <w:r w:rsidR="00FD4FE7" w:rsidRPr="000C0F2B">
          <w:rPr>
            <w:rStyle w:val="Hyperlink"/>
            <w:noProof/>
          </w:rPr>
          <w:t>2.1.5.1.14.</w:t>
        </w:r>
        <w:r w:rsidR="00FD4FE7" w:rsidRPr="000C0F2B">
          <w:rPr>
            <w:rFonts w:asciiTheme="minorHAnsi" w:eastAsiaTheme="minorEastAsia" w:hAnsiTheme="minorHAnsi" w:cstheme="minorBidi"/>
            <w:noProof/>
            <w:sz w:val="22"/>
            <w:szCs w:val="22"/>
            <w:lang w:val="en-IE" w:eastAsia="en-IE"/>
          </w:rPr>
          <w:tab/>
        </w:r>
        <w:r w:rsidR="00FD4FE7" w:rsidRPr="000C0F2B">
          <w:rPr>
            <w:rStyle w:val="Hyperlink"/>
            <w:noProof/>
          </w:rPr>
          <w:t>Stolpec (S2) – Izterjani znesek v proračunskem letu n – Obresti</w:t>
        </w:r>
        <w:r w:rsidR="00FD4FE7" w:rsidRPr="000C0F2B">
          <w:rPr>
            <w:noProof/>
            <w:webHidden/>
          </w:rPr>
          <w:tab/>
        </w:r>
        <w:r w:rsidR="00FD4FE7" w:rsidRPr="000C0F2B">
          <w:rPr>
            <w:noProof/>
            <w:webHidden/>
          </w:rPr>
          <w:fldChar w:fldCharType="begin"/>
        </w:r>
        <w:r w:rsidR="00FD4FE7" w:rsidRPr="000C0F2B">
          <w:rPr>
            <w:noProof/>
            <w:webHidden/>
          </w:rPr>
          <w:instrText xml:space="preserve"> PAGEREF _Toc134086143 \h </w:instrText>
        </w:r>
        <w:r w:rsidR="00FD4FE7" w:rsidRPr="000C0F2B">
          <w:rPr>
            <w:noProof/>
            <w:webHidden/>
          </w:rPr>
        </w:r>
        <w:r w:rsidR="00FD4FE7" w:rsidRPr="000C0F2B">
          <w:rPr>
            <w:noProof/>
            <w:webHidden/>
          </w:rPr>
          <w:fldChar w:fldCharType="separate"/>
        </w:r>
        <w:r w:rsidR="00FD4FE7" w:rsidRPr="000C0F2B">
          <w:rPr>
            <w:noProof/>
            <w:webHidden/>
          </w:rPr>
          <w:t>34</w:t>
        </w:r>
        <w:r w:rsidR="00FD4FE7" w:rsidRPr="000C0F2B">
          <w:rPr>
            <w:noProof/>
            <w:webHidden/>
          </w:rPr>
          <w:fldChar w:fldCharType="end"/>
        </w:r>
      </w:hyperlink>
    </w:p>
    <w:p w14:paraId="6A230BFD" w14:textId="29FAF844" w:rsidR="00FD4FE7" w:rsidRPr="000C0F2B" w:rsidRDefault="00D313CA">
      <w:pPr>
        <w:pStyle w:val="TOC3"/>
        <w:tabs>
          <w:tab w:val="left" w:pos="2880"/>
        </w:tabs>
        <w:rPr>
          <w:rFonts w:asciiTheme="minorHAnsi" w:eastAsiaTheme="minorEastAsia" w:hAnsiTheme="minorHAnsi" w:cstheme="minorBidi"/>
          <w:noProof/>
          <w:sz w:val="22"/>
          <w:szCs w:val="22"/>
          <w:lang w:val="en-IE" w:eastAsia="en-IE"/>
        </w:rPr>
      </w:pPr>
      <w:hyperlink w:anchor="_Toc134086144" w:history="1">
        <w:r w:rsidR="00FD4FE7" w:rsidRPr="000C0F2B">
          <w:rPr>
            <w:rStyle w:val="Hyperlink"/>
            <w:noProof/>
          </w:rPr>
          <w:t>2.1.5.1.15.</w:t>
        </w:r>
        <w:r w:rsidR="00FD4FE7" w:rsidRPr="000C0F2B">
          <w:rPr>
            <w:rFonts w:asciiTheme="minorHAnsi" w:eastAsiaTheme="minorEastAsia" w:hAnsiTheme="minorHAnsi" w:cstheme="minorBidi"/>
            <w:noProof/>
            <w:sz w:val="22"/>
            <w:szCs w:val="22"/>
            <w:lang w:val="en-IE" w:eastAsia="en-IE"/>
          </w:rPr>
          <w:tab/>
        </w:r>
        <w:r w:rsidR="00FD4FE7" w:rsidRPr="000C0F2B">
          <w:rPr>
            <w:rStyle w:val="Hyperlink"/>
            <w:noProof/>
          </w:rPr>
          <w:t>Stolpec (O1) – Znesek, prijavljen kot neizterljiv v proračunskem letu n – Glavnica</w:t>
        </w:r>
        <w:r w:rsidR="00FD4FE7" w:rsidRPr="000C0F2B">
          <w:rPr>
            <w:noProof/>
            <w:webHidden/>
          </w:rPr>
          <w:tab/>
        </w:r>
        <w:r w:rsidR="00FD4FE7" w:rsidRPr="000C0F2B">
          <w:rPr>
            <w:noProof/>
            <w:webHidden/>
          </w:rPr>
          <w:fldChar w:fldCharType="begin"/>
        </w:r>
        <w:r w:rsidR="00FD4FE7" w:rsidRPr="000C0F2B">
          <w:rPr>
            <w:noProof/>
            <w:webHidden/>
          </w:rPr>
          <w:instrText xml:space="preserve"> PAGEREF _Toc134086144 \h </w:instrText>
        </w:r>
        <w:r w:rsidR="00FD4FE7" w:rsidRPr="000C0F2B">
          <w:rPr>
            <w:noProof/>
            <w:webHidden/>
          </w:rPr>
        </w:r>
        <w:r w:rsidR="00FD4FE7" w:rsidRPr="000C0F2B">
          <w:rPr>
            <w:noProof/>
            <w:webHidden/>
          </w:rPr>
          <w:fldChar w:fldCharType="separate"/>
        </w:r>
        <w:r w:rsidR="00FD4FE7" w:rsidRPr="000C0F2B">
          <w:rPr>
            <w:noProof/>
            <w:webHidden/>
          </w:rPr>
          <w:t>34</w:t>
        </w:r>
        <w:r w:rsidR="00FD4FE7" w:rsidRPr="000C0F2B">
          <w:rPr>
            <w:noProof/>
            <w:webHidden/>
          </w:rPr>
          <w:fldChar w:fldCharType="end"/>
        </w:r>
      </w:hyperlink>
    </w:p>
    <w:p w14:paraId="5D8FCE5D" w14:textId="46508DDB" w:rsidR="00FD4FE7" w:rsidRPr="000C0F2B" w:rsidRDefault="00D313CA">
      <w:pPr>
        <w:pStyle w:val="TOC3"/>
        <w:tabs>
          <w:tab w:val="left" w:pos="2880"/>
        </w:tabs>
        <w:rPr>
          <w:rFonts w:asciiTheme="minorHAnsi" w:eastAsiaTheme="minorEastAsia" w:hAnsiTheme="minorHAnsi" w:cstheme="minorBidi"/>
          <w:noProof/>
          <w:sz w:val="22"/>
          <w:szCs w:val="22"/>
          <w:lang w:val="en-IE" w:eastAsia="en-IE"/>
        </w:rPr>
      </w:pPr>
      <w:hyperlink w:anchor="_Toc134086145" w:history="1">
        <w:r w:rsidR="00FD4FE7" w:rsidRPr="000C0F2B">
          <w:rPr>
            <w:rStyle w:val="Hyperlink"/>
            <w:noProof/>
          </w:rPr>
          <w:t>2.1.5.1.16.</w:t>
        </w:r>
        <w:r w:rsidR="00FD4FE7" w:rsidRPr="000C0F2B">
          <w:rPr>
            <w:rFonts w:asciiTheme="minorHAnsi" w:eastAsiaTheme="minorEastAsia" w:hAnsiTheme="minorHAnsi" w:cstheme="minorBidi"/>
            <w:noProof/>
            <w:sz w:val="22"/>
            <w:szCs w:val="22"/>
            <w:lang w:val="en-IE" w:eastAsia="en-IE"/>
          </w:rPr>
          <w:tab/>
        </w:r>
        <w:r w:rsidR="00FD4FE7" w:rsidRPr="000C0F2B">
          <w:rPr>
            <w:rStyle w:val="Hyperlink"/>
            <w:noProof/>
          </w:rPr>
          <w:t>Stolpec (O2) – Znesek, prijavljen kot neizterljiv v proračunskem letu n – Obresti</w:t>
        </w:r>
        <w:r w:rsidR="00FD4FE7" w:rsidRPr="000C0F2B">
          <w:rPr>
            <w:noProof/>
            <w:webHidden/>
          </w:rPr>
          <w:tab/>
        </w:r>
        <w:r w:rsidR="00FD4FE7" w:rsidRPr="000C0F2B">
          <w:rPr>
            <w:noProof/>
            <w:webHidden/>
          </w:rPr>
          <w:fldChar w:fldCharType="begin"/>
        </w:r>
        <w:r w:rsidR="00FD4FE7" w:rsidRPr="000C0F2B">
          <w:rPr>
            <w:noProof/>
            <w:webHidden/>
          </w:rPr>
          <w:instrText xml:space="preserve"> PAGEREF _Toc134086145 \h </w:instrText>
        </w:r>
        <w:r w:rsidR="00FD4FE7" w:rsidRPr="000C0F2B">
          <w:rPr>
            <w:noProof/>
            <w:webHidden/>
          </w:rPr>
        </w:r>
        <w:r w:rsidR="00FD4FE7" w:rsidRPr="000C0F2B">
          <w:rPr>
            <w:noProof/>
            <w:webHidden/>
          </w:rPr>
          <w:fldChar w:fldCharType="separate"/>
        </w:r>
        <w:r w:rsidR="00FD4FE7" w:rsidRPr="000C0F2B">
          <w:rPr>
            <w:noProof/>
            <w:webHidden/>
          </w:rPr>
          <w:t>35</w:t>
        </w:r>
        <w:r w:rsidR="00FD4FE7" w:rsidRPr="000C0F2B">
          <w:rPr>
            <w:noProof/>
            <w:webHidden/>
          </w:rPr>
          <w:fldChar w:fldCharType="end"/>
        </w:r>
      </w:hyperlink>
    </w:p>
    <w:p w14:paraId="70ECB460" w14:textId="2D3BB888" w:rsidR="00FD4FE7" w:rsidRPr="000C0F2B" w:rsidRDefault="00D313CA">
      <w:pPr>
        <w:pStyle w:val="TOC3"/>
        <w:tabs>
          <w:tab w:val="left" w:pos="2880"/>
        </w:tabs>
        <w:rPr>
          <w:rFonts w:asciiTheme="minorHAnsi" w:eastAsiaTheme="minorEastAsia" w:hAnsiTheme="minorHAnsi" w:cstheme="minorBidi"/>
          <w:noProof/>
          <w:sz w:val="22"/>
          <w:szCs w:val="22"/>
          <w:lang w:val="en-IE" w:eastAsia="en-IE"/>
        </w:rPr>
      </w:pPr>
      <w:hyperlink w:anchor="_Toc134086146" w:history="1">
        <w:r w:rsidR="00FD4FE7" w:rsidRPr="000C0F2B">
          <w:rPr>
            <w:rStyle w:val="Hyperlink"/>
            <w:noProof/>
          </w:rPr>
          <w:t>2.1.5.1.17.</w:t>
        </w:r>
        <w:r w:rsidR="00FD4FE7" w:rsidRPr="000C0F2B">
          <w:rPr>
            <w:rFonts w:asciiTheme="minorHAnsi" w:eastAsiaTheme="minorEastAsia" w:hAnsiTheme="minorHAnsi" w:cstheme="minorBidi"/>
            <w:noProof/>
            <w:sz w:val="22"/>
            <w:szCs w:val="22"/>
            <w:lang w:val="en-IE" w:eastAsia="en-IE"/>
          </w:rPr>
          <w:tab/>
        </w:r>
        <w:r w:rsidR="00FD4FE7" w:rsidRPr="000C0F2B">
          <w:rPr>
            <w:rStyle w:val="Hyperlink"/>
            <w:noProof/>
          </w:rPr>
          <w:t>Stolpec (T1) – Znesek, za katerega je izterjava v teku (stanje na dan 15. 10. n) – Glavnica</w:t>
        </w:r>
        <w:r w:rsidR="00FD4FE7" w:rsidRPr="000C0F2B">
          <w:rPr>
            <w:noProof/>
            <w:webHidden/>
          </w:rPr>
          <w:tab/>
        </w:r>
        <w:r w:rsidR="00FD4FE7" w:rsidRPr="000C0F2B">
          <w:rPr>
            <w:noProof/>
            <w:webHidden/>
          </w:rPr>
          <w:fldChar w:fldCharType="begin"/>
        </w:r>
        <w:r w:rsidR="00FD4FE7" w:rsidRPr="000C0F2B">
          <w:rPr>
            <w:noProof/>
            <w:webHidden/>
          </w:rPr>
          <w:instrText xml:space="preserve"> PAGEREF _Toc134086146 \h </w:instrText>
        </w:r>
        <w:r w:rsidR="00FD4FE7" w:rsidRPr="000C0F2B">
          <w:rPr>
            <w:noProof/>
            <w:webHidden/>
          </w:rPr>
        </w:r>
        <w:r w:rsidR="00FD4FE7" w:rsidRPr="000C0F2B">
          <w:rPr>
            <w:noProof/>
            <w:webHidden/>
          </w:rPr>
          <w:fldChar w:fldCharType="separate"/>
        </w:r>
        <w:r w:rsidR="00FD4FE7" w:rsidRPr="000C0F2B">
          <w:rPr>
            <w:noProof/>
            <w:webHidden/>
          </w:rPr>
          <w:t>35</w:t>
        </w:r>
        <w:r w:rsidR="00FD4FE7" w:rsidRPr="000C0F2B">
          <w:rPr>
            <w:noProof/>
            <w:webHidden/>
          </w:rPr>
          <w:fldChar w:fldCharType="end"/>
        </w:r>
      </w:hyperlink>
    </w:p>
    <w:p w14:paraId="43D0CAF9" w14:textId="54021C94" w:rsidR="00FD4FE7" w:rsidRPr="000C0F2B" w:rsidRDefault="00D313CA">
      <w:pPr>
        <w:pStyle w:val="TOC3"/>
        <w:tabs>
          <w:tab w:val="left" w:pos="2880"/>
        </w:tabs>
        <w:rPr>
          <w:rFonts w:asciiTheme="minorHAnsi" w:eastAsiaTheme="minorEastAsia" w:hAnsiTheme="minorHAnsi" w:cstheme="minorBidi"/>
          <w:noProof/>
          <w:sz w:val="22"/>
          <w:szCs w:val="22"/>
          <w:lang w:val="en-IE" w:eastAsia="en-IE"/>
        </w:rPr>
      </w:pPr>
      <w:hyperlink w:anchor="_Toc134086147" w:history="1">
        <w:r w:rsidR="00FD4FE7" w:rsidRPr="000C0F2B">
          <w:rPr>
            <w:rStyle w:val="Hyperlink"/>
            <w:noProof/>
          </w:rPr>
          <w:t>2.1.5.1.18.</w:t>
        </w:r>
        <w:r w:rsidR="00FD4FE7" w:rsidRPr="000C0F2B">
          <w:rPr>
            <w:rFonts w:asciiTheme="minorHAnsi" w:eastAsiaTheme="minorEastAsia" w:hAnsiTheme="minorHAnsi" w:cstheme="minorBidi"/>
            <w:noProof/>
            <w:sz w:val="22"/>
            <w:szCs w:val="22"/>
            <w:lang w:val="en-IE" w:eastAsia="en-IE"/>
          </w:rPr>
          <w:tab/>
        </w:r>
        <w:r w:rsidR="00FD4FE7" w:rsidRPr="000C0F2B">
          <w:rPr>
            <w:rStyle w:val="Hyperlink"/>
            <w:noProof/>
          </w:rPr>
          <w:t>Stolpec (T2) – Znesek, za katerega je izterjava v teku (stanje na dan 15. 10. n) – Obresti</w:t>
        </w:r>
        <w:r w:rsidR="00FD4FE7" w:rsidRPr="000C0F2B">
          <w:rPr>
            <w:noProof/>
            <w:webHidden/>
          </w:rPr>
          <w:tab/>
        </w:r>
        <w:r w:rsidR="00FD4FE7" w:rsidRPr="000C0F2B">
          <w:rPr>
            <w:noProof/>
            <w:webHidden/>
          </w:rPr>
          <w:fldChar w:fldCharType="begin"/>
        </w:r>
        <w:r w:rsidR="00FD4FE7" w:rsidRPr="000C0F2B">
          <w:rPr>
            <w:noProof/>
            <w:webHidden/>
          </w:rPr>
          <w:instrText xml:space="preserve"> PAGEREF _Toc134086147 \h </w:instrText>
        </w:r>
        <w:r w:rsidR="00FD4FE7" w:rsidRPr="000C0F2B">
          <w:rPr>
            <w:noProof/>
            <w:webHidden/>
          </w:rPr>
        </w:r>
        <w:r w:rsidR="00FD4FE7" w:rsidRPr="000C0F2B">
          <w:rPr>
            <w:noProof/>
            <w:webHidden/>
          </w:rPr>
          <w:fldChar w:fldCharType="separate"/>
        </w:r>
        <w:r w:rsidR="00FD4FE7" w:rsidRPr="000C0F2B">
          <w:rPr>
            <w:noProof/>
            <w:webHidden/>
          </w:rPr>
          <w:t>35</w:t>
        </w:r>
        <w:r w:rsidR="00FD4FE7" w:rsidRPr="000C0F2B">
          <w:rPr>
            <w:noProof/>
            <w:webHidden/>
          </w:rPr>
          <w:fldChar w:fldCharType="end"/>
        </w:r>
      </w:hyperlink>
    </w:p>
    <w:p w14:paraId="3C07954A" w14:textId="7700B54E" w:rsidR="00FD4FE7" w:rsidRPr="000C0F2B"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48" w:history="1">
        <w:r w:rsidR="00FD4FE7" w:rsidRPr="000C0F2B">
          <w:rPr>
            <w:rStyle w:val="Hyperlink"/>
            <w:noProof/>
          </w:rPr>
          <w:t>2.1.5.2.</w:t>
        </w:r>
        <w:r w:rsidR="00FD4FE7" w:rsidRPr="000C0F2B">
          <w:rPr>
            <w:rFonts w:asciiTheme="minorHAnsi" w:eastAsiaTheme="minorEastAsia" w:hAnsiTheme="minorHAnsi" w:cstheme="minorBidi"/>
            <w:noProof/>
            <w:sz w:val="22"/>
            <w:szCs w:val="22"/>
            <w:lang w:val="en-IE" w:eastAsia="en-IE"/>
          </w:rPr>
          <w:tab/>
        </w:r>
        <w:r w:rsidR="00FD4FE7" w:rsidRPr="000C0F2B">
          <w:rPr>
            <w:rStyle w:val="Hyperlink"/>
            <w:noProof/>
          </w:rPr>
          <w:t>Primer</w:t>
        </w:r>
        <w:r w:rsidR="00FD4FE7" w:rsidRPr="000C0F2B">
          <w:rPr>
            <w:noProof/>
            <w:webHidden/>
          </w:rPr>
          <w:tab/>
        </w:r>
        <w:r w:rsidR="00FD4FE7" w:rsidRPr="000C0F2B">
          <w:rPr>
            <w:noProof/>
            <w:webHidden/>
          </w:rPr>
          <w:fldChar w:fldCharType="begin"/>
        </w:r>
        <w:r w:rsidR="00FD4FE7" w:rsidRPr="000C0F2B">
          <w:rPr>
            <w:noProof/>
            <w:webHidden/>
          </w:rPr>
          <w:instrText xml:space="preserve"> PAGEREF _Toc134086148 \h </w:instrText>
        </w:r>
        <w:r w:rsidR="00FD4FE7" w:rsidRPr="000C0F2B">
          <w:rPr>
            <w:noProof/>
            <w:webHidden/>
          </w:rPr>
        </w:r>
        <w:r w:rsidR="00FD4FE7" w:rsidRPr="000C0F2B">
          <w:rPr>
            <w:noProof/>
            <w:webHidden/>
          </w:rPr>
          <w:fldChar w:fldCharType="separate"/>
        </w:r>
        <w:r w:rsidR="00FD4FE7" w:rsidRPr="000C0F2B">
          <w:rPr>
            <w:noProof/>
            <w:webHidden/>
          </w:rPr>
          <w:t>36</w:t>
        </w:r>
        <w:r w:rsidR="00FD4FE7" w:rsidRPr="000C0F2B">
          <w:rPr>
            <w:noProof/>
            <w:webHidden/>
          </w:rPr>
          <w:fldChar w:fldCharType="end"/>
        </w:r>
      </w:hyperlink>
    </w:p>
    <w:p w14:paraId="09F701C4" w14:textId="413F0772" w:rsidR="00FD4FE7" w:rsidRPr="000C0F2B"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49" w:history="1">
        <w:r w:rsidR="00FD4FE7" w:rsidRPr="000C0F2B">
          <w:rPr>
            <w:rStyle w:val="Hyperlink"/>
            <w:noProof/>
          </w:rPr>
          <w:t>2.1.5.3.</w:t>
        </w:r>
        <w:r w:rsidR="00FD4FE7" w:rsidRPr="000C0F2B">
          <w:rPr>
            <w:rFonts w:asciiTheme="minorHAnsi" w:eastAsiaTheme="minorEastAsia" w:hAnsiTheme="minorHAnsi" w:cstheme="minorBidi"/>
            <w:noProof/>
            <w:sz w:val="22"/>
            <w:szCs w:val="22"/>
            <w:lang w:val="en-IE" w:eastAsia="en-IE"/>
          </w:rPr>
          <w:tab/>
        </w:r>
        <w:r w:rsidR="00FD4FE7" w:rsidRPr="000C0F2B">
          <w:rPr>
            <w:rStyle w:val="Hyperlink"/>
            <w:noProof/>
          </w:rPr>
          <w:t>Prenos</w:t>
        </w:r>
        <w:r w:rsidR="00FD4FE7" w:rsidRPr="000C0F2B">
          <w:rPr>
            <w:noProof/>
            <w:webHidden/>
          </w:rPr>
          <w:tab/>
        </w:r>
        <w:r w:rsidR="00FD4FE7" w:rsidRPr="000C0F2B">
          <w:rPr>
            <w:noProof/>
            <w:webHidden/>
          </w:rPr>
          <w:fldChar w:fldCharType="begin"/>
        </w:r>
        <w:r w:rsidR="00FD4FE7" w:rsidRPr="000C0F2B">
          <w:rPr>
            <w:noProof/>
            <w:webHidden/>
          </w:rPr>
          <w:instrText xml:space="preserve"> PAGEREF _Toc134086149 \h </w:instrText>
        </w:r>
        <w:r w:rsidR="00FD4FE7" w:rsidRPr="000C0F2B">
          <w:rPr>
            <w:noProof/>
            <w:webHidden/>
          </w:rPr>
        </w:r>
        <w:r w:rsidR="00FD4FE7" w:rsidRPr="000C0F2B">
          <w:rPr>
            <w:noProof/>
            <w:webHidden/>
          </w:rPr>
          <w:fldChar w:fldCharType="separate"/>
        </w:r>
        <w:r w:rsidR="00FD4FE7" w:rsidRPr="000C0F2B">
          <w:rPr>
            <w:noProof/>
            <w:webHidden/>
          </w:rPr>
          <w:t>36</w:t>
        </w:r>
        <w:r w:rsidR="00FD4FE7" w:rsidRPr="000C0F2B">
          <w:rPr>
            <w:noProof/>
            <w:webHidden/>
          </w:rPr>
          <w:fldChar w:fldCharType="end"/>
        </w:r>
      </w:hyperlink>
    </w:p>
    <w:p w14:paraId="640B736C" w14:textId="166E5DEF" w:rsidR="00FD4FE7" w:rsidRPr="000C0F2B"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50" w:history="1">
        <w:r w:rsidR="00FD4FE7" w:rsidRPr="000C0F2B">
          <w:rPr>
            <w:rStyle w:val="Hyperlink"/>
            <w:noProof/>
          </w:rPr>
          <w:t>2.1.6.</w:t>
        </w:r>
        <w:r w:rsidR="00FD4FE7" w:rsidRPr="000C0F2B">
          <w:rPr>
            <w:rFonts w:asciiTheme="minorHAnsi" w:eastAsiaTheme="minorEastAsia" w:hAnsiTheme="minorHAnsi" w:cstheme="minorBidi"/>
            <w:noProof/>
            <w:sz w:val="22"/>
            <w:szCs w:val="22"/>
            <w:lang w:val="en-IE" w:eastAsia="en-IE"/>
          </w:rPr>
          <w:tab/>
        </w:r>
        <w:r w:rsidR="00FD4FE7" w:rsidRPr="000C0F2B">
          <w:rPr>
            <w:rStyle w:val="Hyperlink"/>
            <w:noProof/>
          </w:rPr>
          <w:t>Potrditev preglednice („50/50“) iz člena 54(2)/člena 54(3)</w:t>
        </w:r>
        <w:r w:rsidR="00FD4FE7" w:rsidRPr="000C0F2B">
          <w:rPr>
            <w:noProof/>
            <w:webHidden/>
          </w:rPr>
          <w:tab/>
        </w:r>
        <w:r w:rsidR="00FD4FE7" w:rsidRPr="000C0F2B">
          <w:rPr>
            <w:noProof/>
            <w:webHidden/>
          </w:rPr>
          <w:fldChar w:fldCharType="begin"/>
        </w:r>
        <w:r w:rsidR="00FD4FE7" w:rsidRPr="000C0F2B">
          <w:rPr>
            <w:noProof/>
            <w:webHidden/>
          </w:rPr>
          <w:instrText xml:space="preserve"> PAGEREF _Toc134086150 \h </w:instrText>
        </w:r>
        <w:r w:rsidR="00FD4FE7" w:rsidRPr="000C0F2B">
          <w:rPr>
            <w:noProof/>
            <w:webHidden/>
          </w:rPr>
        </w:r>
        <w:r w:rsidR="00FD4FE7" w:rsidRPr="000C0F2B">
          <w:rPr>
            <w:noProof/>
            <w:webHidden/>
          </w:rPr>
          <w:fldChar w:fldCharType="separate"/>
        </w:r>
        <w:r w:rsidR="00FD4FE7" w:rsidRPr="000C0F2B">
          <w:rPr>
            <w:noProof/>
            <w:webHidden/>
          </w:rPr>
          <w:t>36</w:t>
        </w:r>
        <w:r w:rsidR="00FD4FE7" w:rsidRPr="000C0F2B">
          <w:rPr>
            <w:noProof/>
            <w:webHidden/>
          </w:rPr>
          <w:fldChar w:fldCharType="end"/>
        </w:r>
      </w:hyperlink>
    </w:p>
    <w:p w14:paraId="2657F16B" w14:textId="496829F9" w:rsidR="00FD4FE7" w:rsidRPr="000C0F2B"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51" w:history="1">
        <w:r w:rsidR="00FD4FE7" w:rsidRPr="000C0F2B">
          <w:rPr>
            <w:rStyle w:val="Hyperlink"/>
            <w:noProof/>
          </w:rPr>
          <w:t>2.1.6.1.</w:t>
        </w:r>
        <w:r w:rsidR="00FD4FE7" w:rsidRPr="000C0F2B">
          <w:rPr>
            <w:rFonts w:asciiTheme="minorHAnsi" w:eastAsiaTheme="minorEastAsia" w:hAnsiTheme="minorHAnsi" w:cstheme="minorBidi"/>
            <w:noProof/>
            <w:sz w:val="22"/>
            <w:szCs w:val="22"/>
            <w:lang w:val="en-IE" w:eastAsia="en-IE"/>
          </w:rPr>
          <w:tab/>
        </w:r>
        <w:r w:rsidR="00FD4FE7" w:rsidRPr="000C0F2B">
          <w:rPr>
            <w:rStyle w:val="Hyperlink"/>
            <w:noProof/>
          </w:rPr>
          <w:t>Vsebina stolpcev</w:t>
        </w:r>
        <w:r w:rsidR="00FD4FE7" w:rsidRPr="000C0F2B">
          <w:rPr>
            <w:noProof/>
            <w:webHidden/>
          </w:rPr>
          <w:tab/>
        </w:r>
        <w:r w:rsidR="00FD4FE7" w:rsidRPr="000C0F2B">
          <w:rPr>
            <w:noProof/>
            <w:webHidden/>
          </w:rPr>
          <w:fldChar w:fldCharType="begin"/>
        </w:r>
        <w:r w:rsidR="00FD4FE7" w:rsidRPr="000C0F2B">
          <w:rPr>
            <w:noProof/>
            <w:webHidden/>
          </w:rPr>
          <w:instrText xml:space="preserve"> PAGEREF _Toc134086151 \h </w:instrText>
        </w:r>
        <w:r w:rsidR="00FD4FE7" w:rsidRPr="000C0F2B">
          <w:rPr>
            <w:noProof/>
            <w:webHidden/>
          </w:rPr>
        </w:r>
        <w:r w:rsidR="00FD4FE7" w:rsidRPr="000C0F2B">
          <w:rPr>
            <w:noProof/>
            <w:webHidden/>
          </w:rPr>
          <w:fldChar w:fldCharType="separate"/>
        </w:r>
        <w:r w:rsidR="00FD4FE7" w:rsidRPr="000C0F2B">
          <w:rPr>
            <w:noProof/>
            <w:webHidden/>
          </w:rPr>
          <w:t>36</w:t>
        </w:r>
        <w:r w:rsidR="00FD4FE7" w:rsidRPr="000C0F2B">
          <w:rPr>
            <w:noProof/>
            <w:webHidden/>
          </w:rPr>
          <w:fldChar w:fldCharType="end"/>
        </w:r>
      </w:hyperlink>
    </w:p>
    <w:p w14:paraId="16D56107" w14:textId="3DC0C0B7" w:rsidR="00FD4FE7" w:rsidRPr="000C0F2B" w:rsidRDefault="00D313CA">
      <w:pPr>
        <w:pStyle w:val="TOC3"/>
        <w:tabs>
          <w:tab w:val="left" w:pos="2880"/>
        </w:tabs>
        <w:rPr>
          <w:rFonts w:asciiTheme="minorHAnsi" w:eastAsiaTheme="minorEastAsia" w:hAnsiTheme="minorHAnsi" w:cstheme="minorBidi"/>
          <w:noProof/>
          <w:sz w:val="22"/>
          <w:szCs w:val="22"/>
          <w:lang w:val="en-IE" w:eastAsia="en-IE"/>
        </w:rPr>
      </w:pPr>
      <w:hyperlink w:anchor="_Toc134086152" w:history="1">
        <w:r w:rsidR="00FD4FE7" w:rsidRPr="000C0F2B">
          <w:rPr>
            <w:rStyle w:val="Hyperlink"/>
            <w:noProof/>
          </w:rPr>
          <w:t>2.1.6.1.1.</w:t>
        </w:r>
        <w:r w:rsidR="00FD4FE7" w:rsidRPr="000C0F2B">
          <w:rPr>
            <w:rFonts w:asciiTheme="minorHAnsi" w:eastAsiaTheme="minorEastAsia" w:hAnsiTheme="minorHAnsi" w:cstheme="minorBidi"/>
            <w:noProof/>
            <w:sz w:val="22"/>
            <w:szCs w:val="22"/>
            <w:lang w:val="en-IE" w:eastAsia="en-IE"/>
          </w:rPr>
          <w:tab/>
        </w:r>
        <w:r w:rsidR="00FD4FE7" w:rsidRPr="000C0F2B">
          <w:rPr>
            <w:rStyle w:val="Hyperlink"/>
            <w:noProof/>
          </w:rPr>
          <w:t>Stolpec (A) – Plačilna agencija</w:t>
        </w:r>
        <w:r w:rsidR="00FD4FE7" w:rsidRPr="000C0F2B">
          <w:rPr>
            <w:noProof/>
            <w:webHidden/>
          </w:rPr>
          <w:tab/>
        </w:r>
        <w:r w:rsidR="00FD4FE7" w:rsidRPr="000C0F2B">
          <w:rPr>
            <w:noProof/>
            <w:webHidden/>
          </w:rPr>
          <w:fldChar w:fldCharType="begin"/>
        </w:r>
        <w:r w:rsidR="00FD4FE7" w:rsidRPr="000C0F2B">
          <w:rPr>
            <w:noProof/>
            <w:webHidden/>
          </w:rPr>
          <w:instrText xml:space="preserve"> PAGEREF _Toc134086152 \h </w:instrText>
        </w:r>
        <w:r w:rsidR="00FD4FE7" w:rsidRPr="000C0F2B">
          <w:rPr>
            <w:noProof/>
            <w:webHidden/>
          </w:rPr>
        </w:r>
        <w:r w:rsidR="00FD4FE7" w:rsidRPr="000C0F2B">
          <w:rPr>
            <w:noProof/>
            <w:webHidden/>
          </w:rPr>
          <w:fldChar w:fldCharType="separate"/>
        </w:r>
        <w:r w:rsidR="00FD4FE7" w:rsidRPr="000C0F2B">
          <w:rPr>
            <w:noProof/>
            <w:webHidden/>
          </w:rPr>
          <w:t>36</w:t>
        </w:r>
        <w:r w:rsidR="00FD4FE7" w:rsidRPr="000C0F2B">
          <w:rPr>
            <w:noProof/>
            <w:webHidden/>
          </w:rPr>
          <w:fldChar w:fldCharType="end"/>
        </w:r>
      </w:hyperlink>
    </w:p>
    <w:p w14:paraId="12F80424" w14:textId="47952D9F" w:rsidR="00FD4FE7" w:rsidRPr="000C0F2B" w:rsidRDefault="00D313CA">
      <w:pPr>
        <w:pStyle w:val="TOC3"/>
        <w:tabs>
          <w:tab w:val="left" w:pos="2880"/>
        </w:tabs>
        <w:rPr>
          <w:rFonts w:asciiTheme="minorHAnsi" w:eastAsiaTheme="minorEastAsia" w:hAnsiTheme="minorHAnsi" w:cstheme="minorBidi"/>
          <w:noProof/>
          <w:sz w:val="22"/>
          <w:szCs w:val="22"/>
          <w:lang w:val="en-IE" w:eastAsia="en-IE"/>
        </w:rPr>
      </w:pPr>
      <w:hyperlink w:anchor="_Toc134086153" w:history="1">
        <w:r w:rsidR="00FD4FE7" w:rsidRPr="000C0F2B">
          <w:rPr>
            <w:rStyle w:val="Hyperlink"/>
            <w:noProof/>
          </w:rPr>
          <w:t>2.1.6.1.2.</w:t>
        </w:r>
        <w:r w:rsidR="00FD4FE7" w:rsidRPr="000C0F2B">
          <w:rPr>
            <w:rFonts w:asciiTheme="minorHAnsi" w:eastAsiaTheme="minorEastAsia" w:hAnsiTheme="minorHAnsi" w:cstheme="minorBidi"/>
            <w:noProof/>
            <w:sz w:val="22"/>
            <w:szCs w:val="22"/>
            <w:lang w:val="en-IE" w:eastAsia="en-IE"/>
          </w:rPr>
          <w:tab/>
        </w:r>
        <w:r w:rsidR="00FD4FE7" w:rsidRPr="000C0F2B">
          <w:rPr>
            <w:rStyle w:val="Hyperlink"/>
            <w:noProof/>
          </w:rPr>
          <w:t>Stolpec (B) – Sklad</w:t>
        </w:r>
        <w:r w:rsidR="00FD4FE7" w:rsidRPr="000C0F2B">
          <w:rPr>
            <w:noProof/>
            <w:webHidden/>
          </w:rPr>
          <w:tab/>
        </w:r>
        <w:r w:rsidR="00FD4FE7" w:rsidRPr="000C0F2B">
          <w:rPr>
            <w:noProof/>
            <w:webHidden/>
          </w:rPr>
          <w:fldChar w:fldCharType="begin"/>
        </w:r>
        <w:r w:rsidR="00FD4FE7" w:rsidRPr="000C0F2B">
          <w:rPr>
            <w:noProof/>
            <w:webHidden/>
          </w:rPr>
          <w:instrText xml:space="preserve"> PAGEREF _Toc134086153 \h </w:instrText>
        </w:r>
        <w:r w:rsidR="00FD4FE7" w:rsidRPr="000C0F2B">
          <w:rPr>
            <w:noProof/>
            <w:webHidden/>
          </w:rPr>
        </w:r>
        <w:r w:rsidR="00FD4FE7" w:rsidRPr="000C0F2B">
          <w:rPr>
            <w:noProof/>
            <w:webHidden/>
          </w:rPr>
          <w:fldChar w:fldCharType="separate"/>
        </w:r>
        <w:r w:rsidR="00FD4FE7" w:rsidRPr="000C0F2B">
          <w:rPr>
            <w:noProof/>
            <w:webHidden/>
          </w:rPr>
          <w:t>36</w:t>
        </w:r>
        <w:r w:rsidR="00FD4FE7" w:rsidRPr="000C0F2B">
          <w:rPr>
            <w:noProof/>
            <w:webHidden/>
          </w:rPr>
          <w:fldChar w:fldCharType="end"/>
        </w:r>
      </w:hyperlink>
    </w:p>
    <w:p w14:paraId="4FC38E34" w14:textId="42149D33" w:rsidR="00FD4FE7" w:rsidRPr="000C0F2B" w:rsidRDefault="00D313CA">
      <w:pPr>
        <w:pStyle w:val="TOC3"/>
        <w:tabs>
          <w:tab w:val="left" w:pos="2880"/>
        </w:tabs>
        <w:rPr>
          <w:rFonts w:asciiTheme="minorHAnsi" w:eastAsiaTheme="minorEastAsia" w:hAnsiTheme="minorHAnsi" w:cstheme="minorBidi"/>
          <w:noProof/>
          <w:sz w:val="22"/>
          <w:szCs w:val="22"/>
          <w:lang w:val="en-IE" w:eastAsia="en-IE"/>
        </w:rPr>
      </w:pPr>
      <w:hyperlink w:anchor="_Toc134086154" w:history="1">
        <w:r w:rsidR="00FD4FE7" w:rsidRPr="000C0F2B">
          <w:rPr>
            <w:rStyle w:val="Hyperlink"/>
            <w:noProof/>
          </w:rPr>
          <w:t>2.1.6.1.3.</w:t>
        </w:r>
        <w:r w:rsidR="00FD4FE7" w:rsidRPr="000C0F2B">
          <w:rPr>
            <w:rFonts w:asciiTheme="minorHAnsi" w:eastAsiaTheme="minorEastAsia" w:hAnsiTheme="minorHAnsi" w:cstheme="minorBidi"/>
            <w:noProof/>
            <w:sz w:val="22"/>
            <w:szCs w:val="22"/>
            <w:lang w:val="en-IE" w:eastAsia="en-IE"/>
          </w:rPr>
          <w:tab/>
        </w:r>
        <w:r w:rsidR="00FD4FE7" w:rsidRPr="000C0F2B">
          <w:rPr>
            <w:rStyle w:val="Hyperlink"/>
            <w:noProof/>
          </w:rPr>
          <w:t>Stolpec (C) – Proračunsko leto</w:t>
        </w:r>
        <w:r w:rsidR="00FD4FE7" w:rsidRPr="000C0F2B">
          <w:rPr>
            <w:noProof/>
            <w:webHidden/>
          </w:rPr>
          <w:tab/>
        </w:r>
        <w:r w:rsidR="00FD4FE7" w:rsidRPr="000C0F2B">
          <w:rPr>
            <w:noProof/>
            <w:webHidden/>
          </w:rPr>
          <w:fldChar w:fldCharType="begin"/>
        </w:r>
        <w:r w:rsidR="00FD4FE7" w:rsidRPr="000C0F2B">
          <w:rPr>
            <w:noProof/>
            <w:webHidden/>
          </w:rPr>
          <w:instrText xml:space="preserve"> PAGEREF _Toc134086154 \h </w:instrText>
        </w:r>
        <w:r w:rsidR="00FD4FE7" w:rsidRPr="000C0F2B">
          <w:rPr>
            <w:noProof/>
            <w:webHidden/>
          </w:rPr>
        </w:r>
        <w:r w:rsidR="00FD4FE7" w:rsidRPr="000C0F2B">
          <w:rPr>
            <w:noProof/>
            <w:webHidden/>
          </w:rPr>
          <w:fldChar w:fldCharType="separate"/>
        </w:r>
        <w:r w:rsidR="00FD4FE7" w:rsidRPr="000C0F2B">
          <w:rPr>
            <w:noProof/>
            <w:webHidden/>
          </w:rPr>
          <w:t>37</w:t>
        </w:r>
        <w:r w:rsidR="00FD4FE7" w:rsidRPr="000C0F2B">
          <w:rPr>
            <w:noProof/>
            <w:webHidden/>
          </w:rPr>
          <w:fldChar w:fldCharType="end"/>
        </w:r>
      </w:hyperlink>
    </w:p>
    <w:p w14:paraId="1C33326A" w14:textId="4C557AD2" w:rsidR="00FD4FE7" w:rsidRPr="000C0F2B" w:rsidRDefault="00D313CA">
      <w:pPr>
        <w:pStyle w:val="TOC3"/>
        <w:tabs>
          <w:tab w:val="left" w:pos="2880"/>
        </w:tabs>
        <w:rPr>
          <w:rFonts w:asciiTheme="minorHAnsi" w:eastAsiaTheme="minorEastAsia" w:hAnsiTheme="minorHAnsi" w:cstheme="minorBidi"/>
          <w:noProof/>
          <w:sz w:val="22"/>
          <w:szCs w:val="22"/>
          <w:lang w:val="en-IE" w:eastAsia="en-IE"/>
        </w:rPr>
      </w:pPr>
      <w:hyperlink w:anchor="_Toc134086155" w:history="1">
        <w:r w:rsidR="00FD4FE7" w:rsidRPr="000C0F2B">
          <w:rPr>
            <w:rStyle w:val="Hyperlink"/>
            <w:noProof/>
          </w:rPr>
          <w:t>2.1.6.1.4.</w:t>
        </w:r>
        <w:r w:rsidR="00FD4FE7" w:rsidRPr="000C0F2B">
          <w:rPr>
            <w:rFonts w:asciiTheme="minorHAnsi" w:eastAsiaTheme="minorEastAsia" w:hAnsiTheme="minorHAnsi" w:cstheme="minorBidi"/>
            <w:noProof/>
            <w:sz w:val="22"/>
            <w:szCs w:val="22"/>
            <w:lang w:val="en-IE" w:eastAsia="en-IE"/>
          </w:rPr>
          <w:tab/>
        </w:r>
        <w:r w:rsidR="00FD4FE7" w:rsidRPr="000C0F2B">
          <w:rPr>
            <w:rStyle w:val="Hyperlink"/>
            <w:noProof/>
          </w:rPr>
          <w:t>Stolpec (D) – Denarna enota</w:t>
        </w:r>
        <w:r w:rsidR="00FD4FE7" w:rsidRPr="000C0F2B">
          <w:rPr>
            <w:noProof/>
            <w:webHidden/>
          </w:rPr>
          <w:tab/>
        </w:r>
        <w:r w:rsidR="00FD4FE7" w:rsidRPr="000C0F2B">
          <w:rPr>
            <w:noProof/>
            <w:webHidden/>
          </w:rPr>
          <w:fldChar w:fldCharType="begin"/>
        </w:r>
        <w:r w:rsidR="00FD4FE7" w:rsidRPr="000C0F2B">
          <w:rPr>
            <w:noProof/>
            <w:webHidden/>
          </w:rPr>
          <w:instrText xml:space="preserve"> PAGEREF _Toc134086155 \h </w:instrText>
        </w:r>
        <w:r w:rsidR="00FD4FE7" w:rsidRPr="000C0F2B">
          <w:rPr>
            <w:noProof/>
            <w:webHidden/>
          </w:rPr>
        </w:r>
        <w:r w:rsidR="00FD4FE7" w:rsidRPr="000C0F2B">
          <w:rPr>
            <w:noProof/>
            <w:webHidden/>
          </w:rPr>
          <w:fldChar w:fldCharType="separate"/>
        </w:r>
        <w:r w:rsidR="00FD4FE7" w:rsidRPr="000C0F2B">
          <w:rPr>
            <w:noProof/>
            <w:webHidden/>
          </w:rPr>
          <w:t>37</w:t>
        </w:r>
        <w:r w:rsidR="00FD4FE7" w:rsidRPr="000C0F2B">
          <w:rPr>
            <w:noProof/>
            <w:webHidden/>
          </w:rPr>
          <w:fldChar w:fldCharType="end"/>
        </w:r>
      </w:hyperlink>
    </w:p>
    <w:p w14:paraId="7321D7F5" w14:textId="6FABC23E" w:rsidR="00FD4FE7" w:rsidRPr="000C0F2B" w:rsidRDefault="00D313CA">
      <w:pPr>
        <w:pStyle w:val="TOC3"/>
        <w:tabs>
          <w:tab w:val="left" w:pos="2880"/>
        </w:tabs>
        <w:rPr>
          <w:rFonts w:asciiTheme="minorHAnsi" w:eastAsiaTheme="minorEastAsia" w:hAnsiTheme="minorHAnsi" w:cstheme="minorBidi"/>
          <w:noProof/>
          <w:sz w:val="22"/>
          <w:szCs w:val="22"/>
          <w:lang w:val="en-IE" w:eastAsia="en-IE"/>
        </w:rPr>
      </w:pPr>
      <w:hyperlink w:anchor="_Toc134086156" w:history="1">
        <w:r w:rsidR="00FD4FE7" w:rsidRPr="000C0F2B">
          <w:rPr>
            <w:rStyle w:val="Hyperlink"/>
            <w:noProof/>
          </w:rPr>
          <w:t>2.1.6.1.5.</w:t>
        </w:r>
        <w:r w:rsidR="00FD4FE7" w:rsidRPr="000C0F2B">
          <w:rPr>
            <w:rFonts w:asciiTheme="minorHAnsi" w:eastAsiaTheme="minorEastAsia" w:hAnsiTheme="minorHAnsi" w:cstheme="minorBidi"/>
            <w:noProof/>
            <w:sz w:val="22"/>
            <w:szCs w:val="22"/>
            <w:lang w:val="en-IE" w:eastAsia="en-IE"/>
          </w:rPr>
          <w:tab/>
        </w:r>
        <w:r w:rsidR="00FD4FE7" w:rsidRPr="000C0F2B">
          <w:rPr>
            <w:rStyle w:val="Hyperlink"/>
            <w:noProof/>
          </w:rPr>
          <w:t>Stolpec (EU_50) – 50 % v breme države članice (člen 54(2) Uredbe (EU) št. 1306/2013)</w:t>
        </w:r>
        <w:r w:rsidR="00FD4FE7" w:rsidRPr="000C0F2B">
          <w:rPr>
            <w:noProof/>
            <w:webHidden/>
          </w:rPr>
          <w:tab/>
        </w:r>
        <w:r w:rsidR="00FD4FE7" w:rsidRPr="000C0F2B">
          <w:rPr>
            <w:noProof/>
            <w:webHidden/>
          </w:rPr>
          <w:fldChar w:fldCharType="begin"/>
        </w:r>
        <w:r w:rsidR="00FD4FE7" w:rsidRPr="000C0F2B">
          <w:rPr>
            <w:noProof/>
            <w:webHidden/>
          </w:rPr>
          <w:instrText xml:space="preserve"> PAGEREF _Toc134086156 \h </w:instrText>
        </w:r>
        <w:r w:rsidR="00FD4FE7" w:rsidRPr="000C0F2B">
          <w:rPr>
            <w:noProof/>
            <w:webHidden/>
          </w:rPr>
        </w:r>
        <w:r w:rsidR="00FD4FE7" w:rsidRPr="000C0F2B">
          <w:rPr>
            <w:noProof/>
            <w:webHidden/>
          </w:rPr>
          <w:fldChar w:fldCharType="separate"/>
        </w:r>
        <w:r w:rsidR="00FD4FE7" w:rsidRPr="000C0F2B">
          <w:rPr>
            <w:noProof/>
            <w:webHidden/>
          </w:rPr>
          <w:t>37</w:t>
        </w:r>
        <w:r w:rsidR="00FD4FE7" w:rsidRPr="000C0F2B">
          <w:rPr>
            <w:noProof/>
            <w:webHidden/>
          </w:rPr>
          <w:fldChar w:fldCharType="end"/>
        </w:r>
      </w:hyperlink>
    </w:p>
    <w:p w14:paraId="7466CED5" w14:textId="245DBF3C" w:rsidR="00FD4FE7" w:rsidRPr="000C0F2B" w:rsidRDefault="00D313CA">
      <w:pPr>
        <w:pStyle w:val="TOC3"/>
        <w:tabs>
          <w:tab w:val="left" w:pos="2880"/>
        </w:tabs>
        <w:rPr>
          <w:rFonts w:asciiTheme="minorHAnsi" w:eastAsiaTheme="minorEastAsia" w:hAnsiTheme="minorHAnsi" w:cstheme="minorBidi"/>
          <w:noProof/>
          <w:sz w:val="22"/>
          <w:szCs w:val="22"/>
          <w:lang w:val="en-IE" w:eastAsia="en-IE"/>
        </w:rPr>
      </w:pPr>
      <w:hyperlink w:anchor="_Toc134086157" w:history="1">
        <w:r w:rsidR="00FD4FE7" w:rsidRPr="000C0F2B">
          <w:rPr>
            <w:rStyle w:val="Hyperlink"/>
            <w:noProof/>
          </w:rPr>
          <w:t>2.1.6.1.6.</w:t>
        </w:r>
        <w:r w:rsidR="00FD4FE7" w:rsidRPr="000C0F2B">
          <w:rPr>
            <w:rFonts w:asciiTheme="minorHAnsi" w:eastAsiaTheme="minorEastAsia" w:hAnsiTheme="minorHAnsi" w:cstheme="minorBidi"/>
            <w:noProof/>
            <w:sz w:val="22"/>
            <w:szCs w:val="22"/>
            <w:lang w:val="en-IE" w:eastAsia="en-IE"/>
          </w:rPr>
          <w:tab/>
        </w:r>
        <w:r w:rsidR="00FD4FE7" w:rsidRPr="000C0F2B">
          <w:rPr>
            <w:rStyle w:val="Hyperlink"/>
            <w:noProof/>
          </w:rPr>
          <w:t>Stolpec (EU_100) – 100 % se knjiži v breme proračuna EU (člen 54(3) Uredbe (EU) št. 1306/2013</w:t>
        </w:r>
        <w:r w:rsidR="00FD4FE7" w:rsidRPr="000C0F2B">
          <w:rPr>
            <w:noProof/>
            <w:webHidden/>
          </w:rPr>
          <w:tab/>
        </w:r>
        <w:r w:rsidR="00FD4FE7" w:rsidRPr="000C0F2B">
          <w:rPr>
            <w:noProof/>
            <w:webHidden/>
          </w:rPr>
          <w:fldChar w:fldCharType="begin"/>
        </w:r>
        <w:r w:rsidR="00FD4FE7" w:rsidRPr="000C0F2B">
          <w:rPr>
            <w:noProof/>
            <w:webHidden/>
          </w:rPr>
          <w:instrText xml:space="preserve"> PAGEREF _Toc134086157 \h </w:instrText>
        </w:r>
        <w:r w:rsidR="00FD4FE7" w:rsidRPr="000C0F2B">
          <w:rPr>
            <w:noProof/>
            <w:webHidden/>
          </w:rPr>
        </w:r>
        <w:r w:rsidR="00FD4FE7" w:rsidRPr="000C0F2B">
          <w:rPr>
            <w:noProof/>
            <w:webHidden/>
          </w:rPr>
          <w:fldChar w:fldCharType="separate"/>
        </w:r>
        <w:r w:rsidR="00FD4FE7" w:rsidRPr="000C0F2B">
          <w:rPr>
            <w:noProof/>
            <w:webHidden/>
          </w:rPr>
          <w:t>37</w:t>
        </w:r>
        <w:r w:rsidR="00FD4FE7" w:rsidRPr="000C0F2B">
          <w:rPr>
            <w:noProof/>
            <w:webHidden/>
          </w:rPr>
          <w:fldChar w:fldCharType="end"/>
        </w:r>
      </w:hyperlink>
    </w:p>
    <w:p w14:paraId="2719B2E6" w14:textId="173CFA68"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58" w:history="1">
        <w:r w:rsidR="00FD4FE7" w:rsidRPr="000C0F2B">
          <w:rPr>
            <w:rStyle w:val="Hyperlink"/>
            <w:noProof/>
          </w:rPr>
          <w:t>2.1.6.2.</w:t>
        </w:r>
        <w:r w:rsidR="00FD4FE7" w:rsidRPr="000C0F2B">
          <w:rPr>
            <w:rFonts w:asciiTheme="minorHAnsi" w:eastAsiaTheme="minorEastAsia" w:hAnsiTheme="minorHAnsi" w:cstheme="minorBidi"/>
            <w:noProof/>
            <w:sz w:val="22"/>
            <w:szCs w:val="22"/>
            <w:lang w:val="en-IE" w:eastAsia="en-IE"/>
          </w:rPr>
          <w:tab/>
        </w:r>
        <w:r w:rsidR="00FD4FE7" w:rsidRPr="000C0F2B">
          <w:rPr>
            <w:rStyle w:val="Hyperlink"/>
            <w:noProof/>
          </w:rPr>
          <w:t>Primer</w:t>
        </w:r>
        <w:r w:rsidR="00FD4FE7" w:rsidRPr="000C0F2B">
          <w:rPr>
            <w:noProof/>
            <w:webHidden/>
          </w:rPr>
          <w:tab/>
        </w:r>
        <w:r w:rsidR="00FD4FE7" w:rsidRPr="000C0F2B">
          <w:rPr>
            <w:noProof/>
            <w:webHidden/>
          </w:rPr>
          <w:fldChar w:fldCharType="begin"/>
        </w:r>
        <w:r w:rsidR="00FD4FE7" w:rsidRPr="000C0F2B">
          <w:rPr>
            <w:noProof/>
            <w:webHidden/>
          </w:rPr>
          <w:instrText xml:space="preserve"> PAGEREF _Toc134086158 \h </w:instrText>
        </w:r>
        <w:r w:rsidR="00FD4FE7" w:rsidRPr="000C0F2B">
          <w:rPr>
            <w:noProof/>
            <w:webHidden/>
          </w:rPr>
        </w:r>
        <w:r w:rsidR="00FD4FE7" w:rsidRPr="000C0F2B">
          <w:rPr>
            <w:noProof/>
            <w:webHidden/>
          </w:rPr>
          <w:fldChar w:fldCharType="separate"/>
        </w:r>
        <w:r w:rsidR="00FD4FE7" w:rsidRPr="000C0F2B">
          <w:rPr>
            <w:noProof/>
            <w:webHidden/>
          </w:rPr>
          <w:t>37</w:t>
        </w:r>
        <w:r w:rsidR="00FD4FE7" w:rsidRPr="000C0F2B">
          <w:rPr>
            <w:noProof/>
            <w:webHidden/>
          </w:rPr>
          <w:fldChar w:fldCharType="end"/>
        </w:r>
      </w:hyperlink>
    </w:p>
    <w:p w14:paraId="1FF0DC3A" w14:textId="66067F91"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59" w:history="1">
        <w:r w:rsidR="00FD4FE7" w:rsidRPr="00C64228">
          <w:rPr>
            <w:rStyle w:val="Hyperlink"/>
            <w:noProof/>
          </w:rPr>
          <w:t>2.1.6.3.</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Prenos</w:t>
        </w:r>
        <w:r w:rsidR="00FD4FE7">
          <w:rPr>
            <w:noProof/>
            <w:webHidden/>
          </w:rPr>
          <w:tab/>
        </w:r>
        <w:r w:rsidR="00FD4FE7">
          <w:rPr>
            <w:noProof/>
            <w:webHidden/>
          </w:rPr>
          <w:fldChar w:fldCharType="begin"/>
        </w:r>
        <w:r w:rsidR="00FD4FE7">
          <w:rPr>
            <w:noProof/>
            <w:webHidden/>
          </w:rPr>
          <w:instrText xml:space="preserve"> PAGEREF _Toc134086159 \h </w:instrText>
        </w:r>
        <w:r w:rsidR="00FD4FE7">
          <w:rPr>
            <w:noProof/>
            <w:webHidden/>
          </w:rPr>
        </w:r>
        <w:r w:rsidR="00FD4FE7">
          <w:rPr>
            <w:noProof/>
            <w:webHidden/>
          </w:rPr>
          <w:fldChar w:fldCharType="separate"/>
        </w:r>
        <w:r w:rsidR="00FD4FE7">
          <w:rPr>
            <w:noProof/>
            <w:webHidden/>
          </w:rPr>
          <w:t>37</w:t>
        </w:r>
        <w:r w:rsidR="00FD4FE7">
          <w:rPr>
            <w:noProof/>
            <w:webHidden/>
          </w:rPr>
          <w:fldChar w:fldCharType="end"/>
        </w:r>
      </w:hyperlink>
    </w:p>
    <w:p w14:paraId="763D5929" w14:textId="764DD540"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60" w:history="1">
        <w:r w:rsidR="00FD4FE7" w:rsidRPr="00C64228">
          <w:rPr>
            <w:rStyle w:val="Hyperlink"/>
            <w:noProof/>
          </w:rPr>
          <w:t>2.1.7.</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Izterjave od upravičencev po 15. oktobru leta N za primere nepravilnosti, za katere se uporablja pravilo 50/50 v odločitvi o potrditvi obračunov iz maja v letu N + 1</w:t>
        </w:r>
        <w:r w:rsidR="00FD4FE7">
          <w:rPr>
            <w:noProof/>
            <w:webHidden/>
          </w:rPr>
          <w:tab/>
        </w:r>
        <w:r w:rsidR="00FD4FE7">
          <w:rPr>
            <w:noProof/>
            <w:webHidden/>
          </w:rPr>
          <w:fldChar w:fldCharType="begin"/>
        </w:r>
        <w:r w:rsidR="00FD4FE7">
          <w:rPr>
            <w:noProof/>
            <w:webHidden/>
          </w:rPr>
          <w:instrText xml:space="preserve"> PAGEREF _Toc134086160 \h </w:instrText>
        </w:r>
        <w:r w:rsidR="00FD4FE7">
          <w:rPr>
            <w:noProof/>
            <w:webHidden/>
          </w:rPr>
        </w:r>
        <w:r w:rsidR="00FD4FE7">
          <w:rPr>
            <w:noProof/>
            <w:webHidden/>
          </w:rPr>
          <w:fldChar w:fldCharType="separate"/>
        </w:r>
        <w:r w:rsidR="00FD4FE7">
          <w:rPr>
            <w:noProof/>
            <w:webHidden/>
          </w:rPr>
          <w:t>38</w:t>
        </w:r>
        <w:r w:rsidR="00FD4FE7">
          <w:rPr>
            <w:noProof/>
            <w:webHidden/>
          </w:rPr>
          <w:fldChar w:fldCharType="end"/>
        </w:r>
      </w:hyperlink>
    </w:p>
    <w:p w14:paraId="2A926DA9" w14:textId="11F07E4F" w:rsidR="00FD4FE7" w:rsidRPr="000C0F2B" w:rsidRDefault="00D313CA">
      <w:pPr>
        <w:pStyle w:val="TOC1"/>
        <w:rPr>
          <w:rFonts w:asciiTheme="minorHAnsi" w:eastAsiaTheme="minorEastAsia" w:hAnsiTheme="minorHAnsi" w:cstheme="minorBidi"/>
          <w:caps w:val="0"/>
          <w:noProof/>
          <w:sz w:val="22"/>
          <w:szCs w:val="22"/>
          <w:lang w:val="en-IE" w:eastAsia="en-IE"/>
        </w:rPr>
      </w:pPr>
      <w:hyperlink w:anchor="_Toc134086161" w:history="1">
        <w:r w:rsidR="00FD4FE7" w:rsidRPr="000C0F2B">
          <w:rPr>
            <w:rStyle w:val="Hyperlink"/>
            <w:noProof/>
          </w:rPr>
          <w:t>2.2. Preglednica iz Priloge III k Uredbi (EU) št. 908/2014</w:t>
        </w:r>
        <w:r w:rsidR="00FD4FE7" w:rsidRPr="000C0F2B">
          <w:rPr>
            <w:noProof/>
            <w:webHidden/>
          </w:rPr>
          <w:tab/>
        </w:r>
        <w:r w:rsidR="00FD4FE7" w:rsidRPr="000C0F2B">
          <w:rPr>
            <w:noProof/>
            <w:webHidden/>
          </w:rPr>
          <w:fldChar w:fldCharType="begin"/>
        </w:r>
        <w:r w:rsidR="00FD4FE7" w:rsidRPr="000C0F2B">
          <w:rPr>
            <w:noProof/>
            <w:webHidden/>
          </w:rPr>
          <w:instrText xml:space="preserve"> PAGEREF _Toc134086161 \h </w:instrText>
        </w:r>
        <w:r w:rsidR="00FD4FE7" w:rsidRPr="000C0F2B">
          <w:rPr>
            <w:noProof/>
            <w:webHidden/>
          </w:rPr>
        </w:r>
        <w:r w:rsidR="00FD4FE7" w:rsidRPr="000C0F2B">
          <w:rPr>
            <w:noProof/>
            <w:webHidden/>
          </w:rPr>
          <w:fldChar w:fldCharType="separate"/>
        </w:r>
        <w:r w:rsidR="00FD4FE7" w:rsidRPr="000C0F2B">
          <w:rPr>
            <w:noProof/>
            <w:webHidden/>
          </w:rPr>
          <w:t>39</w:t>
        </w:r>
        <w:r w:rsidR="00FD4FE7" w:rsidRPr="000C0F2B">
          <w:rPr>
            <w:noProof/>
            <w:webHidden/>
          </w:rPr>
          <w:fldChar w:fldCharType="end"/>
        </w:r>
      </w:hyperlink>
    </w:p>
    <w:p w14:paraId="4E85B84C" w14:textId="035291E8" w:rsidR="00FD4FE7" w:rsidRPr="000C0F2B" w:rsidRDefault="00D313CA">
      <w:pPr>
        <w:pStyle w:val="TOC3"/>
        <w:rPr>
          <w:rFonts w:asciiTheme="minorHAnsi" w:eastAsiaTheme="minorEastAsia" w:hAnsiTheme="minorHAnsi" w:cstheme="minorBidi"/>
          <w:noProof/>
          <w:sz w:val="22"/>
          <w:szCs w:val="22"/>
          <w:lang w:val="en-IE" w:eastAsia="en-IE"/>
        </w:rPr>
      </w:pPr>
      <w:hyperlink w:anchor="_Toc134086162" w:history="1">
        <w:r w:rsidR="00FD4FE7" w:rsidRPr="000C0F2B">
          <w:rPr>
            <w:rStyle w:val="Hyperlink"/>
            <w:noProof/>
          </w:rPr>
          <w:t>2.2.1. Primeri, o katerih se poroča</w:t>
        </w:r>
        <w:r w:rsidR="00FD4FE7" w:rsidRPr="000C0F2B">
          <w:rPr>
            <w:noProof/>
            <w:webHidden/>
          </w:rPr>
          <w:tab/>
        </w:r>
        <w:r w:rsidR="00FD4FE7" w:rsidRPr="000C0F2B">
          <w:rPr>
            <w:noProof/>
            <w:webHidden/>
          </w:rPr>
          <w:fldChar w:fldCharType="begin"/>
        </w:r>
        <w:r w:rsidR="00FD4FE7" w:rsidRPr="000C0F2B">
          <w:rPr>
            <w:noProof/>
            <w:webHidden/>
          </w:rPr>
          <w:instrText xml:space="preserve"> PAGEREF _Toc134086162 \h </w:instrText>
        </w:r>
        <w:r w:rsidR="00FD4FE7" w:rsidRPr="000C0F2B">
          <w:rPr>
            <w:noProof/>
            <w:webHidden/>
          </w:rPr>
        </w:r>
        <w:r w:rsidR="00FD4FE7" w:rsidRPr="000C0F2B">
          <w:rPr>
            <w:noProof/>
            <w:webHidden/>
          </w:rPr>
          <w:fldChar w:fldCharType="separate"/>
        </w:r>
        <w:r w:rsidR="00FD4FE7" w:rsidRPr="000C0F2B">
          <w:rPr>
            <w:noProof/>
            <w:webHidden/>
          </w:rPr>
          <w:t>39</w:t>
        </w:r>
        <w:r w:rsidR="00FD4FE7" w:rsidRPr="000C0F2B">
          <w:rPr>
            <w:noProof/>
            <w:webHidden/>
          </w:rPr>
          <w:fldChar w:fldCharType="end"/>
        </w:r>
      </w:hyperlink>
    </w:p>
    <w:p w14:paraId="7AFC1585" w14:textId="5B2F90DA" w:rsidR="00FD4FE7" w:rsidRPr="000C0F2B" w:rsidRDefault="00D313CA">
      <w:pPr>
        <w:pStyle w:val="TOC3"/>
        <w:rPr>
          <w:rFonts w:asciiTheme="minorHAnsi" w:eastAsiaTheme="minorEastAsia" w:hAnsiTheme="minorHAnsi" w:cstheme="minorBidi"/>
          <w:noProof/>
          <w:sz w:val="22"/>
          <w:szCs w:val="22"/>
          <w:lang w:val="en-IE" w:eastAsia="en-IE"/>
        </w:rPr>
      </w:pPr>
      <w:hyperlink w:anchor="_Toc134086163" w:history="1">
        <w:r w:rsidR="00FD4FE7" w:rsidRPr="000C0F2B">
          <w:rPr>
            <w:rStyle w:val="Hyperlink"/>
            <w:noProof/>
          </w:rPr>
          <w:t>2.2.2. Vsebina stolpcev</w:t>
        </w:r>
        <w:r w:rsidR="00FD4FE7" w:rsidRPr="000C0F2B">
          <w:rPr>
            <w:noProof/>
            <w:webHidden/>
          </w:rPr>
          <w:tab/>
        </w:r>
        <w:r w:rsidR="00FD4FE7" w:rsidRPr="000C0F2B">
          <w:rPr>
            <w:noProof/>
            <w:webHidden/>
          </w:rPr>
          <w:fldChar w:fldCharType="begin"/>
        </w:r>
        <w:r w:rsidR="00FD4FE7" w:rsidRPr="000C0F2B">
          <w:rPr>
            <w:noProof/>
            <w:webHidden/>
          </w:rPr>
          <w:instrText xml:space="preserve"> PAGEREF _Toc134086163 \h </w:instrText>
        </w:r>
        <w:r w:rsidR="00FD4FE7" w:rsidRPr="000C0F2B">
          <w:rPr>
            <w:noProof/>
            <w:webHidden/>
          </w:rPr>
        </w:r>
        <w:r w:rsidR="00FD4FE7" w:rsidRPr="000C0F2B">
          <w:rPr>
            <w:noProof/>
            <w:webHidden/>
          </w:rPr>
          <w:fldChar w:fldCharType="separate"/>
        </w:r>
        <w:r w:rsidR="00FD4FE7" w:rsidRPr="000C0F2B">
          <w:rPr>
            <w:noProof/>
            <w:webHidden/>
          </w:rPr>
          <w:t>39</w:t>
        </w:r>
        <w:r w:rsidR="00FD4FE7" w:rsidRPr="000C0F2B">
          <w:rPr>
            <w:noProof/>
            <w:webHidden/>
          </w:rPr>
          <w:fldChar w:fldCharType="end"/>
        </w:r>
      </w:hyperlink>
    </w:p>
    <w:p w14:paraId="33D28E52" w14:textId="7287A752" w:rsidR="00FD4FE7" w:rsidRPr="000C0F2B"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64" w:history="1">
        <w:r w:rsidR="00FD4FE7" w:rsidRPr="000C0F2B">
          <w:rPr>
            <w:rStyle w:val="Hyperlink"/>
            <w:noProof/>
          </w:rPr>
          <w:t>2.2.2.1.</w:t>
        </w:r>
        <w:r w:rsidR="00FD4FE7" w:rsidRPr="000C0F2B">
          <w:rPr>
            <w:rFonts w:asciiTheme="minorHAnsi" w:eastAsiaTheme="minorEastAsia" w:hAnsiTheme="minorHAnsi" w:cstheme="minorBidi"/>
            <w:noProof/>
            <w:sz w:val="22"/>
            <w:szCs w:val="22"/>
            <w:lang w:val="en-IE" w:eastAsia="en-IE"/>
          </w:rPr>
          <w:tab/>
        </w:r>
        <w:r w:rsidR="00FD4FE7" w:rsidRPr="000C0F2B">
          <w:rPr>
            <w:rStyle w:val="Hyperlink"/>
            <w:noProof/>
          </w:rPr>
          <w:t>Stolpec (A) – Plačilna agencija</w:t>
        </w:r>
        <w:r w:rsidR="00FD4FE7" w:rsidRPr="000C0F2B">
          <w:rPr>
            <w:noProof/>
            <w:webHidden/>
          </w:rPr>
          <w:tab/>
        </w:r>
        <w:r w:rsidR="00FD4FE7" w:rsidRPr="000C0F2B">
          <w:rPr>
            <w:noProof/>
            <w:webHidden/>
          </w:rPr>
          <w:fldChar w:fldCharType="begin"/>
        </w:r>
        <w:r w:rsidR="00FD4FE7" w:rsidRPr="000C0F2B">
          <w:rPr>
            <w:noProof/>
            <w:webHidden/>
          </w:rPr>
          <w:instrText xml:space="preserve"> PAGEREF _Toc134086164 \h </w:instrText>
        </w:r>
        <w:r w:rsidR="00FD4FE7" w:rsidRPr="000C0F2B">
          <w:rPr>
            <w:noProof/>
            <w:webHidden/>
          </w:rPr>
        </w:r>
        <w:r w:rsidR="00FD4FE7" w:rsidRPr="000C0F2B">
          <w:rPr>
            <w:noProof/>
            <w:webHidden/>
          </w:rPr>
          <w:fldChar w:fldCharType="separate"/>
        </w:r>
        <w:r w:rsidR="00FD4FE7" w:rsidRPr="000C0F2B">
          <w:rPr>
            <w:noProof/>
            <w:webHidden/>
          </w:rPr>
          <w:t>39</w:t>
        </w:r>
        <w:r w:rsidR="00FD4FE7" w:rsidRPr="000C0F2B">
          <w:rPr>
            <w:noProof/>
            <w:webHidden/>
          </w:rPr>
          <w:fldChar w:fldCharType="end"/>
        </w:r>
      </w:hyperlink>
    </w:p>
    <w:p w14:paraId="2FAAB522" w14:textId="03BA8572"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65" w:history="1">
        <w:r w:rsidR="00FD4FE7" w:rsidRPr="000C0F2B">
          <w:rPr>
            <w:rStyle w:val="Hyperlink"/>
            <w:noProof/>
          </w:rPr>
          <w:t>2.2.2.2.</w:t>
        </w:r>
        <w:r w:rsidR="00FD4FE7" w:rsidRPr="000C0F2B">
          <w:rPr>
            <w:rFonts w:asciiTheme="minorHAnsi" w:eastAsiaTheme="minorEastAsia" w:hAnsiTheme="minorHAnsi" w:cstheme="minorBidi"/>
            <w:noProof/>
            <w:sz w:val="22"/>
            <w:szCs w:val="22"/>
            <w:lang w:val="en-IE" w:eastAsia="en-IE"/>
          </w:rPr>
          <w:tab/>
        </w:r>
        <w:r w:rsidR="00FD4FE7" w:rsidRPr="000C0F2B">
          <w:rPr>
            <w:rStyle w:val="Hyperlink"/>
            <w:noProof/>
          </w:rPr>
          <w:t>Stolpec (B) – Sklad</w:t>
        </w:r>
        <w:r w:rsidR="00FD4FE7" w:rsidRPr="000C0F2B">
          <w:rPr>
            <w:noProof/>
            <w:webHidden/>
          </w:rPr>
          <w:tab/>
        </w:r>
        <w:r w:rsidR="00FD4FE7" w:rsidRPr="000C0F2B">
          <w:rPr>
            <w:noProof/>
            <w:webHidden/>
          </w:rPr>
          <w:fldChar w:fldCharType="begin"/>
        </w:r>
        <w:r w:rsidR="00FD4FE7" w:rsidRPr="000C0F2B">
          <w:rPr>
            <w:noProof/>
            <w:webHidden/>
          </w:rPr>
          <w:instrText xml:space="preserve"> PAGEREF _Toc134086165 \h </w:instrText>
        </w:r>
        <w:r w:rsidR="00FD4FE7" w:rsidRPr="000C0F2B">
          <w:rPr>
            <w:noProof/>
            <w:webHidden/>
          </w:rPr>
        </w:r>
        <w:r w:rsidR="00FD4FE7" w:rsidRPr="000C0F2B">
          <w:rPr>
            <w:noProof/>
            <w:webHidden/>
          </w:rPr>
          <w:fldChar w:fldCharType="separate"/>
        </w:r>
        <w:r w:rsidR="00FD4FE7" w:rsidRPr="000C0F2B">
          <w:rPr>
            <w:noProof/>
            <w:webHidden/>
          </w:rPr>
          <w:t>39</w:t>
        </w:r>
        <w:r w:rsidR="00FD4FE7" w:rsidRPr="000C0F2B">
          <w:rPr>
            <w:noProof/>
            <w:webHidden/>
          </w:rPr>
          <w:fldChar w:fldCharType="end"/>
        </w:r>
      </w:hyperlink>
    </w:p>
    <w:p w14:paraId="42F3AEEB" w14:textId="7DA2F142"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66" w:history="1">
        <w:r w:rsidR="00FD4FE7" w:rsidRPr="00C64228">
          <w:rPr>
            <w:rStyle w:val="Hyperlink"/>
            <w:noProof/>
          </w:rPr>
          <w:t>2.2.2.3.</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(C) – Proračunsko leto n</w:t>
        </w:r>
        <w:r w:rsidR="00FD4FE7">
          <w:rPr>
            <w:noProof/>
            <w:webHidden/>
          </w:rPr>
          <w:tab/>
        </w:r>
        <w:r w:rsidR="00FD4FE7">
          <w:rPr>
            <w:noProof/>
            <w:webHidden/>
          </w:rPr>
          <w:fldChar w:fldCharType="begin"/>
        </w:r>
        <w:r w:rsidR="00FD4FE7">
          <w:rPr>
            <w:noProof/>
            <w:webHidden/>
          </w:rPr>
          <w:instrText xml:space="preserve"> PAGEREF _Toc134086166 \h </w:instrText>
        </w:r>
        <w:r w:rsidR="00FD4FE7">
          <w:rPr>
            <w:noProof/>
            <w:webHidden/>
          </w:rPr>
        </w:r>
        <w:r w:rsidR="00FD4FE7">
          <w:rPr>
            <w:noProof/>
            <w:webHidden/>
          </w:rPr>
          <w:fldChar w:fldCharType="separate"/>
        </w:r>
        <w:r w:rsidR="00FD4FE7">
          <w:rPr>
            <w:noProof/>
            <w:webHidden/>
          </w:rPr>
          <w:t>40</w:t>
        </w:r>
        <w:r w:rsidR="00FD4FE7">
          <w:rPr>
            <w:noProof/>
            <w:webHidden/>
          </w:rPr>
          <w:fldChar w:fldCharType="end"/>
        </w:r>
      </w:hyperlink>
    </w:p>
    <w:p w14:paraId="198A57D9" w14:textId="1EC810F1"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67" w:history="1">
        <w:r w:rsidR="00FD4FE7" w:rsidRPr="00C64228">
          <w:rPr>
            <w:rStyle w:val="Hyperlink"/>
            <w:noProof/>
          </w:rPr>
          <w:t>2.2.2.4.</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(C_III) – Denarna enota</w:t>
        </w:r>
        <w:r w:rsidR="00FD4FE7">
          <w:rPr>
            <w:noProof/>
            <w:webHidden/>
          </w:rPr>
          <w:tab/>
        </w:r>
        <w:r w:rsidR="00FD4FE7">
          <w:rPr>
            <w:noProof/>
            <w:webHidden/>
          </w:rPr>
          <w:fldChar w:fldCharType="begin"/>
        </w:r>
        <w:r w:rsidR="00FD4FE7">
          <w:rPr>
            <w:noProof/>
            <w:webHidden/>
          </w:rPr>
          <w:instrText xml:space="preserve"> PAGEREF _Toc134086167 \h </w:instrText>
        </w:r>
        <w:r w:rsidR="00FD4FE7">
          <w:rPr>
            <w:noProof/>
            <w:webHidden/>
          </w:rPr>
        </w:r>
        <w:r w:rsidR="00FD4FE7">
          <w:rPr>
            <w:noProof/>
            <w:webHidden/>
          </w:rPr>
          <w:fldChar w:fldCharType="separate"/>
        </w:r>
        <w:r w:rsidR="00FD4FE7">
          <w:rPr>
            <w:noProof/>
            <w:webHidden/>
          </w:rPr>
          <w:t>40</w:t>
        </w:r>
        <w:r w:rsidR="00FD4FE7">
          <w:rPr>
            <w:noProof/>
            <w:webHidden/>
          </w:rPr>
          <w:fldChar w:fldCharType="end"/>
        </w:r>
      </w:hyperlink>
    </w:p>
    <w:p w14:paraId="6B58D794" w14:textId="5964F116"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68" w:history="1">
        <w:r w:rsidR="00FD4FE7" w:rsidRPr="00C64228">
          <w:rPr>
            <w:rStyle w:val="Hyperlink"/>
            <w:noProof/>
          </w:rPr>
          <w:t>2.2.2.5.</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(I_III) – Kategorija neporavnanega zneska (sankcija v zvezi z navzkrižno skladnostjo, večletna sankcija ali drugo)</w:t>
        </w:r>
        <w:r w:rsidR="00FD4FE7">
          <w:rPr>
            <w:noProof/>
            <w:webHidden/>
          </w:rPr>
          <w:tab/>
        </w:r>
        <w:r w:rsidR="00FD4FE7">
          <w:rPr>
            <w:noProof/>
            <w:webHidden/>
          </w:rPr>
          <w:fldChar w:fldCharType="begin"/>
        </w:r>
        <w:r w:rsidR="00FD4FE7">
          <w:rPr>
            <w:noProof/>
            <w:webHidden/>
          </w:rPr>
          <w:instrText xml:space="preserve"> PAGEREF _Toc134086168 \h </w:instrText>
        </w:r>
        <w:r w:rsidR="00FD4FE7">
          <w:rPr>
            <w:noProof/>
            <w:webHidden/>
          </w:rPr>
        </w:r>
        <w:r w:rsidR="00FD4FE7">
          <w:rPr>
            <w:noProof/>
            <w:webHidden/>
          </w:rPr>
          <w:fldChar w:fldCharType="separate"/>
        </w:r>
        <w:r w:rsidR="00FD4FE7">
          <w:rPr>
            <w:noProof/>
            <w:webHidden/>
          </w:rPr>
          <w:t>40</w:t>
        </w:r>
        <w:r w:rsidR="00FD4FE7">
          <w:rPr>
            <w:noProof/>
            <w:webHidden/>
          </w:rPr>
          <w:fldChar w:fldCharType="end"/>
        </w:r>
      </w:hyperlink>
    </w:p>
    <w:p w14:paraId="4A532800" w14:textId="31727414"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69" w:history="1">
        <w:r w:rsidR="00FD4FE7" w:rsidRPr="00C64228">
          <w:rPr>
            <w:rStyle w:val="Hyperlink"/>
            <w:noProof/>
          </w:rPr>
          <w:t>2.2.2.6.</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(D_III) – Stanje na dan 15. oktobra n – 1</w:t>
        </w:r>
        <w:r w:rsidR="00FD4FE7">
          <w:rPr>
            <w:noProof/>
            <w:webHidden/>
          </w:rPr>
          <w:tab/>
        </w:r>
        <w:r w:rsidR="00FD4FE7">
          <w:rPr>
            <w:noProof/>
            <w:webHidden/>
          </w:rPr>
          <w:fldChar w:fldCharType="begin"/>
        </w:r>
        <w:r w:rsidR="00FD4FE7">
          <w:rPr>
            <w:noProof/>
            <w:webHidden/>
          </w:rPr>
          <w:instrText xml:space="preserve"> PAGEREF _Toc134086169 \h </w:instrText>
        </w:r>
        <w:r w:rsidR="00FD4FE7">
          <w:rPr>
            <w:noProof/>
            <w:webHidden/>
          </w:rPr>
        </w:r>
        <w:r w:rsidR="00FD4FE7">
          <w:rPr>
            <w:noProof/>
            <w:webHidden/>
          </w:rPr>
          <w:fldChar w:fldCharType="separate"/>
        </w:r>
        <w:r w:rsidR="00FD4FE7">
          <w:rPr>
            <w:noProof/>
            <w:webHidden/>
          </w:rPr>
          <w:t>40</w:t>
        </w:r>
        <w:r w:rsidR="00FD4FE7">
          <w:rPr>
            <w:noProof/>
            <w:webHidden/>
          </w:rPr>
          <w:fldChar w:fldCharType="end"/>
        </w:r>
      </w:hyperlink>
    </w:p>
    <w:p w14:paraId="73325CBE" w14:textId="57CAD17F"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70" w:history="1">
        <w:r w:rsidR="00FD4FE7" w:rsidRPr="00C64228">
          <w:rPr>
            <w:rStyle w:val="Hyperlink"/>
            <w:noProof/>
          </w:rPr>
          <w:t>2.2.2.7.</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(E_III) – Novi primeri (leto n)</w:t>
        </w:r>
        <w:r w:rsidR="00FD4FE7">
          <w:rPr>
            <w:noProof/>
            <w:webHidden/>
          </w:rPr>
          <w:tab/>
        </w:r>
        <w:r w:rsidR="00FD4FE7">
          <w:rPr>
            <w:noProof/>
            <w:webHidden/>
          </w:rPr>
          <w:fldChar w:fldCharType="begin"/>
        </w:r>
        <w:r w:rsidR="00FD4FE7">
          <w:rPr>
            <w:noProof/>
            <w:webHidden/>
          </w:rPr>
          <w:instrText xml:space="preserve"> PAGEREF _Toc134086170 \h </w:instrText>
        </w:r>
        <w:r w:rsidR="00FD4FE7">
          <w:rPr>
            <w:noProof/>
            <w:webHidden/>
          </w:rPr>
        </w:r>
        <w:r w:rsidR="00FD4FE7">
          <w:rPr>
            <w:noProof/>
            <w:webHidden/>
          </w:rPr>
          <w:fldChar w:fldCharType="separate"/>
        </w:r>
        <w:r w:rsidR="00FD4FE7">
          <w:rPr>
            <w:noProof/>
            <w:webHidden/>
          </w:rPr>
          <w:t>40</w:t>
        </w:r>
        <w:r w:rsidR="00FD4FE7">
          <w:rPr>
            <w:noProof/>
            <w:webHidden/>
          </w:rPr>
          <w:fldChar w:fldCharType="end"/>
        </w:r>
      </w:hyperlink>
    </w:p>
    <w:p w14:paraId="6E1CCF92" w14:textId="7C752C12"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71" w:history="1">
        <w:r w:rsidR="00FD4FE7" w:rsidRPr="00C64228">
          <w:rPr>
            <w:rStyle w:val="Hyperlink"/>
            <w:noProof/>
          </w:rPr>
          <w:t>2.2.2.8.</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(F_III) – Skupne izterjave (leto n)</w:t>
        </w:r>
        <w:r w:rsidR="00FD4FE7">
          <w:rPr>
            <w:noProof/>
            <w:webHidden/>
          </w:rPr>
          <w:tab/>
        </w:r>
        <w:r w:rsidR="00FD4FE7">
          <w:rPr>
            <w:noProof/>
            <w:webHidden/>
          </w:rPr>
          <w:fldChar w:fldCharType="begin"/>
        </w:r>
        <w:r w:rsidR="00FD4FE7">
          <w:rPr>
            <w:noProof/>
            <w:webHidden/>
          </w:rPr>
          <w:instrText xml:space="preserve"> PAGEREF _Toc134086171 \h </w:instrText>
        </w:r>
        <w:r w:rsidR="00FD4FE7">
          <w:rPr>
            <w:noProof/>
            <w:webHidden/>
          </w:rPr>
        </w:r>
        <w:r w:rsidR="00FD4FE7">
          <w:rPr>
            <w:noProof/>
            <w:webHidden/>
          </w:rPr>
          <w:fldChar w:fldCharType="separate"/>
        </w:r>
        <w:r w:rsidR="00FD4FE7">
          <w:rPr>
            <w:noProof/>
            <w:webHidden/>
          </w:rPr>
          <w:t>40</w:t>
        </w:r>
        <w:r w:rsidR="00FD4FE7">
          <w:rPr>
            <w:noProof/>
            <w:webHidden/>
          </w:rPr>
          <w:fldChar w:fldCharType="end"/>
        </w:r>
      </w:hyperlink>
    </w:p>
    <w:p w14:paraId="6253F944" w14:textId="3991B91B"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72" w:history="1">
        <w:r w:rsidR="00FD4FE7" w:rsidRPr="00C64228">
          <w:rPr>
            <w:rStyle w:val="Hyperlink"/>
            <w:noProof/>
          </w:rPr>
          <w:t>2.2.2.9.</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(G_III) – Skupni popravki, vključno z neizterljivimi zneski (leto n)</w:t>
        </w:r>
        <w:r w:rsidR="00FD4FE7">
          <w:rPr>
            <w:noProof/>
            <w:webHidden/>
          </w:rPr>
          <w:tab/>
        </w:r>
        <w:r w:rsidR="00FD4FE7">
          <w:rPr>
            <w:noProof/>
            <w:webHidden/>
          </w:rPr>
          <w:fldChar w:fldCharType="begin"/>
        </w:r>
        <w:r w:rsidR="00FD4FE7">
          <w:rPr>
            <w:noProof/>
            <w:webHidden/>
          </w:rPr>
          <w:instrText xml:space="preserve"> PAGEREF _Toc134086172 \h </w:instrText>
        </w:r>
        <w:r w:rsidR="00FD4FE7">
          <w:rPr>
            <w:noProof/>
            <w:webHidden/>
          </w:rPr>
        </w:r>
        <w:r w:rsidR="00FD4FE7">
          <w:rPr>
            <w:noProof/>
            <w:webHidden/>
          </w:rPr>
          <w:fldChar w:fldCharType="separate"/>
        </w:r>
        <w:r w:rsidR="00FD4FE7">
          <w:rPr>
            <w:noProof/>
            <w:webHidden/>
          </w:rPr>
          <w:t>40</w:t>
        </w:r>
        <w:r w:rsidR="00FD4FE7">
          <w:rPr>
            <w:noProof/>
            <w:webHidden/>
          </w:rPr>
          <w:fldChar w:fldCharType="end"/>
        </w:r>
      </w:hyperlink>
    </w:p>
    <w:p w14:paraId="4A8E8ED4" w14:textId="3ACC585A"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73" w:history="1">
        <w:r w:rsidR="00FD4FE7" w:rsidRPr="00C64228">
          <w:rPr>
            <w:rStyle w:val="Hyperlink"/>
            <w:noProof/>
          </w:rPr>
          <w:t>2.2.2.10.</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(H_III) – Znesek za izterjavo 15. oktobra leta n</w:t>
        </w:r>
        <w:r w:rsidR="00FD4FE7">
          <w:rPr>
            <w:noProof/>
            <w:webHidden/>
          </w:rPr>
          <w:tab/>
        </w:r>
        <w:r w:rsidR="00FD4FE7">
          <w:rPr>
            <w:noProof/>
            <w:webHidden/>
          </w:rPr>
          <w:fldChar w:fldCharType="begin"/>
        </w:r>
        <w:r w:rsidR="00FD4FE7">
          <w:rPr>
            <w:noProof/>
            <w:webHidden/>
          </w:rPr>
          <w:instrText xml:space="preserve"> PAGEREF _Toc134086173 \h </w:instrText>
        </w:r>
        <w:r w:rsidR="00FD4FE7">
          <w:rPr>
            <w:noProof/>
            <w:webHidden/>
          </w:rPr>
        </w:r>
        <w:r w:rsidR="00FD4FE7">
          <w:rPr>
            <w:noProof/>
            <w:webHidden/>
          </w:rPr>
          <w:fldChar w:fldCharType="separate"/>
        </w:r>
        <w:r w:rsidR="00FD4FE7">
          <w:rPr>
            <w:noProof/>
            <w:webHidden/>
          </w:rPr>
          <w:t>41</w:t>
        </w:r>
        <w:r w:rsidR="00FD4FE7">
          <w:rPr>
            <w:noProof/>
            <w:webHidden/>
          </w:rPr>
          <w:fldChar w:fldCharType="end"/>
        </w:r>
      </w:hyperlink>
    </w:p>
    <w:p w14:paraId="5A0A2EC9" w14:textId="03EEA73A" w:rsidR="00FD4FE7" w:rsidRPr="000C0F2B" w:rsidRDefault="00D313CA">
      <w:pPr>
        <w:pStyle w:val="TOC3"/>
        <w:tabs>
          <w:tab w:val="left" w:pos="1916"/>
        </w:tabs>
        <w:rPr>
          <w:rFonts w:asciiTheme="minorHAnsi" w:eastAsiaTheme="minorEastAsia" w:hAnsiTheme="minorHAnsi" w:cstheme="minorBidi"/>
          <w:noProof/>
          <w:sz w:val="22"/>
          <w:szCs w:val="22"/>
          <w:lang w:val="en-IE" w:eastAsia="en-IE"/>
        </w:rPr>
      </w:pPr>
      <w:hyperlink w:anchor="_Toc134086174" w:history="1">
        <w:r w:rsidR="00FD4FE7" w:rsidRPr="000C0F2B">
          <w:rPr>
            <w:rStyle w:val="Hyperlink"/>
            <w:noProof/>
          </w:rPr>
          <w:t>2.2.3.</w:t>
        </w:r>
        <w:r w:rsidR="00FD4FE7" w:rsidRPr="000C0F2B">
          <w:rPr>
            <w:rFonts w:asciiTheme="minorHAnsi" w:eastAsiaTheme="minorEastAsia" w:hAnsiTheme="minorHAnsi" w:cstheme="minorBidi"/>
            <w:noProof/>
            <w:sz w:val="22"/>
            <w:szCs w:val="22"/>
            <w:lang w:val="en-IE" w:eastAsia="en-IE"/>
          </w:rPr>
          <w:tab/>
        </w:r>
        <w:r w:rsidR="00FD4FE7" w:rsidRPr="000C0F2B">
          <w:rPr>
            <w:rStyle w:val="Hyperlink"/>
            <w:noProof/>
          </w:rPr>
          <w:t>Primer</w:t>
        </w:r>
        <w:r w:rsidR="00FD4FE7" w:rsidRPr="000C0F2B">
          <w:rPr>
            <w:noProof/>
            <w:webHidden/>
          </w:rPr>
          <w:tab/>
        </w:r>
        <w:r w:rsidR="00FD4FE7" w:rsidRPr="000C0F2B">
          <w:rPr>
            <w:noProof/>
            <w:webHidden/>
          </w:rPr>
          <w:fldChar w:fldCharType="begin"/>
        </w:r>
        <w:r w:rsidR="00FD4FE7" w:rsidRPr="000C0F2B">
          <w:rPr>
            <w:noProof/>
            <w:webHidden/>
          </w:rPr>
          <w:instrText xml:space="preserve"> PAGEREF _Toc134086174 \h </w:instrText>
        </w:r>
        <w:r w:rsidR="00FD4FE7" w:rsidRPr="000C0F2B">
          <w:rPr>
            <w:noProof/>
            <w:webHidden/>
          </w:rPr>
        </w:r>
        <w:r w:rsidR="00FD4FE7" w:rsidRPr="000C0F2B">
          <w:rPr>
            <w:noProof/>
            <w:webHidden/>
          </w:rPr>
          <w:fldChar w:fldCharType="separate"/>
        </w:r>
        <w:r w:rsidR="00FD4FE7" w:rsidRPr="000C0F2B">
          <w:rPr>
            <w:noProof/>
            <w:webHidden/>
          </w:rPr>
          <w:t>41</w:t>
        </w:r>
        <w:r w:rsidR="00FD4FE7" w:rsidRPr="000C0F2B">
          <w:rPr>
            <w:noProof/>
            <w:webHidden/>
          </w:rPr>
          <w:fldChar w:fldCharType="end"/>
        </w:r>
      </w:hyperlink>
    </w:p>
    <w:p w14:paraId="53B1B1B4" w14:textId="7C57C239" w:rsidR="00FD4FE7" w:rsidRDefault="00D313CA">
      <w:pPr>
        <w:pStyle w:val="TOC3"/>
        <w:tabs>
          <w:tab w:val="left" w:pos="1916"/>
        </w:tabs>
        <w:rPr>
          <w:rFonts w:asciiTheme="minorHAnsi" w:eastAsiaTheme="minorEastAsia" w:hAnsiTheme="minorHAnsi" w:cstheme="minorBidi"/>
          <w:noProof/>
          <w:sz w:val="22"/>
          <w:szCs w:val="22"/>
          <w:lang w:val="en-IE" w:eastAsia="en-IE"/>
        </w:rPr>
      </w:pPr>
      <w:hyperlink w:anchor="_Toc134086175" w:history="1">
        <w:r w:rsidR="00FD4FE7" w:rsidRPr="000C0F2B">
          <w:rPr>
            <w:rStyle w:val="Hyperlink"/>
            <w:noProof/>
          </w:rPr>
          <w:t>2.2.4.</w:t>
        </w:r>
        <w:r w:rsidR="00FD4FE7" w:rsidRPr="000C0F2B">
          <w:rPr>
            <w:rFonts w:asciiTheme="minorHAnsi" w:eastAsiaTheme="minorEastAsia" w:hAnsiTheme="minorHAnsi" w:cstheme="minorBidi"/>
            <w:noProof/>
            <w:sz w:val="22"/>
            <w:szCs w:val="22"/>
            <w:lang w:val="en-IE" w:eastAsia="en-IE"/>
          </w:rPr>
          <w:tab/>
        </w:r>
        <w:r w:rsidR="00FD4FE7" w:rsidRPr="000C0F2B">
          <w:rPr>
            <w:rStyle w:val="Hyperlink"/>
            <w:noProof/>
          </w:rPr>
          <w:t>Prenos</w:t>
        </w:r>
        <w:r w:rsidR="00FD4FE7" w:rsidRPr="000C0F2B">
          <w:rPr>
            <w:noProof/>
            <w:webHidden/>
          </w:rPr>
          <w:tab/>
        </w:r>
        <w:r w:rsidR="00FD4FE7" w:rsidRPr="000C0F2B">
          <w:rPr>
            <w:noProof/>
            <w:webHidden/>
          </w:rPr>
          <w:fldChar w:fldCharType="begin"/>
        </w:r>
        <w:r w:rsidR="00FD4FE7" w:rsidRPr="000C0F2B">
          <w:rPr>
            <w:noProof/>
            <w:webHidden/>
          </w:rPr>
          <w:instrText xml:space="preserve"> PAGEREF _Toc134086175 \h </w:instrText>
        </w:r>
        <w:r w:rsidR="00FD4FE7" w:rsidRPr="000C0F2B">
          <w:rPr>
            <w:noProof/>
            <w:webHidden/>
          </w:rPr>
        </w:r>
        <w:r w:rsidR="00FD4FE7" w:rsidRPr="000C0F2B">
          <w:rPr>
            <w:noProof/>
            <w:webHidden/>
          </w:rPr>
          <w:fldChar w:fldCharType="separate"/>
        </w:r>
        <w:r w:rsidR="00FD4FE7" w:rsidRPr="000C0F2B">
          <w:rPr>
            <w:noProof/>
            <w:webHidden/>
          </w:rPr>
          <w:t>41</w:t>
        </w:r>
        <w:r w:rsidR="00FD4FE7" w:rsidRPr="000C0F2B">
          <w:rPr>
            <w:noProof/>
            <w:webHidden/>
          </w:rPr>
          <w:fldChar w:fldCharType="end"/>
        </w:r>
      </w:hyperlink>
    </w:p>
    <w:p w14:paraId="62FB3AAD" w14:textId="1096CAA1" w:rsidR="00FD4FE7" w:rsidRDefault="00D313CA">
      <w:pPr>
        <w:pStyle w:val="TOC1"/>
        <w:rPr>
          <w:rFonts w:asciiTheme="minorHAnsi" w:eastAsiaTheme="minorEastAsia" w:hAnsiTheme="minorHAnsi" w:cstheme="minorBidi"/>
          <w:caps w:val="0"/>
          <w:noProof/>
          <w:sz w:val="22"/>
          <w:szCs w:val="22"/>
          <w:lang w:val="en-IE" w:eastAsia="en-IE"/>
        </w:rPr>
      </w:pPr>
      <w:hyperlink w:anchor="_Toc134086176" w:history="1">
        <w:r w:rsidR="00FD4FE7" w:rsidRPr="00C64228">
          <w:rPr>
            <w:rStyle w:val="Hyperlink"/>
            <w:noProof/>
          </w:rPr>
          <w:t>2.3.</w:t>
        </w:r>
        <w:r w:rsidR="00FD4FE7">
          <w:rPr>
            <w:rFonts w:asciiTheme="minorHAnsi" w:eastAsiaTheme="minorEastAsia" w:hAnsiTheme="minorHAnsi" w:cstheme="minorBidi"/>
            <w:caps w:val="0"/>
            <w:noProof/>
            <w:sz w:val="22"/>
            <w:szCs w:val="22"/>
            <w:lang w:val="en-IE" w:eastAsia="en-IE"/>
          </w:rPr>
          <w:tab/>
        </w:r>
        <w:r w:rsidR="00FD4FE7" w:rsidRPr="00C64228">
          <w:rPr>
            <w:rStyle w:val="Hyperlink"/>
            <w:noProof/>
          </w:rPr>
          <w:t>Podrobna preglednica o izterjavah za pretekla programska obdobja</w:t>
        </w:r>
        <w:r w:rsidR="00FD4FE7">
          <w:rPr>
            <w:noProof/>
            <w:webHidden/>
          </w:rPr>
          <w:tab/>
        </w:r>
        <w:r w:rsidR="00FD4FE7">
          <w:rPr>
            <w:noProof/>
            <w:webHidden/>
          </w:rPr>
          <w:fldChar w:fldCharType="begin"/>
        </w:r>
        <w:r w:rsidR="00FD4FE7">
          <w:rPr>
            <w:noProof/>
            <w:webHidden/>
          </w:rPr>
          <w:instrText xml:space="preserve"> PAGEREF _Toc134086176 \h </w:instrText>
        </w:r>
        <w:r w:rsidR="00FD4FE7">
          <w:rPr>
            <w:noProof/>
            <w:webHidden/>
          </w:rPr>
        </w:r>
        <w:r w:rsidR="00FD4FE7">
          <w:rPr>
            <w:noProof/>
            <w:webHidden/>
          </w:rPr>
          <w:fldChar w:fldCharType="separate"/>
        </w:r>
        <w:r w:rsidR="00FD4FE7">
          <w:rPr>
            <w:noProof/>
            <w:webHidden/>
          </w:rPr>
          <w:t>42</w:t>
        </w:r>
        <w:r w:rsidR="00FD4FE7">
          <w:rPr>
            <w:noProof/>
            <w:webHidden/>
          </w:rPr>
          <w:fldChar w:fldCharType="end"/>
        </w:r>
      </w:hyperlink>
    </w:p>
    <w:p w14:paraId="5B06FB74" w14:textId="02CF042C" w:rsidR="00FD4FE7" w:rsidRDefault="00D313CA">
      <w:pPr>
        <w:pStyle w:val="TOC1"/>
        <w:tabs>
          <w:tab w:val="left" w:pos="1077"/>
        </w:tabs>
        <w:rPr>
          <w:rFonts w:asciiTheme="minorHAnsi" w:eastAsiaTheme="minorEastAsia" w:hAnsiTheme="minorHAnsi" w:cstheme="minorBidi"/>
          <w:caps w:val="0"/>
          <w:noProof/>
          <w:sz w:val="22"/>
          <w:szCs w:val="22"/>
          <w:lang w:val="en-IE" w:eastAsia="en-IE"/>
        </w:rPr>
      </w:pPr>
      <w:hyperlink w:anchor="_Toc134086177" w:history="1">
        <w:r w:rsidR="00FD4FE7" w:rsidRPr="00C64228">
          <w:rPr>
            <w:rStyle w:val="Hyperlink"/>
            <w:noProof/>
          </w:rPr>
          <w:t>2.3.1.</w:t>
        </w:r>
        <w:r w:rsidR="00FD4FE7">
          <w:rPr>
            <w:rFonts w:asciiTheme="minorHAnsi" w:eastAsiaTheme="minorEastAsia" w:hAnsiTheme="minorHAnsi" w:cstheme="minorBidi"/>
            <w:caps w:val="0"/>
            <w:noProof/>
            <w:sz w:val="22"/>
            <w:szCs w:val="22"/>
            <w:lang w:val="en-IE" w:eastAsia="en-IE"/>
          </w:rPr>
          <w:tab/>
        </w:r>
        <w:r w:rsidR="00FD4FE7" w:rsidRPr="00C64228">
          <w:rPr>
            <w:rStyle w:val="Hyperlink"/>
            <w:noProof/>
          </w:rPr>
          <w:t>Primeri, o katerih se poroča</w:t>
        </w:r>
        <w:r w:rsidR="00FD4FE7">
          <w:rPr>
            <w:noProof/>
            <w:webHidden/>
          </w:rPr>
          <w:tab/>
        </w:r>
        <w:r w:rsidR="00FD4FE7">
          <w:rPr>
            <w:noProof/>
            <w:webHidden/>
          </w:rPr>
          <w:fldChar w:fldCharType="begin"/>
        </w:r>
        <w:r w:rsidR="00FD4FE7">
          <w:rPr>
            <w:noProof/>
            <w:webHidden/>
          </w:rPr>
          <w:instrText xml:space="preserve"> PAGEREF _Toc134086177 \h </w:instrText>
        </w:r>
        <w:r w:rsidR="00FD4FE7">
          <w:rPr>
            <w:noProof/>
            <w:webHidden/>
          </w:rPr>
        </w:r>
        <w:r w:rsidR="00FD4FE7">
          <w:rPr>
            <w:noProof/>
            <w:webHidden/>
          </w:rPr>
          <w:fldChar w:fldCharType="separate"/>
        </w:r>
        <w:r w:rsidR="00FD4FE7">
          <w:rPr>
            <w:noProof/>
            <w:webHidden/>
          </w:rPr>
          <w:t>42</w:t>
        </w:r>
        <w:r w:rsidR="00FD4FE7">
          <w:rPr>
            <w:noProof/>
            <w:webHidden/>
          </w:rPr>
          <w:fldChar w:fldCharType="end"/>
        </w:r>
      </w:hyperlink>
    </w:p>
    <w:p w14:paraId="35E96D9A" w14:textId="5CEB8E9B" w:rsidR="00FD4FE7" w:rsidRDefault="00D313CA">
      <w:pPr>
        <w:pStyle w:val="TOC1"/>
        <w:tabs>
          <w:tab w:val="left" w:pos="1077"/>
        </w:tabs>
        <w:rPr>
          <w:rFonts w:asciiTheme="minorHAnsi" w:eastAsiaTheme="minorEastAsia" w:hAnsiTheme="minorHAnsi" w:cstheme="minorBidi"/>
          <w:caps w:val="0"/>
          <w:noProof/>
          <w:sz w:val="22"/>
          <w:szCs w:val="22"/>
          <w:lang w:val="en-IE" w:eastAsia="en-IE"/>
        </w:rPr>
      </w:pPr>
      <w:hyperlink w:anchor="_Toc134086178" w:history="1">
        <w:r w:rsidR="00FD4FE7" w:rsidRPr="00C64228">
          <w:rPr>
            <w:rStyle w:val="Hyperlink"/>
            <w:noProof/>
          </w:rPr>
          <w:t>2.3.2.</w:t>
        </w:r>
        <w:r w:rsidR="00FD4FE7">
          <w:rPr>
            <w:rFonts w:asciiTheme="minorHAnsi" w:eastAsiaTheme="minorEastAsia" w:hAnsiTheme="minorHAnsi" w:cstheme="minorBidi"/>
            <w:caps w:val="0"/>
            <w:noProof/>
            <w:sz w:val="22"/>
            <w:szCs w:val="22"/>
            <w:lang w:val="en-IE" w:eastAsia="en-IE"/>
          </w:rPr>
          <w:tab/>
        </w:r>
        <w:r w:rsidR="00FD4FE7" w:rsidRPr="00C64228">
          <w:rPr>
            <w:rStyle w:val="Hyperlink"/>
            <w:noProof/>
          </w:rPr>
          <w:t>Vsebina stolpcev</w:t>
        </w:r>
        <w:r w:rsidR="00FD4FE7">
          <w:rPr>
            <w:noProof/>
            <w:webHidden/>
          </w:rPr>
          <w:tab/>
        </w:r>
        <w:r w:rsidR="00FD4FE7">
          <w:rPr>
            <w:noProof/>
            <w:webHidden/>
          </w:rPr>
          <w:fldChar w:fldCharType="begin"/>
        </w:r>
        <w:r w:rsidR="00FD4FE7">
          <w:rPr>
            <w:noProof/>
            <w:webHidden/>
          </w:rPr>
          <w:instrText xml:space="preserve"> PAGEREF _Toc134086178 \h </w:instrText>
        </w:r>
        <w:r w:rsidR="00FD4FE7">
          <w:rPr>
            <w:noProof/>
            <w:webHidden/>
          </w:rPr>
        </w:r>
        <w:r w:rsidR="00FD4FE7">
          <w:rPr>
            <w:noProof/>
            <w:webHidden/>
          </w:rPr>
          <w:fldChar w:fldCharType="separate"/>
        </w:r>
        <w:r w:rsidR="00FD4FE7">
          <w:rPr>
            <w:noProof/>
            <w:webHidden/>
          </w:rPr>
          <w:t>43</w:t>
        </w:r>
        <w:r w:rsidR="00FD4FE7">
          <w:rPr>
            <w:noProof/>
            <w:webHidden/>
          </w:rPr>
          <w:fldChar w:fldCharType="end"/>
        </w:r>
      </w:hyperlink>
    </w:p>
    <w:p w14:paraId="571E8C54" w14:textId="6AEF2D35"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79" w:history="1">
        <w:r w:rsidR="00FD4FE7" w:rsidRPr="00C64228">
          <w:rPr>
            <w:rStyle w:val="Hyperlink"/>
            <w:noProof/>
          </w:rPr>
          <w:t>2.3.2.1.</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(AA) – Primer (staro/novo)</w:t>
        </w:r>
        <w:r w:rsidR="00FD4FE7">
          <w:rPr>
            <w:noProof/>
            <w:webHidden/>
          </w:rPr>
          <w:tab/>
        </w:r>
        <w:r w:rsidR="00FD4FE7">
          <w:rPr>
            <w:noProof/>
            <w:webHidden/>
          </w:rPr>
          <w:fldChar w:fldCharType="begin"/>
        </w:r>
        <w:r w:rsidR="00FD4FE7">
          <w:rPr>
            <w:noProof/>
            <w:webHidden/>
          </w:rPr>
          <w:instrText xml:space="preserve"> PAGEREF _Toc134086179 \h </w:instrText>
        </w:r>
        <w:r w:rsidR="00FD4FE7">
          <w:rPr>
            <w:noProof/>
            <w:webHidden/>
          </w:rPr>
        </w:r>
        <w:r w:rsidR="00FD4FE7">
          <w:rPr>
            <w:noProof/>
            <w:webHidden/>
          </w:rPr>
          <w:fldChar w:fldCharType="separate"/>
        </w:r>
        <w:r w:rsidR="00FD4FE7">
          <w:rPr>
            <w:noProof/>
            <w:webHidden/>
          </w:rPr>
          <w:t>43</w:t>
        </w:r>
        <w:r w:rsidR="00FD4FE7">
          <w:rPr>
            <w:noProof/>
            <w:webHidden/>
          </w:rPr>
          <w:fldChar w:fldCharType="end"/>
        </w:r>
      </w:hyperlink>
    </w:p>
    <w:p w14:paraId="49FA551F" w14:textId="27D01F1C"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80" w:history="1">
        <w:r w:rsidR="00FD4FE7" w:rsidRPr="00C64228">
          <w:rPr>
            <w:rStyle w:val="Hyperlink"/>
            <w:noProof/>
          </w:rPr>
          <w:t>2.3.2.2.</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(A) – Plačilna agencija</w:t>
        </w:r>
        <w:r w:rsidR="00FD4FE7">
          <w:rPr>
            <w:noProof/>
            <w:webHidden/>
          </w:rPr>
          <w:tab/>
        </w:r>
        <w:r w:rsidR="00FD4FE7">
          <w:rPr>
            <w:noProof/>
            <w:webHidden/>
          </w:rPr>
          <w:fldChar w:fldCharType="begin"/>
        </w:r>
        <w:r w:rsidR="00FD4FE7">
          <w:rPr>
            <w:noProof/>
            <w:webHidden/>
          </w:rPr>
          <w:instrText xml:space="preserve"> PAGEREF _Toc134086180 \h </w:instrText>
        </w:r>
        <w:r w:rsidR="00FD4FE7">
          <w:rPr>
            <w:noProof/>
            <w:webHidden/>
          </w:rPr>
        </w:r>
        <w:r w:rsidR="00FD4FE7">
          <w:rPr>
            <w:noProof/>
            <w:webHidden/>
          </w:rPr>
          <w:fldChar w:fldCharType="separate"/>
        </w:r>
        <w:r w:rsidR="00FD4FE7">
          <w:rPr>
            <w:noProof/>
            <w:webHidden/>
          </w:rPr>
          <w:t>43</w:t>
        </w:r>
        <w:r w:rsidR="00FD4FE7">
          <w:rPr>
            <w:noProof/>
            <w:webHidden/>
          </w:rPr>
          <w:fldChar w:fldCharType="end"/>
        </w:r>
      </w:hyperlink>
    </w:p>
    <w:p w14:paraId="23A0619A" w14:textId="309E8ABF"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81" w:history="1">
        <w:r w:rsidR="00FD4FE7" w:rsidRPr="00C64228">
          <w:rPr>
            <w:rStyle w:val="Hyperlink"/>
            <w:noProof/>
          </w:rPr>
          <w:t>2.3.2.3.</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(B) – Sklad</w:t>
        </w:r>
        <w:r w:rsidR="00FD4FE7">
          <w:rPr>
            <w:noProof/>
            <w:webHidden/>
          </w:rPr>
          <w:tab/>
        </w:r>
        <w:r w:rsidR="00FD4FE7">
          <w:rPr>
            <w:noProof/>
            <w:webHidden/>
          </w:rPr>
          <w:fldChar w:fldCharType="begin"/>
        </w:r>
        <w:r w:rsidR="00FD4FE7">
          <w:rPr>
            <w:noProof/>
            <w:webHidden/>
          </w:rPr>
          <w:instrText xml:space="preserve"> PAGEREF _Toc134086181 \h </w:instrText>
        </w:r>
        <w:r w:rsidR="00FD4FE7">
          <w:rPr>
            <w:noProof/>
            <w:webHidden/>
          </w:rPr>
        </w:r>
        <w:r w:rsidR="00FD4FE7">
          <w:rPr>
            <w:noProof/>
            <w:webHidden/>
          </w:rPr>
          <w:fldChar w:fldCharType="separate"/>
        </w:r>
        <w:r w:rsidR="00FD4FE7">
          <w:rPr>
            <w:noProof/>
            <w:webHidden/>
          </w:rPr>
          <w:t>43</w:t>
        </w:r>
        <w:r w:rsidR="00FD4FE7">
          <w:rPr>
            <w:noProof/>
            <w:webHidden/>
          </w:rPr>
          <w:fldChar w:fldCharType="end"/>
        </w:r>
      </w:hyperlink>
    </w:p>
    <w:p w14:paraId="5ACD1488" w14:textId="5A2F7ABA"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82" w:history="1">
        <w:r w:rsidR="00FD4FE7" w:rsidRPr="00C64228">
          <w:rPr>
            <w:rStyle w:val="Hyperlink"/>
            <w:noProof/>
          </w:rPr>
          <w:t>2.3.2.4.</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(C) – Proračunsko leto</w:t>
        </w:r>
        <w:r w:rsidR="00FD4FE7">
          <w:rPr>
            <w:noProof/>
            <w:webHidden/>
          </w:rPr>
          <w:tab/>
        </w:r>
        <w:r w:rsidR="00FD4FE7">
          <w:rPr>
            <w:noProof/>
            <w:webHidden/>
          </w:rPr>
          <w:fldChar w:fldCharType="begin"/>
        </w:r>
        <w:r w:rsidR="00FD4FE7">
          <w:rPr>
            <w:noProof/>
            <w:webHidden/>
          </w:rPr>
          <w:instrText xml:space="preserve"> PAGEREF _Toc134086182 \h </w:instrText>
        </w:r>
        <w:r w:rsidR="00FD4FE7">
          <w:rPr>
            <w:noProof/>
            <w:webHidden/>
          </w:rPr>
        </w:r>
        <w:r w:rsidR="00FD4FE7">
          <w:rPr>
            <w:noProof/>
            <w:webHidden/>
          </w:rPr>
          <w:fldChar w:fldCharType="separate"/>
        </w:r>
        <w:r w:rsidR="00FD4FE7">
          <w:rPr>
            <w:noProof/>
            <w:webHidden/>
          </w:rPr>
          <w:t>43</w:t>
        </w:r>
        <w:r w:rsidR="00FD4FE7">
          <w:rPr>
            <w:noProof/>
            <w:webHidden/>
          </w:rPr>
          <w:fldChar w:fldCharType="end"/>
        </w:r>
      </w:hyperlink>
    </w:p>
    <w:p w14:paraId="0899791B" w14:textId="061302D2"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83" w:history="1">
        <w:r w:rsidR="00FD4FE7" w:rsidRPr="00C64228">
          <w:rPr>
            <w:rStyle w:val="Hyperlink"/>
            <w:noProof/>
          </w:rPr>
          <w:t>2.3.2.5.</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(S) – Izterjani znesek v proračunskem letu n</w:t>
        </w:r>
        <w:r w:rsidR="00FD4FE7">
          <w:rPr>
            <w:noProof/>
            <w:webHidden/>
          </w:rPr>
          <w:tab/>
        </w:r>
        <w:r w:rsidR="00FD4FE7">
          <w:rPr>
            <w:noProof/>
            <w:webHidden/>
          </w:rPr>
          <w:fldChar w:fldCharType="begin"/>
        </w:r>
        <w:r w:rsidR="00FD4FE7">
          <w:rPr>
            <w:noProof/>
            <w:webHidden/>
          </w:rPr>
          <w:instrText xml:space="preserve"> PAGEREF _Toc134086183 \h </w:instrText>
        </w:r>
        <w:r w:rsidR="00FD4FE7">
          <w:rPr>
            <w:noProof/>
            <w:webHidden/>
          </w:rPr>
        </w:r>
        <w:r w:rsidR="00FD4FE7">
          <w:rPr>
            <w:noProof/>
            <w:webHidden/>
          </w:rPr>
          <w:fldChar w:fldCharType="separate"/>
        </w:r>
        <w:r w:rsidR="00FD4FE7">
          <w:rPr>
            <w:noProof/>
            <w:webHidden/>
          </w:rPr>
          <w:t>43</w:t>
        </w:r>
        <w:r w:rsidR="00FD4FE7">
          <w:rPr>
            <w:noProof/>
            <w:webHidden/>
          </w:rPr>
          <w:fldChar w:fldCharType="end"/>
        </w:r>
      </w:hyperlink>
    </w:p>
    <w:p w14:paraId="02C7B02B" w14:textId="36FE4D8E"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84" w:history="1">
        <w:r w:rsidR="00FD4FE7" w:rsidRPr="00C64228">
          <w:rPr>
            <w:rStyle w:val="Hyperlink"/>
            <w:noProof/>
          </w:rPr>
          <w:t>2.3.2.6.</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(B_21) – Razlike med nalogom za izterjavo, ki ga Komisija izda za proračunsko leto n – 1, in knjigo terjatev držav članic</w:t>
        </w:r>
        <w:r w:rsidR="00FD4FE7">
          <w:rPr>
            <w:noProof/>
            <w:webHidden/>
          </w:rPr>
          <w:tab/>
        </w:r>
        <w:r w:rsidR="00FD4FE7">
          <w:rPr>
            <w:noProof/>
            <w:webHidden/>
          </w:rPr>
          <w:fldChar w:fldCharType="begin"/>
        </w:r>
        <w:r w:rsidR="00FD4FE7">
          <w:rPr>
            <w:noProof/>
            <w:webHidden/>
          </w:rPr>
          <w:instrText xml:space="preserve"> PAGEREF _Toc134086184 \h </w:instrText>
        </w:r>
        <w:r w:rsidR="00FD4FE7">
          <w:rPr>
            <w:noProof/>
            <w:webHidden/>
          </w:rPr>
        </w:r>
        <w:r w:rsidR="00FD4FE7">
          <w:rPr>
            <w:noProof/>
            <w:webHidden/>
          </w:rPr>
          <w:fldChar w:fldCharType="separate"/>
        </w:r>
        <w:r w:rsidR="00FD4FE7">
          <w:rPr>
            <w:noProof/>
            <w:webHidden/>
          </w:rPr>
          <w:t>43</w:t>
        </w:r>
        <w:r w:rsidR="00FD4FE7">
          <w:rPr>
            <w:noProof/>
            <w:webHidden/>
          </w:rPr>
          <w:fldChar w:fldCharType="end"/>
        </w:r>
      </w:hyperlink>
    </w:p>
    <w:p w14:paraId="41BE0D4E" w14:textId="03A59ECB"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85" w:history="1">
        <w:r w:rsidR="00FD4FE7" w:rsidRPr="00C64228">
          <w:rPr>
            <w:rStyle w:val="Hyperlink"/>
            <w:bCs/>
            <w:noProof/>
          </w:rPr>
          <w:t>2.3.2.7.</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(C_21) – Del zneska, ki je bil že izterjan in vrnjen Komisiji po pravilu 50/50 v preteklih proračunskih letih v skladu s členom 54(2) Uredbe (EU) št. 1306/2013</w:t>
        </w:r>
        <w:r w:rsidR="00FD4FE7">
          <w:rPr>
            <w:noProof/>
            <w:webHidden/>
          </w:rPr>
          <w:tab/>
        </w:r>
        <w:r w:rsidR="00FD4FE7">
          <w:rPr>
            <w:noProof/>
            <w:webHidden/>
          </w:rPr>
          <w:fldChar w:fldCharType="begin"/>
        </w:r>
        <w:r w:rsidR="00FD4FE7">
          <w:rPr>
            <w:noProof/>
            <w:webHidden/>
          </w:rPr>
          <w:instrText xml:space="preserve"> PAGEREF _Toc134086185 \h </w:instrText>
        </w:r>
        <w:r w:rsidR="00FD4FE7">
          <w:rPr>
            <w:noProof/>
            <w:webHidden/>
          </w:rPr>
        </w:r>
        <w:r w:rsidR="00FD4FE7">
          <w:rPr>
            <w:noProof/>
            <w:webHidden/>
          </w:rPr>
          <w:fldChar w:fldCharType="separate"/>
        </w:r>
        <w:r w:rsidR="00FD4FE7">
          <w:rPr>
            <w:noProof/>
            <w:webHidden/>
          </w:rPr>
          <w:t>44</w:t>
        </w:r>
        <w:r w:rsidR="00FD4FE7">
          <w:rPr>
            <w:noProof/>
            <w:webHidden/>
          </w:rPr>
          <w:fldChar w:fldCharType="end"/>
        </w:r>
      </w:hyperlink>
    </w:p>
    <w:p w14:paraId="33113F35" w14:textId="29EB9F86"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86" w:history="1">
        <w:r w:rsidR="00FD4FE7" w:rsidRPr="00C64228">
          <w:rPr>
            <w:rStyle w:val="Hyperlink"/>
            <w:noProof/>
          </w:rPr>
          <w:t>2.3.2.8.</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(C_21A) – Del zneska, ki je že bil vrnjen Komisiji v skladu s členom 57(1) Uredbe (EU) 2021/2116 in členom 22(1)(e) Uredbe (EU) 2022/128</w:t>
        </w:r>
        <w:r w:rsidR="00FD4FE7">
          <w:rPr>
            <w:noProof/>
            <w:webHidden/>
          </w:rPr>
          <w:tab/>
        </w:r>
        <w:r w:rsidR="00FD4FE7">
          <w:rPr>
            <w:noProof/>
            <w:webHidden/>
          </w:rPr>
          <w:fldChar w:fldCharType="begin"/>
        </w:r>
        <w:r w:rsidR="00FD4FE7">
          <w:rPr>
            <w:noProof/>
            <w:webHidden/>
          </w:rPr>
          <w:instrText xml:space="preserve"> PAGEREF _Toc134086186 \h </w:instrText>
        </w:r>
        <w:r w:rsidR="00FD4FE7">
          <w:rPr>
            <w:noProof/>
            <w:webHidden/>
          </w:rPr>
        </w:r>
        <w:r w:rsidR="00FD4FE7">
          <w:rPr>
            <w:noProof/>
            <w:webHidden/>
          </w:rPr>
          <w:fldChar w:fldCharType="separate"/>
        </w:r>
        <w:r w:rsidR="00FD4FE7">
          <w:rPr>
            <w:noProof/>
            <w:webHidden/>
          </w:rPr>
          <w:t>44</w:t>
        </w:r>
        <w:r w:rsidR="00FD4FE7">
          <w:rPr>
            <w:noProof/>
            <w:webHidden/>
          </w:rPr>
          <w:fldChar w:fldCharType="end"/>
        </w:r>
      </w:hyperlink>
    </w:p>
    <w:p w14:paraId="37B2A4E1" w14:textId="4A9AE2B0"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87" w:history="1">
        <w:r w:rsidR="00FD4FE7" w:rsidRPr="00C64228">
          <w:rPr>
            <w:rStyle w:val="Hyperlink"/>
            <w:noProof/>
          </w:rPr>
          <w:t>2.3.2.9.</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(D_21) – Skupni znesek, ki se vrne Komisiji za proračunsko leto N</w:t>
        </w:r>
        <w:r w:rsidR="00FD4FE7">
          <w:rPr>
            <w:noProof/>
            <w:webHidden/>
          </w:rPr>
          <w:tab/>
        </w:r>
        <w:r w:rsidR="00FD4FE7">
          <w:rPr>
            <w:noProof/>
            <w:webHidden/>
          </w:rPr>
          <w:fldChar w:fldCharType="begin"/>
        </w:r>
        <w:r w:rsidR="00FD4FE7">
          <w:rPr>
            <w:noProof/>
            <w:webHidden/>
          </w:rPr>
          <w:instrText xml:space="preserve"> PAGEREF _Toc134086187 \h </w:instrText>
        </w:r>
        <w:r w:rsidR="00FD4FE7">
          <w:rPr>
            <w:noProof/>
            <w:webHidden/>
          </w:rPr>
        </w:r>
        <w:r w:rsidR="00FD4FE7">
          <w:rPr>
            <w:noProof/>
            <w:webHidden/>
          </w:rPr>
          <w:fldChar w:fldCharType="separate"/>
        </w:r>
        <w:r w:rsidR="00FD4FE7">
          <w:rPr>
            <w:noProof/>
            <w:webHidden/>
          </w:rPr>
          <w:t>44</w:t>
        </w:r>
        <w:r w:rsidR="00FD4FE7">
          <w:rPr>
            <w:noProof/>
            <w:webHidden/>
          </w:rPr>
          <w:fldChar w:fldCharType="end"/>
        </w:r>
      </w:hyperlink>
    </w:p>
    <w:p w14:paraId="5B6C104C" w14:textId="701B7028"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88" w:history="1">
        <w:r w:rsidR="00FD4FE7" w:rsidRPr="00C64228">
          <w:rPr>
            <w:rStyle w:val="Hyperlink"/>
            <w:noProof/>
          </w:rPr>
          <w:t>2.3.3.</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Primer</w:t>
        </w:r>
        <w:r w:rsidR="00FD4FE7">
          <w:rPr>
            <w:noProof/>
            <w:webHidden/>
          </w:rPr>
          <w:tab/>
        </w:r>
        <w:r w:rsidR="00FD4FE7">
          <w:rPr>
            <w:noProof/>
            <w:webHidden/>
          </w:rPr>
          <w:fldChar w:fldCharType="begin"/>
        </w:r>
        <w:r w:rsidR="00FD4FE7">
          <w:rPr>
            <w:noProof/>
            <w:webHidden/>
          </w:rPr>
          <w:instrText xml:space="preserve"> PAGEREF _Toc134086188 \h </w:instrText>
        </w:r>
        <w:r w:rsidR="00FD4FE7">
          <w:rPr>
            <w:noProof/>
            <w:webHidden/>
          </w:rPr>
        </w:r>
        <w:r w:rsidR="00FD4FE7">
          <w:rPr>
            <w:noProof/>
            <w:webHidden/>
          </w:rPr>
          <w:fldChar w:fldCharType="separate"/>
        </w:r>
        <w:r w:rsidR="00FD4FE7">
          <w:rPr>
            <w:noProof/>
            <w:webHidden/>
          </w:rPr>
          <w:t>44</w:t>
        </w:r>
        <w:r w:rsidR="00FD4FE7">
          <w:rPr>
            <w:noProof/>
            <w:webHidden/>
          </w:rPr>
          <w:fldChar w:fldCharType="end"/>
        </w:r>
      </w:hyperlink>
    </w:p>
    <w:p w14:paraId="5BBA152A" w14:textId="73251D2E"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89" w:history="1">
        <w:r w:rsidR="00FD4FE7" w:rsidRPr="00C64228">
          <w:rPr>
            <w:rStyle w:val="Hyperlink"/>
            <w:noProof/>
          </w:rPr>
          <w:t>2.3.4.</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Prenos</w:t>
        </w:r>
        <w:r w:rsidR="00FD4FE7">
          <w:rPr>
            <w:noProof/>
            <w:webHidden/>
          </w:rPr>
          <w:tab/>
        </w:r>
        <w:r w:rsidR="00FD4FE7">
          <w:rPr>
            <w:noProof/>
            <w:webHidden/>
          </w:rPr>
          <w:fldChar w:fldCharType="begin"/>
        </w:r>
        <w:r w:rsidR="00FD4FE7">
          <w:rPr>
            <w:noProof/>
            <w:webHidden/>
          </w:rPr>
          <w:instrText xml:space="preserve"> PAGEREF _Toc134086189 \h </w:instrText>
        </w:r>
        <w:r w:rsidR="00FD4FE7">
          <w:rPr>
            <w:noProof/>
            <w:webHidden/>
          </w:rPr>
        </w:r>
        <w:r w:rsidR="00FD4FE7">
          <w:rPr>
            <w:noProof/>
            <w:webHidden/>
          </w:rPr>
          <w:fldChar w:fldCharType="separate"/>
        </w:r>
        <w:r w:rsidR="00FD4FE7">
          <w:rPr>
            <w:noProof/>
            <w:webHidden/>
          </w:rPr>
          <w:t>44</w:t>
        </w:r>
        <w:r w:rsidR="00FD4FE7">
          <w:rPr>
            <w:noProof/>
            <w:webHidden/>
          </w:rPr>
          <w:fldChar w:fldCharType="end"/>
        </w:r>
      </w:hyperlink>
    </w:p>
    <w:p w14:paraId="0CCAD922" w14:textId="603B1BAF" w:rsidR="00FD4FE7" w:rsidRDefault="00D313CA">
      <w:pPr>
        <w:pStyle w:val="TOC1"/>
        <w:rPr>
          <w:rFonts w:asciiTheme="minorHAnsi" w:eastAsiaTheme="minorEastAsia" w:hAnsiTheme="minorHAnsi" w:cstheme="minorBidi"/>
          <w:caps w:val="0"/>
          <w:noProof/>
          <w:sz w:val="22"/>
          <w:szCs w:val="22"/>
          <w:lang w:val="en-IE" w:eastAsia="en-IE"/>
        </w:rPr>
      </w:pPr>
      <w:hyperlink w:anchor="_Toc134086190" w:history="1">
        <w:r w:rsidR="00FD4FE7" w:rsidRPr="00C64228">
          <w:rPr>
            <w:rStyle w:val="Hyperlink"/>
            <w:noProof/>
          </w:rPr>
          <w:t>Priloga 1: Preglednica s povzetkom iz Priloge II k Izvedbeni uredbi Komisije (EU) št. 908/2014</w:t>
        </w:r>
        <w:r w:rsidR="00FD4FE7">
          <w:rPr>
            <w:noProof/>
            <w:webHidden/>
          </w:rPr>
          <w:tab/>
        </w:r>
        <w:r w:rsidR="00FD4FE7">
          <w:rPr>
            <w:noProof/>
            <w:webHidden/>
          </w:rPr>
          <w:fldChar w:fldCharType="begin"/>
        </w:r>
        <w:r w:rsidR="00FD4FE7">
          <w:rPr>
            <w:noProof/>
            <w:webHidden/>
          </w:rPr>
          <w:instrText xml:space="preserve"> PAGEREF _Toc134086190 \h </w:instrText>
        </w:r>
        <w:r w:rsidR="00FD4FE7">
          <w:rPr>
            <w:noProof/>
            <w:webHidden/>
          </w:rPr>
        </w:r>
        <w:r w:rsidR="00FD4FE7">
          <w:rPr>
            <w:noProof/>
            <w:webHidden/>
          </w:rPr>
          <w:fldChar w:fldCharType="separate"/>
        </w:r>
        <w:r w:rsidR="00FD4FE7">
          <w:rPr>
            <w:noProof/>
            <w:webHidden/>
          </w:rPr>
          <w:t>46</w:t>
        </w:r>
        <w:r w:rsidR="00FD4FE7">
          <w:rPr>
            <w:noProof/>
            <w:webHidden/>
          </w:rPr>
          <w:fldChar w:fldCharType="end"/>
        </w:r>
      </w:hyperlink>
    </w:p>
    <w:p w14:paraId="5CF89DE7" w14:textId="4315AE11" w:rsidR="00FD4FE7" w:rsidRDefault="00D313CA">
      <w:pPr>
        <w:pStyle w:val="TOC1"/>
        <w:rPr>
          <w:rFonts w:asciiTheme="minorHAnsi" w:eastAsiaTheme="minorEastAsia" w:hAnsiTheme="minorHAnsi" w:cstheme="minorBidi"/>
          <w:caps w:val="0"/>
          <w:noProof/>
          <w:sz w:val="22"/>
          <w:szCs w:val="22"/>
          <w:lang w:val="en-IE" w:eastAsia="en-IE"/>
        </w:rPr>
      </w:pPr>
      <w:hyperlink w:anchor="_Toc134086191" w:history="1">
        <w:r w:rsidR="00FD4FE7" w:rsidRPr="00C64228">
          <w:rPr>
            <w:rStyle w:val="Hyperlink"/>
            <w:noProof/>
          </w:rPr>
          <w:t>Priloga 2: Primeri poročanja v Prilogi II</w:t>
        </w:r>
        <w:r w:rsidR="00FD4FE7">
          <w:rPr>
            <w:noProof/>
            <w:webHidden/>
          </w:rPr>
          <w:tab/>
        </w:r>
        <w:r w:rsidR="00FD4FE7">
          <w:rPr>
            <w:noProof/>
            <w:webHidden/>
          </w:rPr>
          <w:fldChar w:fldCharType="begin"/>
        </w:r>
        <w:r w:rsidR="00FD4FE7">
          <w:rPr>
            <w:noProof/>
            <w:webHidden/>
          </w:rPr>
          <w:instrText xml:space="preserve"> PAGEREF _Toc134086191 \h </w:instrText>
        </w:r>
        <w:r w:rsidR="00FD4FE7">
          <w:rPr>
            <w:noProof/>
            <w:webHidden/>
          </w:rPr>
        </w:r>
        <w:r w:rsidR="00FD4FE7">
          <w:rPr>
            <w:noProof/>
            <w:webHidden/>
          </w:rPr>
          <w:fldChar w:fldCharType="separate"/>
        </w:r>
        <w:r w:rsidR="00FD4FE7">
          <w:rPr>
            <w:noProof/>
            <w:webHidden/>
          </w:rPr>
          <w:t>47</w:t>
        </w:r>
        <w:r w:rsidR="00FD4FE7">
          <w:rPr>
            <w:noProof/>
            <w:webHidden/>
          </w:rPr>
          <w:fldChar w:fldCharType="end"/>
        </w:r>
      </w:hyperlink>
    </w:p>
    <w:p w14:paraId="48CE9BBB" w14:textId="016E308D" w:rsidR="00FD4FE7" w:rsidRDefault="00D313CA">
      <w:pPr>
        <w:pStyle w:val="TOC1"/>
        <w:rPr>
          <w:rFonts w:asciiTheme="minorHAnsi" w:eastAsiaTheme="minorEastAsia" w:hAnsiTheme="minorHAnsi" w:cstheme="minorBidi"/>
          <w:caps w:val="0"/>
          <w:noProof/>
          <w:sz w:val="22"/>
          <w:szCs w:val="22"/>
          <w:lang w:val="en-IE" w:eastAsia="en-IE"/>
        </w:rPr>
      </w:pPr>
      <w:hyperlink w:anchor="_Toc134086192" w:history="1">
        <w:r w:rsidR="00FD4FE7" w:rsidRPr="00C64228">
          <w:rPr>
            <w:rStyle w:val="Hyperlink"/>
            <w:noProof/>
          </w:rPr>
          <w:t>Priloga 3: Podrobna preglednica o izterjavah za pretekla programska obdobja</w:t>
        </w:r>
        <w:r w:rsidR="00FD4FE7">
          <w:rPr>
            <w:noProof/>
            <w:webHidden/>
          </w:rPr>
          <w:tab/>
        </w:r>
        <w:r w:rsidR="00FD4FE7">
          <w:rPr>
            <w:noProof/>
            <w:webHidden/>
          </w:rPr>
          <w:fldChar w:fldCharType="begin"/>
        </w:r>
        <w:r w:rsidR="00FD4FE7">
          <w:rPr>
            <w:noProof/>
            <w:webHidden/>
          </w:rPr>
          <w:instrText xml:space="preserve"> PAGEREF _Toc134086192 \h </w:instrText>
        </w:r>
        <w:r w:rsidR="00FD4FE7">
          <w:rPr>
            <w:noProof/>
            <w:webHidden/>
          </w:rPr>
        </w:r>
        <w:r w:rsidR="00FD4FE7">
          <w:rPr>
            <w:noProof/>
            <w:webHidden/>
          </w:rPr>
          <w:fldChar w:fldCharType="separate"/>
        </w:r>
        <w:r w:rsidR="00FD4FE7">
          <w:rPr>
            <w:noProof/>
            <w:webHidden/>
          </w:rPr>
          <w:t>48</w:t>
        </w:r>
        <w:r w:rsidR="00FD4FE7">
          <w:rPr>
            <w:noProof/>
            <w:webHidden/>
          </w:rPr>
          <w:fldChar w:fldCharType="end"/>
        </w:r>
      </w:hyperlink>
    </w:p>
    <w:p w14:paraId="39393598" w14:textId="72B954C1" w:rsidR="00FD4FE7" w:rsidRDefault="00D313CA">
      <w:pPr>
        <w:pStyle w:val="TOC1"/>
        <w:rPr>
          <w:rFonts w:asciiTheme="minorHAnsi" w:eastAsiaTheme="minorEastAsia" w:hAnsiTheme="minorHAnsi" w:cstheme="minorBidi"/>
          <w:caps w:val="0"/>
          <w:noProof/>
          <w:sz w:val="22"/>
          <w:szCs w:val="22"/>
          <w:lang w:val="en-IE" w:eastAsia="en-IE"/>
        </w:rPr>
      </w:pPr>
      <w:hyperlink w:anchor="_Toc134086193" w:history="1">
        <w:r w:rsidR="00FD4FE7" w:rsidRPr="00C64228">
          <w:rPr>
            <w:rStyle w:val="Hyperlink"/>
            <w:noProof/>
          </w:rPr>
          <w:t>Priloga 4: Podrobna preglednica o izterjavah za pretekla programska obdobja – PRIMER</w:t>
        </w:r>
        <w:r w:rsidR="00FD4FE7">
          <w:rPr>
            <w:noProof/>
            <w:webHidden/>
          </w:rPr>
          <w:tab/>
        </w:r>
        <w:r w:rsidR="00FD4FE7">
          <w:rPr>
            <w:noProof/>
            <w:webHidden/>
          </w:rPr>
          <w:fldChar w:fldCharType="begin"/>
        </w:r>
        <w:r w:rsidR="00FD4FE7">
          <w:rPr>
            <w:noProof/>
            <w:webHidden/>
          </w:rPr>
          <w:instrText xml:space="preserve"> PAGEREF _Toc134086193 \h </w:instrText>
        </w:r>
        <w:r w:rsidR="00FD4FE7">
          <w:rPr>
            <w:noProof/>
            <w:webHidden/>
          </w:rPr>
        </w:r>
        <w:r w:rsidR="00FD4FE7">
          <w:rPr>
            <w:noProof/>
            <w:webHidden/>
          </w:rPr>
          <w:fldChar w:fldCharType="separate"/>
        </w:r>
        <w:r w:rsidR="00FD4FE7">
          <w:rPr>
            <w:noProof/>
            <w:webHidden/>
          </w:rPr>
          <w:t>49</w:t>
        </w:r>
        <w:r w:rsidR="00FD4FE7">
          <w:rPr>
            <w:noProof/>
            <w:webHidden/>
          </w:rPr>
          <w:fldChar w:fldCharType="end"/>
        </w:r>
      </w:hyperlink>
    </w:p>
    <w:p w14:paraId="62C9C7D5" w14:textId="7A73AEB3" w:rsidR="00FD4FE7" w:rsidRDefault="00D313CA">
      <w:pPr>
        <w:pStyle w:val="TOC1"/>
        <w:rPr>
          <w:rFonts w:asciiTheme="minorHAnsi" w:eastAsiaTheme="minorEastAsia" w:hAnsiTheme="minorHAnsi" w:cstheme="minorBidi"/>
          <w:caps w:val="0"/>
          <w:noProof/>
          <w:sz w:val="22"/>
          <w:szCs w:val="22"/>
          <w:lang w:val="en-IE" w:eastAsia="en-IE"/>
        </w:rPr>
      </w:pPr>
      <w:hyperlink w:anchor="_Toc134086194" w:history="1">
        <w:r w:rsidR="00FD4FE7" w:rsidRPr="00C64228">
          <w:rPr>
            <w:rStyle w:val="Hyperlink"/>
            <w:noProof/>
          </w:rPr>
          <w:t>Priloga 5: Preglednice („50/50“) iz člena 54(2)/člena 54(3)</w:t>
        </w:r>
        <w:r w:rsidR="00FD4FE7">
          <w:rPr>
            <w:noProof/>
            <w:webHidden/>
          </w:rPr>
          <w:tab/>
        </w:r>
        <w:r w:rsidR="00FD4FE7">
          <w:rPr>
            <w:noProof/>
            <w:webHidden/>
          </w:rPr>
          <w:fldChar w:fldCharType="begin"/>
        </w:r>
        <w:r w:rsidR="00FD4FE7">
          <w:rPr>
            <w:noProof/>
            <w:webHidden/>
          </w:rPr>
          <w:instrText xml:space="preserve"> PAGEREF _Toc134086194 \h </w:instrText>
        </w:r>
        <w:r w:rsidR="00FD4FE7">
          <w:rPr>
            <w:noProof/>
            <w:webHidden/>
          </w:rPr>
        </w:r>
        <w:r w:rsidR="00FD4FE7">
          <w:rPr>
            <w:noProof/>
            <w:webHidden/>
          </w:rPr>
          <w:fldChar w:fldCharType="separate"/>
        </w:r>
        <w:r w:rsidR="00FD4FE7">
          <w:rPr>
            <w:noProof/>
            <w:webHidden/>
          </w:rPr>
          <w:t>51</w:t>
        </w:r>
        <w:r w:rsidR="00FD4FE7">
          <w:rPr>
            <w:noProof/>
            <w:webHidden/>
          </w:rPr>
          <w:fldChar w:fldCharType="end"/>
        </w:r>
      </w:hyperlink>
    </w:p>
    <w:p w14:paraId="72041862" w14:textId="076104FC" w:rsidR="00FD4FE7" w:rsidRDefault="00D313CA">
      <w:pPr>
        <w:pStyle w:val="TOC1"/>
        <w:rPr>
          <w:rFonts w:asciiTheme="minorHAnsi" w:eastAsiaTheme="minorEastAsia" w:hAnsiTheme="minorHAnsi" w:cstheme="minorBidi"/>
          <w:caps w:val="0"/>
          <w:noProof/>
          <w:sz w:val="22"/>
          <w:szCs w:val="22"/>
          <w:lang w:val="en-IE" w:eastAsia="en-IE"/>
        </w:rPr>
      </w:pPr>
      <w:hyperlink w:anchor="_Toc134086195" w:history="1">
        <w:r w:rsidR="00FD4FE7" w:rsidRPr="00C64228">
          <w:rPr>
            <w:rStyle w:val="Hyperlink"/>
            <w:noProof/>
          </w:rPr>
          <w:t>Priloga 6: Vzorčna preglednica iz Priloge III, navedena v členu 29(g) Uredbe (EU) št. 908/2014</w:t>
        </w:r>
        <w:r w:rsidR="00FD4FE7">
          <w:rPr>
            <w:noProof/>
            <w:webHidden/>
          </w:rPr>
          <w:tab/>
        </w:r>
        <w:r w:rsidR="00FD4FE7">
          <w:rPr>
            <w:noProof/>
            <w:webHidden/>
          </w:rPr>
          <w:fldChar w:fldCharType="begin"/>
        </w:r>
        <w:r w:rsidR="00FD4FE7">
          <w:rPr>
            <w:noProof/>
            <w:webHidden/>
          </w:rPr>
          <w:instrText xml:space="preserve"> PAGEREF _Toc134086195 \h </w:instrText>
        </w:r>
        <w:r w:rsidR="00FD4FE7">
          <w:rPr>
            <w:noProof/>
            <w:webHidden/>
          </w:rPr>
        </w:r>
        <w:r w:rsidR="00FD4FE7">
          <w:rPr>
            <w:noProof/>
            <w:webHidden/>
          </w:rPr>
          <w:fldChar w:fldCharType="separate"/>
        </w:r>
        <w:r w:rsidR="00FD4FE7">
          <w:rPr>
            <w:noProof/>
            <w:webHidden/>
          </w:rPr>
          <w:t>52</w:t>
        </w:r>
        <w:r w:rsidR="00FD4FE7">
          <w:rPr>
            <w:noProof/>
            <w:webHidden/>
          </w:rPr>
          <w:fldChar w:fldCharType="end"/>
        </w:r>
      </w:hyperlink>
    </w:p>
    <w:p w14:paraId="222857EC" w14:textId="5E3C5C05" w:rsidR="00FD4FE7" w:rsidRPr="000C0F2B" w:rsidRDefault="00D313CA">
      <w:pPr>
        <w:pStyle w:val="TOC1"/>
        <w:rPr>
          <w:rFonts w:asciiTheme="minorHAnsi" w:eastAsiaTheme="minorEastAsia" w:hAnsiTheme="minorHAnsi" w:cstheme="minorBidi"/>
          <w:b/>
          <w:bCs/>
          <w:caps w:val="0"/>
          <w:noProof/>
          <w:sz w:val="22"/>
          <w:szCs w:val="22"/>
          <w:lang w:val="en-IE" w:eastAsia="en-IE"/>
        </w:rPr>
      </w:pPr>
      <w:hyperlink w:anchor="_Toc134086196" w:history="1">
        <w:r w:rsidR="00FD4FE7" w:rsidRPr="000C0F2B">
          <w:rPr>
            <w:rStyle w:val="Hyperlink"/>
            <w:b/>
            <w:bCs/>
            <w:noProof/>
          </w:rPr>
          <w:t>ODDELEK B – UPRAVLJANJE DOLGA IN POROČANJE V OKVIRU UREDBE (EU) 2021/2116</w:t>
        </w:r>
        <w:r w:rsidR="00FD4FE7" w:rsidRPr="000C0F2B">
          <w:rPr>
            <w:b/>
            <w:bCs/>
            <w:noProof/>
            <w:webHidden/>
          </w:rPr>
          <w:tab/>
        </w:r>
        <w:r w:rsidR="00FD4FE7" w:rsidRPr="000C0F2B">
          <w:rPr>
            <w:b/>
            <w:bCs/>
            <w:noProof/>
            <w:webHidden/>
          </w:rPr>
          <w:fldChar w:fldCharType="begin"/>
        </w:r>
        <w:r w:rsidR="00FD4FE7" w:rsidRPr="000C0F2B">
          <w:rPr>
            <w:b/>
            <w:bCs/>
            <w:noProof/>
            <w:webHidden/>
          </w:rPr>
          <w:instrText xml:space="preserve"> PAGEREF _Toc134086196 \h </w:instrText>
        </w:r>
        <w:r w:rsidR="00FD4FE7" w:rsidRPr="000C0F2B">
          <w:rPr>
            <w:b/>
            <w:bCs/>
            <w:noProof/>
            <w:webHidden/>
          </w:rPr>
        </w:r>
        <w:r w:rsidR="00FD4FE7" w:rsidRPr="000C0F2B">
          <w:rPr>
            <w:b/>
            <w:bCs/>
            <w:noProof/>
            <w:webHidden/>
          </w:rPr>
          <w:fldChar w:fldCharType="separate"/>
        </w:r>
        <w:r w:rsidR="00FD4FE7" w:rsidRPr="000C0F2B">
          <w:rPr>
            <w:b/>
            <w:bCs/>
            <w:noProof/>
            <w:webHidden/>
          </w:rPr>
          <w:t>53</w:t>
        </w:r>
        <w:r w:rsidR="00FD4FE7" w:rsidRPr="000C0F2B">
          <w:rPr>
            <w:b/>
            <w:bCs/>
            <w:noProof/>
            <w:webHidden/>
          </w:rPr>
          <w:fldChar w:fldCharType="end"/>
        </w:r>
      </w:hyperlink>
    </w:p>
    <w:p w14:paraId="00C1B701" w14:textId="1AD42B9E" w:rsidR="00FD4FE7" w:rsidRDefault="00D313CA">
      <w:pPr>
        <w:pStyle w:val="TOC1"/>
        <w:rPr>
          <w:rFonts w:asciiTheme="minorHAnsi" w:eastAsiaTheme="minorEastAsia" w:hAnsiTheme="minorHAnsi" w:cstheme="minorBidi"/>
          <w:caps w:val="0"/>
          <w:noProof/>
          <w:sz w:val="22"/>
          <w:szCs w:val="22"/>
          <w:lang w:val="en-IE" w:eastAsia="en-IE"/>
        </w:rPr>
      </w:pPr>
      <w:hyperlink w:anchor="_Toc134086197" w:history="1">
        <w:r w:rsidR="00FD4FE7" w:rsidRPr="00C64228">
          <w:rPr>
            <w:rStyle w:val="Hyperlink"/>
            <w:noProof/>
          </w:rPr>
          <w:t>DEL 1. UPRAVLJANJE DOLGA</w:t>
        </w:r>
        <w:r w:rsidR="00FD4FE7">
          <w:rPr>
            <w:noProof/>
            <w:webHidden/>
          </w:rPr>
          <w:tab/>
        </w:r>
        <w:r w:rsidR="00FD4FE7">
          <w:rPr>
            <w:noProof/>
            <w:webHidden/>
          </w:rPr>
          <w:fldChar w:fldCharType="begin"/>
        </w:r>
        <w:r w:rsidR="00FD4FE7">
          <w:rPr>
            <w:noProof/>
            <w:webHidden/>
          </w:rPr>
          <w:instrText xml:space="preserve"> PAGEREF _Toc134086197 \h </w:instrText>
        </w:r>
        <w:r w:rsidR="00FD4FE7">
          <w:rPr>
            <w:noProof/>
            <w:webHidden/>
          </w:rPr>
        </w:r>
        <w:r w:rsidR="00FD4FE7">
          <w:rPr>
            <w:noProof/>
            <w:webHidden/>
          </w:rPr>
          <w:fldChar w:fldCharType="separate"/>
        </w:r>
        <w:r w:rsidR="00FD4FE7">
          <w:rPr>
            <w:noProof/>
            <w:webHidden/>
          </w:rPr>
          <w:t>54</w:t>
        </w:r>
        <w:r w:rsidR="00FD4FE7">
          <w:rPr>
            <w:noProof/>
            <w:webHidden/>
          </w:rPr>
          <w:fldChar w:fldCharType="end"/>
        </w:r>
      </w:hyperlink>
    </w:p>
    <w:p w14:paraId="229652AB" w14:textId="63A3CAB9" w:rsidR="00FD4FE7" w:rsidRDefault="00D313CA">
      <w:pPr>
        <w:pStyle w:val="TOC2"/>
        <w:tabs>
          <w:tab w:val="left" w:pos="1077"/>
        </w:tabs>
        <w:rPr>
          <w:rFonts w:asciiTheme="minorHAnsi" w:eastAsiaTheme="minorEastAsia" w:hAnsiTheme="minorHAnsi" w:cstheme="minorBidi"/>
          <w:noProof/>
          <w:sz w:val="22"/>
          <w:szCs w:val="22"/>
          <w:lang w:val="en-IE" w:eastAsia="en-IE"/>
        </w:rPr>
      </w:pPr>
      <w:hyperlink w:anchor="_Toc134086198" w:history="1">
        <w:r w:rsidR="00FD4FE7" w:rsidRPr="00C64228">
          <w:rPr>
            <w:rStyle w:val="Hyperlink"/>
            <w:noProof/>
          </w:rPr>
          <w:t>1.1.</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Izterjava neupravičenih plačil in obresti, ki izhajajo iz nepravilnosti – Glavna načela</w:t>
        </w:r>
        <w:r w:rsidR="00FD4FE7">
          <w:rPr>
            <w:noProof/>
            <w:webHidden/>
          </w:rPr>
          <w:tab/>
        </w:r>
        <w:r w:rsidR="00FD4FE7">
          <w:rPr>
            <w:noProof/>
            <w:webHidden/>
          </w:rPr>
          <w:fldChar w:fldCharType="begin"/>
        </w:r>
        <w:r w:rsidR="00FD4FE7">
          <w:rPr>
            <w:noProof/>
            <w:webHidden/>
          </w:rPr>
          <w:instrText xml:space="preserve"> PAGEREF _Toc134086198 \h </w:instrText>
        </w:r>
        <w:r w:rsidR="00FD4FE7">
          <w:rPr>
            <w:noProof/>
            <w:webHidden/>
          </w:rPr>
        </w:r>
        <w:r w:rsidR="00FD4FE7">
          <w:rPr>
            <w:noProof/>
            <w:webHidden/>
          </w:rPr>
          <w:fldChar w:fldCharType="separate"/>
        </w:r>
        <w:r w:rsidR="00FD4FE7">
          <w:rPr>
            <w:noProof/>
            <w:webHidden/>
          </w:rPr>
          <w:t>54</w:t>
        </w:r>
        <w:r w:rsidR="00FD4FE7">
          <w:rPr>
            <w:noProof/>
            <w:webHidden/>
          </w:rPr>
          <w:fldChar w:fldCharType="end"/>
        </w:r>
      </w:hyperlink>
    </w:p>
    <w:p w14:paraId="7BEE3187" w14:textId="38B15E9C"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199" w:history="1">
        <w:r w:rsidR="00FD4FE7" w:rsidRPr="00C64228">
          <w:rPr>
            <w:rStyle w:val="Hyperlink"/>
            <w:noProof/>
          </w:rPr>
          <w:t>1.1.1.</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Zaščita finančnih interesov Unije</w:t>
        </w:r>
        <w:r w:rsidR="00FD4FE7">
          <w:rPr>
            <w:noProof/>
            <w:webHidden/>
          </w:rPr>
          <w:tab/>
        </w:r>
        <w:r w:rsidR="00FD4FE7">
          <w:rPr>
            <w:noProof/>
            <w:webHidden/>
          </w:rPr>
          <w:fldChar w:fldCharType="begin"/>
        </w:r>
        <w:r w:rsidR="00FD4FE7">
          <w:rPr>
            <w:noProof/>
            <w:webHidden/>
          </w:rPr>
          <w:instrText xml:space="preserve"> PAGEREF _Toc134086199 \h </w:instrText>
        </w:r>
        <w:r w:rsidR="00FD4FE7">
          <w:rPr>
            <w:noProof/>
            <w:webHidden/>
          </w:rPr>
        </w:r>
        <w:r w:rsidR="00FD4FE7">
          <w:rPr>
            <w:noProof/>
            <w:webHidden/>
          </w:rPr>
          <w:fldChar w:fldCharType="separate"/>
        </w:r>
        <w:r w:rsidR="00FD4FE7">
          <w:rPr>
            <w:noProof/>
            <w:webHidden/>
          </w:rPr>
          <w:t>54</w:t>
        </w:r>
        <w:r w:rsidR="00FD4FE7">
          <w:rPr>
            <w:noProof/>
            <w:webHidden/>
          </w:rPr>
          <w:fldChar w:fldCharType="end"/>
        </w:r>
      </w:hyperlink>
    </w:p>
    <w:p w14:paraId="7BEEF15A" w14:textId="6EB585AB"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200" w:history="1">
        <w:r w:rsidR="00FD4FE7" w:rsidRPr="00C64228">
          <w:rPr>
            <w:rStyle w:val="Hyperlink"/>
            <w:noProof/>
          </w:rPr>
          <w:t>1.1.2.</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Izterjave v primeru neizpolnjevanja</w:t>
        </w:r>
        <w:r w:rsidR="00FD4FE7">
          <w:rPr>
            <w:noProof/>
            <w:webHidden/>
          </w:rPr>
          <w:tab/>
        </w:r>
        <w:r w:rsidR="00FD4FE7">
          <w:rPr>
            <w:noProof/>
            <w:webHidden/>
          </w:rPr>
          <w:fldChar w:fldCharType="begin"/>
        </w:r>
        <w:r w:rsidR="00FD4FE7">
          <w:rPr>
            <w:noProof/>
            <w:webHidden/>
          </w:rPr>
          <w:instrText xml:space="preserve"> PAGEREF _Toc134086200 \h </w:instrText>
        </w:r>
        <w:r w:rsidR="00FD4FE7">
          <w:rPr>
            <w:noProof/>
            <w:webHidden/>
          </w:rPr>
        </w:r>
        <w:r w:rsidR="00FD4FE7">
          <w:rPr>
            <w:noProof/>
            <w:webHidden/>
          </w:rPr>
          <w:fldChar w:fldCharType="separate"/>
        </w:r>
        <w:r w:rsidR="00FD4FE7">
          <w:rPr>
            <w:noProof/>
            <w:webHidden/>
          </w:rPr>
          <w:t>54</w:t>
        </w:r>
        <w:r w:rsidR="00FD4FE7">
          <w:rPr>
            <w:noProof/>
            <w:webHidden/>
          </w:rPr>
          <w:fldChar w:fldCharType="end"/>
        </w:r>
      </w:hyperlink>
    </w:p>
    <w:p w14:paraId="18AE021C" w14:textId="4F79201A" w:rsidR="00FD4FE7" w:rsidRDefault="00D313CA">
      <w:pPr>
        <w:pStyle w:val="TOC2"/>
        <w:tabs>
          <w:tab w:val="left" w:pos="1077"/>
        </w:tabs>
        <w:rPr>
          <w:rFonts w:asciiTheme="minorHAnsi" w:eastAsiaTheme="minorEastAsia" w:hAnsiTheme="minorHAnsi" w:cstheme="minorBidi"/>
          <w:noProof/>
          <w:sz w:val="22"/>
          <w:szCs w:val="22"/>
          <w:lang w:val="en-IE" w:eastAsia="en-IE"/>
        </w:rPr>
      </w:pPr>
      <w:hyperlink w:anchor="_Toc134086201" w:history="1">
        <w:r w:rsidR="00FD4FE7" w:rsidRPr="00C64228">
          <w:rPr>
            <w:rStyle w:val="Hyperlink"/>
            <w:noProof/>
          </w:rPr>
          <w:t>1.2.</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Postopki za dolgove</w:t>
        </w:r>
        <w:r w:rsidR="00FD4FE7">
          <w:rPr>
            <w:noProof/>
            <w:webHidden/>
          </w:rPr>
          <w:tab/>
        </w:r>
        <w:r w:rsidR="00FD4FE7">
          <w:rPr>
            <w:noProof/>
            <w:webHidden/>
          </w:rPr>
          <w:fldChar w:fldCharType="begin"/>
        </w:r>
        <w:r w:rsidR="00FD4FE7">
          <w:rPr>
            <w:noProof/>
            <w:webHidden/>
          </w:rPr>
          <w:instrText xml:space="preserve"> PAGEREF _Toc134086201 \h </w:instrText>
        </w:r>
        <w:r w:rsidR="00FD4FE7">
          <w:rPr>
            <w:noProof/>
            <w:webHidden/>
          </w:rPr>
        </w:r>
        <w:r w:rsidR="00FD4FE7">
          <w:rPr>
            <w:noProof/>
            <w:webHidden/>
          </w:rPr>
          <w:fldChar w:fldCharType="separate"/>
        </w:r>
        <w:r w:rsidR="00FD4FE7">
          <w:rPr>
            <w:noProof/>
            <w:webHidden/>
          </w:rPr>
          <w:t>55</w:t>
        </w:r>
        <w:r w:rsidR="00FD4FE7">
          <w:rPr>
            <w:noProof/>
            <w:webHidden/>
          </w:rPr>
          <w:fldChar w:fldCharType="end"/>
        </w:r>
      </w:hyperlink>
    </w:p>
    <w:p w14:paraId="66939BC0" w14:textId="008979B0"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202" w:history="1">
        <w:r w:rsidR="00FD4FE7" w:rsidRPr="00C64228">
          <w:rPr>
            <w:rStyle w:val="Hyperlink"/>
            <w:noProof/>
          </w:rPr>
          <w:t>1.2.1.</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Akreditacijska merila – Uredba (EU) 2022/127</w:t>
        </w:r>
        <w:r w:rsidR="00FD4FE7">
          <w:rPr>
            <w:noProof/>
            <w:webHidden/>
          </w:rPr>
          <w:tab/>
        </w:r>
        <w:r w:rsidR="00FD4FE7">
          <w:rPr>
            <w:noProof/>
            <w:webHidden/>
          </w:rPr>
          <w:fldChar w:fldCharType="begin"/>
        </w:r>
        <w:r w:rsidR="00FD4FE7">
          <w:rPr>
            <w:noProof/>
            <w:webHidden/>
          </w:rPr>
          <w:instrText xml:space="preserve"> PAGEREF _Toc134086202 \h </w:instrText>
        </w:r>
        <w:r w:rsidR="00FD4FE7">
          <w:rPr>
            <w:noProof/>
            <w:webHidden/>
          </w:rPr>
        </w:r>
        <w:r w:rsidR="00FD4FE7">
          <w:rPr>
            <w:noProof/>
            <w:webHidden/>
          </w:rPr>
          <w:fldChar w:fldCharType="separate"/>
        </w:r>
        <w:r w:rsidR="00FD4FE7">
          <w:rPr>
            <w:noProof/>
            <w:webHidden/>
          </w:rPr>
          <w:t>55</w:t>
        </w:r>
        <w:r w:rsidR="00FD4FE7">
          <w:rPr>
            <w:noProof/>
            <w:webHidden/>
          </w:rPr>
          <w:fldChar w:fldCharType="end"/>
        </w:r>
      </w:hyperlink>
    </w:p>
    <w:p w14:paraId="47CAFBB4" w14:textId="0D5AC9B1"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203" w:history="1">
        <w:r w:rsidR="00FD4FE7" w:rsidRPr="00C64228">
          <w:rPr>
            <w:rStyle w:val="Hyperlink"/>
            <w:noProof/>
          </w:rPr>
          <w:t>1.2.1.1.</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Knjiga terjatev</w:t>
        </w:r>
        <w:r w:rsidR="00FD4FE7">
          <w:rPr>
            <w:noProof/>
            <w:webHidden/>
          </w:rPr>
          <w:tab/>
        </w:r>
        <w:r w:rsidR="00FD4FE7">
          <w:rPr>
            <w:noProof/>
            <w:webHidden/>
          </w:rPr>
          <w:fldChar w:fldCharType="begin"/>
        </w:r>
        <w:r w:rsidR="00FD4FE7">
          <w:rPr>
            <w:noProof/>
            <w:webHidden/>
          </w:rPr>
          <w:instrText xml:space="preserve"> PAGEREF _Toc134086203 \h </w:instrText>
        </w:r>
        <w:r w:rsidR="00FD4FE7">
          <w:rPr>
            <w:noProof/>
            <w:webHidden/>
          </w:rPr>
        </w:r>
        <w:r w:rsidR="00FD4FE7">
          <w:rPr>
            <w:noProof/>
            <w:webHidden/>
          </w:rPr>
          <w:fldChar w:fldCharType="separate"/>
        </w:r>
        <w:r w:rsidR="00FD4FE7">
          <w:rPr>
            <w:noProof/>
            <w:webHidden/>
          </w:rPr>
          <w:t>56</w:t>
        </w:r>
        <w:r w:rsidR="00FD4FE7">
          <w:rPr>
            <w:noProof/>
            <w:webHidden/>
          </w:rPr>
          <w:fldChar w:fldCharType="end"/>
        </w:r>
      </w:hyperlink>
    </w:p>
    <w:p w14:paraId="5126F1E5" w14:textId="6799950A"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204" w:history="1">
        <w:r w:rsidR="00FD4FE7" w:rsidRPr="00C64228">
          <w:rPr>
            <w:rStyle w:val="Hyperlink"/>
            <w:noProof/>
          </w:rPr>
          <w:t>1.2.1.2.</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Postopki spremljanja (inšpekcijski pregled seznama)</w:t>
        </w:r>
        <w:r w:rsidR="00FD4FE7">
          <w:rPr>
            <w:noProof/>
            <w:webHidden/>
          </w:rPr>
          <w:tab/>
        </w:r>
        <w:r w:rsidR="00FD4FE7">
          <w:rPr>
            <w:noProof/>
            <w:webHidden/>
          </w:rPr>
          <w:fldChar w:fldCharType="begin"/>
        </w:r>
        <w:r w:rsidR="00FD4FE7">
          <w:rPr>
            <w:noProof/>
            <w:webHidden/>
          </w:rPr>
          <w:instrText xml:space="preserve"> PAGEREF _Toc134086204 \h </w:instrText>
        </w:r>
        <w:r w:rsidR="00FD4FE7">
          <w:rPr>
            <w:noProof/>
            <w:webHidden/>
          </w:rPr>
        </w:r>
        <w:r w:rsidR="00FD4FE7">
          <w:rPr>
            <w:noProof/>
            <w:webHidden/>
          </w:rPr>
          <w:fldChar w:fldCharType="separate"/>
        </w:r>
        <w:r w:rsidR="00FD4FE7">
          <w:rPr>
            <w:noProof/>
            <w:webHidden/>
          </w:rPr>
          <w:t>57</w:t>
        </w:r>
        <w:r w:rsidR="00FD4FE7">
          <w:rPr>
            <w:noProof/>
            <w:webHidden/>
          </w:rPr>
          <w:fldChar w:fldCharType="end"/>
        </w:r>
      </w:hyperlink>
    </w:p>
    <w:p w14:paraId="5E1ABF4C" w14:textId="70CD84D3"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205" w:history="1">
        <w:r w:rsidR="00FD4FE7" w:rsidRPr="00C64228">
          <w:rPr>
            <w:rStyle w:val="Hyperlink"/>
            <w:noProof/>
          </w:rPr>
          <w:t>1.2.1.3.</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Seznam preddolžnikov</w:t>
        </w:r>
        <w:r w:rsidR="00FD4FE7">
          <w:rPr>
            <w:noProof/>
            <w:webHidden/>
          </w:rPr>
          <w:tab/>
        </w:r>
        <w:r w:rsidR="00FD4FE7">
          <w:rPr>
            <w:noProof/>
            <w:webHidden/>
          </w:rPr>
          <w:fldChar w:fldCharType="begin"/>
        </w:r>
        <w:r w:rsidR="00FD4FE7">
          <w:rPr>
            <w:noProof/>
            <w:webHidden/>
          </w:rPr>
          <w:instrText xml:space="preserve"> PAGEREF _Toc134086205 \h </w:instrText>
        </w:r>
        <w:r w:rsidR="00FD4FE7">
          <w:rPr>
            <w:noProof/>
            <w:webHidden/>
          </w:rPr>
        </w:r>
        <w:r w:rsidR="00FD4FE7">
          <w:rPr>
            <w:noProof/>
            <w:webHidden/>
          </w:rPr>
          <w:fldChar w:fldCharType="separate"/>
        </w:r>
        <w:r w:rsidR="00FD4FE7">
          <w:rPr>
            <w:noProof/>
            <w:webHidden/>
          </w:rPr>
          <w:t>57</w:t>
        </w:r>
        <w:r w:rsidR="00FD4FE7">
          <w:rPr>
            <w:noProof/>
            <w:webHidden/>
          </w:rPr>
          <w:fldChar w:fldCharType="end"/>
        </w:r>
      </w:hyperlink>
    </w:p>
    <w:p w14:paraId="4329B009" w14:textId="2446D462"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206" w:history="1">
        <w:r w:rsidR="00FD4FE7" w:rsidRPr="00C64228">
          <w:rPr>
            <w:rStyle w:val="Hyperlink"/>
            <w:noProof/>
          </w:rPr>
          <w:t>1.2.2.</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Izterjava dolgov – Uredba (EU) 2022/128</w:t>
        </w:r>
        <w:r w:rsidR="00FD4FE7">
          <w:rPr>
            <w:noProof/>
            <w:webHidden/>
          </w:rPr>
          <w:tab/>
        </w:r>
        <w:r w:rsidR="00FD4FE7">
          <w:rPr>
            <w:noProof/>
            <w:webHidden/>
          </w:rPr>
          <w:fldChar w:fldCharType="begin"/>
        </w:r>
        <w:r w:rsidR="00FD4FE7">
          <w:rPr>
            <w:noProof/>
            <w:webHidden/>
          </w:rPr>
          <w:instrText xml:space="preserve"> PAGEREF _Toc134086206 \h </w:instrText>
        </w:r>
        <w:r w:rsidR="00FD4FE7">
          <w:rPr>
            <w:noProof/>
            <w:webHidden/>
          </w:rPr>
        </w:r>
        <w:r w:rsidR="00FD4FE7">
          <w:rPr>
            <w:noProof/>
            <w:webHidden/>
          </w:rPr>
          <w:fldChar w:fldCharType="separate"/>
        </w:r>
        <w:r w:rsidR="00FD4FE7">
          <w:rPr>
            <w:noProof/>
            <w:webHidden/>
          </w:rPr>
          <w:t>57</w:t>
        </w:r>
        <w:r w:rsidR="00FD4FE7">
          <w:rPr>
            <w:noProof/>
            <w:webHidden/>
          </w:rPr>
          <w:fldChar w:fldCharType="end"/>
        </w:r>
      </w:hyperlink>
    </w:p>
    <w:p w14:paraId="3153128D" w14:textId="59139EEF"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207" w:history="1">
        <w:r w:rsidR="00FD4FE7" w:rsidRPr="00C64228">
          <w:rPr>
            <w:rStyle w:val="Hyperlink"/>
            <w:noProof/>
          </w:rPr>
          <w:t>1.2.2.1.</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Knjiženje in izjava o izterjavah za EKJS in EKSRP</w:t>
        </w:r>
        <w:r w:rsidR="00FD4FE7">
          <w:rPr>
            <w:noProof/>
            <w:webHidden/>
          </w:rPr>
          <w:tab/>
        </w:r>
        <w:r w:rsidR="00FD4FE7">
          <w:rPr>
            <w:noProof/>
            <w:webHidden/>
          </w:rPr>
          <w:fldChar w:fldCharType="begin"/>
        </w:r>
        <w:r w:rsidR="00FD4FE7">
          <w:rPr>
            <w:noProof/>
            <w:webHidden/>
          </w:rPr>
          <w:instrText xml:space="preserve"> PAGEREF _Toc134086207 \h </w:instrText>
        </w:r>
        <w:r w:rsidR="00FD4FE7">
          <w:rPr>
            <w:noProof/>
            <w:webHidden/>
          </w:rPr>
        </w:r>
        <w:r w:rsidR="00FD4FE7">
          <w:rPr>
            <w:noProof/>
            <w:webHidden/>
          </w:rPr>
          <w:fldChar w:fldCharType="separate"/>
        </w:r>
        <w:r w:rsidR="00FD4FE7">
          <w:rPr>
            <w:noProof/>
            <w:webHidden/>
          </w:rPr>
          <w:t>58</w:t>
        </w:r>
        <w:r w:rsidR="00FD4FE7">
          <w:rPr>
            <w:noProof/>
            <w:webHidden/>
          </w:rPr>
          <w:fldChar w:fldCharType="end"/>
        </w:r>
      </w:hyperlink>
    </w:p>
    <w:p w14:paraId="5AFB776C" w14:textId="4E26C457" w:rsidR="00FD4FE7" w:rsidRDefault="00D313CA">
      <w:pPr>
        <w:pStyle w:val="TOC1"/>
        <w:rPr>
          <w:rFonts w:asciiTheme="minorHAnsi" w:eastAsiaTheme="minorEastAsia" w:hAnsiTheme="minorHAnsi" w:cstheme="minorBidi"/>
          <w:caps w:val="0"/>
          <w:noProof/>
          <w:sz w:val="22"/>
          <w:szCs w:val="22"/>
          <w:lang w:val="en-IE" w:eastAsia="en-IE"/>
        </w:rPr>
      </w:pPr>
      <w:hyperlink w:anchor="_Toc134086208" w:history="1">
        <w:r w:rsidR="00FD4FE7" w:rsidRPr="00C64228">
          <w:rPr>
            <w:rStyle w:val="Hyperlink"/>
            <w:noProof/>
          </w:rPr>
          <w:t>DEL 2.  POROČANJE O DOLGU</w:t>
        </w:r>
        <w:r w:rsidR="00FD4FE7">
          <w:rPr>
            <w:noProof/>
            <w:webHidden/>
          </w:rPr>
          <w:tab/>
        </w:r>
        <w:r w:rsidR="00FD4FE7">
          <w:rPr>
            <w:noProof/>
            <w:webHidden/>
          </w:rPr>
          <w:fldChar w:fldCharType="begin"/>
        </w:r>
        <w:r w:rsidR="00FD4FE7">
          <w:rPr>
            <w:noProof/>
            <w:webHidden/>
          </w:rPr>
          <w:instrText xml:space="preserve"> PAGEREF _Toc134086208 \h </w:instrText>
        </w:r>
        <w:r w:rsidR="00FD4FE7">
          <w:rPr>
            <w:noProof/>
            <w:webHidden/>
          </w:rPr>
        </w:r>
        <w:r w:rsidR="00FD4FE7">
          <w:rPr>
            <w:noProof/>
            <w:webHidden/>
          </w:rPr>
          <w:fldChar w:fldCharType="separate"/>
        </w:r>
        <w:r w:rsidR="00FD4FE7">
          <w:rPr>
            <w:noProof/>
            <w:webHidden/>
          </w:rPr>
          <w:t>59</w:t>
        </w:r>
        <w:r w:rsidR="00FD4FE7">
          <w:rPr>
            <w:noProof/>
            <w:webHidden/>
          </w:rPr>
          <w:fldChar w:fldCharType="end"/>
        </w:r>
      </w:hyperlink>
    </w:p>
    <w:p w14:paraId="7C216005" w14:textId="5485DD6D" w:rsidR="00FD4FE7" w:rsidRDefault="00D313CA">
      <w:pPr>
        <w:pStyle w:val="TOC1"/>
        <w:rPr>
          <w:rFonts w:asciiTheme="minorHAnsi" w:eastAsiaTheme="minorEastAsia" w:hAnsiTheme="minorHAnsi" w:cstheme="minorBidi"/>
          <w:caps w:val="0"/>
          <w:noProof/>
          <w:sz w:val="22"/>
          <w:szCs w:val="22"/>
          <w:lang w:val="en-IE" w:eastAsia="en-IE"/>
        </w:rPr>
      </w:pPr>
      <w:hyperlink w:anchor="_Toc134086209" w:history="1">
        <w:r w:rsidR="00FD4FE7" w:rsidRPr="00C64228">
          <w:rPr>
            <w:rStyle w:val="Hyperlink"/>
            <w:noProof/>
          </w:rPr>
          <w:t>2.1. Priprava in potrditev preglednice iz Priloge V k Uredbi (EU) 2022/128</w:t>
        </w:r>
        <w:r w:rsidR="00FD4FE7">
          <w:rPr>
            <w:noProof/>
            <w:webHidden/>
          </w:rPr>
          <w:tab/>
        </w:r>
        <w:r w:rsidR="00FD4FE7">
          <w:rPr>
            <w:noProof/>
            <w:webHidden/>
          </w:rPr>
          <w:fldChar w:fldCharType="begin"/>
        </w:r>
        <w:r w:rsidR="00FD4FE7">
          <w:rPr>
            <w:noProof/>
            <w:webHidden/>
          </w:rPr>
          <w:instrText xml:space="preserve"> PAGEREF _Toc134086209 \h </w:instrText>
        </w:r>
        <w:r w:rsidR="00FD4FE7">
          <w:rPr>
            <w:noProof/>
            <w:webHidden/>
          </w:rPr>
        </w:r>
        <w:r w:rsidR="00FD4FE7">
          <w:rPr>
            <w:noProof/>
            <w:webHidden/>
          </w:rPr>
          <w:fldChar w:fldCharType="separate"/>
        </w:r>
        <w:r w:rsidR="00FD4FE7">
          <w:rPr>
            <w:noProof/>
            <w:webHidden/>
          </w:rPr>
          <w:t>59</w:t>
        </w:r>
        <w:r w:rsidR="00FD4FE7">
          <w:rPr>
            <w:noProof/>
            <w:webHidden/>
          </w:rPr>
          <w:fldChar w:fldCharType="end"/>
        </w:r>
      </w:hyperlink>
    </w:p>
    <w:p w14:paraId="276D8E56" w14:textId="7D6E2945" w:rsidR="00FD4FE7" w:rsidRDefault="00D313CA">
      <w:pPr>
        <w:pStyle w:val="TOC2"/>
        <w:rPr>
          <w:rFonts w:asciiTheme="minorHAnsi" w:eastAsiaTheme="minorEastAsia" w:hAnsiTheme="minorHAnsi" w:cstheme="minorBidi"/>
          <w:noProof/>
          <w:sz w:val="22"/>
          <w:szCs w:val="22"/>
          <w:lang w:val="en-IE" w:eastAsia="en-IE"/>
        </w:rPr>
      </w:pPr>
      <w:hyperlink w:anchor="_Toc134086210" w:history="1">
        <w:r w:rsidR="00FD4FE7" w:rsidRPr="00C64228">
          <w:rPr>
            <w:rStyle w:val="Hyperlink"/>
            <w:noProof/>
          </w:rPr>
          <w:t>2.1.1. Primeri, o katerih se poroča</w:t>
        </w:r>
        <w:r w:rsidR="00FD4FE7">
          <w:rPr>
            <w:noProof/>
            <w:webHidden/>
          </w:rPr>
          <w:tab/>
        </w:r>
        <w:r w:rsidR="00FD4FE7">
          <w:rPr>
            <w:noProof/>
            <w:webHidden/>
          </w:rPr>
          <w:fldChar w:fldCharType="begin"/>
        </w:r>
        <w:r w:rsidR="00FD4FE7">
          <w:rPr>
            <w:noProof/>
            <w:webHidden/>
          </w:rPr>
          <w:instrText xml:space="preserve"> PAGEREF _Toc134086210 \h </w:instrText>
        </w:r>
        <w:r w:rsidR="00FD4FE7">
          <w:rPr>
            <w:noProof/>
            <w:webHidden/>
          </w:rPr>
        </w:r>
        <w:r w:rsidR="00FD4FE7">
          <w:rPr>
            <w:noProof/>
            <w:webHidden/>
          </w:rPr>
          <w:fldChar w:fldCharType="separate"/>
        </w:r>
        <w:r w:rsidR="00FD4FE7">
          <w:rPr>
            <w:noProof/>
            <w:webHidden/>
          </w:rPr>
          <w:t>59</w:t>
        </w:r>
        <w:r w:rsidR="00FD4FE7">
          <w:rPr>
            <w:noProof/>
            <w:webHidden/>
          </w:rPr>
          <w:fldChar w:fldCharType="end"/>
        </w:r>
      </w:hyperlink>
    </w:p>
    <w:p w14:paraId="30FA5016" w14:textId="218554EE" w:rsidR="00FD4FE7" w:rsidRDefault="00D313CA">
      <w:pPr>
        <w:pStyle w:val="TOC2"/>
        <w:rPr>
          <w:rFonts w:asciiTheme="minorHAnsi" w:eastAsiaTheme="minorEastAsia" w:hAnsiTheme="minorHAnsi" w:cstheme="minorBidi"/>
          <w:noProof/>
          <w:sz w:val="22"/>
          <w:szCs w:val="22"/>
          <w:lang w:val="en-IE" w:eastAsia="en-IE"/>
        </w:rPr>
      </w:pPr>
      <w:hyperlink w:anchor="_Toc134086211" w:history="1">
        <w:r w:rsidR="00FD4FE7" w:rsidRPr="00C64228">
          <w:rPr>
            <w:rStyle w:val="Hyperlink"/>
            <w:noProof/>
          </w:rPr>
          <w:t>2.1.2. Vsebina stolpcev</w:t>
        </w:r>
        <w:r w:rsidR="00FD4FE7">
          <w:rPr>
            <w:noProof/>
            <w:webHidden/>
          </w:rPr>
          <w:tab/>
        </w:r>
        <w:r w:rsidR="00FD4FE7">
          <w:rPr>
            <w:noProof/>
            <w:webHidden/>
          </w:rPr>
          <w:fldChar w:fldCharType="begin"/>
        </w:r>
        <w:r w:rsidR="00FD4FE7">
          <w:rPr>
            <w:noProof/>
            <w:webHidden/>
          </w:rPr>
          <w:instrText xml:space="preserve"> PAGEREF _Toc134086211 \h </w:instrText>
        </w:r>
        <w:r w:rsidR="00FD4FE7">
          <w:rPr>
            <w:noProof/>
            <w:webHidden/>
          </w:rPr>
        </w:r>
        <w:r w:rsidR="00FD4FE7">
          <w:rPr>
            <w:noProof/>
            <w:webHidden/>
          </w:rPr>
          <w:fldChar w:fldCharType="separate"/>
        </w:r>
        <w:r w:rsidR="00FD4FE7">
          <w:rPr>
            <w:noProof/>
            <w:webHidden/>
          </w:rPr>
          <w:t>60</w:t>
        </w:r>
        <w:r w:rsidR="00FD4FE7">
          <w:rPr>
            <w:noProof/>
            <w:webHidden/>
          </w:rPr>
          <w:fldChar w:fldCharType="end"/>
        </w:r>
      </w:hyperlink>
    </w:p>
    <w:p w14:paraId="0DDF237A" w14:textId="6AF984FB"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212" w:history="1">
        <w:r w:rsidR="00FD4FE7" w:rsidRPr="00C64228">
          <w:rPr>
            <w:rStyle w:val="Hyperlink"/>
            <w:noProof/>
          </w:rPr>
          <w:t>2.1.2.1.</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(a) – Plačilna agencija</w:t>
        </w:r>
        <w:r w:rsidR="00FD4FE7">
          <w:rPr>
            <w:noProof/>
            <w:webHidden/>
          </w:rPr>
          <w:tab/>
        </w:r>
        <w:r w:rsidR="00FD4FE7">
          <w:rPr>
            <w:noProof/>
            <w:webHidden/>
          </w:rPr>
          <w:fldChar w:fldCharType="begin"/>
        </w:r>
        <w:r w:rsidR="00FD4FE7">
          <w:rPr>
            <w:noProof/>
            <w:webHidden/>
          </w:rPr>
          <w:instrText xml:space="preserve"> PAGEREF _Toc134086212 \h </w:instrText>
        </w:r>
        <w:r w:rsidR="00FD4FE7">
          <w:rPr>
            <w:noProof/>
            <w:webHidden/>
          </w:rPr>
        </w:r>
        <w:r w:rsidR="00FD4FE7">
          <w:rPr>
            <w:noProof/>
            <w:webHidden/>
          </w:rPr>
          <w:fldChar w:fldCharType="separate"/>
        </w:r>
        <w:r w:rsidR="00FD4FE7">
          <w:rPr>
            <w:noProof/>
            <w:webHidden/>
          </w:rPr>
          <w:t>60</w:t>
        </w:r>
        <w:r w:rsidR="00FD4FE7">
          <w:rPr>
            <w:noProof/>
            <w:webHidden/>
          </w:rPr>
          <w:fldChar w:fldCharType="end"/>
        </w:r>
      </w:hyperlink>
    </w:p>
    <w:p w14:paraId="4460BDBC" w14:textId="4CC13253"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213" w:history="1">
        <w:r w:rsidR="00FD4FE7" w:rsidRPr="00C64228">
          <w:rPr>
            <w:rStyle w:val="Hyperlink"/>
            <w:noProof/>
          </w:rPr>
          <w:t>2.1.2.2.</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(b) – Sklad</w:t>
        </w:r>
        <w:r w:rsidR="00FD4FE7">
          <w:rPr>
            <w:noProof/>
            <w:webHidden/>
          </w:rPr>
          <w:tab/>
        </w:r>
        <w:r w:rsidR="00FD4FE7">
          <w:rPr>
            <w:noProof/>
            <w:webHidden/>
          </w:rPr>
          <w:fldChar w:fldCharType="begin"/>
        </w:r>
        <w:r w:rsidR="00FD4FE7">
          <w:rPr>
            <w:noProof/>
            <w:webHidden/>
          </w:rPr>
          <w:instrText xml:space="preserve"> PAGEREF _Toc134086213 \h </w:instrText>
        </w:r>
        <w:r w:rsidR="00FD4FE7">
          <w:rPr>
            <w:noProof/>
            <w:webHidden/>
          </w:rPr>
        </w:r>
        <w:r w:rsidR="00FD4FE7">
          <w:rPr>
            <w:noProof/>
            <w:webHidden/>
          </w:rPr>
          <w:fldChar w:fldCharType="separate"/>
        </w:r>
        <w:r w:rsidR="00FD4FE7">
          <w:rPr>
            <w:noProof/>
            <w:webHidden/>
          </w:rPr>
          <w:t>60</w:t>
        </w:r>
        <w:r w:rsidR="00FD4FE7">
          <w:rPr>
            <w:noProof/>
            <w:webHidden/>
          </w:rPr>
          <w:fldChar w:fldCharType="end"/>
        </w:r>
      </w:hyperlink>
    </w:p>
    <w:p w14:paraId="4E5BBAE6" w14:textId="73724B26"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214" w:history="1">
        <w:r w:rsidR="00FD4FE7" w:rsidRPr="00C64228">
          <w:rPr>
            <w:rStyle w:val="Hyperlink"/>
            <w:noProof/>
          </w:rPr>
          <w:t>2.1.2.3.</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(c) – Denarna enota</w:t>
        </w:r>
        <w:r w:rsidR="00FD4FE7">
          <w:rPr>
            <w:noProof/>
            <w:webHidden/>
          </w:rPr>
          <w:tab/>
        </w:r>
        <w:r w:rsidR="00FD4FE7">
          <w:rPr>
            <w:noProof/>
            <w:webHidden/>
          </w:rPr>
          <w:fldChar w:fldCharType="begin"/>
        </w:r>
        <w:r w:rsidR="00FD4FE7">
          <w:rPr>
            <w:noProof/>
            <w:webHidden/>
          </w:rPr>
          <w:instrText xml:space="preserve"> PAGEREF _Toc134086214 \h </w:instrText>
        </w:r>
        <w:r w:rsidR="00FD4FE7">
          <w:rPr>
            <w:noProof/>
            <w:webHidden/>
          </w:rPr>
        </w:r>
        <w:r w:rsidR="00FD4FE7">
          <w:rPr>
            <w:noProof/>
            <w:webHidden/>
          </w:rPr>
          <w:fldChar w:fldCharType="separate"/>
        </w:r>
        <w:r w:rsidR="00FD4FE7">
          <w:rPr>
            <w:noProof/>
            <w:webHidden/>
          </w:rPr>
          <w:t>60</w:t>
        </w:r>
        <w:r w:rsidR="00FD4FE7">
          <w:rPr>
            <w:noProof/>
            <w:webHidden/>
          </w:rPr>
          <w:fldChar w:fldCharType="end"/>
        </w:r>
      </w:hyperlink>
    </w:p>
    <w:p w14:paraId="301DEF15" w14:textId="587A5804"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215" w:history="1">
        <w:r w:rsidR="00FD4FE7" w:rsidRPr="00C64228">
          <w:rPr>
            <w:rStyle w:val="Hyperlink"/>
            <w:noProof/>
          </w:rPr>
          <w:t>2.1.2.4.</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(d) – Stanje na dan 15. oktobra n – 1</w:t>
        </w:r>
        <w:r w:rsidR="00FD4FE7">
          <w:rPr>
            <w:noProof/>
            <w:webHidden/>
          </w:rPr>
          <w:tab/>
        </w:r>
        <w:r w:rsidR="00FD4FE7">
          <w:rPr>
            <w:noProof/>
            <w:webHidden/>
          </w:rPr>
          <w:fldChar w:fldCharType="begin"/>
        </w:r>
        <w:r w:rsidR="00FD4FE7">
          <w:rPr>
            <w:noProof/>
            <w:webHidden/>
          </w:rPr>
          <w:instrText xml:space="preserve"> PAGEREF _Toc134086215 \h </w:instrText>
        </w:r>
        <w:r w:rsidR="00FD4FE7">
          <w:rPr>
            <w:noProof/>
            <w:webHidden/>
          </w:rPr>
        </w:r>
        <w:r w:rsidR="00FD4FE7">
          <w:rPr>
            <w:noProof/>
            <w:webHidden/>
          </w:rPr>
          <w:fldChar w:fldCharType="separate"/>
        </w:r>
        <w:r w:rsidR="00FD4FE7">
          <w:rPr>
            <w:noProof/>
            <w:webHidden/>
          </w:rPr>
          <w:t>60</w:t>
        </w:r>
        <w:r w:rsidR="00FD4FE7">
          <w:rPr>
            <w:noProof/>
            <w:webHidden/>
          </w:rPr>
          <w:fldChar w:fldCharType="end"/>
        </w:r>
      </w:hyperlink>
    </w:p>
    <w:p w14:paraId="0769D731" w14:textId="36C786E8"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216" w:history="1">
        <w:r w:rsidR="00FD4FE7" w:rsidRPr="00C64228">
          <w:rPr>
            <w:rStyle w:val="Hyperlink"/>
            <w:noProof/>
          </w:rPr>
          <w:t>2.1.2.5.</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(e) – Skupaj novi primeri (leto n)</w:t>
        </w:r>
        <w:r w:rsidR="00FD4FE7">
          <w:rPr>
            <w:noProof/>
            <w:webHidden/>
          </w:rPr>
          <w:tab/>
        </w:r>
        <w:r w:rsidR="00FD4FE7">
          <w:rPr>
            <w:noProof/>
            <w:webHidden/>
          </w:rPr>
          <w:fldChar w:fldCharType="begin"/>
        </w:r>
        <w:r w:rsidR="00FD4FE7">
          <w:rPr>
            <w:noProof/>
            <w:webHidden/>
          </w:rPr>
          <w:instrText xml:space="preserve"> PAGEREF _Toc134086216 \h </w:instrText>
        </w:r>
        <w:r w:rsidR="00FD4FE7">
          <w:rPr>
            <w:noProof/>
            <w:webHidden/>
          </w:rPr>
        </w:r>
        <w:r w:rsidR="00FD4FE7">
          <w:rPr>
            <w:noProof/>
            <w:webHidden/>
          </w:rPr>
          <w:fldChar w:fldCharType="separate"/>
        </w:r>
        <w:r w:rsidR="00FD4FE7">
          <w:rPr>
            <w:noProof/>
            <w:webHidden/>
          </w:rPr>
          <w:t>61</w:t>
        </w:r>
        <w:r w:rsidR="00FD4FE7">
          <w:rPr>
            <w:noProof/>
            <w:webHidden/>
          </w:rPr>
          <w:fldChar w:fldCharType="end"/>
        </w:r>
      </w:hyperlink>
    </w:p>
    <w:p w14:paraId="02712F1F" w14:textId="2723BFA6"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217" w:history="1">
        <w:r w:rsidR="00FD4FE7" w:rsidRPr="00C64228">
          <w:rPr>
            <w:rStyle w:val="Hyperlink"/>
            <w:noProof/>
          </w:rPr>
          <w:t>2.1.2.6.</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(f) – Skupaj popravki (leto n)</w:t>
        </w:r>
        <w:r w:rsidR="00FD4FE7">
          <w:rPr>
            <w:noProof/>
            <w:webHidden/>
          </w:rPr>
          <w:tab/>
        </w:r>
        <w:r w:rsidR="00FD4FE7">
          <w:rPr>
            <w:noProof/>
            <w:webHidden/>
          </w:rPr>
          <w:fldChar w:fldCharType="begin"/>
        </w:r>
        <w:r w:rsidR="00FD4FE7">
          <w:rPr>
            <w:noProof/>
            <w:webHidden/>
          </w:rPr>
          <w:instrText xml:space="preserve"> PAGEREF _Toc134086217 \h </w:instrText>
        </w:r>
        <w:r w:rsidR="00FD4FE7">
          <w:rPr>
            <w:noProof/>
            <w:webHidden/>
          </w:rPr>
        </w:r>
        <w:r w:rsidR="00FD4FE7">
          <w:rPr>
            <w:noProof/>
            <w:webHidden/>
          </w:rPr>
          <w:fldChar w:fldCharType="separate"/>
        </w:r>
        <w:r w:rsidR="00FD4FE7">
          <w:rPr>
            <w:noProof/>
            <w:webHidden/>
          </w:rPr>
          <w:t>61</w:t>
        </w:r>
        <w:r w:rsidR="00FD4FE7">
          <w:rPr>
            <w:noProof/>
            <w:webHidden/>
          </w:rPr>
          <w:fldChar w:fldCharType="end"/>
        </w:r>
      </w:hyperlink>
    </w:p>
    <w:p w14:paraId="4B297434" w14:textId="3D47091F"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218" w:history="1">
        <w:r w:rsidR="00FD4FE7" w:rsidRPr="00C64228">
          <w:rPr>
            <w:rStyle w:val="Hyperlink"/>
            <w:noProof/>
          </w:rPr>
          <w:t>2.1.2.7.</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(g) – Skupaj obresti (leto n)</w:t>
        </w:r>
        <w:r w:rsidR="00FD4FE7">
          <w:rPr>
            <w:noProof/>
            <w:webHidden/>
          </w:rPr>
          <w:tab/>
        </w:r>
        <w:r w:rsidR="00FD4FE7">
          <w:rPr>
            <w:noProof/>
            <w:webHidden/>
          </w:rPr>
          <w:fldChar w:fldCharType="begin"/>
        </w:r>
        <w:r w:rsidR="00FD4FE7">
          <w:rPr>
            <w:noProof/>
            <w:webHidden/>
          </w:rPr>
          <w:instrText xml:space="preserve"> PAGEREF _Toc134086218 \h </w:instrText>
        </w:r>
        <w:r w:rsidR="00FD4FE7">
          <w:rPr>
            <w:noProof/>
            <w:webHidden/>
          </w:rPr>
        </w:r>
        <w:r w:rsidR="00FD4FE7">
          <w:rPr>
            <w:noProof/>
            <w:webHidden/>
          </w:rPr>
          <w:fldChar w:fldCharType="separate"/>
        </w:r>
        <w:r w:rsidR="00FD4FE7">
          <w:rPr>
            <w:noProof/>
            <w:webHidden/>
          </w:rPr>
          <w:t>61</w:t>
        </w:r>
        <w:r w:rsidR="00FD4FE7">
          <w:rPr>
            <w:noProof/>
            <w:webHidden/>
          </w:rPr>
          <w:fldChar w:fldCharType="end"/>
        </w:r>
      </w:hyperlink>
    </w:p>
    <w:p w14:paraId="105BD4B9" w14:textId="69845298"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219" w:history="1">
        <w:r w:rsidR="00FD4FE7" w:rsidRPr="00C64228">
          <w:rPr>
            <w:rStyle w:val="Hyperlink"/>
            <w:noProof/>
          </w:rPr>
          <w:t>2.1.2.8.</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(h) – Skupaj izterjave (leto n)</w:t>
        </w:r>
        <w:r w:rsidR="00FD4FE7">
          <w:rPr>
            <w:noProof/>
            <w:webHidden/>
          </w:rPr>
          <w:tab/>
        </w:r>
        <w:r w:rsidR="00FD4FE7">
          <w:rPr>
            <w:noProof/>
            <w:webHidden/>
          </w:rPr>
          <w:fldChar w:fldCharType="begin"/>
        </w:r>
        <w:r w:rsidR="00FD4FE7">
          <w:rPr>
            <w:noProof/>
            <w:webHidden/>
          </w:rPr>
          <w:instrText xml:space="preserve"> PAGEREF _Toc134086219 \h </w:instrText>
        </w:r>
        <w:r w:rsidR="00FD4FE7">
          <w:rPr>
            <w:noProof/>
            <w:webHidden/>
          </w:rPr>
        </w:r>
        <w:r w:rsidR="00FD4FE7">
          <w:rPr>
            <w:noProof/>
            <w:webHidden/>
          </w:rPr>
          <w:fldChar w:fldCharType="separate"/>
        </w:r>
        <w:r w:rsidR="00FD4FE7">
          <w:rPr>
            <w:noProof/>
            <w:webHidden/>
          </w:rPr>
          <w:t>61</w:t>
        </w:r>
        <w:r w:rsidR="00FD4FE7">
          <w:rPr>
            <w:noProof/>
            <w:webHidden/>
          </w:rPr>
          <w:fldChar w:fldCharType="end"/>
        </w:r>
      </w:hyperlink>
    </w:p>
    <w:p w14:paraId="2DFC81EB" w14:textId="62B79318"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220" w:history="1">
        <w:r w:rsidR="00FD4FE7" w:rsidRPr="00C64228">
          <w:rPr>
            <w:rStyle w:val="Hyperlink"/>
            <w:noProof/>
          </w:rPr>
          <w:t>2.1.2.9.</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(i) – Skupaj neizterljivi zneski (leto n)</w:t>
        </w:r>
        <w:r w:rsidR="00FD4FE7">
          <w:rPr>
            <w:noProof/>
            <w:webHidden/>
          </w:rPr>
          <w:tab/>
        </w:r>
        <w:r w:rsidR="00FD4FE7">
          <w:rPr>
            <w:noProof/>
            <w:webHidden/>
          </w:rPr>
          <w:fldChar w:fldCharType="begin"/>
        </w:r>
        <w:r w:rsidR="00FD4FE7">
          <w:rPr>
            <w:noProof/>
            <w:webHidden/>
          </w:rPr>
          <w:instrText xml:space="preserve"> PAGEREF _Toc134086220 \h </w:instrText>
        </w:r>
        <w:r w:rsidR="00FD4FE7">
          <w:rPr>
            <w:noProof/>
            <w:webHidden/>
          </w:rPr>
        </w:r>
        <w:r w:rsidR="00FD4FE7">
          <w:rPr>
            <w:noProof/>
            <w:webHidden/>
          </w:rPr>
          <w:fldChar w:fldCharType="separate"/>
        </w:r>
        <w:r w:rsidR="00FD4FE7">
          <w:rPr>
            <w:noProof/>
            <w:webHidden/>
          </w:rPr>
          <w:t>61</w:t>
        </w:r>
        <w:r w:rsidR="00FD4FE7">
          <w:rPr>
            <w:noProof/>
            <w:webHidden/>
          </w:rPr>
          <w:fldChar w:fldCharType="end"/>
        </w:r>
      </w:hyperlink>
    </w:p>
    <w:p w14:paraId="4B10DD80" w14:textId="7F421C33"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221" w:history="1">
        <w:r w:rsidR="00FD4FE7" w:rsidRPr="00C64228">
          <w:rPr>
            <w:rStyle w:val="Hyperlink"/>
            <w:noProof/>
          </w:rPr>
          <w:t>2.1.2.10.</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Stolpec (j) – Znesek, ki ga je treba izterjati na dan 15. oktobra leta n</w:t>
        </w:r>
        <w:r w:rsidR="00FD4FE7">
          <w:rPr>
            <w:noProof/>
            <w:webHidden/>
          </w:rPr>
          <w:tab/>
        </w:r>
        <w:r w:rsidR="00FD4FE7">
          <w:rPr>
            <w:noProof/>
            <w:webHidden/>
          </w:rPr>
          <w:fldChar w:fldCharType="begin"/>
        </w:r>
        <w:r w:rsidR="00FD4FE7">
          <w:rPr>
            <w:noProof/>
            <w:webHidden/>
          </w:rPr>
          <w:instrText xml:space="preserve"> PAGEREF _Toc134086221 \h </w:instrText>
        </w:r>
        <w:r w:rsidR="00FD4FE7">
          <w:rPr>
            <w:noProof/>
            <w:webHidden/>
          </w:rPr>
        </w:r>
        <w:r w:rsidR="00FD4FE7">
          <w:rPr>
            <w:noProof/>
            <w:webHidden/>
          </w:rPr>
          <w:fldChar w:fldCharType="separate"/>
        </w:r>
        <w:r w:rsidR="00FD4FE7">
          <w:rPr>
            <w:noProof/>
            <w:webHidden/>
          </w:rPr>
          <w:t>62</w:t>
        </w:r>
        <w:r w:rsidR="00FD4FE7">
          <w:rPr>
            <w:noProof/>
            <w:webHidden/>
          </w:rPr>
          <w:fldChar w:fldCharType="end"/>
        </w:r>
      </w:hyperlink>
    </w:p>
    <w:p w14:paraId="610E5C21" w14:textId="7E550AEB" w:rsidR="00FD4FE7" w:rsidRDefault="00D313CA">
      <w:pPr>
        <w:pStyle w:val="TOC2"/>
        <w:rPr>
          <w:rFonts w:asciiTheme="minorHAnsi" w:eastAsiaTheme="minorEastAsia" w:hAnsiTheme="minorHAnsi" w:cstheme="minorBidi"/>
          <w:noProof/>
          <w:sz w:val="22"/>
          <w:szCs w:val="22"/>
          <w:lang w:val="en-IE" w:eastAsia="en-IE"/>
        </w:rPr>
      </w:pPr>
      <w:hyperlink w:anchor="_Toc134086222" w:history="1">
        <w:r w:rsidR="00FD4FE7" w:rsidRPr="00C64228">
          <w:rPr>
            <w:rStyle w:val="Hyperlink"/>
            <w:noProof/>
          </w:rPr>
          <w:t>2.1.3. Potrditev preglednice iz Priloge V</w:t>
        </w:r>
        <w:r w:rsidR="00FD4FE7">
          <w:rPr>
            <w:noProof/>
            <w:webHidden/>
          </w:rPr>
          <w:tab/>
        </w:r>
        <w:r w:rsidR="00FD4FE7">
          <w:rPr>
            <w:noProof/>
            <w:webHidden/>
          </w:rPr>
          <w:fldChar w:fldCharType="begin"/>
        </w:r>
        <w:r w:rsidR="00FD4FE7">
          <w:rPr>
            <w:noProof/>
            <w:webHidden/>
          </w:rPr>
          <w:instrText xml:space="preserve"> PAGEREF _Toc134086222 \h </w:instrText>
        </w:r>
        <w:r w:rsidR="00FD4FE7">
          <w:rPr>
            <w:noProof/>
            <w:webHidden/>
          </w:rPr>
        </w:r>
        <w:r w:rsidR="00FD4FE7">
          <w:rPr>
            <w:noProof/>
            <w:webHidden/>
          </w:rPr>
          <w:fldChar w:fldCharType="separate"/>
        </w:r>
        <w:r w:rsidR="00FD4FE7">
          <w:rPr>
            <w:noProof/>
            <w:webHidden/>
          </w:rPr>
          <w:t>62</w:t>
        </w:r>
        <w:r w:rsidR="00FD4FE7">
          <w:rPr>
            <w:noProof/>
            <w:webHidden/>
          </w:rPr>
          <w:fldChar w:fldCharType="end"/>
        </w:r>
      </w:hyperlink>
    </w:p>
    <w:p w14:paraId="7EF135A7" w14:textId="43D67D6A"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223" w:history="1">
        <w:r w:rsidR="00FD4FE7" w:rsidRPr="00C64228">
          <w:rPr>
            <w:rStyle w:val="Hyperlink"/>
            <w:noProof/>
          </w:rPr>
          <w:t>2.1.4</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Primer</w:t>
        </w:r>
        <w:r w:rsidR="00FD4FE7">
          <w:rPr>
            <w:noProof/>
            <w:webHidden/>
          </w:rPr>
          <w:tab/>
        </w:r>
        <w:r w:rsidR="00FD4FE7">
          <w:rPr>
            <w:noProof/>
            <w:webHidden/>
          </w:rPr>
          <w:fldChar w:fldCharType="begin"/>
        </w:r>
        <w:r w:rsidR="00FD4FE7">
          <w:rPr>
            <w:noProof/>
            <w:webHidden/>
          </w:rPr>
          <w:instrText xml:space="preserve"> PAGEREF _Toc134086223 \h </w:instrText>
        </w:r>
        <w:r w:rsidR="00FD4FE7">
          <w:rPr>
            <w:noProof/>
            <w:webHidden/>
          </w:rPr>
        </w:r>
        <w:r w:rsidR="00FD4FE7">
          <w:rPr>
            <w:noProof/>
            <w:webHidden/>
          </w:rPr>
          <w:fldChar w:fldCharType="separate"/>
        </w:r>
        <w:r w:rsidR="00FD4FE7">
          <w:rPr>
            <w:noProof/>
            <w:webHidden/>
          </w:rPr>
          <w:t>62</w:t>
        </w:r>
        <w:r w:rsidR="00FD4FE7">
          <w:rPr>
            <w:noProof/>
            <w:webHidden/>
          </w:rPr>
          <w:fldChar w:fldCharType="end"/>
        </w:r>
      </w:hyperlink>
    </w:p>
    <w:p w14:paraId="06A43571" w14:textId="714A6F3B" w:rsidR="00FD4FE7" w:rsidRDefault="00D313CA">
      <w:pPr>
        <w:pStyle w:val="TOC2"/>
        <w:tabs>
          <w:tab w:val="left" w:pos="1916"/>
        </w:tabs>
        <w:rPr>
          <w:rFonts w:asciiTheme="minorHAnsi" w:eastAsiaTheme="minorEastAsia" w:hAnsiTheme="minorHAnsi" w:cstheme="minorBidi"/>
          <w:noProof/>
          <w:sz w:val="22"/>
          <w:szCs w:val="22"/>
          <w:lang w:val="en-IE" w:eastAsia="en-IE"/>
        </w:rPr>
      </w:pPr>
      <w:hyperlink w:anchor="_Toc134086224" w:history="1">
        <w:r w:rsidR="00FD4FE7" w:rsidRPr="00C64228">
          <w:rPr>
            <w:rStyle w:val="Hyperlink"/>
            <w:noProof/>
          </w:rPr>
          <w:t>2.1.5</w:t>
        </w:r>
        <w:r w:rsidR="00FD4FE7">
          <w:rPr>
            <w:rFonts w:asciiTheme="minorHAnsi" w:eastAsiaTheme="minorEastAsia" w:hAnsiTheme="minorHAnsi" w:cstheme="minorBidi"/>
            <w:noProof/>
            <w:sz w:val="22"/>
            <w:szCs w:val="22"/>
            <w:lang w:val="en-IE" w:eastAsia="en-IE"/>
          </w:rPr>
          <w:tab/>
        </w:r>
        <w:r w:rsidR="00FD4FE7" w:rsidRPr="00C64228">
          <w:rPr>
            <w:rStyle w:val="Hyperlink"/>
            <w:noProof/>
          </w:rPr>
          <w:t>Prenos</w:t>
        </w:r>
        <w:r w:rsidR="00FD4FE7">
          <w:rPr>
            <w:noProof/>
            <w:webHidden/>
          </w:rPr>
          <w:tab/>
        </w:r>
        <w:r w:rsidR="00FD4FE7">
          <w:rPr>
            <w:noProof/>
            <w:webHidden/>
          </w:rPr>
          <w:fldChar w:fldCharType="begin"/>
        </w:r>
        <w:r w:rsidR="00FD4FE7">
          <w:rPr>
            <w:noProof/>
            <w:webHidden/>
          </w:rPr>
          <w:instrText xml:space="preserve"> PAGEREF _Toc134086224 \h </w:instrText>
        </w:r>
        <w:r w:rsidR="00FD4FE7">
          <w:rPr>
            <w:noProof/>
            <w:webHidden/>
          </w:rPr>
        </w:r>
        <w:r w:rsidR="00FD4FE7">
          <w:rPr>
            <w:noProof/>
            <w:webHidden/>
          </w:rPr>
          <w:fldChar w:fldCharType="separate"/>
        </w:r>
        <w:r w:rsidR="00FD4FE7">
          <w:rPr>
            <w:noProof/>
            <w:webHidden/>
          </w:rPr>
          <w:t>62</w:t>
        </w:r>
        <w:r w:rsidR="00FD4FE7">
          <w:rPr>
            <w:noProof/>
            <w:webHidden/>
          </w:rPr>
          <w:fldChar w:fldCharType="end"/>
        </w:r>
      </w:hyperlink>
    </w:p>
    <w:p w14:paraId="64A2E792" w14:textId="3D89068B" w:rsidR="00FD4FE7" w:rsidRDefault="00D313CA">
      <w:pPr>
        <w:pStyle w:val="TOC2"/>
        <w:rPr>
          <w:rFonts w:asciiTheme="minorHAnsi" w:eastAsiaTheme="minorEastAsia" w:hAnsiTheme="minorHAnsi" w:cstheme="minorBidi"/>
          <w:noProof/>
          <w:sz w:val="22"/>
          <w:szCs w:val="22"/>
          <w:lang w:val="en-IE" w:eastAsia="en-IE"/>
        </w:rPr>
      </w:pPr>
      <w:hyperlink w:anchor="_Toc134086225" w:history="1">
        <w:r w:rsidR="00FD4FE7" w:rsidRPr="00C64228">
          <w:rPr>
            <w:rStyle w:val="Hyperlink"/>
            <w:noProof/>
          </w:rPr>
          <w:t>Priloga 7: Vzorčna preglednica iz člena 32(1), točka (f), Uredbe (EU) 2022/128</w:t>
        </w:r>
        <w:r w:rsidR="00FD4FE7">
          <w:rPr>
            <w:noProof/>
            <w:webHidden/>
          </w:rPr>
          <w:tab/>
        </w:r>
        <w:r w:rsidR="00FD4FE7">
          <w:rPr>
            <w:noProof/>
            <w:webHidden/>
          </w:rPr>
          <w:fldChar w:fldCharType="begin"/>
        </w:r>
        <w:r w:rsidR="00FD4FE7">
          <w:rPr>
            <w:noProof/>
            <w:webHidden/>
          </w:rPr>
          <w:instrText xml:space="preserve"> PAGEREF _Toc134086225 \h </w:instrText>
        </w:r>
        <w:r w:rsidR="00FD4FE7">
          <w:rPr>
            <w:noProof/>
            <w:webHidden/>
          </w:rPr>
        </w:r>
        <w:r w:rsidR="00FD4FE7">
          <w:rPr>
            <w:noProof/>
            <w:webHidden/>
          </w:rPr>
          <w:fldChar w:fldCharType="separate"/>
        </w:r>
        <w:r w:rsidR="00FD4FE7">
          <w:rPr>
            <w:noProof/>
            <w:webHidden/>
          </w:rPr>
          <w:t>63</w:t>
        </w:r>
        <w:r w:rsidR="00FD4FE7">
          <w:rPr>
            <w:noProof/>
            <w:webHidden/>
          </w:rPr>
          <w:fldChar w:fldCharType="end"/>
        </w:r>
      </w:hyperlink>
    </w:p>
    <w:p w14:paraId="374A395E" w14:textId="589ABCBB" w:rsidR="00DB3F3D" w:rsidRDefault="000C0F2B">
      <w:r>
        <w:rPr>
          <w:caps/>
        </w:rPr>
        <w:fldChar w:fldCharType="end"/>
      </w:r>
      <w:r>
        <w:br w:type="page"/>
      </w:r>
    </w:p>
    <w:p w14:paraId="35878E23" w14:textId="77777777" w:rsidR="00DB3F3D" w:rsidRDefault="000C0F2B">
      <w:pPr>
        <w:pStyle w:val="Heading1"/>
        <w:overflowPunct w:val="0"/>
        <w:autoSpaceDE w:val="0"/>
        <w:autoSpaceDN w:val="0"/>
        <w:adjustRightInd w:val="0"/>
        <w:ind w:left="482" w:hanging="482"/>
        <w:textAlignment w:val="baseline"/>
        <w:rPr>
          <w:szCs w:val="24"/>
        </w:rPr>
      </w:pPr>
      <w:bookmarkStart w:id="2" w:name="_Toc134086078"/>
      <w:r>
        <w:lastRenderedPageBreak/>
        <w:t>Uvod</w:t>
      </w:r>
      <w:bookmarkEnd w:id="1"/>
      <w:bookmarkEnd w:id="2"/>
    </w:p>
    <w:p w14:paraId="2C649707" w14:textId="77777777" w:rsidR="00DB3F3D" w:rsidRDefault="000C0F2B">
      <w:pPr>
        <w:pStyle w:val="Text1"/>
        <w:ind w:left="0" w:firstLine="0"/>
      </w:pPr>
      <w:r>
        <w:t>Namen tega dokumenta je zagotoviti smernice v zvezi z upravljanjem dolga in poročanjem o dolgu v okviru Uredbe (EU) št. 1306/2013 Evropskega parlamenta in Sveta z dne 17. decembra 2013 (v nadaljnjem besedilu: Uredba (EU) št. 1306/2013) in Uredbe (EU) 2021/2116 Evropskega parlamenta in Sveta z dne 2. decembra 2021 (v nadaljnjem besedilu: Uredba (EU) 2021/2116).</w:t>
      </w:r>
    </w:p>
    <w:p w14:paraId="2A02B7DE" w14:textId="77777777" w:rsidR="00DB3F3D" w:rsidRDefault="000C0F2B">
      <w:pPr>
        <w:pStyle w:val="Text1"/>
        <w:ind w:left="0" w:firstLine="0"/>
      </w:pPr>
      <w:r>
        <w:t xml:space="preserve">V skladu z obema pravnima okviroma morajo države članice zagotoviti sistem upravljanja in kontrol, ki zagotavlja pravočasno priznavanje neupravičenih plačil ter ustrezno nadaljnje ukrepanje v zvezi z njimi in finančno poročanje Komisiji. V novem pravnem okviru se je spremenila raven poročanja v zvezi z dolgovi, ki nastanejo v zvezi z odhodki od proračunskega leta 2023 naprej (in kot je podrobneje opredeljeno v nadaljevanju). Vendar bi bilo treba ohraniti obstoječe dolgotrajne postopke in sisteme držav članic za upravljanje dolga, kot je podrobneje opredeljeno v teh smernicah. </w:t>
      </w:r>
    </w:p>
    <w:p w14:paraId="45548EB3" w14:textId="77777777" w:rsidR="00DB3F3D" w:rsidRDefault="000C0F2B">
      <w:pPr>
        <w:pStyle w:val="Text1"/>
        <w:ind w:left="0" w:firstLine="0"/>
      </w:pPr>
      <w:r>
        <w:t>Sistem finančne odgovornosti iz člena 54(2) Uredbe (EU) št. 1306/2013 (t. i. pravilo 50/50) in druge določbe iz tega člena, ki se nanašajo na spremljanje postopkov izterjave</w:t>
      </w:r>
      <w:r>
        <w:rPr>
          <w:rStyle w:val="FootnoteReference"/>
          <w:lang w:eastAsia="en-GB"/>
        </w:rPr>
        <w:footnoteReference w:id="1"/>
      </w:r>
      <w:r>
        <w:t>, so bili razveljavljeni z Uredbo (EU) 2021/2116</w:t>
      </w:r>
      <w:r>
        <w:rPr>
          <w:rStyle w:val="FootnoteReference"/>
          <w:lang w:eastAsia="en-GB"/>
        </w:rPr>
        <w:footnoteReference w:id="2"/>
      </w:r>
      <w:r>
        <w:t xml:space="preserve">. </w:t>
      </w:r>
    </w:p>
    <w:p w14:paraId="57F334B4" w14:textId="77777777" w:rsidR="00DB3F3D" w:rsidRDefault="000C0F2B">
      <w:pPr>
        <w:pStyle w:val="Text1"/>
        <w:ind w:left="0" w:firstLine="0"/>
      </w:pPr>
      <w:r>
        <w:t xml:space="preserve">Uredba (EU) 2021/2116 je začela veljati dan po objavi v </w:t>
      </w:r>
      <w:r>
        <w:rPr>
          <w:i/>
          <w:iCs/>
        </w:rPr>
        <w:t>Uradnem listu Evropske unije</w:t>
      </w:r>
      <w:r>
        <w:t xml:space="preserve"> in se uporablja od 1. januarja 2023</w:t>
      </w:r>
      <w:r>
        <w:rPr>
          <w:rStyle w:val="FootnoteReference"/>
          <w:lang w:eastAsia="en-GB"/>
        </w:rPr>
        <w:footnoteReference w:id="3"/>
      </w:r>
      <w:r>
        <w:t xml:space="preserve">.  </w:t>
      </w:r>
    </w:p>
    <w:p w14:paraId="2839C8C4" w14:textId="77777777" w:rsidR="00DB3F3D" w:rsidRDefault="000C0F2B">
      <w:pPr>
        <w:pStyle w:val="Text1"/>
        <w:ind w:left="0" w:firstLine="0"/>
      </w:pPr>
      <w:r>
        <w:t>Vendar se, kot je določeno v členu 104(1)(a)(i), (ii), (iii) in (iv) navedene uredbe, člen 54 (in več drugih določb) Uredbe (EU) št. 1306/2013 še naprej uporablja:</w:t>
      </w:r>
    </w:p>
    <w:p w14:paraId="4BD7C5D8" w14:textId="77777777" w:rsidR="00DB3F3D" w:rsidRDefault="000C0F2B">
      <w:pPr>
        <w:pStyle w:val="Text1"/>
        <w:numPr>
          <w:ilvl w:val="0"/>
          <w:numId w:val="24"/>
        </w:numPr>
        <w:spacing w:after="0"/>
        <w:rPr>
          <w:i/>
        </w:rPr>
      </w:pPr>
      <w:r>
        <w:rPr>
          <w:i/>
        </w:rPr>
        <w:t xml:space="preserve">v zvezi z nastalimi odhodki in plačili za sheme podpore na podlagi </w:t>
      </w:r>
      <w:r>
        <w:rPr>
          <w:b/>
          <w:i/>
        </w:rPr>
        <w:t>Uredbe (EU) št. 1307/2013</w:t>
      </w:r>
      <w:r>
        <w:rPr>
          <w:i/>
        </w:rPr>
        <w:t xml:space="preserve"> za </w:t>
      </w:r>
      <w:r>
        <w:rPr>
          <w:b/>
          <w:i/>
        </w:rPr>
        <w:t>koledarsko leto 2022 in prej</w:t>
      </w:r>
      <w:r>
        <w:rPr>
          <w:i/>
        </w:rPr>
        <w:t>;</w:t>
      </w:r>
    </w:p>
    <w:p w14:paraId="2FCDC39D" w14:textId="77777777" w:rsidR="00DB3F3D" w:rsidRDefault="00DB3F3D">
      <w:pPr>
        <w:pStyle w:val="Text1"/>
        <w:spacing w:after="0"/>
        <w:ind w:left="720" w:firstLine="0"/>
        <w:rPr>
          <w:i/>
          <w:sz w:val="16"/>
          <w:szCs w:val="12"/>
          <w:lang w:eastAsia="en-GB"/>
        </w:rPr>
      </w:pPr>
    </w:p>
    <w:p w14:paraId="03D63734" w14:textId="77777777" w:rsidR="00DB3F3D" w:rsidRDefault="000C0F2B">
      <w:pPr>
        <w:pStyle w:val="Text1"/>
        <w:numPr>
          <w:ilvl w:val="0"/>
          <w:numId w:val="24"/>
        </w:numPr>
        <w:spacing w:after="0"/>
        <w:rPr>
          <w:i/>
        </w:rPr>
      </w:pPr>
      <w:r>
        <w:rPr>
          <w:i/>
        </w:rPr>
        <w:t xml:space="preserve">za ukrepe, ki so se izvajali na podlagi </w:t>
      </w:r>
      <w:r>
        <w:rPr>
          <w:b/>
          <w:i/>
        </w:rPr>
        <w:t>uredb (EU) št. 228/2013, (EU) št. 229/2013, (EU) št. 1308/2013 in (EU) št. 1144/2014 do 31. decembra 2022</w:t>
      </w:r>
      <w:r>
        <w:rPr>
          <w:i/>
        </w:rPr>
        <w:t xml:space="preserve">; </w:t>
      </w:r>
    </w:p>
    <w:p w14:paraId="4C107F36" w14:textId="77777777" w:rsidR="00DB3F3D" w:rsidRDefault="00DB3F3D">
      <w:pPr>
        <w:pStyle w:val="ListParagraph"/>
        <w:rPr>
          <w:rFonts w:ascii="Times New Roman" w:hAnsi="Times New Roman"/>
          <w:i/>
          <w:sz w:val="16"/>
          <w:szCs w:val="16"/>
          <w:lang w:eastAsia="en-GB"/>
        </w:rPr>
      </w:pPr>
    </w:p>
    <w:p w14:paraId="2FED12BC" w14:textId="77777777" w:rsidR="00DB3F3D" w:rsidRDefault="000C0F2B">
      <w:pPr>
        <w:pStyle w:val="Text1"/>
        <w:numPr>
          <w:ilvl w:val="0"/>
          <w:numId w:val="24"/>
        </w:numPr>
        <w:spacing w:after="0"/>
        <w:rPr>
          <w:i/>
        </w:rPr>
      </w:pPr>
      <w:r>
        <w:rPr>
          <w:i/>
        </w:rPr>
        <w:t xml:space="preserve">za sheme pomoči iz člena 5(6), prvi pododstavek, točka (c), in člena 5(7) Uredbe (EU) 2021/2117 Evropskega parlamenta in Sveta (36) v zvezi z nastalimi odhodki in plačili za dejavnosti, ki so se izvajale v skladu z Uredbo (EU) št. 1308/2013 </w:t>
      </w:r>
      <w:r>
        <w:rPr>
          <w:b/>
          <w:i/>
        </w:rPr>
        <w:t>po 31. decembru 2022 in do izteka teh shem pomoči</w:t>
      </w:r>
      <w:r>
        <w:rPr>
          <w:i/>
        </w:rPr>
        <w:t xml:space="preserve">, ter </w:t>
      </w:r>
    </w:p>
    <w:p w14:paraId="34F48127" w14:textId="77777777" w:rsidR="00DB3F3D" w:rsidRDefault="00DB3F3D">
      <w:pPr>
        <w:pStyle w:val="ListParagraph"/>
        <w:rPr>
          <w:rFonts w:ascii="Times New Roman" w:hAnsi="Times New Roman"/>
          <w:i/>
          <w:sz w:val="16"/>
          <w:szCs w:val="16"/>
          <w:lang w:eastAsia="en-GB"/>
        </w:rPr>
      </w:pPr>
    </w:p>
    <w:p w14:paraId="230B7A41" w14:textId="77777777" w:rsidR="00DB3F3D" w:rsidRDefault="000C0F2B">
      <w:pPr>
        <w:pStyle w:val="Text1"/>
        <w:numPr>
          <w:ilvl w:val="0"/>
          <w:numId w:val="24"/>
        </w:numPr>
        <w:spacing w:after="0"/>
        <w:rPr>
          <w:i/>
        </w:rPr>
      </w:pPr>
      <w:r>
        <w:rPr>
          <w:i/>
        </w:rPr>
        <w:t xml:space="preserve">glede EKSRP v zvezi z odhodki, ki so jih imeli upravičenci, in plačili, ki jih je plačilna agencija plačala v okviru izvajanja programov razvoja podeželja </w:t>
      </w:r>
      <w:r>
        <w:rPr>
          <w:b/>
          <w:i/>
        </w:rPr>
        <w:t>v skladu z Uredbo (EU) št. 1305/2013</w:t>
      </w:r>
      <w:r>
        <w:rPr>
          <w:i/>
        </w:rPr>
        <w:t>.</w:t>
      </w:r>
    </w:p>
    <w:p w14:paraId="0A5DD53A" w14:textId="77777777" w:rsidR="00DB3F3D" w:rsidRDefault="00DB3F3D">
      <w:pPr>
        <w:pStyle w:val="Text1"/>
        <w:spacing w:after="0"/>
        <w:ind w:left="0" w:firstLine="0"/>
        <w:rPr>
          <w:lang w:eastAsia="en-GB"/>
        </w:rPr>
      </w:pPr>
    </w:p>
    <w:p w14:paraId="4CC9BBBB" w14:textId="77777777" w:rsidR="00DB3F3D" w:rsidRDefault="000C0F2B">
      <w:pPr>
        <w:pStyle w:val="Text1"/>
        <w:spacing w:after="0"/>
        <w:ind w:left="0" w:firstLine="0"/>
      </w:pPr>
      <w:r>
        <w:t xml:space="preserve">Poleg tega odstavek 104(1)(c) Uredbe (EU) 2021/2116 določa, da </w:t>
      </w:r>
      <w:r>
        <w:rPr>
          <w:i/>
        </w:rPr>
        <w:t>se člen 54(2) Uredbe (EU) št. 1306/2013 še naprej uporablja v zvezi s prejemki, prijavljenimi v okviru izvajanja programov razvoja podeželja, ki jih odobri Komisija na podlagi</w:t>
      </w:r>
      <w:r>
        <w:rPr>
          <w:b/>
          <w:i/>
        </w:rPr>
        <w:t xml:space="preserve"> Uredbe (EU) št. 1305/2013, Uredbe (ES) št. 1698/2005</w:t>
      </w:r>
      <w:r>
        <w:rPr>
          <w:i/>
        </w:rPr>
        <w:t xml:space="preserve"> in </w:t>
      </w:r>
      <w:r>
        <w:rPr>
          <w:b/>
          <w:i/>
        </w:rPr>
        <w:t>Uredbe Komisije (ES) št. 27/2004</w:t>
      </w:r>
      <w:r>
        <w:t>.</w:t>
      </w:r>
    </w:p>
    <w:p w14:paraId="7233CE78" w14:textId="77777777" w:rsidR="00DB3F3D" w:rsidRDefault="000C0F2B">
      <w:pPr>
        <w:pStyle w:val="Text1"/>
        <w:spacing w:after="0"/>
        <w:ind w:left="0" w:firstLine="0"/>
      </w:pPr>
      <w:r>
        <w:t>Po drugi strani je bilo poročanje o dolgu Komisiji v skladu z Uredbo (EU) št. 1306/2013 in Izvedbeno uredbo Komisije (EU) št. 908/2014</w:t>
      </w:r>
      <w:r>
        <w:rPr>
          <w:rStyle w:val="FootnoteReference"/>
          <w:lang w:eastAsia="en-GB"/>
        </w:rPr>
        <w:footnoteReference w:id="4"/>
      </w:r>
      <w:r>
        <w:t xml:space="preserve"> znatno poenostavljeno v zvezi z odhodki, </w:t>
      </w:r>
      <w:r>
        <w:lastRenderedPageBreak/>
        <w:t xml:space="preserve">ki so nastali od 1. januarja 2023 ali proračunskega leta 2023 in niso zajeti v členu 104(1)(a)(i), (ii), (iii) in (iv) Uredbe (EU) 2021/2116. </w:t>
      </w:r>
    </w:p>
    <w:p w14:paraId="4884D41E" w14:textId="77777777" w:rsidR="00DB3F3D" w:rsidRDefault="00DB3F3D">
      <w:pPr>
        <w:pStyle w:val="Text1"/>
        <w:spacing w:after="0"/>
        <w:ind w:left="0" w:firstLine="0"/>
        <w:rPr>
          <w:lang w:eastAsia="en-GB"/>
        </w:rPr>
      </w:pPr>
    </w:p>
    <w:p w14:paraId="2ACA6CEC" w14:textId="77777777" w:rsidR="00DB3F3D" w:rsidRDefault="000C0F2B">
      <w:pPr>
        <w:pStyle w:val="Text1"/>
        <w:spacing w:after="0"/>
        <w:ind w:left="0" w:firstLine="0"/>
        <w:rPr>
          <w:b/>
          <w:i/>
        </w:rPr>
      </w:pPr>
      <w:r>
        <w:rPr>
          <w:b/>
          <w:i/>
          <w:u w:val="single"/>
        </w:rPr>
        <w:t>Poročanje v skladu s sedanjimi pravili, ki ostajajo v veljavi za del odhodkov</w:t>
      </w:r>
      <w:r>
        <w:rPr>
          <w:b/>
          <w:u w:val="single"/>
        </w:rPr>
        <w:t xml:space="preserve"> (zajetih v členu 104(1)(a)(i), (ii), (iii) in (iv) Uredbe (EU) 2021/2116)</w:t>
      </w:r>
      <w:r>
        <w:rPr>
          <w:b/>
          <w:i/>
        </w:rPr>
        <w:t>:</w:t>
      </w:r>
    </w:p>
    <w:p w14:paraId="32C17466" w14:textId="77777777" w:rsidR="00DB3F3D" w:rsidRDefault="00DB3F3D">
      <w:pPr>
        <w:pStyle w:val="Text1"/>
        <w:spacing w:after="0"/>
        <w:ind w:left="0" w:firstLine="0"/>
        <w:rPr>
          <w:lang w:eastAsia="en-GB"/>
        </w:rPr>
      </w:pPr>
    </w:p>
    <w:p w14:paraId="429B3EA7" w14:textId="77777777" w:rsidR="00DB3F3D" w:rsidRDefault="000C0F2B">
      <w:pPr>
        <w:pStyle w:val="Text1"/>
        <w:ind w:left="0" w:firstLine="0"/>
      </w:pPr>
      <w:r>
        <w:t xml:space="preserve">V skladu s členom 32(1)(e), (f) in (g) Izvedbene uredbe Komisije (EU) 2022/128 bi morali letni računovodski izkazi v zvezi z odhodki iz točk (a) do (d) vključevati: </w:t>
      </w:r>
    </w:p>
    <w:p w14:paraId="58BF5F17" w14:textId="77777777" w:rsidR="00DB3F3D" w:rsidRDefault="000C0F2B">
      <w:pPr>
        <w:pStyle w:val="Text1"/>
        <w:numPr>
          <w:ilvl w:val="0"/>
          <w:numId w:val="25"/>
        </w:numPr>
        <w:spacing w:after="160"/>
        <w:ind w:hanging="153"/>
      </w:pPr>
      <w:r>
        <w:t xml:space="preserve">zneske, ki jih krijeta zadevna država članica in Unija v skladu s </w:t>
      </w:r>
      <w:r>
        <w:rPr>
          <w:b/>
        </w:rPr>
        <w:t>členom 54(2), prvi pododstavek, in (3)</w:t>
      </w:r>
      <w:r>
        <w:t xml:space="preserve"> Uredbe (EU) št. 1306/2013</w:t>
      </w:r>
      <w:r>
        <w:rPr>
          <w:rStyle w:val="FootnoteReference"/>
          <w:lang w:eastAsia="en-GB"/>
        </w:rPr>
        <w:footnoteReference w:id="5"/>
      </w:r>
      <w:r>
        <w:t xml:space="preserve"> (preglednica 50/50), navedene ločeno;</w:t>
      </w:r>
    </w:p>
    <w:p w14:paraId="40AFC7B4" w14:textId="77777777" w:rsidR="00DB3F3D" w:rsidRDefault="000C0F2B">
      <w:pPr>
        <w:pStyle w:val="Text1"/>
        <w:numPr>
          <w:ilvl w:val="0"/>
          <w:numId w:val="25"/>
        </w:numPr>
        <w:spacing w:after="160"/>
        <w:ind w:hanging="153"/>
      </w:pPr>
      <w:r>
        <w:t xml:space="preserve">izvleček neupravičeno izplačanih zneskov, ki jih je treba zaradi nepravilnosti v smislu člena 1(2) Uredbe Sveta (ES, Euratom) št. 2988/95, vključno z vsemi kaznimi, ki jih določajo veljavna področna pravila Unije, in obrestmi na te zneske, izterjati ob koncu proračunskega leta, ki se predstavi kot preglednica po predlogi iz </w:t>
      </w:r>
      <w:r>
        <w:rPr>
          <w:b/>
        </w:rPr>
        <w:t>Priloge II k Uredbi (EU) št. 908/2014</w:t>
      </w:r>
      <w:r>
        <w:rPr>
          <w:rStyle w:val="FootnoteReference"/>
          <w:b/>
          <w:lang w:eastAsia="en-GB"/>
        </w:rPr>
        <w:footnoteReference w:id="6"/>
      </w:r>
      <w:r>
        <w:rPr>
          <w:b/>
        </w:rPr>
        <w:t xml:space="preserve"> (preglednica iz Priloge II – Nepravilnosti)</w:t>
      </w:r>
      <w:r>
        <w:t>;</w:t>
      </w:r>
    </w:p>
    <w:p w14:paraId="328D0FC5" w14:textId="77777777" w:rsidR="00DB3F3D" w:rsidRDefault="000C0F2B">
      <w:pPr>
        <w:pStyle w:val="Text1"/>
        <w:numPr>
          <w:ilvl w:val="0"/>
          <w:numId w:val="25"/>
        </w:numPr>
        <w:ind w:hanging="153"/>
      </w:pPr>
      <w:r>
        <w:t xml:space="preserve">izvleček zneskov iz knjige terjatev, ki jih je treba izterjati in knjižiti v dobro EKJS ali EKSRP, razen administrativnih napak in nepravilnosti, vključno z vsemi kaznimi in obrestmi na te zneske, ki se predstavi kot preglednica po predlogi iz </w:t>
      </w:r>
      <w:r>
        <w:rPr>
          <w:b/>
        </w:rPr>
        <w:t>Priloge III k Uredbi (EU) št. 908/2014 (preglednica iz Priloge III – Večletne sankcije in druge kazni).</w:t>
      </w:r>
    </w:p>
    <w:p w14:paraId="68A2C810" w14:textId="77777777" w:rsidR="00DB3F3D" w:rsidRDefault="000C0F2B">
      <w:pPr>
        <w:pStyle w:val="Text1"/>
        <w:ind w:left="0" w:firstLine="0"/>
        <w:rPr>
          <w:i/>
          <w:u w:val="single"/>
        </w:rPr>
      </w:pPr>
      <w:r>
        <w:rPr>
          <w:b/>
          <w:i/>
          <w:u w:val="single"/>
        </w:rPr>
        <w:t>Novo poročanje od proračunskega leta 2023 naprej, ki se uporablja za neupravičena plačila, ki izhajajo iz programskega obdobja 2023–2027 in niso navedena v členu 104(1)(a)(i), (ii), (iii) in (iv) Uredbe (EU) 2021/2116:</w:t>
      </w:r>
    </w:p>
    <w:p w14:paraId="47E2034D" w14:textId="77777777" w:rsidR="00DB3F3D" w:rsidRDefault="000C0F2B">
      <w:pPr>
        <w:pStyle w:val="Text1"/>
        <w:ind w:left="0" w:firstLine="0"/>
      </w:pPr>
      <w:r>
        <w:t xml:space="preserve">V skladu s členom 32(1)(f), prvi del, Uredbe (EU) 2022/128 bi morali letni računovodski izkazi v zvezi z odhodki, ki so zajeti v novem programskem obdobju in niso vključeni v točke (a) do (d), vključevati: </w:t>
      </w:r>
    </w:p>
    <w:p w14:paraId="44A5739E" w14:textId="77777777" w:rsidR="00DB3F3D" w:rsidRDefault="000C0F2B">
      <w:pPr>
        <w:pStyle w:val="Text1"/>
        <w:numPr>
          <w:ilvl w:val="0"/>
          <w:numId w:val="25"/>
        </w:numPr>
        <w:ind w:hanging="153"/>
      </w:pPr>
      <w:r>
        <w:t xml:space="preserve">izvleček neupravičeno izplačanih zneskov, ki jih je treba zaradi nepravilnosti v smislu člena 1(2) Uredbe Sveta (ES, Euratom) št. 2988/95, vključno z vsemi kaznimi, ki jih določajo veljavna področna pravila Unije, in obrestmi na te zneske, izterjati ob koncu proračunskega leta, ki se predstavi kot preglednica po predlogi iz </w:t>
      </w:r>
      <w:r>
        <w:rPr>
          <w:b/>
        </w:rPr>
        <w:t>Priloge V k Uredbi (EU) 2022/128 (preglednica iz Priloge V – Nepravilnosti).</w:t>
      </w:r>
    </w:p>
    <w:p w14:paraId="1A515BA7" w14:textId="77777777" w:rsidR="00DB3F3D" w:rsidRDefault="00DB3F3D">
      <w:pPr>
        <w:pStyle w:val="Text1"/>
        <w:ind w:left="720" w:firstLine="0"/>
        <w:rPr>
          <w:lang w:eastAsia="en-GB"/>
        </w:rPr>
      </w:pPr>
    </w:p>
    <w:p w14:paraId="3E35D4AF" w14:textId="77777777" w:rsidR="00DB3F3D" w:rsidRDefault="000C0F2B">
      <w:pPr>
        <w:pStyle w:val="Text1"/>
        <w:ind w:left="0" w:firstLine="0"/>
      </w:pPr>
      <w:r>
        <w:t xml:space="preserve">Zato se sistem poročanja o dolgu, vzpostavljen z Uredbo (EU) št. 1306/2013 in Uredbo (EU) št. 908/2014, za navedene odhodke še naprej uporablja v proračunskem letu 2023 in pozneje. Smernice, ki so bile v zvezi s tem predhodno zagotovljene državam članicam, ostajajo nespremenjene, razen posebnih vidikov, kot je določeno v </w:t>
      </w:r>
      <w:r>
        <w:rPr>
          <w:b/>
        </w:rPr>
        <w:t>ODDELKU A</w:t>
      </w:r>
      <w:r>
        <w:t xml:space="preserve"> teh smernic.  </w:t>
      </w:r>
    </w:p>
    <w:p w14:paraId="322D0E33" w14:textId="77777777" w:rsidR="00DB3F3D" w:rsidRDefault="000C0F2B">
      <w:pPr>
        <w:pStyle w:val="Text1"/>
        <w:ind w:left="0" w:firstLine="0"/>
      </w:pPr>
      <w:r>
        <w:lastRenderedPageBreak/>
        <w:t xml:space="preserve">Obstoječi sistem držav članic za upravljanje dolga in novo poročanje, kot je določeno v Uredbi (EU) 2021/2116 in Uredbi (EU) 2022/128, sta podrobneje pojasnjena v </w:t>
      </w:r>
      <w:r>
        <w:rPr>
          <w:b/>
        </w:rPr>
        <w:t>ODDELKU B</w:t>
      </w:r>
      <w:r>
        <w:t xml:space="preserve"> teh smernic.  </w:t>
      </w:r>
    </w:p>
    <w:p w14:paraId="05867F17" w14:textId="77777777" w:rsidR="00DB3F3D" w:rsidRDefault="000C0F2B">
      <w:r>
        <w:br w:type="page"/>
      </w:r>
    </w:p>
    <w:p w14:paraId="13C6508D" w14:textId="77777777" w:rsidR="00DB3F3D" w:rsidRDefault="000C0F2B">
      <w:pPr>
        <w:pStyle w:val="Heading1"/>
        <w:ind w:left="0" w:firstLine="0"/>
      </w:pPr>
      <w:bookmarkStart w:id="3" w:name="_Toc134086079"/>
      <w:r>
        <w:lastRenderedPageBreak/>
        <w:t>ODDELEK A – UPRAVLJANJE DOLGA IN POROČANJE V OKVIRU UREDBE (EU) ŠT. 1306/2013</w:t>
      </w:r>
      <w:bookmarkEnd w:id="3"/>
    </w:p>
    <w:p w14:paraId="3A0CF7BB" w14:textId="77777777" w:rsidR="00DB3F3D" w:rsidRDefault="000C0F2B">
      <w:r>
        <w:br w:type="page"/>
      </w:r>
    </w:p>
    <w:p w14:paraId="1E8897DA" w14:textId="77777777" w:rsidR="00DB3F3D" w:rsidRDefault="000C0F2B">
      <w:pPr>
        <w:pStyle w:val="Heading1"/>
        <w:ind w:left="601"/>
      </w:pPr>
      <w:bookmarkStart w:id="4" w:name="_Toc134086080"/>
      <w:r>
        <w:lastRenderedPageBreak/>
        <w:t>DEL 1.  UPRAVLJANJE DOLGA</w:t>
      </w:r>
      <w:bookmarkEnd w:id="4"/>
    </w:p>
    <w:p w14:paraId="793654A4" w14:textId="77777777" w:rsidR="00DB3F3D" w:rsidRDefault="000C0F2B">
      <w:pPr>
        <w:pStyle w:val="Heading2"/>
        <w:numPr>
          <w:ilvl w:val="1"/>
          <w:numId w:val="26"/>
        </w:numPr>
      </w:pPr>
      <w:r>
        <w:t xml:space="preserve"> </w:t>
      </w:r>
      <w:bookmarkStart w:id="5" w:name="_Toc134086081"/>
      <w:r>
        <w:t>„Novi“ primeri in „stari“ primeri</w:t>
      </w:r>
      <w:bookmarkEnd w:id="5"/>
    </w:p>
    <w:p w14:paraId="345A1E9A" w14:textId="77777777" w:rsidR="00DB3F3D" w:rsidRDefault="000C0F2B">
      <w:pPr>
        <w:pStyle w:val="Text1"/>
        <w:ind w:left="0" w:firstLine="0"/>
      </w:pPr>
      <w:r>
        <w:t xml:space="preserve">V skladu z določbo člena 41(5) Delegirane uredbe Komisije (EU) št. 907/2014 z dne 11. marca 2014 (v nadaljnjem besedilu: Uredba št. 907/2014) je treba razlikovati med „starimi“ in „novimi“ primeri nepravilnosti.  </w:t>
      </w:r>
    </w:p>
    <w:p w14:paraId="0054B9B7" w14:textId="77777777" w:rsidR="00DB3F3D" w:rsidRDefault="000C0F2B">
      <w:pPr>
        <w:pStyle w:val="Text1"/>
        <w:numPr>
          <w:ilvl w:val="0"/>
          <w:numId w:val="31"/>
        </w:numPr>
      </w:pPr>
      <w:r>
        <w:rPr>
          <w:b/>
          <w:bCs/>
          <w:i/>
          <w:iCs/>
        </w:rPr>
        <w:t>Za „stare“ primere nepravilnosti:</w:t>
      </w:r>
    </w:p>
    <w:p w14:paraId="4D6544B2" w14:textId="77777777" w:rsidR="00DB3F3D" w:rsidRDefault="000C0F2B">
      <w:pPr>
        <w:pStyle w:val="Text1"/>
        <w:ind w:left="0" w:firstLine="0"/>
      </w:pPr>
      <w:r>
        <w:t>Primarna upravna ali sodna ugotovitev</w:t>
      </w:r>
      <w:r>
        <w:rPr>
          <w:rStyle w:val="FootnoteReference"/>
          <w:lang w:eastAsia="en-GB"/>
        </w:rPr>
        <w:footnoteReference w:id="7"/>
      </w:r>
      <w:r>
        <w:t xml:space="preserve"> (PACA) med drugim določa trenutek evidentiranja primera v Prilogi II k Uredbi (EU) št. 908/2014. Zato se ocena lahko šteje za primarno upravno ali sodno ugotovitev v smislu člena 35 Uredbe Sveta (ES) št. 1290/2005, če so izpolnjeni naslednji pogoji:</w:t>
      </w:r>
    </w:p>
    <w:p w14:paraId="410948BE" w14:textId="77777777" w:rsidR="00DB3F3D" w:rsidRDefault="000C0F2B">
      <w:pPr>
        <w:pStyle w:val="Text1"/>
        <w:numPr>
          <w:ilvl w:val="0"/>
          <w:numId w:val="32"/>
        </w:numPr>
        <w:spacing w:after="0"/>
      </w:pPr>
      <w:r>
        <w:t>upravičenec se identificira;</w:t>
      </w:r>
    </w:p>
    <w:p w14:paraId="1C386E5A" w14:textId="77777777" w:rsidR="00DB3F3D" w:rsidRDefault="000C0F2B">
      <w:pPr>
        <w:pStyle w:val="Text1"/>
        <w:numPr>
          <w:ilvl w:val="0"/>
          <w:numId w:val="32"/>
        </w:numPr>
        <w:spacing w:after="0"/>
      </w:pPr>
      <w:r>
        <w:t xml:space="preserve">znesek dolga je znan in </w:t>
      </w:r>
    </w:p>
    <w:p w14:paraId="3BEE378E" w14:textId="77777777" w:rsidR="00DB3F3D" w:rsidRDefault="000C0F2B">
      <w:pPr>
        <w:pStyle w:val="Text1"/>
        <w:numPr>
          <w:ilvl w:val="0"/>
          <w:numId w:val="32"/>
        </w:numPr>
        <w:spacing w:after="0"/>
      </w:pPr>
      <w:r>
        <w:t xml:space="preserve">ustrezni organ za ocenjevanje pripravi pisni dokument z oceno dejstev, vključno z dolžnikom in zneskom dolga, in ga posreduje dolžniku ali drugemu organu, s čimer se izključijo zgolj notranji dokumenti. </w:t>
      </w:r>
    </w:p>
    <w:p w14:paraId="3CD619A7" w14:textId="77777777" w:rsidR="00DB3F3D" w:rsidRDefault="00DB3F3D">
      <w:pPr>
        <w:pStyle w:val="Text1"/>
        <w:spacing w:after="0"/>
        <w:ind w:left="567" w:firstLine="0"/>
        <w:rPr>
          <w:lang w:eastAsia="en-GB"/>
        </w:rPr>
      </w:pPr>
    </w:p>
    <w:p w14:paraId="7CA2F80D" w14:textId="77777777" w:rsidR="00DB3F3D" w:rsidRDefault="000C0F2B">
      <w:pPr>
        <w:pStyle w:val="Text1"/>
        <w:ind w:left="0" w:firstLine="0"/>
      </w:pPr>
      <w:r>
        <w:t xml:space="preserve">Datum prve upravne ali sodne ugotovitve je trenutek, ko so vsi trije pogoji skupaj izpolnjeni prvič, s čimer se zagotovi povezava med Prilogo II in knjigo terjatev plačilne agencije. </w:t>
      </w:r>
    </w:p>
    <w:p w14:paraId="13130981" w14:textId="77777777" w:rsidR="00DB3F3D" w:rsidRDefault="000C0F2B">
      <w:pPr>
        <w:pStyle w:val="Text1"/>
        <w:numPr>
          <w:ilvl w:val="0"/>
          <w:numId w:val="31"/>
        </w:numPr>
        <w:rPr>
          <w:b/>
          <w:i/>
        </w:rPr>
      </w:pPr>
      <w:r>
        <w:rPr>
          <w:b/>
          <w:i/>
        </w:rPr>
        <w:t>Za „nove“ primere nepravilnosti:</w:t>
      </w:r>
    </w:p>
    <w:p w14:paraId="5C605A3A" w14:textId="77777777" w:rsidR="00DB3F3D" w:rsidRDefault="000C0F2B">
      <w:pPr>
        <w:pStyle w:val="Text1"/>
        <w:ind w:left="0" w:firstLine="0"/>
      </w:pPr>
      <w:r>
        <w:t xml:space="preserve">Kot je navedeno v členu 54(1) Uredbe (EU) št. 1306/2013, se upošteva datum prvega dokumenta v kronologiji primera, v katerem je navedeno, da je prišlo do nepravilnosti. Ta dokument izpolnjuje tudi naslednja pogoja: </w:t>
      </w:r>
    </w:p>
    <w:p w14:paraId="77723E08" w14:textId="77777777" w:rsidR="00DB3F3D" w:rsidRDefault="000C0F2B">
      <w:pPr>
        <w:pStyle w:val="Text1"/>
        <w:numPr>
          <w:ilvl w:val="0"/>
          <w:numId w:val="33"/>
        </w:numPr>
        <w:spacing w:after="0"/>
        <w:ind w:left="709" w:hanging="283"/>
      </w:pPr>
      <w:r>
        <w:t>bil je odobren;</w:t>
      </w:r>
    </w:p>
    <w:p w14:paraId="74C2A660" w14:textId="77777777" w:rsidR="00DB3F3D" w:rsidRDefault="000C0F2B">
      <w:pPr>
        <w:pStyle w:val="Text1"/>
        <w:numPr>
          <w:ilvl w:val="0"/>
          <w:numId w:val="33"/>
        </w:numPr>
        <w:spacing w:after="0"/>
        <w:ind w:left="709" w:hanging="283"/>
      </w:pPr>
      <w:r>
        <w:t>in, kadar je primerno, ga je prejela plačilna agencija ali organ, odgovoren za postopke izterjave.</w:t>
      </w:r>
    </w:p>
    <w:p w14:paraId="6A75993F" w14:textId="77777777" w:rsidR="00DB3F3D" w:rsidRDefault="00DB3F3D">
      <w:pPr>
        <w:pStyle w:val="Text1"/>
        <w:spacing w:after="0"/>
        <w:ind w:left="567" w:firstLine="0"/>
        <w:rPr>
          <w:lang w:eastAsia="en-GB"/>
        </w:rPr>
      </w:pPr>
    </w:p>
    <w:p w14:paraId="3C850723" w14:textId="77777777" w:rsidR="00DB3F3D" w:rsidRDefault="000C0F2B">
      <w:pPr>
        <w:pStyle w:val="Text1"/>
        <w:ind w:left="0" w:firstLine="0"/>
      </w:pPr>
      <w:r>
        <w:t xml:space="preserve">Plačilna agencija ima od datuma izpolnitve enega ali obeh zgoraj navedenih pogojev (kadar je primerno) 18 mesecev časa, da pripravi zahtevek za izterjavo in ga pošlje upravičencu. Poleg tega se ustrezni zneski na datum zahtevka za izterjavo knjižijo v knjigi terjatev plačilne agencije. </w:t>
      </w:r>
    </w:p>
    <w:p w14:paraId="566FB037" w14:textId="77777777" w:rsidR="00DB3F3D" w:rsidRDefault="000C0F2B">
      <w:pPr>
        <w:pStyle w:val="Heading2"/>
        <w:numPr>
          <w:ilvl w:val="1"/>
          <w:numId w:val="26"/>
        </w:numPr>
      </w:pPr>
      <w:r>
        <w:t xml:space="preserve"> </w:t>
      </w:r>
      <w:bookmarkStart w:id="6" w:name="_Toc134086082"/>
      <w:r>
        <w:t>Priznanje dolga</w:t>
      </w:r>
      <w:bookmarkEnd w:id="6"/>
    </w:p>
    <w:p w14:paraId="15C81A68" w14:textId="77777777" w:rsidR="00DB3F3D" w:rsidRDefault="000C0F2B">
      <w:pPr>
        <w:pStyle w:val="Text1"/>
        <w:ind w:left="0" w:firstLine="0"/>
      </w:pPr>
      <w:r>
        <w:t>Čas določitve dolga je trenutek, ko je dolg opredeljen kot opredmeten in ko obstaja veljavna obveza za njegovo plačilo. Plačilna agencija mora biti sposobna določiti:</w:t>
      </w:r>
    </w:p>
    <w:p w14:paraId="38A9B4E4" w14:textId="77777777" w:rsidR="00DB3F3D" w:rsidRDefault="000C0F2B">
      <w:pPr>
        <w:pStyle w:val="Text1"/>
        <w:numPr>
          <w:ilvl w:val="0"/>
          <w:numId w:val="27"/>
        </w:numPr>
        <w:spacing w:after="0"/>
      </w:pPr>
      <w:r>
        <w:t>natančno identiteto dolžnika;</w:t>
      </w:r>
    </w:p>
    <w:p w14:paraId="618D4FA4" w14:textId="77777777" w:rsidR="00DB3F3D" w:rsidRDefault="000C0F2B">
      <w:pPr>
        <w:pStyle w:val="Text1"/>
        <w:numPr>
          <w:ilvl w:val="0"/>
          <w:numId w:val="27"/>
        </w:numPr>
        <w:spacing w:after="0"/>
      </w:pPr>
      <w:r>
        <w:lastRenderedPageBreak/>
        <w:t>da je dolg ugotovljen;</w:t>
      </w:r>
    </w:p>
    <w:p w14:paraId="053524FE" w14:textId="77777777" w:rsidR="00DB3F3D" w:rsidRDefault="000C0F2B">
      <w:pPr>
        <w:pStyle w:val="Text1"/>
        <w:numPr>
          <w:ilvl w:val="0"/>
          <w:numId w:val="27"/>
        </w:numPr>
        <w:spacing w:after="0"/>
      </w:pPr>
      <w:r>
        <w:t xml:space="preserve">zadevni znesek. </w:t>
      </w:r>
    </w:p>
    <w:p w14:paraId="62D8D2A7" w14:textId="77777777" w:rsidR="00DB3F3D" w:rsidRDefault="00DB3F3D">
      <w:pPr>
        <w:pStyle w:val="Text1"/>
        <w:spacing w:after="0"/>
        <w:ind w:left="360" w:firstLine="0"/>
        <w:rPr>
          <w:lang w:eastAsia="en-GB"/>
        </w:rPr>
      </w:pPr>
    </w:p>
    <w:p w14:paraId="33163B38" w14:textId="77777777" w:rsidR="00DB3F3D" w:rsidRDefault="000C0F2B">
      <w:pPr>
        <w:pStyle w:val="Text1"/>
        <w:ind w:left="0" w:firstLine="0"/>
      </w:pPr>
      <w:r>
        <w:t>Ko so ti pogoji izpolnjeni, je treba ugotovljeni dolg takoj zabeležiti v</w:t>
      </w:r>
      <w:r>
        <w:rPr>
          <w:b/>
        </w:rPr>
        <w:t xml:space="preserve"> eni sami knjigi terjatev</w:t>
      </w:r>
      <w:r>
        <w:t xml:space="preserve">. Plačilna agencija mora zagotoviti, da knjiga terjatev zagotavlja pravilno in popolno sliko zneskov, ki jih je treba izterjati, da so postopki izterjave učinkoviti ter da so zneski pravilno in takoj knjiženi v dobro skladov. </w:t>
      </w:r>
    </w:p>
    <w:p w14:paraId="76EA920E" w14:textId="77777777" w:rsidR="00DB3F3D" w:rsidRDefault="000C0F2B">
      <w:pPr>
        <w:pStyle w:val="Heading2"/>
        <w:numPr>
          <w:ilvl w:val="1"/>
          <w:numId w:val="26"/>
        </w:numPr>
      </w:pPr>
      <w:r>
        <w:t xml:space="preserve"> </w:t>
      </w:r>
      <w:bookmarkStart w:id="7" w:name="_Toc134086083"/>
      <w:r>
        <w:t>Vodenje knjige terjatev</w:t>
      </w:r>
      <w:bookmarkEnd w:id="7"/>
    </w:p>
    <w:p w14:paraId="1FF22490" w14:textId="77777777" w:rsidR="00DB3F3D" w:rsidRDefault="000C0F2B">
      <w:pPr>
        <w:pStyle w:val="Text1"/>
        <w:ind w:left="0" w:firstLine="0"/>
      </w:pPr>
      <w:r>
        <w:t xml:space="preserve">Plačilna agencija mora voditi knjigo terjatev glede plačil, ki se upravljajo v okviru skladov EU (EKJS (vključno z ZIRP) in EKSRP), da bi spremljala neporavnane zneske. Zaradi organizacijske ali postopkovne strukture v dani državi članici je lahko smiselno voditi tudi ločeno knjigo za posamezen sklad. Knjigo terjatev je treba posodabljati na podlagi informacij, ki jih posredujejo zadevne službe. Knjiga terjatev bi morala biti popolna, točna in veljavna. V ta namen bi bilo treba zagotoviti naslednje postopke: </w:t>
      </w:r>
    </w:p>
    <w:p w14:paraId="27717D5C" w14:textId="77777777" w:rsidR="00DB3F3D" w:rsidRDefault="000C0F2B">
      <w:pPr>
        <w:pStyle w:val="Text1"/>
        <w:ind w:hanging="482"/>
        <w:rPr>
          <w:b/>
          <w:i/>
        </w:rPr>
      </w:pPr>
      <w:r>
        <w:rPr>
          <w:b/>
          <w:i/>
        </w:rPr>
        <w:t>Popolnost knjige terjatev:</w:t>
      </w:r>
    </w:p>
    <w:p w14:paraId="47E2EC1E" w14:textId="77777777" w:rsidR="00DB3F3D" w:rsidRDefault="000C0F2B">
      <w:pPr>
        <w:pStyle w:val="Text1"/>
        <w:numPr>
          <w:ilvl w:val="0"/>
          <w:numId w:val="28"/>
        </w:numPr>
        <w:ind w:hanging="294"/>
      </w:pPr>
      <w:r>
        <w:t>zneske, ki jih je treba izterjati, je treba takoj evidentirati le v eni knjigi terjatev, ki se hrani na sedežu plačilne agencije. Oseba, ki je odgovorna za vzdrževanje te evidence, ne sme biti odgovorna za izplačila ali za obdelavo zahtevka;</w:t>
      </w:r>
    </w:p>
    <w:p w14:paraId="67890F7E" w14:textId="77777777" w:rsidR="00DB3F3D" w:rsidRDefault="000C0F2B">
      <w:pPr>
        <w:pStyle w:val="Text1"/>
        <w:numPr>
          <w:ilvl w:val="0"/>
          <w:numId w:val="28"/>
        </w:numPr>
        <w:ind w:hanging="294"/>
      </w:pPr>
      <w:r>
        <w:t>vodstvo mora razviti sistem, ki zagotavlja, da se vsi dolgovi sporočijo oddelku, ki je odgovoren za knjigo terjatev;</w:t>
      </w:r>
    </w:p>
    <w:p w14:paraId="10243163" w14:textId="77777777" w:rsidR="00DB3F3D" w:rsidRDefault="000C0F2B">
      <w:pPr>
        <w:pStyle w:val="Text1"/>
        <w:numPr>
          <w:ilvl w:val="0"/>
          <w:numId w:val="28"/>
        </w:numPr>
        <w:ind w:hanging="294"/>
      </w:pPr>
      <w:r>
        <w:t>plačilna agencija mora imeti uvedene sisteme za zagotovitev, da so na voljo vse informacije v zvezi z morebitnimi izterjavami (npr. poročila o pregledu in dopisi o izterjavi) in da se zagotovi pravočasno evidentiranje v knjigi terjatev. Popolnost knjige terjatev je treba redno preverjati.</w:t>
      </w:r>
    </w:p>
    <w:p w14:paraId="578769EC" w14:textId="77777777" w:rsidR="00DB3F3D" w:rsidRDefault="000C0F2B">
      <w:pPr>
        <w:pStyle w:val="Text1"/>
        <w:ind w:hanging="482"/>
        <w:jc w:val="left"/>
        <w:rPr>
          <w:b/>
          <w:i/>
        </w:rPr>
      </w:pPr>
      <w:r>
        <w:rPr>
          <w:b/>
          <w:i/>
        </w:rPr>
        <w:t>Veljavnost in natančnost knjige terjatev:</w:t>
      </w:r>
    </w:p>
    <w:p w14:paraId="00F75D1A" w14:textId="77777777" w:rsidR="00DB3F3D" w:rsidRDefault="000C0F2B">
      <w:pPr>
        <w:pStyle w:val="Text1"/>
        <w:numPr>
          <w:ilvl w:val="0"/>
          <w:numId w:val="29"/>
        </w:numPr>
        <w:spacing w:after="160"/>
        <w:ind w:hanging="295"/>
      </w:pPr>
      <w:r>
        <w:t xml:space="preserve">finančni oddelek mora knjigo terjatev redno usklajevati s podatki operativnih sistemov; </w:t>
      </w:r>
    </w:p>
    <w:p w14:paraId="2CBB642C" w14:textId="77777777" w:rsidR="00DB3F3D" w:rsidRDefault="000C0F2B">
      <w:pPr>
        <w:pStyle w:val="Text1"/>
        <w:numPr>
          <w:ilvl w:val="0"/>
          <w:numId w:val="29"/>
        </w:numPr>
        <w:spacing w:after="160"/>
        <w:ind w:hanging="295"/>
      </w:pPr>
      <w:r>
        <w:t>znesek, ki ga je treba izterjati, mora biti pravilno izračunan. Vodstvo mora pregledati izračun zneska, ki ga je treba izterjati (vključno z vsemi sankcijami, znižanji, popravki ali obrestmi);</w:t>
      </w:r>
    </w:p>
    <w:p w14:paraId="2BFEA887" w14:textId="77777777" w:rsidR="00DB3F3D" w:rsidRDefault="000C0F2B">
      <w:pPr>
        <w:pStyle w:val="Text1"/>
        <w:numPr>
          <w:ilvl w:val="0"/>
          <w:numId w:val="29"/>
        </w:numPr>
        <w:spacing w:after="160"/>
        <w:ind w:hanging="295"/>
      </w:pPr>
      <w:r>
        <w:t xml:space="preserve">prejemke je treba takoj evidentirati in jih zabeležiti poleg neporavnanih dolgov; </w:t>
      </w:r>
    </w:p>
    <w:p w14:paraId="63941F64" w14:textId="77777777" w:rsidR="00DB3F3D" w:rsidRDefault="000C0F2B">
      <w:pPr>
        <w:pStyle w:val="Text1"/>
        <w:numPr>
          <w:ilvl w:val="0"/>
          <w:numId w:val="29"/>
        </w:numPr>
        <w:spacing w:after="160"/>
        <w:ind w:hanging="295"/>
      </w:pPr>
      <w:r>
        <w:t>poravnane zneske je treba ustrezno evidentirati in jih zabeležiti poleg neporavnanih dolgov;</w:t>
      </w:r>
    </w:p>
    <w:p w14:paraId="44852771" w14:textId="77777777" w:rsidR="00DB3F3D" w:rsidRDefault="000C0F2B">
      <w:pPr>
        <w:pStyle w:val="Text1"/>
        <w:numPr>
          <w:ilvl w:val="0"/>
          <w:numId w:val="29"/>
        </w:numPr>
        <w:spacing w:after="0"/>
        <w:ind w:left="426" w:firstLine="0"/>
      </w:pPr>
      <w:r>
        <w:t>prejemke je mogoče prejemati le prek bančnega računa ali v osrednjo blagajno. Vzpostaviti je treba ustrezen postopek, da se preprečijo goljufije ali kraja.</w:t>
      </w:r>
    </w:p>
    <w:p w14:paraId="4346EF9E" w14:textId="77777777" w:rsidR="00DB3F3D" w:rsidRDefault="000C0F2B">
      <w:pPr>
        <w:pStyle w:val="Heading2"/>
        <w:numPr>
          <w:ilvl w:val="1"/>
          <w:numId w:val="26"/>
        </w:numPr>
      </w:pPr>
      <w:r>
        <w:t xml:space="preserve"> </w:t>
      </w:r>
      <w:bookmarkStart w:id="8" w:name="_Toc134086084"/>
      <w:r>
        <w:t>Postopki spremljanja:</w:t>
      </w:r>
      <w:bookmarkEnd w:id="8"/>
    </w:p>
    <w:p w14:paraId="13636AE0" w14:textId="77777777" w:rsidR="00DB3F3D" w:rsidRDefault="000C0F2B">
      <w:pPr>
        <w:pStyle w:val="Text1"/>
        <w:ind w:left="0" w:firstLine="0"/>
      </w:pPr>
      <w:r>
        <w:t>Pregled seznama</w:t>
      </w:r>
    </w:p>
    <w:p w14:paraId="6807CB1F" w14:textId="77777777" w:rsidR="00DB3F3D" w:rsidRDefault="000C0F2B">
      <w:pPr>
        <w:pStyle w:val="Text1"/>
        <w:numPr>
          <w:ilvl w:val="0"/>
          <w:numId w:val="30"/>
        </w:numPr>
      </w:pPr>
      <w:r>
        <w:t>Uskladitev s strani finančnega oddelka</w:t>
      </w:r>
    </w:p>
    <w:p w14:paraId="0E084380" w14:textId="77777777" w:rsidR="00DB3F3D" w:rsidRDefault="000C0F2B">
      <w:pPr>
        <w:pStyle w:val="Text1"/>
        <w:ind w:left="0" w:firstLine="0"/>
      </w:pPr>
      <w:r>
        <w:lastRenderedPageBreak/>
        <w:t>Finančni oddelek mora za zagotovitev popolnosti in pravilnosti seznama redno usklajevati (vsaj vsake tri mesece) podrobnosti s seznama dolžnikov in vse zadevne podatke v operativnih oddelkih.</w:t>
      </w:r>
    </w:p>
    <w:p w14:paraId="6E1233CE" w14:textId="77777777" w:rsidR="00DB3F3D" w:rsidRDefault="000C0F2B">
      <w:pPr>
        <w:pStyle w:val="Text1"/>
        <w:numPr>
          <w:ilvl w:val="0"/>
          <w:numId w:val="30"/>
        </w:numPr>
      </w:pPr>
      <w:r>
        <w:t>Nadzor upravljanja</w:t>
      </w:r>
    </w:p>
    <w:p w14:paraId="4B5A496A" w14:textId="77777777" w:rsidR="00DB3F3D" w:rsidRDefault="000C0F2B">
      <w:pPr>
        <w:pStyle w:val="Text1"/>
        <w:ind w:left="0" w:firstLine="0"/>
      </w:pPr>
      <w:r>
        <w:t>Vodstvo prek nadzora upravljanja preverja, ali odgovorni oddelek sprejema ustrezne in zadostne ukrepe za izterjavo zneskov.</w:t>
      </w:r>
    </w:p>
    <w:p w14:paraId="61BF50C8" w14:textId="77777777" w:rsidR="00DB3F3D" w:rsidRDefault="000C0F2B">
      <w:pPr>
        <w:pStyle w:val="Text1"/>
        <w:ind w:left="0" w:firstLine="0"/>
      </w:pPr>
      <w:r>
        <w:t xml:space="preserve">Podobni postopki bi morali biti vzpostavljeni za spremljanje seznama preddolžnikov (primeri, pri katerih je bila ugotovljena nepravilnost, vendar še ni bil pripravljen zahtevek za izterjavo). </w:t>
      </w:r>
    </w:p>
    <w:p w14:paraId="038AEA5E" w14:textId="77777777" w:rsidR="00DB3F3D" w:rsidRDefault="000C0F2B">
      <w:pPr>
        <w:pStyle w:val="Heading2"/>
        <w:numPr>
          <w:ilvl w:val="1"/>
          <w:numId w:val="26"/>
        </w:numPr>
      </w:pPr>
      <w:r>
        <w:t xml:space="preserve"> </w:t>
      </w:r>
      <w:bookmarkStart w:id="9" w:name="_Toc134086085"/>
      <w:r>
        <w:t>Izterjava zneskov:</w:t>
      </w:r>
      <w:bookmarkEnd w:id="9"/>
    </w:p>
    <w:p w14:paraId="034DC63C" w14:textId="77777777" w:rsidR="00DB3F3D" w:rsidRDefault="000C0F2B">
      <w:pPr>
        <w:pStyle w:val="Text1"/>
        <w:ind w:left="0" w:firstLine="0"/>
      </w:pPr>
      <w:r>
        <w:t xml:space="preserve">Zneske je mogoče izterjati na dva načina: s „čisto“ izterjavo (vključno s pravnim sporom) ali z odbitkom od prihodnjih izplačil. Pri drugem pristopu je nadaljnje ukrepanje na podlagi dolga manj zapleteno. Sistem mora predvideti, da plačilna agencija istemu upravičencu v skladu s členom 28 Uredbe (EU) št. 908/2014 izravna dolgove pri prvih prihodnjih plačilih.   </w:t>
      </w:r>
    </w:p>
    <w:p w14:paraId="59BA941B" w14:textId="77777777" w:rsidR="00DB3F3D" w:rsidRDefault="000C0F2B">
      <w:pPr>
        <w:pStyle w:val="Heading2"/>
        <w:numPr>
          <w:ilvl w:val="1"/>
          <w:numId w:val="26"/>
        </w:numPr>
      </w:pPr>
      <w:r>
        <w:t xml:space="preserve"> </w:t>
      </w:r>
      <w:bookmarkStart w:id="10" w:name="_Toc134086086"/>
      <w:r>
        <w:t>EKJS in EKSRP – Knjiženje in izjava o izterjavah</w:t>
      </w:r>
      <w:bookmarkEnd w:id="10"/>
    </w:p>
    <w:p w14:paraId="65D0C55F" w14:textId="77777777" w:rsidR="00DB3F3D" w:rsidRDefault="000C0F2B">
      <w:pPr>
        <w:pStyle w:val="Text1"/>
        <w:ind w:left="0" w:firstLine="0"/>
      </w:pPr>
      <w:r>
        <w:t>Sklicuje se na delovni dokument Komisije Ares(2022)7234030 z dne 19. oktobra 2022</w:t>
      </w:r>
      <w:r>
        <w:rPr>
          <w:i/>
        </w:rPr>
        <w:t>.</w:t>
      </w:r>
    </w:p>
    <w:p w14:paraId="1530BE22" w14:textId="77777777" w:rsidR="00DB3F3D" w:rsidRDefault="000C0F2B">
      <w:pPr>
        <w:pStyle w:val="Heading2"/>
        <w:numPr>
          <w:ilvl w:val="1"/>
          <w:numId w:val="26"/>
        </w:numPr>
      </w:pPr>
      <w:r>
        <w:t xml:space="preserve"> </w:t>
      </w:r>
      <w:bookmarkStart w:id="11" w:name="_Toc134086087"/>
      <w:r>
        <w:t>Ključne in pomožne kontrole</w:t>
      </w:r>
      <w:bookmarkEnd w:id="11"/>
      <w:r>
        <w:t xml:space="preserve"> </w:t>
      </w:r>
    </w:p>
    <w:p w14:paraId="09FAD20E" w14:textId="77777777" w:rsidR="00DB3F3D" w:rsidRDefault="000C0F2B">
      <w:pPr>
        <w:pStyle w:val="Text1"/>
        <w:ind w:left="0" w:firstLine="0"/>
      </w:pPr>
      <w:r>
        <w:t>Sklicuje se na ključne in pomožne kontrole v zvezi z nepravilnostmi ter upravljanjem dolga in sistemom kontrol v zvezi s postopki potrditve skladnosti, ki so se začeli izvajati 1. januarja 2015</w:t>
      </w:r>
      <w:r>
        <w:rPr>
          <w:rStyle w:val="FootnoteReference"/>
          <w:lang w:eastAsia="en-GB"/>
        </w:rPr>
        <w:footnoteReference w:id="8"/>
      </w:r>
      <w:r>
        <w:t xml:space="preserve">. </w:t>
      </w:r>
    </w:p>
    <w:p w14:paraId="7659234C" w14:textId="77777777" w:rsidR="00DB3F3D" w:rsidRDefault="000C0F2B">
      <w:r>
        <w:br w:type="page"/>
      </w:r>
    </w:p>
    <w:p w14:paraId="54AC0DFF" w14:textId="77777777" w:rsidR="00DB3F3D" w:rsidRDefault="000C0F2B">
      <w:pPr>
        <w:pStyle w:val="Heading1"/>
        <w:ind w:left="601"/>
      </w:pPr>
      <w:bookmarkStart w:id="12" w:name="_Toc134086088"/>
      <w:r>
        <w:lastRenderedPageBreak/>
        <w:t>DEL 2. POROČANJE O DOLGU</w:t>
      </w:r>
      <w:bookmarkEnd w:id="12"/>
      <w:r>
        <w:t xml:space="preserve"> </w:t>
      </w:r>
    </w:p>
    <w:p w14:paraId="67A1E559" w14:textId="77777777" w:rsidR="00DB3F3D" w:rsidRDefault="000C0F2B">
      <w:pPr>
        <w:ind w:left="0" w:firstLine="0"/>
      </w:pPr>
      <w:r>
        <w:t xml:space="preserve">Člen 29 Uredbe (EU) št. 908/2014 z dne 11. marca 2014 določa ta pravila za obravnavo primerov izterjav v okviru letne finančne potrditve. Obravnava je odvisna od kategorije, v katero spada primer: </w:t>
      </w:r>
    </w:p>
    <w:p w14:paraId="48E86EE2" w14:textId="77777777" w:rsidR="00DB3F3D" w:rsidRDefault="000C0F2B">
      <w:pPr>
        <w:pStyle w:val="ListNumber"/>
      </w:pPr>
      <w:r>
        <w:t>administrativne napake: neupravičena plačila, ki niso posledica nepravilnosti s strani upravičencev, se obravnavajo v skladu s členom 29(b) Uredbe (EU) št. 908/2014 za odhodke EKJS oziroma v skladu s členom 29(c) Uredbe (EU) št. 908/2014 za odhodke EKSRP. V to kategorijo dejansko spadajo primeri, ko je neupravičeno plačilo posledica napake državne uprave;</w:t>
      </w:r>
    </w:p>
    <w:p w14:paraId="17F2AEFE" w14:textId="77777777" w:rsidR="00DB3F3D" w:rsidRDefault="000C0F2B">
      <w:pPr>
        <w:pStyle w:val="ListNumber"/>
      </w:pPr>
      <w:r>
        <w:t>nepravilnosti: neupravičena plačila, ki so posledica nepravilnosti s strani upravičencev, se obravnavajo v skladu s členom 29(e) in (f) ter Prilogo II k Uredbi (EU) št. 908/2014;</w:t>
      </w:r>
    </w:p>
    <w:p w14:paraId="54300669" w14:textId="77777777" w:rsidR="00DB3F3D" w:rsidRDefault="000C0F2B">
      <w:pPr>
        <w:pStyle w:val="ListNumber"/>
      </w:pPr>
      <w:r>
        <w:t>druge izterjave: drugi zneski, ki jih je treba izterjati od upravičencev, kot so znižanja in izključitve zaradi neupoštevanja obveznosti v zvezi z navzkrižno skladnostjo in večletne sankcije, se obravnavajo v skladu s členom 29(g) in Prilogo III k Uredbi (EU) št. 908/2014.</w:t>
      </w:r>
    </w:p>
    <w:p w14:paraId="5172D691" w14:textId="77777777" w:rsidR="00DB3F3D" w:rsidRDefault="000C0F2B">
      <w:pPr>
        <w:pStyle w:val="Text1"/>
        <w:ind w:left="0" w:firstLine="0"/>
      </w:pPr>
      <w:r>
        <w:t xml:space="preserve">V skladu s temi določbami je treba </w:t>
      </w:r>
      <w:r>
        <w:rPr>
          <w:b/>
        </w:rPr>
        <w:t>primere nepravilnosti</w:t>
      </w:r>
      <w:r>
        <w:t xml:space="preserve"> evidentirati v </w:t>
      </w:r>
      <w:r>
        <w:rPr>
          <w:b/>
        </w:rPr>
        <w:t>Prilogi II k Uredbi (EU) št. 908/2014</w:t>
      </w:r>
      <w:r>
        <w:t xml:space="preserve"> najpozneje na datum zahtevka za izterjavo, priznanje primera pa mora izpolnjevati naslednje pogoje: </w:t>
      </w:r>
    </w:p>
    <w:p w14:paraId="3D9E4C25" w14:textId="77777777" w:rsidR="00DB3F3D" w:rsidRDefault="000C0F2B">
      <w:pPr>
        <w:pStyle w:val="Text1"/>
        <w:numPr>
          <w:ilvl w:val="0"/>
          <w:numId w:val="30"/>
        </w:numPr>
        <w:spacing w:after="0"/>
      </w:pPr>
      <w:r>
        <w:t>dolžnik se identificira;</w:t>
      </w:r>
    </w:p>
    <w:p w14:paraId="7CDC0E9D" w14:textId="77777777" w:rsidR="00DB3F3D" w:rsidRDefault="000C0F2B">
      <w:pPr>
        <w:pStyle w:val="Text1"/>
        <w:numPr>
          <w:ilvl w:val="0"/>
          <w:numId w:val="30"/>
        </w:numPr>
        <w:spacing w:after="0"/>
      </w:pPr>
      <w:r>
        <w:t xml:space="preserve">znesek dolga je znan in </w:t>
      </w:r>
    </w:p>
    <w:p w14:paraId="2129A1CF" w14:textId="77777777" w:rsidR="00DB3F3D" w:rsidRDefault="000C0F2B">
      <w:pPr>
        <w:pStyle w:val="Text1"/>
        <w:numPr>
          <w:ilvl w:val="0"/>
          <w:numId w:val="30"/>
        </w:numPr>
        <w:spacing w:after="0"/>
      </w:pPr>
      <w:r>
        <w:t>pristojni organ pripravi zahtevek za izterjavo in ga posreduje dolžniku.</w:t>
      </w:r>
    </w:p>
    <w:p w14:paraId="553156F1" w14:textId="77777777" w:rsidR="00DB3F3D" w:rsidRDefault="00DB3F3D">
      <w:pPr>
        <w:pStyle w:val="Text1"/>
        <w:spacing w:after="0"/>
        <w:ind w:left="360" w:firstLine="0"/>
        <w:rPr>
          <w:lang w:eastAsia="en-GB"/>
        </w:rPr>
      </w:pPr>
    </w:p>
    <w:p w14:paraId="60E14619" w14:textId="77777777" w:rsidR="00DB3F3D" w:rsidRDefault="000C0F2B">
      <w:pPr>
        <w:pStyle w:val="Text1"/>
        <w:ind w:left="0" w:firstLine="0"/>
      </w:pPr>
      <w:r>
        <w:rPr>
          <w:b/>
        </w:rPr>
        <w:t>Knjiga terjatev</w:t>
      </w:r>
      <w:r>
        <w:t xml:space="preserve"> bi morala vsebovati</w:t>
      </w:r>
      <w:r>
        <w:rPr>
          <w:b/>
        </w:rPr>
        <w:t xml:space="preserve"> elemente, opisane v Prilogi II k Uredbi (EU) št. 908/2014</w:t>
      </w:r>
      <w:r>
        <w:t>. Knjiga terjatev mora vsebovati tudi podatke za proračunsko leto, na katerega se nanaša nepravilnost ali napaka (tj. proračunsko leto plačila).</w:t>
      </w:r>
    </w:p>
    <w:p w14:paraId="3D4B1229" w14:textId="77777777" w:rsidR="00DB3F3D" w:rsidRDefault="000C0F2B">
      <w:pPr>
        <w:pStyle w:val="Text1"/>
        <w:ind w:left="0" w:firstLine="0"/>
      </w:pPr>
      <w:r>
        <w:t xml:space="preserve">V skladu s </w:t>
      </w:r>
      <w:r>
        <w:rPr>
          <w:b/>
        </w:rPr>
        <w:t>Prilogo III k Uredbi (EU) št. 908/2014</w:t>
      </w:r>
      <w:r>
        <w:t xml:space="preserve"> je treba predložiti</w:t>
      </w:r>
      <w:r>
        <w:rPr>
          <w:b/>
        </w:rPr>
        <w:t xml:space="preserve"> izpisek</w:t>
      </w:r>
      <w:r>
        <w:t xml:space="preserve"> zneskov </w:t>
      </w:r>
      <w:r>
        <w:rPr>
          <w:b/>
        </w:rPr>
        <w:t>iz knjige terjatev</w:t>
      </w:r>
      <w:r>
        <w:t xml:space="preserve"> (</w:t>
      </w:r>
      <w:r>
        <w:rPr>
          <w:b/>
          <w:bCs/>
        </w:rPr>
        <w:t>razen nepravilnosti in administrativnih napak</w:t>
      </w:r>
      <w:r>
        <w:t xml:space="preserve">), ki jih je treba izterjati in knjižiti v dobro EKJS ali EKSRP, vključno z vsemi sankcijami in obrestmi na te zneske. </w:t>
      </w:r>
    </w:p>
    <w:p w14:paraId="04048A03" w14:textId="77777777" w:rsidR="00DB3F3D" w:rsidRDefault="000C0F2B">
      <w:pPr>
        <w:pStyle w:val="Text1"/>
        <w:ind w:left="0" w:firstLine="0"/>
      </w:pPr>
      <w:r>
        <w:t>Poleg tega se od držav članic pričakuje, da bodo poleg preglednic iz Priloge II in Priloge III v letnih računovodskih izkazih predložile tudi:</w:t>
      </w:r>
    </w:p>
    <w:p w14:paraId="3D2F43C5" w14:textId="77777777" w:rsidR="00DB3F3D" w:rsidRDefault="000C0F2B">
      <w:pPr>
        <w:pStyle w:val="Text1"/>
        <w:numPr>
          <w:ilvl w:val="0"/>
          <w:numId w:val="34"/>
        </w:numPr>
        <w:spacing w:after="0"/>
      </w:pPr>
      <w:r>
        <w:t>povzetek iz Priloge II;</w:t>
      </w:r>
    </w:p>
    <w:p w14:paraId="5947BCA0" w14:textId="77777777" w:rsidR="00DB3F3D" w:rsidRDefault="000C0F2B">
      <w:pPr>
        <w:pStyle w:val="Text1"/>
        <w:numPr>
          <w:ilvl w:val="0"/>
          <w:numId w:val="34"/>
        </w:numPr>
        <w:spacing w:after="0"/>
      </w:pPr>
      <w:r>
        <w:t>preglednico „50/50“;</w:t>
      </w:r>
    </w:p>
    <w:p w14:paraId="301C1AB8" w14:textId="77777777" w:rsidR="00DB3F3D" w:rsidRDefault="000C0F2B">
      <w:pPr>
        <w:pStyle w:val="Text1"/>
        <w:numPr>
          <w:ilvl w:val="0"/>
          <w:numId w:val="34"/>
        </w:numPr>
        <w:spacing w:after="0"/>
      </w:pPr>
      <w:r>
        <w:t>podrobno preglednico o izterjavah za pretekla programska obdobja.</w:t>
      </w:r>
    </w:p>
    <w:p w14:paraId="4139E175" w14:textId="77777777" w:rsidR="00DB3F3D" w:rsidRDefault="00DB3F3D">
      <w:pPr>
        <w:pStyle w:val="ListNumber"/>
        <w:numPr>
          <w:ilvl w:val="0"/>
          <w:numId w:val="0"/>
        </w:numPr>
        <w:spacing w:after="0"/>
      </w:pPr>
    </w:p>
    <w:p w14:paraId="648B0C76" w14:textId="77777777" w:rsidR="00DB3F3D" w:rsidRDefault="000C0F2B">
      <w:pPr>
        <w:spacing w:after="0"/>
        <w:ind w:left="0" w:firstLine="0"/>
      </w:pPr>
      <w:r>
        <w:t xml:space="preserve">V oddelku A, del 2, teh smernic so določena navodila za izpolnjevanje in pošiljanje preglednic iz prilog II in III k Uredbi (EU) št. 908/2014. Točka 2.1. se nanaša na </w:t>
      </w:r>
      <w:r>
        <w:rPr>
          <w:b/>
        </w:rPr>
        <w:t>preglednico iz Priloge II</w:t>
      </w:r>
      <w:r>
        <w:t xml:space="preserve"> k Uredbi (EU) št. 908/2014, točka 2.2. na preglednico iz </w:t>
      </w:r>
      <w:r>
        <w:rPr>
          <w:b/>
        </w:rPr>
        <w:t>Priloge III</w:t>
      </w:r>
      <w:r>
        <w:t xml:space="preserve"> k Uredbi (EU) št. 908/2014, točka 2.3. pa na </w:t>
      </w:r>
      <w:r>
        <w:rPr>
          <w:b/>
        </w:rPr>
        <w:t>podrobno preglednico o izterjavah za pretekla programska obdobja</w:t>
      </w:r>
      <w:r>
        <w:t>.</w:t>
      </w:r>
    </w:p>
    <w:p w14:paraId="4569E53B" w14:textId="77777777" w:rsidR="00DB3F3D" w:rsidRDefault="000C0F2B">
      <w:pPr>
        <w:pStyle w:val="Heading1"/>
        <w:ind w:left="601"/>
      </w:pPr>
      <w:bookmarkStart w:id="13" w:name="_Toc134086089"/>
      <w:r>
        <w:lastRenderedPageBreak/>
        <w:t>2.1. Preglednica iz Priloge II k Uredbi (EU) št. 908/2014</w:t>
      </w:r>
      <w:bookmarkEnd w:id="13"/>
      <w:r>
        <w:t xml:space="preserve"> </w:t>
      </w:r>
    </w:p>
    <w:p w14:paraId="0A8BE486" w14:textId="77777777" w:rsidR="00DB3F3D" w:rsidRDefault="000C0F2B">
      <w:pPr>
        <w:pStyle w:val="Heading2"/>
        <w:numPr>
          <w:ilvl w:val="0"/>
          <w:numId w:val="0"/>
        </w:numPr>
        <w:ind w:left="1802" w:hanging="600"/>
      </w:pPr>
      <w:bookmarkStart w:id="14" w:name="_Toc134086090"/>
      <w:r>
        <w:t xml:space="preserve">2.1.1. </w:t>
      </w:r>
      <w:bookmarkStart w:id="15" w:name="_Toc422216427"/>
      <w:r>
        <w:t>Primeri, o katerih se poroča</w:t>
      </w:r>
      <w:bookmarkEnd w:id="15"/>
      <w:bookmarkEnd w:id="14"/>
      <w:r>
        <w:t xml:space="preserve"> </w:t>
      </w:r>
    </w:p>
    <w:p w14:paraId="33CAA539" w14:textId="77777777" w:rsidR="00DB3F3D" w:rsidRDefault="000C0F2B">
      <w:pPr>
        <w:ind w:left="0" w:firstLine="0"/>
      </w:pPr>
      <w:r>
        <w:t xml:space="preserve">Preglednica iz Priloge II k Uredbi (EU) št. 908/2014 vključuje vsa neupravičena plačila, ki jih je treba izterjati ob koncu proračunskega leta in so posledica nepravilnosti v smislu člena 1(2) Uredbe Sveta (ES, Euratom) št. 2988/95, </w:t>
      </w:r>
      <w:r>
        <w:rPr>
          <w:u w:val="single"/>
        </w:rPr>
        <w:t>vključno z vsemi kaznimi in obrestmi, ki izhajajo iz teh plačil</w:t>
      </w:r>
      <w:r>
        <w:t>. V navedenem členu 1(2) je nepravilnost opredeljena kot „vsako kršenje določb zakonodaje EU, ki je posledica dejanja ali opustitve s strani gospodarskega subjekta, ki je ali bi lahko škodljivo vplivalo na proračun EU ali proračunska sredstva, ki jih upravlja, bodisi z zmanjšanjem ali izgubo prihodkov iz lastnih sredstev, ki se zbirajo neposredno v imenu EU, bodisi z neupravičenimi izdatki“. Če je vzrok za neupravičeno plačilo tako nepravilnost, za katero je odgovoren upravičenec v smislu te opredelitve, kot tudi napaka državne uprave (mešani primeri), se takšen primer vključi v preglednico iz Priloge II.</w:t>
      </w:r>
    </w:p>
    <w:p w14:paraId="00314C8F" w14:textId="77777777" w:rsidR="00DB3F3D" w:rsidRDefault="000C0F2B">
      <w:pPr>
        <w:ind w:left="0" w:firstLine="0"/>
      </w:pPr>
      <w:r>
        <w:t>Države članice morajo Komisiji za vsako proračunsko leto n do 15. februarja leta n + 1 v elektronski obliki predložiti to preglednico za vsako plačilno agencijo.</w:t>
      </w:r>
    </w:p>
    <w:p w14:paraId="7E52BD0C" w14:textId="77777777" w:rsidR="00DB3F3D" w:rsidRDefault="000C0F2B">
      <w:pPr>
        <w:ind w:left="0" w:firstLine="0"/>
      </w:pPr>
      <w:r>
        <w:t>Ena vrstica v preglednici predstavlja en primer nepravilnosti, razen če se nanaša na odhodke, obračunane v okviru različnih proračunskih kod, pri čemer je treba znesek nepravilnosti porazdeliti med te proračunske kode. Obveznost poročanja v preglednici velja za naslednje primere:</w:t>
      </w:r>
    </w:p>
    <w:p w14:paraId="472B70EB" w14:textId="77777777" w:rsidR="00DB3F3D" w:rsidRDefault="000C0F2B">
      <w:pPr>
        <w:pStyle w:val="ListBullet"/>
      </w:pPr>
      <w:r>
        <w:t>primeri nepravilnosti, ki so ob koncu proračunskega leta n (15. oktobra) neporavnani. Ker naj bi preglednica prikazovala razmerje med plačilno agencijo in upravičencem, je treba poročati z navedbo celotnega neporavnanega zneska o primerih, ki so že bili obravnavani po pravilu 50/50 iz člena 54(2) Uredbe (EU) št. 1306/2013</w:t>
      </w:r>
      <w:r>
        <w:rPr>
          <w:rStyle w:val="FootnoteReference"/>
        </w:rPr>
        <w:footnoteReference w:id="9"/>
      </w:r>
      <w:r>
        <w:t>, vendar še niso bili v celoti izterjani od upravičenca;</w:t>
      </w:r>
    </w:p>
    <w:p w14:paraId="6897BD76" w14:textId="77777777" w:rsidR="00DB3F3D" w:rsidRDefault="000C0F2B">
      <w:pPr>
        <w:pStyle w:val="ListBullet"/>
      </w:pPr>
      <w:r>
        <w:t>primeri nepravilnosti, ki so bili ob koncu proračunskega leta n – 1 (15. oktobra) neporavnani, vendar so bili v celoti izterjani ali prijavljeni kot neizterljivi v proračunskem letu n;</w:t>
      </w:r>
    </w:p>
    <w:p w14:paraId="204C4CC2" w14:textId="77777777" w:rsidR="00DB3F3D" w:rsidRDefault="000C0F2B">
      <w:pPr>
        <w:pStyle w:val="ListBullet"/>
      </w:pPr>
      <w:r>
        <w:t>primeri nepravilnosti, ki so bili odkriti v proračunskem letu n in so bili v celoti izterjani (vključno s primeri, ki so se poravnali s poznejšimi plačili) ali prijavljeni kot neizterljivi v istem proračunskem letu.</w:t>
      </w:r>
    </w:p>
    <w:p w14:paraId="2A296FBE" w14:textId="77777777" w:rsidR="00DB3F3D" w:rsidRDefault="000C0F2B">
      <w:pPr>
        <w:ind w:left="0" w:firstLine="0"/>
      </w:pPr>
      <w:r>
        <w:t xml:space="preserve">V skladu s členom 54(3)(a) Uredbe (EU) št. 1306/2013, ki vsebuje prostovoljno pravilo </w:t>
      </w:r>
      <w:r>
        <w:rPr>
          <w:i/>
          <w:iCs/>
        </w:rPr>
        <w:t>de minimis</w:t>
      </w:r>
      <w:r>
        <w:t xml:space="preserve"> za dolgove EKJS in EKSRP</w:t>
      </w:r>
      <w:r>
        <w:rPr>
          <w:rStyle w:val="FootnoteReference"/>
        </w:rPr>
        <w:footnoteReference w:id="10"/>
      </w:r>
      <w:r>
        <w:t xml:space="preserve">, o katerem koli novem dolgu, ki se odpiše v skladu s tem pravilom, ni treba poročati v preglednici iz Priloge II. Isto načelo se uporablja za dolgove, ki se odpišejo v skladu s sektorskim pravilom </w:t>
      </w:r>
      <w:r>
        <w:rPr>
          <w:i/>
          <w:iCs/>
        </w:rPr>
        <w:t>de minimis</w:t>
      </w:r>
      <w:r>
        <w:t xml:space="preserve">, vključenim v predpise EU, kot sta člena 48(10) in 49(3) Uredbe Komisije (ES) št. 612/2009. Vendar je treba v preglednici poročati o dolgovih, nižjih od 250 EUR, za katere so se postopki izterjave že začeli. Dolgovi, višji od 250 EUR, se vključijo v preglednico ne glede na kakršno koli </w:t>
      </w:r>
      <w:r>
        <w:lastRenderedPageBreak/>
        <w:t>nacionalno prakso ali sklep o odpisu takih dolgov v skladu s členom 54(3)(a) Uredbe (EU) št. 1306/2013.</w:t>
      </w:r>
    </w:p>
    <w:p w14:paraId="12B08785" w14:textId="77777777" w:rsidR="00DB3F3D" w:rsidRDefault="000C0F2B">
      <w:pPr>
        <w:ind w:left="0" w:firstLine="0"/>
      </w:pPr>
      <w:r>
        <w:t>O primerih nepravilnosti v okviru Začasnega instrumenta za razvoj podeželja (ZIRP) in Evropskega kmetijskega sklada za razvoj podeželja (EKSRP) v programskem obdobju 2007–2013 je treba še naprej poročati v preglednici iz Priloge II k Uredbi (EU) št. 908/2014, saj bo morala Komisija vsak znesek, ki ga od upravičenca izterja država članica, izterjati od zadevne države članice. Za to se uporabijo nalogi za izterjavo, izdani v skladu z Uredbo (EU, Euratom) 2018/1046 o finančnih pravilih, ki se uporabljajo za splošni proračun Unije (tj. finančno uredbo).</w:t>
      </w:r>
    </w:p>
    <w:p w14:paraId="194BB556" w14:textId="77777777" w:rsidR="00DB3F3D" w:rsidRDefault="000C0F2B">
      <w:pPr>
        <w:ind w:left="0" w:firstLine="0"/>
      </w:pPr>
      <w:r>
        <w:t xml:space="preserve">Z Uredbo (EU) št. 1306/2013 so bile uvedene številne spremembe v zvezi z ureditvijo nepravilnosti. </w:t>
      </w:r>
      <w:r>
        <w:rPr>
          <w:u w:val="single"/>
        </w:rPr>
        <w:t>Zato bo treba od proračunskega leta 2015 naprej</w:t>
      </w:r>
      <w:r>
        <w:t xml:space="preserve"> za „nove“ primere izpolniti vse stolpce v preglednici iz Priloge II, razen stolpcev (V1) in (V2), v katera bo vrednosti treba začeti vnašati šele od proračunskega leta 2016 naprej. </w:t>
      </w:r>
    </w:p>
    <w:p w14:paraId="08786AAE" w14:textId="77777777" w:rsidR="00DB3F3D" w:rsidRDefault="000C0F2B">
      <w:pPr>
        <w:ind w:left="0" w:firstLine="0"/>
      </w:pPr>
      <w:r>
        <w:t xml:space="preserve">Podrobna navodila o načinu poročanja v različnih stolpcih preglednice iz Priloge II so navedena v nadaljevanju. </w:t>
      </w:r>
    </w:p>
    <w:p w14:paraId="0EA13ECD" w14:textId="77777777" w:rsidR="00DB3F3D" w:rsidRDefault="000C0F2B">
      <w:pPr>
        <w:pStyle w:val="Heading2"/>
        <w:numPr>
          <w:ilvl w:val="0"/>
          <w:numId w:val="0"/>
        </w:numPr>
        <w:ind w:left="1320" w:hanging="600"/>
      </w:pPr>
      <w:bookmarkStart w:id="16" w:name="_Toc422216428"/>
      <w:bookmarkStart w:id="17" w:name="_Toc134086091"/>
      <w:r>
        <w:t>2.1.2. Vsebina stolpcev</w:t>
      </w:r>
      <w:bookmarkEnd w:id="16"/>
      <w:bookmarkEnd w:id="17"/>
    </w:p>
    <w:p w14:paraId="5AF2EAAE" w14:textId="77777777" w:rsidR="00DB3F3D" w:rsidRDefault="000C0F2B">
      <w:pPr>
        <w:pStyle w:val="Heading2"/>
        <w:numPr>
          <w:ilvl w:val="3"/>
          <w:numId w:val="35"/>
        </w:numPr>
      </w:pPr>
      <w:bookmarkStart w:id="18" w:name="_Toc422216429"/>
      <w:r>
        <w:t xml:space="preserve"> </w:t>
      </w:r>
      <w:bookmarkStart w:id="19" w:name="_Toc134086092"/>
      <w:r>
        <w:t>Stolpec (A) – Plačilna agencija</w:t>
      </w:r>
      <w:bookmarkEnd w:id="18"/>
      <w:bookmarkEnd w:id="19"/>
    </w:p>
    <w:p w14:paraId="3421F57F" w14:textId="77777777" w:rsidR="00DB3F3D" w:rsidRDefault="000C0F2B">
      <w:pPr>
        <w:ind w:left="0" w:firstLine="0"/>
      </w:pPr>
      <w:r>
        <w:t>Koda plačilne agencije, ki je odgovorna za izterjavo nepravilno izplačanega zneska.</w:t>
      </w:r>
    </w:p>
    <w:p w14:paraId="15D3CC46" w14:textId="77777777" w:rsidR="00DB3F3D" w:rsidRDefault="000C0F2B">
      <w:pPr>
        <w:ind w:left="0" w:firstLine="0"/>
        <w:rPr>
          <w:snapToGrid w:val="0"/>
        </w:rPr>
      </w:pPr>
      <w:r>
        <w:rPr>
          <w:snapToGrid w:val="0"/>
          <w:u w:val="single"/>
        </w:rPr>
        <w:t>Zahtevana oblika</w:t>
      </w:r>
      <w:r>
        <w:rPr>
          <w:snapToGrid w:val="0"/>
        </w:rPr>
        <w:t>:</w:t>
      </w:r>
      <w:r>
        <w:t xml:space="preserve"> DČ99, pri čemer DČ pomeni dvočrkovno kodo države članice po ISO, 9 pa pomeni števko od 0 do 9.</w:t>
      </w:r>
    </w:p>
    <w:p w14:paraId="795069AD" w14:textId="77777777" w:rsidR="00DB3F3D" w:rsidRDefault="000C0F2B">
      <w:pPr>
        <w:pStyle w:val="Heading2"/>
        <w:numPr>
          <w:ilvl w:val="3"/>
          <w:numId w:val="35"/>
        </w:numPr>
      </w:pPr>
      <w:bookmarkStart w:id="20" w:name="_Toc18335257"/>
      <w:bookmarkStart w:id="21" w:name="_Toc18335406"/>
      <w:bookmarkStart w:id="22" w:name="_Toc18336121"/>
      <w:bookmarkStart w:id="23" w:name="_Toc422216430"/>
      <w:bookmarkEnd w:id="20"/>
      <w:bookmarkEnd w:id="21"/>
      <w:bookmarkEnd w:id="22"/>
      <w:r>
        <w:t xml:space="preserve"> </w:t>
      </w:r>
      <w:bookmarkStart w:id="24" w:name="_Toc134086093"/>
      <w:r>
        <w:t>Stolpec (B) – Sklad</w:t>
      </w:r>
      <w:bookmarkEnd w:id="23"/>
      <w:bookmarkEnd w:id="24"/>
    </w:p>
    <w:p w14:paraId="1CF3004B" w14:textId="77777777" w:rsidR="00DB3F3D" w:rsidRDefault="000C0F2B">
      <w:pPr>
        <w:pStyle w:val="Text2"/>
        <w:ind w:left="0" w:firstLine="0"/>
      </w:pPr>
      <w:r>
        <w:t>Sklad, iz katerega je bil nepravilno izplačan znesek.</w:t>
      </w:r>
    </w:p>
    <w:p w14:paraId="315F0D32" w14:textId="77777777" w:rsidR="00DB3F3D" w:rsidRDefault="000C0F2B">
      <w:r>
        <w:rPr>
          <w:snapToGrid w:val="0"/>
          <w:u w:val="single"/>
        </w:rPr>
        <w:t>Zahtevana oblika</w:t>
      </w:r>
      <w:r>
        <w:rPr>
          <w:snapToGrid w:val="0"/>
        </w:rPr>
        <w:t>: označi se z enoznakovno kodo v skladu z naslednjim seznamom kod: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51"/>
      </w:tblGrid>
      <w:tr w:rsidR="00DB3F3D" w14:paraId="72DA8443" w14:textId="77777777">
        <w:trPr>
          <w:jc w:val="center"/>
        </w:trPr>
        <w:tc>
          <w:tcPr>
            <w:tcW w:w="1275" w:type="dxa"/>
          </w:tcPr>
          <w:p w14:paraId="268A09BD" w14:textId="77777777" w:rsidR="00DB3F3D" w:rsidRDefault="000C0F2B">
            <w:pPr>
              <w:pStyle w:val="Text2"/>
              <w:spacing w:after="0"/>
              <w:ind w:left="0" w:firstLine="0"/>
              <w:jc w:val="center"/>
              <w:rPr>
                <w:snapToGrid w:val="0"/>
              </w:rPr>
            </w:pPr>
            <w:r>
              <w:rPr>
                <w:snapToGrid w:val="0"/>
              </w:rPr>
              <w:t>Koda</w:t>
            </w:r>
          </w:p>
        </w:tc>
        <w:tc>
          <w:tcPr>
            <w:tcW w:w="7451" w:type="dxa"/>
          </w:tcPr>
          <w:p w14:paraId="18A45195" w14:textId="77777777" w:rsidR="00DB3F3D" w:rsidRDefault="000C0F2B">
            <w:pPr>
              <w:pStyle w:val="Text2"/>
              <w:spacing w:after="0"/>
              <w:ind w:left="0" w:firstLine="0"/>
              <w:jc w:val="left"/>
              <w:rPr>
                <w:snapToGrid w:val="0"/>
              </w:rPr>
            </w:pPr>
            <w:r>
              <w:rPr>
                <w:snapToGrid w:val="0"/>
              </w:rPr>
              <w:t>Pomen</w:t>
            </w:r>
          </w:p>
        </w:tc>
      </w:tr>
      <w:tr w:rsidR="00DB3F3D" w14:paraId="509BF4E0" w14:textId="77777777">
        <w:trPr>
          <w:jc w:val="center"/>
        </w:trPr>
        <w:tc>
          <w:tcPr>
            <w:tcW w:w="1275" w:type="dxa"/>
            <w:vAlign w:val="center"/>
          </w:tcPr>
          <w:p w14:paraId="4410F4F4" w14:textId="77777777" w:rsidR="00DB3F3D" w:rsidRDefault="000C0F2B">
            <w:pPr>
              <w:pStyle w:val="Text2"/>
              <w:spacing w:after="0"/>
              <w:ind w:left="0" w:firstLine="0"/>
              <w:jc w:val="center"/>
              <w:rPr>
                <w:snapToGrid w:val="0"/>
              </w:rPr>
            </w:pPr>
            <w:r>
              <w:rPr>
                <w:snapToGrid w:val="0"/>
              </w:rPr>
              <w:t>3</w:t>
            </w:r>
          </w:p>
        </w:tc>
        <w:tc>
          <w:tcPr>
            <w:tcW w:w="7451" w:type="dxa"/>
          </w:tcPr>
          <w:p w14:paraId="5991FCCC" w14:textId="77777777" w:rsidR="00DB3F3D" w:rsidRDefault="000C0F2B">
            <w:pPr>
              <w:pStyle w:val="Text2"/>
              <w:spacing w:after="0"/>
              <w:ind w:left="0" w:firstLine="0"/>
              <w:jc w:val="left"/>
              <w:rPr>
                <w:snapToGrid w:val="0"/>
              </w:rPr>
            </w:pPr>
            <w:r>
              <w:rPr>
                <w:snapToGrid w:val="0"/>
              </w:rPr>
              <w:t xml:space="preserve">EKJS, vključno z vsemi odhodki nekdanjega Jamstvenega oddelka EKUJS </w:t>
            </w:r>
          </w:p>
        </w:tc>
      </w:tr>
      <w:tr w:rsidR="00DB3F3D" w14:paraId="7CFF1308" w14:textId="77777777">
        <w:trPr>
          <w:jc w:val="center"/>
        </w:trPr>
        <w:tc>
          <w:tcPr>
            <w:tcW w:w="1275" w:type="dxa"/>
            <w:vAlign w:val="center"/>
          </w:tcPr>
          <w:p w14:paraId="0A0E1C41" w14:textId="77777777" w:rsidR="00DB3F3D" w:rsidRDefault="000C0F2B">
            <w:pPr>
              <w:pStyle w:val="Text2"/>
              <w:spacing w:after="0"/>
              <w:ind w:left="0" w:firstLine="0"/>
              <w:jc w:val="center"/>
              <w:rPr>
                <w:snapToGrid w:val="0"/>
              </w:rPr>
            </w:pPr>
            <w:r>
              <w:rPr>
                <w:snapToGrid w:val="0"/>
              </w:rPr>
              <w:t>4</w:t>
            </w:r>
          </w:p>
        </w:tc>
        <w:tc>
          <w:tcPr>
            <w:tcW w:w="7451" w:type="dxa"/>
          </w:tcPr>
          <w:p w14:paraId="5A5EAC26" w14:textId="77777777" w:rsidR="00DB3F3D" w:rsidRDefault="000C0F2B">
            <w:pPr>
              <w:pStyle w:val="Text2"/>
              <w:spacing w:after="0"/>
              <w:ind w:left="0" w:firstLine="0"/>
              <w:jc w:val="left"/>
              <w:rPr>
                <w:snapToGrid w:val="0"/>
              </w:rPr>
            </w:pPr>
            <w:r>
              <w:rPr>
                <w:snapToGrid w:val="0"/>
              </w:rPr>
              <w:t>EKSRP za obdobje 2007–2013</w:t>
            </w:r>
          </w:p>
        </w:tc>
      </w:tr>
      <w:tr w:rsidR="00DB3F3D" w14:paraId="0375A863" w14:textId="77777777">
        <w:trPr>
          <w:jc w:val="center"/>
        </w:trPr>
        <w:tc>
          <w:tcPr>
            <w:tcW w:w="1275" w:type="dxa"/>
            <w:vAlign w:val="center"/>
          </w:tcPr>
          <w:p w14:paraId="608A02F4" w14:textId="77777777" w:rsidR="00DB3F3D" w:rsidRDefault="000C0F2B">
            <w:pPr>
              <w:pStyle w:val="Text2"/>
              <w:spacing w:after="0"/>
              <w:ind w:left="0" w:firstLine="0"/>
              <w:jc w:val="center"/>
              <w:rPr>
                <w:snapToGrid w:val="0"/>
              </w:rPr>
            </w:pPr>
            <w:r>
              <w:rPr>
                <w:snapToGrid w:val="0"/>
              </w:rPr>
              <w:t>5</w:t>
            </w:r>
          </w:p>
        </w:tc>
        <w:tc>
          <w:tcPr>
            <w:tcW w:w="7451" w:type="dxa"/>
          </w:tcPr>
          <w:p w14:paraId="29A03DF5" w14:textId="77777777" w:rsidR="00DB3F3D" w:rsidRDefault="000C0F2B">
            <w:pPr>
              <w:pStyle w:val="Text2"/>
              <w:spacing w:after="0"/>
              <w:ind w:left="0" w:firstLine="0"/>
              <w:jc w:val="left"/>
              <w:rPr>
                <w:snapToGrid w:val="0"/>
              </w:rPr>
            </w:pPr>
            <w:r>
              <w:rPr>
                <w:snapToGrid w:val="0"/>
              </w:rPr>
              <w:t xml:space="preserve">ZIRP za EU-10 </w:t>
            </w:r>
          </w:p>
        </w:tc>
      </w:tr>
      <w:tr w:rsidR="00DB3F3D" w14:paraId="2D3D9D93" w14:textId="77777777">
        <w:trPr>
          <w:jc w:val="center"/>
        </w:trPr>
        <w:tc>
          <w:tcPr>
            <w:tcW w:w="1275" w:type="dxa"/>
            <w:vAlign w:val="center"/>
          </w:tcPr>
          <w:p w14:paraId="53C9A346" w14:textId="77777777" w:rsidR="00DB3F3D" w:rsidRDefault="000C0F2B">
            <w:pPr>
              <w:pStyle w:val="Text2"/>
              <w:spacing w:after="0"/>
              <w:ind w:left="0" w:firstLine="0"/>
              <w:jc w:val="center"/>
              <w:rPr>
                <w:snapToGrid w:val="0"/>
              </w:rPr>
            </w:pPr>
            <w:r>
              <w:rPr>
                <w:snapToGrid w:val="0"/>
              </w:rPr>
              <w:t>6</w:t>
            </w:r>
          </w:p>
        </w:tc>
        <w:tc>
          <w:tcPr>
            <w:tcW w:w="7451" w:type="dxa"/>
          </w:tcPr>
          <w:p w14:paraId="79898EF1" w14:textId="7BE64834" w:rsidR="00DB3F3D" w:rsidRDefault="000C0F2B">
            <w:pPr>
              <w:pStyle w:val="Text2"/>
              <w:spacing w:after="0"/>
              <w:ind w:left="0" w:firstLine="0"/>
              <w:jc w:val="left"/>
              <w:rPr>
                <w:snapToGrid w:val="0"/>
              </w:rPr>
            </w:pPr>
            <w:r>
              <w:rPr>
                <w:snapToGrid w:val="0"/>
              </w:rPr>
              <w:t>EKSRP</w:t>
            </w:r>
            <w:r w:rsidR="00355F12">
              <w:rPr>
                <w:snapToGrid w:val="0"/>
              </w:rPr>
              <w:t xml:space="preserve"> </w:t>
            </w:r>
            <w:r>
              <w:rPr>
                <w:snapToGrid w:val="0"/>
              </w:rPr>
              <w:t>za obdobje 2014–2020</w:t>
            </w:r>
          </w:p>
        </w:tc>
      </w:tr>
    </w:tbl>
    <w:p w14:paraId="2FD2EB24" w14:textId="77777777" w:rsidR="00DB3F3D" w:rsidRDefault="000C0F2B">
      <w:pPr>
        <w:pStyle w:val="Heading2"/>
        <w:numPr>
          <w:ilvl w:val="3"/>
          <w:numId w:val="35"/>
        </w:numPr>
        <w:spacing w:before="240"/>
      </w:pPr>
      <w:bookmarkStart w:id="25" w:name="_Toc422216431"/>
      <w:r>
        <w:t xml:space="preserve"> </w:t>
      </w:r>
      <w:bookmarkStart w:id="26" w:name="_Toc134086094"/>
      <w:r>
        <w:t>Stolpec (AA) – Primer (staro/novo)</w:t>
      </w:r>
      <w:bookmarkEnd w:id="25"/>
      <w:bookmarkEnd w:id="26"/>
    </w:p>
    <w:p w14:paraId="49939CA5" w14:textId="77777777" w:rsidR="00DB3F3D" w:rsidRDefault="000C0F2B">
      <w:pPr>
        <w:ind w:left="0" w:firstLine="0"/>
      </w:pPr>
      <w:r>
        <w:t xml:space="preserve">To polje omogoča razlikovanje med „starimi“ in „novimi“ primeri nepravilnosti. </w:t>
      </w:r>
    </w:p>
    <w:p w14:paraId="3EED343E" w14:textId="77777777" w:rsidR="00DB3F3D" w:rsidRDefault="000C0F2B">
      <w:pPr>
        <w:ind w:left="0" w:firstLine="0"/>
      </w:pPr>
      <w:r>
        <w:t>Uporabljajo se določbe člena 41(5) Delegirane uredbe Komisije (EU) št. 907/2014 z dne 11. marca 2014</w:t>
      </w:r>
      <w:r>
        <w:rPr>
          <w:rStyle w:val="FootnoteReference"/>
        </w:rPr>
        <w:footnoteReference w:id="11"/>
      </w:r>
      <w:r>
        <w:t>, in sicer:</w:t>
      </w:r>
    </w:p>
    <w:p w14:paraId="2CFA013F" w14:textId="77777777" w:rsidR="00DB3F3D" w:rsidRDefault="000C0F2B">
      <w:pPr>
        <w:pStyle w:val="ListNumber"/>
        <w:numPr>
          <w:ilvl w:val="0"/>
          <w:numId w:val="21"/>
        </w:numPr>
      </w:pPr>
      <w:r>
        <w:t xml:space="preserve">Za primere nepravilnosti, o katerih se poroča ali se bo poročalo Komisiji v zvezi s proračunskim letom 2014 in obdobjem pred tem, je treba še naprej uporabljati </w:t>
      </w:r>
      <w:r>
        <w:lastRenderedPageBreak/>
        <w:t>proračunsko leto prve upravne ali sodne ugotovitve (PACA</w:t>
      </w:r>
      <w:r>
        <w:rPr>
          <w:rStyle w:val="FootnoteReference"/>
        </w:rPr>
        <w:footnoteReference w:id="12"/>
      </w:r>
      <w:r>
        <w:t xml:space="preserve">) nepravilnosti v smislu člena 35 Uredbe (ES) št. 1290/2005. To tudi pomeni, da se za te stare primere kot referenčna točka za uporabo pravila 50/50 šteje stolpec (J). Za primere, pri katerih pred 16. oktobrom 2014 ni prišlo do upravne ali sodne ugotovitve nepravilnosti, se uporabljajo določbe člena 54(1) in (2) Uredbe (EU) št. 1306/2013.  </w:t>
      </w:r>
    </w:p>
    <w:p w14:paraId="0E0E95BF" w14:textId="77777777" w:rsidR="00DB3F3D" w:rsidRDefault="000C0F2B">
      <w:pPr>
        <w:pStyle w:val="ListNumber"/>
      </w:pPr>
      <w:r>
        <w:t>Za vse „nove“ primere, tj. tiste, pri katerih pred 16. oktobrom 2014 ni prišlo do ugotovitve PACA, se uporabljajo določbe člena 54(1) in (2) Uredbe (EU) št. 1306/2013.</w:t>
      </w:r>
    </w:p>
    <w:p w14:paraId="60937B47" w14:textId="77777777" w:rsidR="00DB3F3D" w:rsidRDefault="000C0F2B">
      <w:pPr>
        <w:pStyle w:val="ListNumber"/>
        <w:numPr>
          <w:ilvl w:val="0"/>
          <w:numId w:val="0"/>
        </w:numPr>
      </w:pPr>
      <w:r>
        <w:t>V zvezi z neizterljivimi zneski in popravki se Uredba (EU) št. 1306/2013 začne uporabljati takoj. Navedeni zneski se morajo zato obračunavati od proračunskega leta 2014 naprej (in ne več šele po zaključku zadevnega programa razvoja podeželja).</w:t>
      </w:r>
    </w:p>
    <w:p w14:paraId="14ED4A28" w14:textId="77777777" w:rsidR="00DB3F3D" w:rsidRDefault="000C0F2B">
      <w:pPr>
        <w:ind w:left="0" w:firstLine="0"/>
      </w:pPr>
      <w:r>
        <w:rPr>
          <w:u w:val="single"/>
        </w:rPr>
        <w:t>Zahtevana oblika</w:t>
      </w:r>
      <w:r>
        <w:t>: staro = „O“; novo = „N“.</w:t>
      </w:r>
    </w:p>
    <w:p w14:paraId="6E42A191" w14:textId="77777777" w:rsidR="00DB3F3D" w:rsidRDefault="000C0F2B">
      <w:pPr>
        <w:pStyle w:val="Heading2"/>
        <w:numPr>
          <w:ilvl w:val="3"/>
          <w:numId w:val="35"/>
        </w:numPr>
      </w:pPr>
      <w:bookmarkStart w:id="27" w:name="_Toc422216432"/>
      <w:r>
        <w:t xml:space="preserve"> </w:t>
      </w:r>
      <w:bookmarkStart w:id="28" w:name="_Toc134086095"/>
      <w:r>
        <w:t>Stolpec (V1) – Proračunsko leto izvirnega odhodka</w:t>
      </w:r>
      <w:bookmarkEnd w:id="27"/>
      <w:bookmarkEnd w:id="28"/>
    </w:p>
    <w:p w14:paraId="0D3D2AFE" w14:textId="77777777" w:rsidR="00DB3F3D" w:rsidRDefault="000C0F2B">
      <w:pPr>
        <w:ind w:left="0" w:firstLine="0"/>
      </w:pPr>
      <w:r>
        <w:t>Tukaj je treba navesti proračunsko leto, na katero se nanaša izvirni odhodek.</w:t>
      </w:r>
    </w:p>
    <w:p w14:paraId="7EA71ABA" w14:textId="77777777" w:rsidR="00DB3F3D" w:rsidRDefault="000C0F2B">
      <w:pPr>
        <w:ind w:left="0" w:firstLine="0"/>
      </w:pPr>
      <w:r>
        <w:rPr>
          <w:u w:val="single"/>
        </w:rPr>
        <w:t>Zahtevana oblika</w:t>
      </w:r>
      <w:r>
        <w:t>: „LLLL“ (leto s štirimestno številko).</w:t>
      </w:r>
    </w:p>
    <w:p w14:paraId="6BB94435" w14:textId="77777777" w:rsidR="00DB3F3D" w:rsidRDefault="000C0F2B">
      <w:pPr>
        <w:ind w:left="0" w:firstLine="0"/>
      </w:pPr>
      <w:r>
        <w:t>V primeru večletnih odhodkov se za poročanje o nepravilnosti upošteva najstarejše proračunsko leto izvirnega odhodka. V primeru sankcij brez kakršnega koli plačila (npr. izvozno nadomestilo) je treba namesto tega upoštevati proračunsko leto zahtevka.</w:t>
      </w:r>
    </w:p>
    <w:p w14:paraId="3D7AA229" w14:textId="77777777" w:rsidR="00DB3F3D" w:rsidRDefault="000C0F2B">
      <w:pPr>
        <w:ind w:left="0" w:firstLine="0"/>
      </w:pPr>
      <w:r>
        <w:t>Te informacije se zagotovijo šele od proračunskega leta 2016 naprej.</w:t>
      </w:r>
    </w:p>
    <w:p w14:paraId="24ABD0F1" w14:textId="77777777" w:rsidR="00DB3F3D" w:rsidRDefault="000C0F2B">
      <w:pPr>
        <w:pStyle w:val="Heading2"/>
        <w:numPr>
          <w:ilvl w:val="3"/>
          <w:numId w:val="35"/>
        </w:numPr>
      </w:pPr>
      <w:bookmarkStart w:id="29" w:name="_Toc422216433"/>
      <w:r>
        <w:t xml:space="preserve"> </w:t>
      </w:r>
      <w:bookmarkStart w:id="30" w:name="_Toc134086096"/>
      <w:r>
        <w:t>Stolpec (V2) – Proračunske kode izvirnega odhodka</w:t>
      </w:r>
      <w:bookmarkEnd w:id="29"/>
      <w:bookmarkEnd w:id="30"/>
    </w:p>
    <w:p w14:paraId="6E7B836B" w14:textId="77777777" w:rsidR="00DB3F3D" w:rsidRDefault="000C0F2B">
      <w:pPr>
        <w:ind w:left="0" w:firstLine="0"/>
      </w:pPr>
      <w:r>
        <w:t>Če se nepravilnost nanaša na več proračunskih kod, se o njej poroča v več vrsticah. Te imajo isto identifikacijsko številko primera (stolpec (E)) in isto identifikacijo upravičenca (stolpec (H)).</w:t>
      </w:r>
    </w:p>
    <w:p w14:paraId="136D7FDB" w14:textId="77777777" w:rsidR="00DB3F3D" w:rsidRDefault="000C0F2B">
      <w:pPr>
        <w:ind w:left="0" w:firstLine="0"/>
      </w:pPr>
      <w:r>
        <w:t xml:space="preserve">Vse vrstice v preglednici se nanašajo na eno posamezno proračunsko kodo izvirnega odhodka. </w:t>
      </w:r>
    </w:p>
    <w:p w14:paraId="6ACEC242" w14:textId="77777777" w:rsidR="00DB3F3D" w:rsidRDefault="000C0F2B">
      <w:pPr>
        <w:ind w:left="0" w:firstLine="0"/>
      </w:pPr>
      <w:r>
        <w:t>Informacije v zvezi s proračunsko kodo so naslednje: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749"/>
      </w:tblGrid>
      <w:tr w:rsidR="00DB3F3D" w14:paraId="4D3E32BE" w14:textId="77777777">
        <w:trPr>
          <w:jc w:val="center"/>
        </w:trPr>
        <w:tc>
          <w:tcPr>
            <w:tcW w:w="2977" w:type="dxa"/>
          </w:tcPr>
          <w:p w14:paraId="18FF45AE" w14:textId="77777777" w:rsidR="00DB3F3D" w:rsidRDefault="000C0F2B">
            <w:pPr>
              <w:pStyle w:val="Text2"/>
              <w:spacing w:after="0"/>
              <w:ind w:left="0"/>
              <w:jc w:val="center"/>
              <w:rPr>
                <w:b/>
                <w:snapToGrid w:val="0"/>
              </w:rPr>
            </w:pPr>
            <w:r>
              <w:rPr>
                <w:b/>
                <w:snapToGrid w:val="0"/>
              </w:rPr>
              <w:t>Sklad</w:t>
            </w:r>
          </w:p>
        </w:tc>
        <w:tc>
          <w:tcPr>
            <w:tcW w:w="5749" w:type="dxa"/>
          </w:tcPr>
          <w:p w14:paraId="1420E6AD" w14:textId="77777777" w:rsidR="00DB3F3D" w:rsidRDefault="000C0F2B">
            <w:pPr>
              <w:pStyle w:val="Text2"/>
              <w:spacing w:after="0"/>
              <w:ind w:left="0" w:firstLine="0"/>
              <w:jc w:val="left"/>
              <w:rPr>
                <w:b/>
                <w:snapToGrid w:val="0"/>
              </w:rPr>
            </w:pPr>
            <w:r>
              <w:rPr>
                <w:b/>
                <w:snapToGrid w:val="0"/>
              </w:rPr>
              <w:t>Proračunske kode</w:t>
            </w:r>
            <w:r>
              <w:rPr>
                <w:rStyle w:val="FootnoteReference"/>
                <w:b/>
              </w:rPr>
              <w:footnoteReference w:id="13"/>
            </w:r>
          </w:p>
        </w:tc>
      </w:tr>
      <w:tr w:rsidR="00DB3F3D" w14:paraId="4194772F" w14:textId="77777777">
        <w:trPr>
          <w:jc w:val="center"/>
        </w:trPr>
        <w:tc>
          <w:tcPr>
            <w:tcW w:w="2977" w:type="dxa"/>
            <w:vAlign w:val="center"/>
          </w:tcPr>
          <w:p w14:paraId="662D9031" w14:textId="77777777" w:rsidR="00DB3F3D" w:rsidRDefault="000C0F2B">
            <w:pPr>
              <w:pStyle w:val="Text2"/>
              <w:spacing w:after="0"/>
              <w:ind w:left="0"/>
              <w:jc w:val="center"/>
              <w:rPr>
                <w:snapToGrid w:val="0"/>
              </w:rPr>
            </w:pPr>
            <w:r>
              <w:rPr>
                <w:snapToGrid w:val="0"/>
              </w:rPr>
              <w:t>EKJS in ZIRP</w:t>
            </w:r>
          </w:p>
        </w:tc>
        <w:tc>
          <w:tcPr>
            <w:tcW w:w="5749" w:type="dxa"/>
          </w:tcPr>
          <w:p w14:paraId="7D019A96" w14:textId="77777777" w:rsidR="00DB3F3D" w:rsidRDefault="000C0F2B">
            <w:pPr>
              <w:pStyle w:val="Text2"/>
              <w:spacing w:after="0"/>
              <w:ind w:left="0" w:firstLine="0"/>
              <w:jc w:val="left"/>
              <w:rPr>
                <w:snapToGrid w:val="0"/>
              </w:rPr>
            </w:pPr>
            <w:r>
              <w:rPr>
                <w:snapToGrid w:val="0"/>
              </w:rPr>
              <w:t xml:space="preserve">prvih osem številk </w:t>
            </w:r>
          </w:p>
        </w:tc>
      </w:tr>
      <w:tr w:rsidR="00DB3F3D" w14:paraId="3DB6B181" w14:textId="77777777">
        <w:trPr>
          <w:jc w:val="center"/>
        </w:trPr>
        <w:tc>
          <w:tcPr>
            <w:tcW w:w="2977" w:type="dxa"/>
            <w:vAlign w:val="center"/>
          </w:tcPr>
          <w:p w14:paraId="77AD284D" w14:textId="77777777" w:rsidR="00DB3F3D" w:rsidRDefault="000C0F2B">
            <w:pPr>
              <w:pStyle w:val="Text2"/>
              <w:spacing w:after="0"/>
              <w:ind w:left="0"/>
              <w:jc w:val="center"/>
              <w:rPr>
                <w:snapToGrid w:val="0"/>
              </w:rPr>
            </w:pPr>
            <w:r>
              <w:rPr>
                <w:snapToGrid w:val="0"/>
              </w:rPr>
              <w:t>EKSRP za obdobje 2007–2013</w:t>
            </w:r>
          </w:p>
        </w:tc>
        <w:tc>
          <w:tcPr>
            <w:tcW w:w="5749" w:type="dxa"/>
          </w:tcPr>
          <w:p w14:paraId="48F01732" w14:textId="77777777" w:rsidR="00DB3F3D" w:rsidRDefault="000C0F2B">
            <w:pPr>
              <w:pStyle w:val="Text2"/>
              <w:spacing w:after="0"/>
              <w:ind w:left="0" w:firstLine="0"/>
              <w:jc w:val="left"/>
              <w:rPr>
                <w:snapToGrid w:val="0"/>
              </w:rPr>
            </w:pPr>
            <w:r>
              <w:rPr>
                <w:snapToGrid w:val="0"/>
              </w:rPr>
              <w:t>prvih enajst številk</w:t>
            </w:r>
          </w:p>
        </w:tc>
      </w:tr>
      <w:tr w:rsidR="00DB3F3D" w14:paraId="1A743E91" w14:textId="77777777">
        <w:trPr>
          <w:jc w:val="center"/>
        </w:trPr>
        <w:tc>
          <w:tcPr>
            <w:tcW w:w="2977" w:type="dxa"/>
            <w:vAlign w:val="center"/>
          </w:tcPr>
          <w:p w14:paraId="24C481A0" w14:textId="77777777" w:rsidR="00DB3F3D" w:rsidRDefault="000C0F2B">
            <w:pPr>
              <w:pStyle w:val="Text2"/>
              <w:spacing w:after="0"/>
              <w:ind w:left="0"/>
              <w:jc w:val="center"/>
              <w:rPr>
                <w:snapToGrid w:val="0"/>
              </w:rPr>
            </w:pPr>
            <w:r>
              <w:rPr>
                <w:snapToGrid w:val="0"/>
              </w:rPr>
              <w:t>EKSRP za obdobje 2014–2020</w:t>
            </w:r>
          </w:p>
        </w:tc>
        <w:tc>
          <w:tcPr>
            <w:tcW w:w="5749" w:type="dxa"/>
          </w:tcPr>
          <w:p w14:paraId="21AD8FD9" w14:textId="77777777" w:rsidR="00DB3F3D" w:rsidRDefault="000C0F2B">
            <w:pPr>
              <w:pStyle w:val="Text2"/>
              <w:spacing w:after="0"/>
              <w:ind w:left="0" w:firstLine="0"/>
              <w:jc w:val="left"/>
              <w:rPr>
                <w:snapToGrid w:val="0"/>
              </w:rPr>
            </w:pPr>
            <w:r>
              <w:rPr>
                <w:snapToGrid w:val="0"/>
              </w:rPr>
              <w:t xml:space="preserve">prvih deset številk </w:t>
            </w:r>
          </w:p>
        </w:tc>
      </w:tr>
      <w:tr w:rsidR="00DB3F3D" w14:paraId="52015067" w14:textId="77777777">
        <w:trPr>
          <w:jc w:val="center"/>
        </w:trPr>
        <w:tc>
          <w:tcPr>
            <w:tcW w:w="2977" w:type="dxa"/>
            <w:vAlign w:val="center"/>
          </w:tcPr>
          <w:p w14:paraId="78910622" w14:textId="77777777" w:rsidR="00DB3F3D" w:rsidRDefault="000C0F2B">
            <w:pPr>
              <w:pStyle w:val="Text2"/>
              <w:spacing w:after="0"/>
              <w:ind w:left="0"/>
              <w:jc w:val="center"/>
              <w:rPr>
                <w:snapToGrid w:val="0"/>
              </w:rPr>
            </w:pPr>
            <w:r>
              <w:rPr>
                <w:snapToGrid w:val="0"/>
              </w:rPr>
              <w:t>nekdanji EKUJS</w:t>
            </w:r>
          </w:p>
        </w:tc>
        <w:tc>
          <w:tcPr>
            <w:tcW w:w="5749" w:type="dxa"/>
          </w:tcPr>
          <w:p w14:paraId="6EA52ECD" w14:textId="77777777" w:rsidR="00DB3F3D" w:rsidRDefault="000C0F2B">
            <w:pPr>
              <w:pStyle w:val="Text2"/>
              <w:spacing w:after="0"/>
              <w:ind w:left="0" w:firstLine="0"/>
              <w:jc w:val="left"/>
              <w:rPr>
                <w:snapToGrid w:val="0"/>
              </w:rPr>
            </w:pPr>
            <w:r>
              <w:rPr>
                <w:snapToGrid w:val="0"/>
              </w:rPr>
              <w:t>„BXX“ kot privzeta vrednost</w:t>
            </w:r>
          </w:p>
        </w:tc>
      </w:tr>
    </w:tbl>
    <w:p w14:paraId="177668D8" w14:textId="77777777" w:rsidR="00DB3F3D" w:rsidRDefault="000C0F2B">
      <w:pPr>
        <w:spacing w:before="120" w:after="0"/>
        <w:ind w:left="0" w:firstLine="0"/>
      </w:pPr>
      <w:r>
        <w:rPr>
          <w:u w:val="single"/>
        </w:rPr>
        <w:lastRenderedPageBreak/>
        <w:t>Zahtevana oblika brez presledkov</w:t>
      </w:r>
      <w:r>
        <w:t>: „999999(…)99“, kjer 9 pomeni števko od 0 do 9, razen za odhodke nekdanjega EKUJS, kjer je treba navesti privzeto vrednost „BXX“.</w:t>
      </w:r>
    </w:p>
    <w:p w14:paraId="34A0EFC0" w14:textId="77777777" w:rsidR="00DB3F3D" w:rsidRDefault="000C0F2B">
      <w:pPr>
        <w:ind w:left="0" w:firstLine="0"/>
      </w:pPr>
      <w:r>
        <w:t>V primeru večletnih odhodkov</w:t>
      </w:r>
      <w:r>
        <w:rPr>
          <w:rStyle w:val="FootnoteReference"/>
        </w:rPr>
        <w:footnoteReference w:id="14"/>
      </w:r>
      <w:r>
        <w:t xml:space="preserve"> je treba o nepravilnosti poročati glede na ustrezen sklad. V takšnem primeru in če se proračunska koda ne spreminja skozi čas, se primer nepravilnosti lahko prijavi v eni vrstici.</w:t>
      </w:r>
    </w:p>
    <w:p w14:paraId="1D1A64F4" w14:textId="77777777" w:rsidR="00DB3F3D" w:rsidRDefault="000C0F2B">
      <w:pPr>
        <w:ind w:left="0" w:firstLine="0"/>
      </w:pPr>
      <w:r>
        <w:t>Te informacije se zagotovijo šele od proračunskega leta 2016 naprej.</w:t>
      </w:r>
    </w:p>
    <w:p w14:paraId="189FB411" w14:textId="77777777" w:rsidR="00DB3F3D" w:rsidRDefault="000C0F2B">
      <w:pPr>
        <w:pStyle w:val="Heading2"/>
        <w:numPr>
          <w:ilvl w:val="3"/>
          <w:numId w:val="35"/>
        </w:numPr>
      </w:pPr>
      <w:bookmarkStart w:id="31" w:name="_Toc422216434"/>
      <w:r>
        <w:t xml:space="preserve"> </w:t>
      </w:r>
      <w:bookmarkStart w:id="32" w:name="_Toc134086097"/>
      <w:r>
        <w:t>Stolpec (C) – Proračunsko leto n</w:t>
      </w:r>
      <w:bookmarkEnd w:id="31"/>
      <w:bookmarkEnd w:id="32"/>
    </w:p>
    <w:p w14:paraId="41CBB855" w14:textId="77777777" w:rsidR="00DB3F3D" w:rsidRDefault="000C0F2B">
      <w:pPr>
        <w:ind w:left="0" w:firstLine="0"/>
      </w:pPr>
      <w:r>
        <w:t>Navesti je treba proračunsko leto, na katero se nanaša preglednica, tj. „leto n“ za preglednice, ki jih je treba Komisiji poslati do 15. februarja „leta n + 1“. To polje omogoča razlikovanje med podatki, sporočenimi v različnih letih.</w:t>
      </w:r>
    </w:p>
    <w:p w14:paraId="3F6B6BA5" w14:textId="77777777" w:rsidR="00DB3F3D" w:rsidRDefault="000C0F2B">
      <w:pPr>
        <w:ind w:left="0" w:firstLine="0"/>
      </w:pPr>
      <w:r>
        <w:rPr>
          <w:u w:val="single"/>
        </w:rPr>
        <w:t>Zahtevana oblika</w:t>
      </w:r>
      <w:r>
        <w:t>: „LLLL“ (leto s štirimestno številko).</w:t>
      </w:r>
    </w:p>
    <w:p w14:paraId="170D7FD2" w14:textId="77777777" w:rsidR="00DB3F3D" w:rsidRDefault="000C0F2B">
      <w:pPr>
        <w:pStyle w:val="Heading2"/>
        <w:numPr>
          <w:ilvl w:val="3"/>
          <w:numId w:val="35"/>
        </w:numPr>
      </w:pPr>
      <w:bookmarkStart w:id="33" w:name="_Toc422216435"/>
      <w:r>
        <w:t xml:space="preserve"> </w:t>
      </w:r>
      <w:bookmarkStart w:id="34" w:name="_Toc134086098"/>
      <w:r>
        <w:t>Stolpec (D) – Denarna enota</w:t>
      </w:r>
      <w:bookmarkEnd w:id="33"/>
      <w:bookmarkEnd w:id="34"/>
    </w:p>
    <w:p w14:paraId="7BED5DD2" w14:textId="77777777" w:rsidR="00DB3F3D" w:rsidRDefault="000C0F2B">
      <w:pPr>
        <w:ind w:left="0" w:firstLine="0"/>
        <w:rPr>
          <w:u w:val="single"/>
        </w:rPr>
      </w:pPr>
      <w:r>
        <w:t xml:space="preserve">Tukaj se navede denarna enota, v kateri se v preglednici navede znesek za vsak primer, o katerem se poroča. V preglednici se zneski navedejo v </w:t>
      </w:r>
      <w:r>
        <w:rPr>
          <w:u w:val="single"/>
        </w:rPr>
        <w:t>nacionalni valuti</w:t>
      </w:r>
      <w:r>
        <w:t>.</w:t>
      </w:r>
    </w:p>
    <w:p w14:paraId="5C354CE1" w14:textId="77777777" w:rsidR="00DB3F3D" w:rsidRDefault="000C0F2B">
      <w:pPr>
        <w:ind w:left="0" w:firstLine="0"/>
        <w:rPr>
          <w:snapToGrid w:val="0"/>
        </w:rPr>
      </w:pPr>
      <w:r>
        <w:rPr>
          <w:u w:val="single"/>
        </w:rPr>
        <w:t>Zahtevana oblika</w:t>
      </w:r>
      <w:r>
        <w:t>: koda ISO 4217: npr. DKK, EUR, GBP, HUF itd.</w:t>
      </w:r>
    </w:p>
    <w:p w14:paraId="03D33CDE" w14:textId="77777777" w:rsidR="00DB3F3D" w:rsidRDefault="000C0F2B">
      <w:pPr>
        <w:pStyle w:val="Heading2"/>
        <w:numPr>
          <w:ilvl w:val="3"/>
          <w:numId w:val="35"/>
        </w:numPr>
      </w:pPr>
      <w:bookmarkStart w:id="35" w:name="_Toc422216436"/>
      <w:r>
        <w:t xml:space="preserve"> </w:t>
      </w:r>
      <w:bookmarkStart w:id="36" w:name="_Toc134086099"/>
      <w:r>
        <w:t>Stolpec (E) – Identifikacijska številka primera</w:t>
      </w:r>
      <w:bookmarkEnd w:id="35"/>
      <w:bookmarkEnd w:id="36"/>
    </w:p>
    <w:p w14:paraId="59D2BE0E" w14:textId="77777777" w:rsidR="00DB3F3D" w:rsidRDefault="000C0F2B">
      <w:pPr>
        <w:ind w:left="0" w:firstLine="0"/>
      </w:pPr>
      <w:r>
        <w:t>Identifikacijska številka je koda, ki jo dodeli država članica in ki nedvoumno identificira primer v plačilni agenciji. To je torej interna številka v vsaki državi članici, ki se ne sme zamenjati z referenčno številko iz stolpca (F). Poleg tega se zaradi jasnega in preglednega poročanja enotna identifikacijska številka posameznega primera nepravilnosti ne sme spreminjati po tem, ko je prvič sporočena v preglednici iz Priloge II.</w:t>
      </w:r>
    </w:p>
    <w:p w14:paraId="04D1FBC7" w14:textId="77777777" w:rsidR="00DB3F3D" w:rsidRDefault="000C0F2B">
      <w:pPr>
        <w:autoSpaceDE w:val="0"/>
        <w:autoSpaceDN w:val="0"/>
        <w:adjustRightInd w:val="0"/>
        <w:ind w:left="0" w:firstLine="0"/>
      </w:pPr>
      <w:r>
        <w:rPr>
          <w:u w:val="single"/>
        </w:rPr>
        <w:t>Zahtevana oblika:</w:t>
      </w:r>
      <w:r>
        <w:t xml:space="preserve"> „polje za besedilo“. To polje je obvezno, zato ne sme ostati prazno.</w:t>
      </w:r>
    </w:p>
    <w:p w14:paraId="06B4A8DC" w14:textId="77777777" w:rsidR="00DB3F3D" w:rsidRDefault="000C0F2B">
      <w:pPr>
        <w:pStyle w:val="Heading2"/>
        <w:numPr>
          <w:ilvl w:val="3"/>
          <w:numId w:val="35"/>
        </w:numPr>
      </w:pPr>
      <w:bookmarkStart w:id="37" w:name="_Toc422216437"/>
      <w:r>
        <w:t xml:space="preserve"> </w:t>
      </w:r>
      <w:bookmarkStart w:id="38" w:name="_Toc134086100"/>
      <w:r>
        <w:t>Stolpec (F) – Identifikacija OLAF (PSES ali IMS), če je primerno</w:t>
      </w:r>
      <w:bookmarkEnd w:id="37"/>
      <w:bookmarkEnd w:id="38"/>
      <w:r>
        <w:t xml:space="preserve"> </w:t>
      </w:r>
    </w:p>
    <w:p w14:paraId="5BBEAFCD" w14:textId="77777777" w:rsidR="00DB3F3D" w:rsidRDefault="000C0F2B">
      <w:pPr>
        <w:ind w:left="0" w:firstLine="0"/>
      </w:pPr>
      <w:r>
        <w:t>Ta številka predstavlja identifikacijsko kodo, ki se uporablja za primere v zbirki podatkov OLAF IMS 5 (primeri, sporočeni od leta 2000 naprej) ali registru AFIS/PSES OLAF modul 595 (primeri, sporočeni pred letom 2000). Omogoča navzkrižno preverjanje z informacijami iz te preglednice. To polje se uporablja samo za primere nepravilnosti, pri katerih finančni vpliv presega 4 000 EUR oziroma 10 000 EUR</w:t>
      </w:r>
      <w:r>
        <w:rPr>
          <w:rStyle w:val="FootnoteReference"/>
        </w:rPr>
        <w:footnoteReference w:id="15"/>
      </w:r>
      <w:r>
        <w:t>, in sicer za nepravilnosti, ugotovljene po 1. januarju 2007</w:t>
      </w:r>
      <w:r>
        <w:rPr>
          <w:rStyle w:val="FootnoteReference"/>
        </w:rPr>
        <w:footnoteReference w:id="16"/>
      </w:r>
      <w:r>
        <w:t>. Pri primerih s finančnim vplivom, nižjim od 4 000 EUR oziroma 10 000 EUR, to polje torej ostane prazno.</w:t>
      </w:r>
    </w:p>
    <w:p w14:paraId="3D6B27EF" w14:textId="77777777" w:rsidR="00DB3F3D" w:rsidRDefault="000C0F2B">
      <w:pPr>
        <w:ind w:left="0" w:firstLine="0"/>
      </w:pPr>
      <w:r>
        <w:rPr>
          <w:u w:val="single"/>
        </w:rPr>
        <w:t>Zahtevana oblika</w:t>
      </w:r>
      <w:r>
        <w:t>: Te informacije se morajo navesti v vseh primerih, kjer obstaja identifikacija IMS ali AFIS/PSES.</w:t>
      </w:r>
    </w:p>
    <w:p w14:paraId="52E7DB35" w14:textId="77777777" w:rsidR="00DB3F3D" w:rsidRDefault="000C0F2B">
      <w:pPr>
        <w:ind w:left="0" w:firstLine="0"/>
      </w:pPr>
      <w:r>
        <w:lastRenderedPageBreak/>
        <w:t>Modul 595: „DČ/LLLL/999999“, kjer 9 pomeni števko od 0 do 9 (primer: BE/2005/000143).</w:t>
      </w:r>
    </w:p>
    <w:p w14:paraId="23D162DD" w14:textId="77777777" w:rsidR="00DB3F3D" w:rsidRDefault="000C0F2B">
      <w:pPr>
        <w:ind w:left="0" w:firstLine="0"/>
      </w:pPr>
      <w:r>
        <w:t>Modul 5: „DČ/LLLL/Organ poročanja/999999“, kjer 9 pomeni števko od 0 do 9 (primer: DE/2005/15/000143).</w:t>
      </w:r>
    </w:p>
    <w:p w14:paraId="32CA6D43" w14:textId="77777777" w:rsidR="00DB3F3D" w:rsidRDefault="000C0F2B">
      <w:pPr>
        <w:pStyle w:val="Heading2"/>
        <w:numPr>
          <w:ilvl w:val="3"/>
          <w:numId w:val="35"/>
        </w:numPr>
      </w:pPr>
      <w:bookmarkStart w:id="39" w:name="_Toc18481995"/>
      <w:bookmarkStart w:id="40" w:name="_Toc18482137"/>
      <w:bookmarkStart w:id="41" w:name="_Toc18482278"/>
      <w:bookmarkStart w:id="42" w:name="_Toc18482561"/>
      <w:bookmarkStart w:id="43" w:name="_Toc422216438"/>
      <w:bookmarkStart w:id="44" w:name="_Toc134086101"/>
      <w:bookmarkEnd w:id="39"/>
      <w:bookmarkEnd w:id="40"/>
      <w:bookmarkEnd w:id="41"/>
      <w:bookmarkEnd w:id="42"/>
      <w:r>
        <w:t>Stolpec (G) – Primer vključen v knjigo terjatev? D/N</w:t>
      </w:r>
      <w:bookmarkEnd w:id="43"/>
      <w:bookmarkEnd w:id="44"/>
    </w:p>
    <w:p w14:paraId="1ACE66EE" w14:textId="77777777" w:rsidR="00DB3F3D" w:rsidRDefault="000C0F2B">
      <w:pPr>
        <w:ind w:left="0" w:firstLine="0"/>
      </w:pPr>
      <w:r>
        <w:t>Preglednica iz Priloge III k Uredbi (ES) št. 885/2006 vključuje vse primere nepravilnosti, pri katerih je bila ugotovljena PACA, vendar morda niso bili zabeleženi v knjigi terjatev. Pri „novih“ primerih preglednica iz Priloge II k Uredbi (EU) št. 908/2014 predvideva, da se poroča le o primerih, za katere je bil podan zahtevek za izterjavo. Knjiga terjatev vključuje terjatve v skladu s splošno priznanimi računovodskimi načeli</w:t>
      </w:r>
      <w:r>
        <w:rPr>
          <w:rStyle w:val="FootnoteReference"/>
        </w:rPr>
        <w:footnoteReference w:id="17"/>
      </w:r>
      <w:r>
        <w:t>.</w:t>
      </w:r>
    </w:p>
    <w:p w14:paraId="7B4F65CA" w14:textId="77777777" w:rsidR="00DB3F3D" w:rsidRDefault="000C0F2B">
      <w:pPr>
        <w:ind w:left="0" w:firstLine="0"/>
      </w:pPr>
      <w:r>
        <w:t>Če je primer iz preglednice zabeležen v knjigi terjatev, se v polje vpiše Y (da), v nasprotnem primeru pa N (ne). Ta stolpec omogoča primerjavo med podatki iz preglednice iz Priloge II k Uredbi (EU) št. 908/2014 in podatki iz knjige terjatev. V primerih, ko gre za izterjave, se v ta stolpec vpiše Y (da).</w:t>
      </w:r>
    </w:p>
    <w:p w14:paraId="3000F277" w14:textId="77777777" w:rsidR="00DB3F3D" w:rsidRDefault="000C0F2B">
      <w:pPr>
        <w:ind w:left="0" w:firstLine="0"/>
      </w:pPr>
      <w:r>
        <w:rPr>
          <w:u w:val="single"/>
        </w:rPr>
        <w:t>Zahtevana oblika</w:t>
      </w:r>
      <w:r>
        <w:t>: da = „Y“; ne = „N“.</w:t>
      </w:r>
    </w:p>
    <w:p w14:paraId="2F629147" w14:textId="77777777" w:rsidR="00DB3F3D" w:rsidRDefault="000C0F2B">
      <w:pPr>
        <w:pStyle w:val="Heading2"/>
        <w:numPr>
          <w:ilvl w:val="3"/>
          <w:numId w:val="35"/>
        </w:numPr>
      </w:pPr>
      <w:bookmarkStart w:id="45" w:name="_Toc422216439"/>
      <w:bookmarkStart w:id="46" w:name="_Toc134086102"/>
      <w:r>
        <w:t>Stolpec (H) – Identifikacija upravičenca</w:t>
      </w:r>
      <w:bookmarkEnd w:id="45"/>
      <w:bookmarkEnd w:id="46"/>
    </w:p>
    <w:p w14:paraId="736C26A8" w14:textId="77777777" w:rsidR="00DB3F3D" w:rsidRDefault="000C0F2B">
      <w:pPr>
        <w:ind w:left="0" w:firstLine="0"/>
      </w:pPr>
      <w:r>
        <w:t>Identifikacijska številka upravičenca je koda, ki jo dodeli država članica in nedvoumno identificira upravičenca v zbirki podatkov plačilne agencije. Ta koda ustreza kodi F200 v tabelah X. To je torej interna identifikacija v vsaki državi članici.</w:t>
      </w:r>
    </w:p>
    <w:p w14:paraId="17140161" w14:textId="77777777" w:rsidR="00DB3F3D" w:rsidRDefault="000C0F2B">
      <w:pPr>
        <w:autoSpaceDE w:val="0"/>
        <w:autoSpaceDN w:val="0"/>
        <w:adjustRightInd w:val="0"/>
        <w:ind w:left="0" w:firstLine="0"/>
      </w:pPr>
      <w:r>
        <w:rPr>
          <w:u w:val="single"/>
        </w:rPr>
        <w:t>Ni posebnih zahtev.</w:t>
      </w:r>
      <w:r>
        <w:t xml:space="preserve"> To polje je obvezno, zato ne sme ostati prazno. </w:t>
      </w:r>
    </w:p>
    <w:p w14:paraId="7585B3F0" w14:textId="77777777" w:rsidR="00DB3F3D" w:rsidRDefault="000C0F2B">
      <w:pPr>
        <w:pStyle w:val="Heading2"/>
        <w:numPr>
          <w:ilvl w:val="3"/>
          <w:numId w:val="35"/>
        </w:numPr>
      </w:pPr>
      <w:bookmarkStart w:id="47" w:name="_Toc422216440"/>
      <w:bookmarkStart w:id="48" w:name="_Toc134086103"/>
      <w:r>
        <w:t>Stolpec (I) – Program zaključen? (samo za EKSRP za obdobje 2007–2013 in ZIRP)</w:t>
      </w:r>
      <w:bookmarkEnd w:id="47"/>
      <w:bookmarkEnd w:id="48"/>
    </w:p>
    <w:p w14:paraId="2554E5E4" w14:textId="77777777" w:rsidR="00DB3F3D" w:rsidRDefault="000C0F2B">
      <w:pPr>
        <w:ind w:left="0" w:firstLine="0"/>
      </w:pPr>
      <w:r>
        <w:t>V skladu s členom 33 Uredbe (ES) št. 1290/2005 je bilo treba zneske, izterjane zaradi nepravilnih plačil iz EKSRP za obdobje 2007–2013, ponovno uporabiti za iste programe razvoja podeželja. Pravilo 50/50 iz člena 33(8) zgoraj navedene uredbe št. 1290/2005 se je torej uporabljalo le za zneske, ki so bili še vedno neporavnani po 4 oziroma 8 letih od ugotovitve PACA ter niso bili v celoti izterjani in/ali ponovno uporabljeni do zaključka vsakega programa. V skladu s členom 28 Uredbe je program zaključen z odločitvijo o potrditvi obračunov za zadnje proračunsko leto izvajanja programa. Ista pravila veljajo za države članice EU-10 v zvezi z Začasnim instrumentom za razvoj podeželja (ZIRP).</w:t>
      </w:r>
    </w:p>
    <w:p w14:paraId="45041E4A" w14:textId="77777777" w:rsidR="00DB3F3D" w:rsidRDefault="000C0F2B">
      <w:pPr>
        <w:ind w:left="0" w:firstLine="0"/>
      </w:pPr>
      <w:r>
        <w:t xml:space="preserve">V tem stolpcu se navedejo informacije o statusu programa, na katerega se nanaša dolg. </w:t>
      </w:r>
    </w:p>
    <w:p w14:paraId="4A0ADB24" w14:textId="77777777" w:rsidR="00DB3F3D" w:rsidRDefault="000C0F2B">
      <w:pPr>
        <w:ind w:left="0" w:firstLine="0"/>
      </w:pPr>
      <w:r>
        <w:t>Kar zadeva izrecno ZIRP, so bili programi za EU-10 zaključeni s Sklepom Komisije 2009/984/EU</w:t>
      </w:r>
      <w:r>
        <w:rPr>
          <w:rStyle w:val="FootnoteReference"/>
        </w:rPr>
        <w:footnoteReference w:id="18"/>
      </w:r>
      <w:r>
        <w:t xml:space="preserve"> in Sklepom Komisije 2010/750/EU</w:t>
      </w:r>
      <w:r>
        <w:rPr>
          <w:rStyle w:val="FootnoteReference"/>
        </w:rPr>
        <w:footnoteReference w:id="19"/>
      </w:r>
      <w:r>
        <w:t>. Vendar je izpolnitev tega stolpca še vedno obvezna.</w:t>
      </w:r>
    </w:p>
    <w:p w14:paraId="1D85E140" w14:textId="77777777" w:rsidR="00DB3F3D" w:rsidRDefault="000C0F2B">
      <w:pPr>
        <w:ind w:left="0" w:firstLine="0"/>
      </w:pPr>
      <w:r>
        <w:rPr>
          <w:u w:val="single"/>
        </w:rPr>
        <w:lastRenderedPageBreak/>
        <w:t>Zahtevana oblika</w:t>
      </w:r>
      <w:r>
        <w:t xml:space="preserve">: da = „Y“, ne = „N“; polje ostane prazno, če je zadevni sklad EKJS, EKSRP za obdobje 2014–2020 ali nekdanji EKUJS. </w:t>
      </w:r>
    </w:p>
    <w:p w14:paraId="341F20AE" w14:textId="77777777" w:rsidR="00DB3F3D" w:rsidRDefault="000C0F2B">
      <w:pPr>
        <w:ind w:left="0" w:firstLine="0"/>
      </w:pPr>
      <w:r>
        <w:t xml:space="preserve">Brez poseganja v zgoraj navedeno bi bilo treba poudariti, da se v skladu s členom 57(1), drugi odstavek, Uredbe (EU) 2021/2116, ki se uporablja od 1. januarja 2023, </w:t>
      </w:r>
      <w:r>
        <w:rPr>
          <w:i/>
        </w:rPr>
        <w:t>[z]neski financiranja Unije iz EKSRP, ki se prekličejo, in izterjani zneski s pripadajočimi obrestmi [...] prerazporedijo za druge operacije razvoja podeželja iz strateških načrtov SKP</w:t>
      </w:r>
      <w:r>
        <w:rPr>
          <w:rStyle w:val="FootnoteReference"/>
          <w:i/>
        </w:rPr>
        <w:footnoteReference w:id="20"/>
      </w:r>
      <w:r>
        <w:t xml:space="preserve">. V zvezi s tem bi bilo treba pojasniti, da bi bilo treba zneske, izterjane in ponovno uporabljene v skladu s to določbo, evidentirati v knjigi terjatev in v preglednici iz Priloge II kot vse druge izterjave. Knjiga terjatev in preglednica iz Priloge II morata odražati življenjski cikel dolga ter razmerje med plačilno agencijo in dolžnikom. </w:t>
      </w:r>
    </w:p>
    <w:p w14:paraId="2935712E" w14:textId="77777777" w:rsidR="00DB3F3D" w:rsidRDefault="000C0F2B">
      <w:pPr>
        <w:pStyle w:val="Heading2"/>
        <w:numPr>
          <w:ilvl w:val="3"/>
          <w:numId w:val="35"/>
        </w:numPr>
      </w:pPr>
      <w:bookmarkStart w:id="49" w:name="_Toc422216441"/>
      <w:bookmarkStart w:id="50" w:name="_Toc134086104"/>
      <w:r>
        <w:t>Stolpec (W) – Datum odobritve poročila o kontroli ali podobnega dokumenta iz člena 54(1) Uredbe (EU) št. 1306/2013</w:t>
      </w:r>
      <w:bookmarkEnd w:id="49"/>
      <w:bookmarkEnd w:id="50"/>
    </w:p>
    <w:p w14:paraId="0243AD82" w14:textId="77777777" w:rsidR="00DB3F3D" w:rsidRDefault="000C0F2B">
      <w:pPr>
        <w:ind w:left="0" w:firstLine="0"/>
      </w:pPr>
      <w:r>
        <w:t xml:space="preserve">Kot je navedeno v členu 54(1) Uredbe (EU) št. 1306/2013, se upošteva datum prvega dokumenta v kronologiji primera, v katerem je navedeno, da je prišlo do nepravilnosti. Ta dokument mora dodatno izpolnjevati naslednja pogoja: </w:t>
      </w:r>
    </w:p>
    <w:p w14:paraId="796405C0" w14:textId="77777777" w:rsidR="00DB3F3D" w:rsidRDefault="000C0F2B">
      <w:pPr>
        <w:numPr>
          <w:ilvl w:val="0"/>
          <w:numId w:val="19"/>
        </w:numPr>
        <w:ind w:left="709"/>
      </w:pPr>
      <w:r>
        <w:t>bil je odobren;</w:t>
      </w:r>
    </w:p>
    <w:p w14:paraId="0D3D996E" w14:textId="77777777" w:rsidR="00DB3F3D" w:rsidRDefault="000C0F2B">
      <w:pPr>
        <w:numPr>
          <w:ilvl w:val="0"/>
          <w:numId w:val="19"/>
        </w:numPr>
        <w:ind w:left="709"/>
      </w:pPr>
      <w:r>
        <w:t>in, kadar je primerno, ga je prejela plačilna agencija ali organ, odgovoren za postopke izterjave.</w:t>
      </w:r>
    </w:p>
    <w:p w14:paraId="0F33D320" w14:textId="77777777" w:rsidR="00DB3F3D" w:rsidRDefault="000C0F2B">
      <w:pPr>
        <w:ind w:left="0" w:firstLine="0"/>
      </w:pPr>
      <w:r>
        <w:t>Plačilna agencija ima od datuma izpolnitve enega ali obeh zgoraj navedenih pogojev (kadar je primerno) 18 mesecev časa, da pripravi zahtevek za izterjavo.</w:t>
      </w:r>
    </w:p>
    <w:p w14:paraId="52373503" w14:textId="77777777" w:rsidR="00DB3F3D" w:rsidRDefault="000C0F2B">
      <w:pPr>
        <w:ind w:left="0" w:firstLine="0"/>
      </w:pPr>
      <w:r>
        <w:rPr>
          <w:u w:val="single"/>
        </w:rPr>
        <w:t>Zahtevana oblika</w:t>
      </w:r>
      <w:r>
        <w:t>: „LLLLMMDD“ (štiri števke za leto/dve števki za mesec/dve števki za dan).</w:t>
      </w:r>
    </w:p>
    <w:p w14:paraId="2AF98B62" w14:textId="77777777" w:rsidR="00DB3F3D" w:rsidRDefault="000C0F2B">
      <w:pPr>
        <w:pStyle w:val="Heading2"/>
        <w:numPr>
          <w:ilvl w:val="3"/>
          <w:numId w:val="35"/>
        </w:numPr>
      </w:pPr>
      <w:bookmarkStart w:id="51" w:name="_Toc422216442"/>
      <w:bookmarkStart w:id="52" w:name="_Toc134086105"/>
      <w:r>
        <w:t>Stolpec (J) – Proračunsko leto prve upravne ali sodne ugotovitve nepravilnosti</w:t>
      </w:r>
      <w:bookmarkEnd w:id="51"/>
      <w:bookmarkEnd w:id="52"/>
    </w:p>
    <w:p w14:paraId="4264F988" w14:textId="77777777" w:rsidR="00DB3F3D" w:rsidRDefault="000C0F2B">
      <w:pPr>
        <w:ind w:left="0" w:firstLine="0"/>
      </w:pPr>
      <w:r>
        <w:t>To je proračunsko leto, v katerem je bila podana prva upravna ali sodna ugotovitev (PACA) v skladu s členom 35 Uredbe (ES) št. 1290/2005. Za vse primere z ugotovitvijo PACA pred 16. oktobrom 2014 se od letošnjega leta še vedno izračuna obdobje 4 oziroma 8 let pravila 50/50. Za „nove“ primere iz točke 2.1.2.3. izpolnitev tega stolpca ni več obvezna.</w:t>
      </w:r>
    </w:p>
    <w:p w14:paraId="36C5A276" w14:textId="77777777" w:rsidR="00DB3F3D" w:rsidRDefault="000C0F2B">
      <w:pPr>
        <w:ind w:left="0" w:firstLine="0"/>
        <w:rPr>
          <w:snapToGrid w:val="0"/>
        </w:rPr>
      </w:pPr>
      <w:r>
        <w:rPr>
          <w:snapToGrid w:val="0"/>
          <w:u w:val="single"/>
        </w:rPr>
        <w:t>Zahtevana oblika</w:t>
      </w:r>
      <w:r>
        <w:rPr>
          <w:snapToGrid w:val="0"/>
        </w:rPr>
        <w:t>: „LLLL“ (leto s štirimestno številko).</w:t>
      </w:r>
    </w:p>
    <w:p w14:paraId="56F64A5A" w14:textId="77777777" w:rsidR="00DB3F3D" w:rsidRDefault="000C0F2B">
      <w:pPr>
        <w:pStyle w:val="Heading2"/>
        <w:numPr>
          <w:ilvl w:val="3"/>
          <w:numId w:val="35"/>
        </w:numPr>
      </w:pPr>
      <w:bookmarkStart w:id="53" w:name="_Toc422216443"/>
      <w:bookmarkStart w:id="54" w:name="_Toc134086106"/>
      <w:r>
        <w:t>Stolpec (X) – Datum zahtevka za izterjavo</w:t>
      </w:r>
      <w:bookmarkEnd w:id="53"/>
      <w:bookmarkEnd w:id="54"/>
    </w:p>
    <w:p w14:paraId="418F5575" w14:textId="77777777" w:rsidR="00DB3F3D" w:rsidRDefault="000C0F2B">
      <w:pPr>
        <w:ind w:left="0" w:firstLine="0"/>
      </w:pPr>
      <w:r>
        <w:t xml:space="preserve">Datum „zahtevka za izterjavo“ je datum dokumenta o izterjavi, ki ga plačilna agencija pošlje upravičencu. Vrsto dokumenta o izterjavi določa nacionalna zakonodaja. </w:t>
      </w:r>
    </w:p>
    <w:p w14:paraId="32CE3F86" w14:textId="77777777" w:rsidR="00DB3F3D" w:rsidRDefault="000C0F2B">
      <w:pPr>
        <w:ind w:left="0" w:firstLine="0"/>
      </w:pPr>
      <w:r>
        <w:lastRenderedPageBreak/>
        <w:t xml:space="preserve">Za vse „nove“ primere iz točke 2.1.2.3. se od navedenega datuma izračuna obdobje 4 oziroma 8 let pravila 50/50. </w:t>
      </w:r>
    </w:p>
    <w:p w14:paraId="2D67BF3D" w14:textId="77777777" w:rsidR="00DB3F3D" w:rsidRDefault="000C0F2B">
      <w:pPr>
        <w:ind w:left="0" w:firstLine="0"/>
      </w:pPr>
      <w:r>
        <w:rPr>
          <w:u w:val="single"/>
        </w:rPr>
        <w:t>Zahtevana oblika</w:t>
      </w:r>
      <w:r>
        <w:t>: „LLLLMMDD“ (štiri števke za leto/dve števki za mesec/dve števki za dan).</w:t>
      </w:r>
    </w:p>
    <w:p w14:paraId="00204C8C" w14:textId="77777777" w:rsidR="00DB3F3D" w:rsidRDefault="000C0F2B">
      <w:pPr>
        <w:pStyle w:val="Heading2"/>
        <w:numPr>
          <w:ilvl w:val="3"/>
          <w:numId w:val="35"/>
        </w:numPr>
      </w:pPr>
      <w:bookmarkStart w:id="55" w:name="_Toc422216444"/>
      <w:bookmarkStart w:id="56" w:name="_Toc134086107"/>
      <w:r>
        <w:t>Stolpec (K) – Predmet sodnega postopka?</w:t>
      </w:r>
      <w:bookmarkEnd w:id="55"/>
      <w:bookmarkEnd w:id="56"/>
    </w:p>
    <w:p w14:paraId="722551FA" w14:textId="77777777" w:rsidR="00DB3F3D" w:rsidRDefault="000C0F2B">
      <w:pPr>
        <w:ind w:left="0" w:firstLine="0"/>
      </w:pPr>
      <w:r>
        <w:t>Če izterjava na podlagi upravnega postopka ni bila uspešna ali je na podlagi upravnega postopka ni bilo mogoče izvesti in se primer nepravilnosti predloži nacionalnemu sodišču, se sproži sodni postopek. Primer lahko velja kot tak, kadar:</w:t>
      </w:r>
    </w:p>
    <w:p w14:paraId="1CC6C9BA" w14:textId="77777777" w:rsidR="00DB3F3D" w:rsidRDefault="000C0F2B">
      <w:pPr>
        <w:numPr>
          <w:ilvl w:val="0"/>
          <w:numId w:val="18"/>
        </w:numPr>
        <w:ind w:left="709" w:hanging="425"/>
      </w:pPr>
      <w:r>
        <w:t>gospodarski subjekt izterjavo izvede ali izpodbija s sodnim postopkom;</w:t>
      </w:r>
    </w:p>
    <w:p w14:paraId="1135A7A2" w14:textId="77777777" w:rsidR="00DB3F3D" w:rsidRDefault="000C0F2B">
      <w:pPr>
        <w:numPr>
          <w:ilvl w:val="0"/>
          <w:numId w:val="18"/>
        </w:numPr>
        <w:ind w:left="709" w:hanging="425"/>
      </w:pPr>
      <w:r>
        <w:t>želi pristojni organ izvršiti izterjavo preko sodnega postopka, potem ko se gospodarski subjekt ni odzval na zahtevek za izterjavo;</w:t>
      </w:r>
    </w:p>
    <w:p w14:paraId="526CBB21" w14:textId="77777777" w:rsidR="00DB3F3D" w:rsidRDefault="000C0F2B">
      <w:pPr>
        <w:numPr>
          <w:ilvl w:val="0"/>
          <w:numId w:val="18"/>
        </w:numPr>
        <w:ind w:left="709" w:hanging="425"/>
      </w:pPr>
      <w:r>
        <w:t>na nacionalnem sodišču proti gospodarskemu subjektu že poteka postopek zaradi plačilne nesposobnosti.</w:t>
      </w:r>
    </w:p>
    <w:p w14:paraId="3053D38E" w14:textId="77777777" w:rsidR="00DB3F3D" w:rsidRDefault="000C0F2B">
      <w:pPr>
        <w:ind w:left="0" w:firstLine="0"/>
      </w:pPr>
      <w:r>
        <w:t xml:space="preserve">Datum, ko izterjava postane predmet sodnih postopkov, je datum vpisa primera v sodni register. Če se primer vloži na nacionalnem sodišču, bo v primeru neizterljivosti po osmem letu od ugotovitve nepravilnosti PACA (za stare primere) ali od zahtevka za izterjavo (za nove primere) zanj veljalo pravilo 50/50, ne glede na to, ali je sodni postopek zaključen ali ne. </w:t>
      </w:r>
    </w:p>
    <w:p w14:paraId="1AE7BE03" w14:textId="77777777" w:rsidR="00DB3F3D" w:rsidRDefault="000C0F2B">
      <w:pPr>
        <w:ind w:left="0" w:firstLine="0"/>
      </w:pPr>
      <w:r>
        <w:rPr>
          <w:u w:val="single"/>
        </w:rPr>
        <w:t>Zahtevana oblika</w:t>
      </w:r>
      <w:r>
        <w:t>: da = „Y“; ne = „N“.</w:t>
      </w:r>
    </w:p>
    <w:p w14:paraId="4771413F" w14:textId="77777777" w:rsidR="00DB3F3D" w:rsidRDefault="000C0F2B">
      <w:pPr>
        <w:pStyle w:val="Heading2"/>
        <w:numPr>
          <w:ilvl w:val="3"/>
          <w:numId w:val="35"/>
        </w:numPr>
      </w:pPr>
      <w:bookmarkStart w:id="57" w:name="_Toc422216445"/>
      <w:bookmarkStart w:id="58" w:name="_Toc134086108"/>
      <w:r>
        <w:t>Stolpec (L) – Prvotni znesek, ki ga je treba izterjati</w:t>
      </w:r>
      <w:bookmarkEnd w:id="57"/>
      <w:bookmarkEnd w:id="58"/>
      <w:r>
        <w:t xml:space="preserve"> </w:t>
      </w:r>
    </w:p>
    <w:p w14:paraId="5EE0E4A7" w14:textId="77777777" w:rsidR="00DB3F3D" w:rsidRDefault="000C0F2B">
      <w:pPr>
        <w:ind w:left="0" w:firstLine="0"/>
      </w:pPr>
      <w:r>
        <w:t>Ta stolpec je treba izpolniti samo za „stare“ primere. „Prvotni znesek“ vključuje:</w:t>
      </w:r>
    </w:p>
    <w:p w14:paraId="74B0C18B" w14:textId="77777777" w:rsidR="00DB3F3D" w:rsidRDefault="000C0F2B">
      <w:pPr>
        <w:numPr>
          <w:ilvl w:val="0"/>
          <w:numId w:val="17"/>
        </w:numPr>
        <w:ind w:left="709" w:hanging="425"/>
      </w:pPr>
      <w:r>
        <w:t>začetni neupravičeno izplačani znesek: znesek dejanskega finančnega vpliva nepravilnosti, kot je bil odkrit pri prvi ugotovitvi nepravilnosti;</w:t>
      </w:r>
    </w:p>
    <w:p w14:paraId="3BFDDA65" w14:textId="77777777" w:rsidR="00DB3F3D" w:rsidRDefault="000C0F2B">
      <w:pPr>
        <w:numPr>
          <w:ilvl w:val="0"/>
          <w:numId w:val="17"/>
        </w:numPr>
        <w:ind w:left="709" w:hanging="425"/>
      </w:pPr>
      <w:r>
        <w:t>vse obresti na začetni neupravičeno izplačani znesek do trenutka, ko je upravičenec prvič obveščen o obveznosti vračila (ali so zadevne obresti linearne ali obrestne, je odvisno od nacionalnih predpisov in, če je primerno, sektorskih predpisov EU);</w:t>
      </w:r>
    </w:p>
    <w:p w14:paraId="14B039EC" w14:textId="77777777" w:rsidR="00DB3F3D" w:rsidRDefault="000C0F2B">
      <w:pPr>
        <w:numPr>
          <w:ilvl w:val="0"/>
          <w:numId w:val="17"/>
        </w:numPr>
        <w:ind w:left="709" w:hanging="425"/>
      </w:pPr>
      <w:r>
        <w:t>sankcije, ki jih je treba plačati v proračun EU: znesek sankcije, ki jo organ naloži za posamezen primer, vključno s sankcijami, ki jih je upravičenec že plačal, in sankcijami, ki jih je še treba poravnati. Večletnih sankcij</w:t>
      </w:r>
      <w:r>
        <w:rPr>
          <w:rStyle w:val="EndnoteReference"/>
        </w:rPr>
        <w:endnoteReference w:id="1"/>
      </w:r>
      <w:r>
        <w:t xml:space="preserve"> iz členov 16(7) in 17(8) Uredbe (EU) št. 65/2011 in zneskov, ki jih je treba izravnati v treh koledarskih letih po koledarskem letu ugotovitve, ni treba navesti v preglednici iz Priloge II k Uredbi (EU) št. 908/2014, vendar jih je treba navesti v preglednici iz Priloge III k Uredbi (EU) št. 908/2014.</w:t>
      </w:r>
    </w:p>
    <w:p w14:paraId="47AAD56C" w14:textId="77777777" w:rsidR="00DB3F3D" w:rsidRDefault="000C0F2B">
      <w:pPr>
        <w:ind w:left="0" w:firstLine="0"/>
        <w:rPr>
          <w:snapToGrid w:val="0"/>
        </w:rPr>
      </w:pPr>
      <w:r>
        <w:rPr>
          <w:snapToGrid w:val="0"/>
          <w:u w:val="single"/>
        </w:rPr>
        <w:t>Zahtevana oblika</w:t>
      </w:r>
      <w:r>
        <w:rPr>
          <w:snapToGrid w:val="0"/>
        </w:rPr>
        <w:t xml:space="preserve">: +99…99.99, kjer 9 pomeni števko od 0 do 9. </w:t>
      </w:r>
    </w:p>
    <w:p w14:paraId="7FCA5D08" w14:textId="77777777" w:rsidR="00DB3F3D" w:rsidRDefault="000C0F2B">
      <w:pPr>
        <w:pStyle w:val="Heading2"/>
        <w:numPr>
          <w:ilvl w:val="3"/>
          <w:numId w:val="35"/>
        </w:numPr>
      </w:pPr>
      <w:bookmarkStart w:id="59" w:name="_Toc422216446"/>
      <w:bookmarkStart w:id="60" w:name="_Toc134086109"/>
      <w:r>
        <w:lastRenderedPageBreak/>
        <w:t>Stolpca (L1) in (L2) – Prvotni znesek, ki ga je treba izterjati (glavnica), in prvotni znesek, ki ga je treba izterjati (obresti)</w:t>
      </w:r>
      <w:bookmarkEnd w:id="59"/>
      <w:bookmarkEnd w:id="60"/>
    </w:p>
    <w:p w14:paraId="11600314" w14:textId="77777777" w:rsidR="00DB3F3D" w:rsidRDefault="000C0F2B">
      <w:pPr>
        <w:ind w:left="0" w:firstLine="0"/>
        <w:rPr>
          <w:snapToGrid w:val="0"/>
        </w:rPr>
      </w:pPr>
      <w:r>
        <w:rPr>
          <w:snapToGrid w:val="0"/>
        </w:rPr>
        <w:t>Za „nove primere“ se od proračunskega leta 2015 naprej zneski, določeni v točki 2.17., razdelijo med stolpca (L1) in (L2):</w:t>
      </w:r>
    </w:p>
    <w:p w14:paraId="2B62E3D1" w14:textId="77777777" w:rsidR="00DB3F3D" w:rsidRDefault="000C0F2B">
      <w:pPr>
        <w:numPr>
          <w:ilvl w:val="0"/>
          <w:numId w:val="17"/>
        </w:numPr>
      </w:pPr>
      <w:r>
        <w:t>L1 = prvotni znesek, ki ga je treba izterjati, vključuje:</w:t>
      </w:r>
    </w:p>
    <w:p w14:paraId="0BCAA2B2" w14:textId="77777777" w:rsidR="00DB3F3D" w:rsidRDefault="000C0F2B">
      <w:pPr>
        <w:numPr>
          <w:ilvl w:val="1"/>
          <w:numId w:val="17"/>
        </w:numPr>
      </w:pPr>
      <w:r>
        <w:t xml:space="preserve"> začetni neupravičeno izplačani znesek: znesek dejanskega finančnega vpliva nepravilnosti, kot je bil odkrit pri prvi ugotovitvi nepravilnosti;</w:t>
      </w:r>
    </w:p>
    <w:p w14:paraId="77D02B00" w14:textId="77777777" w:rsidR="00DB3F3D" w:rsidRDefault="000C0F2B">
      <w:pPr>
        <w:numPr>
          <w:ilvl w:val="1"/>
          <w:numId w:val="17"/>
        </w:numPr>
        <w:rPr>
          <w:szCs w:val="24"/>
        </w:rPr>
      </w:pPr>
      <w:r>
        <w:t>sankcije, ki jih je treba plačati v proračun EU: znesek sankcije, ki jo organ naloži za posamezen primer, vključno s sankcijami, ki jih je upravičenec že plačal, in sankcijami, ki jih je še treba poravnati. Večletnih sankcij</w:t>
      </w:r>
      <w:r>
        <w:rPr>
          <w:rStyle w:val="EndnoteReference"/>
          <w:szCs w:val="24"/>
        </w:rPr>
        <w:endnoteReference w:id="2"/>
      </w:r>
      <w:r>
        <w:t xml:space="preserve"> iz členov 19, 21, 28, 31 in 35 Uredbe (EU) št. 640/2014 in zneskov, ki jih je treba izravnati v treh koledarskih letih po koledarskem letu ugotovitve, ni treba navesti v preglednici iz Priloge II k Uredbi (EU) št. 908/2014, vendar jih je treba navesti v preglednici iz Priloge III k Uredbi (EU) št. 908/2014;</w:t>
      </w:r>
    </w:p>
    <w:p w14:paraId="080EA2E1" w14:textId="77777777" w:rsidR="00DB3F3D" w:rsidRDefault="000C0F2B">
      <w:pPr>
        <w:numPr>
          <w:ilvl w:val="0"/>
          <w:numId w:val="17"/>
        </w:numPr>
      </w:pPr>
      <w:r>
        <w:t>L2 = vse morebitne natečene obresti.</w:t>
      </w:r>
    </w:p>
    <w:p w14:paraId="348B393A" w14:textId="77777777" w:rsidR="00DB3F3D" w:rsidRDefault="000C0F2B">
      <w:pPr>
        <w:ind w:left="0" w:firstLine="0"/>
      </w:pPr>
      <w:r>
        <w:rPr>
          <w:snapToGrid w:val="0"/>
        </w:rPr>
        <w:t xml:space="preserve">To morajo biti vedno pozitivne vrednosti. </w:t>
      </w:r>
      <w:r>
        <w:t>Opozoriti je treba, da se v primeru, ko upravičenec ne plača takoj in traja postopek izterjave dalj časa, dodatne obresti, ki so se natekle poleg „prvotnega zneska“ za naslednja leta, vsako leto vključijo v stolpec (Z) kot „obresti (v proračunskem letu n)“ in v naslednjem letu kumulirajo v stolpec (Y2).</w:t>
      </w:r>
    </w:p>
    <w:p w14:paraId="5C1F3558" w14:textId="77777777" w:rsidR="00DB3F3D" w:rsidRDefault="000C0F2B">
      <w:pPr>
        <w:ind w:left="0" w:firstLine="0"/>
        <w:rPr>
          <w:snapToGrid w:val="0"/>
        </w:rPr>
      </w:pPr>
      <w:r>
        <w:rPr>
          <w:snapToGrid w:val="0"/>
          <w:u w:val="single"/>
        </w:rPr>
        <w:t>Zahtevana oblika</w:t>
      </w:r>
      <w:r>
        <w:rPr>
          <w:snapToGrid w:val="0"/>
        </w:rPr>
        <w:t xml:space="preserve">: +99…99.99, kjer 9 pomeni števko od 0 do 9. </w:t>
      </w:r>
    </w:p>
    <w:p w14:paraId="344E518D" w14:textId="77777777" w:rsidR="00DB3F3D" w:rsidRDefault="000C0F2B">
      <w:pPr>
        <w:pStyle w:val="Heading2"/>
        <w:numPr>
          <w:ilvl w:val="3"/>
          <w:numId w:val="35"/>
        </w:numPr>
      </w:pPr>
      <w:bookmarkStart w:id="61" w:name="_Toc422216447"/>
      <w:bookmarkStart w:id="62" w:name="_Toc134086110"/>
      <w:r>
        <w:t>Stolpca (Y1) in (Y2) – Znesek glavnice, za katerega je bila izterjava v teku ob koncu proračunskega leta n – 1, in obresti, za katere je bila izterjava v teku ob koncu proračunskega leta n – 1</w:t>
      </w:r>
      <w:bookmarkEnd w:id="61"/>
      <w:bookmarkEnd w:id="62"/>
    </w:p>
    <w:p w14:paraId="3B9B6D3B" w14:textId="77777777" w:rsidR="00DB3F3D" w:rsidRDefault="000C0F2B">
      <w:pPr>
        <w:ind w:left="0" w:firstLine="0"/>
      </w:pPr>
      <w:r>
        <w:t>Stolpca (Y1) in (Y2) se uporabljata samo za nove primere. Treba ju bo začeti izpolnjevati šele od proračunskega leta 2015 naprej z vrednostmi nič. S proračunskim letom 2016 so vrednosti v teh stolpcih preglednice iz Priloge II za proračunsko leto n enake vrednostim v stolpcih (T1) in (T2) za proračunsko leto n – 1.</w:t>
      </w:r>
    </w:p>
    <w:p w14:paraId="54BA568F" w14:textId="77777777" w:rsidR="00DB3F3D" w:rsidRDefault="000C0F2B">
      <w:pPr>
        <w:ind w:left="0" w:firstLine="0"/>
        <w:rPr>
          <w:snapToGrid w:val="0"/>
        </w:rPr>
      </w:pPr>
      <w:r>
        <w:rPr>
          <w:snapToGrid w:val="0"/>
          <w:u w:val="single"/>
        </w:rPr>
        <w:t>Zahtevana oblika</w:t>
      </w:r>
      <w:r>
        <w:rPr>
          <w:snapToGrid w:val="0"/>
        </w:rPr>
        <w:t xml:space="preserve">: +99…99.99, kjer 9 pomeni števko od 0 do 9. </w:t>
      </w:r>
    </w:p>
    <w:p w14:paraId="0B979BE5" w14:textId="77777777" w:rsidR="00DB3F3D" w:rsidRDefault="000C0F2B">
      <w:pPr>
        <w:pStyle w:val="Heading2"/>
        <w:numPr>
          <w:ilvl w:val="3"/>
          <w:numId w:val="35"/>
        </w:numPr>
      </w:pPr>
      <w:bookmarkStart w:id="63" w:name="_Toc422216448"/>
      <w:bookmarkStart w:id="64" w:name="_Toc134086111"/>
      <w:r>
        <w:t>Stolpec (M) – Skupni popravljeni znesek (celotno obdobje izterjave)</w:t>
      </w:r>
      <w:bookmarkEnd w:id="63"/>
      <w:bookmarkEnd w:id="64"/>
    </w:p>
    <w:p w14:paraId="524461E7" w14:textId="77777777" w:rsidR="00DB3F3D" w:rsidRDefault="000C0F2B">
      <w:pPr>
        <w:ind w:left="0" w:firstLine="0"/>
      </w:pPr>
      <w:r>
        <w:t xml:space="preserve">Ta stolpec je treba izpolniti samo za „stare“ primere. </w:t>
      </w:r>
    </w:p>
    <w:p w14:paraId="246CC039" w14:textId="77777777" w:rsidR="00DB3F3D" w:rsidRDefault="000C0F2B">
      <w:pPr>
        <w:ind w:left="0" w:firstLine="0"/>
      </w:pPr>
      <w:r>
        <w:t xml:space="preserve">Skupna vrednost popravkov: v tem polju se navedejo skupni znesek obresti, plačanih na po pomoti izplačani znesek za celotno obdobje izterjave (ali so zadevne obresti linearne ali obrestne, je odvisno od nacionalnih predpisov in, če je primerno, sektorskih predpisov EU), in vsi popravki (+ ali –), ki so posledica revizije „prvotnega zneska“, identificiranega ob prvi ugotovitvi. </w:t>
      </w:r>
      <w:r>
        <w:rPr>
          <w:snapToGrid w:val="0"/>
        </w:rPr>
        <w:t>Znesek je lahko pozitiven, če se nanaša na obresti ali če se prvotni znesek po reviziji zviša, ali negativen v primerih, ko se prvotni znesek po reviziji zniža.</w:t>
      </w:r>
      <w:r>
        <w:t xml:space="preserve"> „Celotno obdobje izterjave“ pomeni obdobje med prvo ugotovitvijo in končnim datumom (npr. 15. oktobrom proračunskega leta n). </w:t>
      </w:r>
    </w:p>
    <w:p w14:paraId="7B17145C" w14:textId="77777777" w:rsidR="00DB3F3D" w:rsidRDefault="000C0F2B">
      <w:pPr>
        <w:ind w:left="0" w:firstLine="0"/>
      </w:pPr>
      <w:r>
        <w:lastRenderedPageBreak/>
        <w:t>Zneski starih primerov nepravilnosti z ugotovitvijo PACA pred proračunskim letom 2014, ki iz kakršnega koli razloga niso bili vključeni v preglednico iz Priloge II k Uredbi (EU) št. 908/2014 za proračunsko leto 2014, se sporočijo v tem stolpcu in stolpcu (R) in ne kot „prvotni znesek“ v stolpcu (L) ali kot „nov“ primer v stolpcu (L1).</w:t>
      </w:r>
    </w:p>
    <w:p w14:paraId="3F74FC77" w14:textId="77777777" w:rsidR="00DB3F3D" w:rsidRDefault="000C0F2B">
      <w:pPr>
        <w:ind w:left="0" w:firstLine="0"/>
        <w:rPr>
          <w:snapToGrid w:val="0"/>
        </w:rPr>
      </w:pPr>
      <w:r>
        <w:rPr>
          <w:snapToGrid w:val="0"/>
          <w:u w:val="single"/>
        </w:rPr>
        <w:t>Zahtevana oblika</w:t>
      </w:r>
      <w:r>
        <w:rPr>
          <w:snapToGrid w:val="0"/>
        </w:rPr>
        <w:t>: +99…99.99 ali –99…99.99, kjer 9 pomeni števko od 0 do 9.</w:t>
      </w:r>
    </w:p>
    <w:p w14:paraId="06064291" w14:textId="77777777" w:rsidR="00DB3F3D" w:rsidRDefault="000C0F2B">
      <w:pPr>
        <w:pStyle w:val="Heading2"/>
        <w:numPr>
          <w:ilvl w:val="3"/>
          <w:numId w:val="35"/>
        </w:numPr>
      </w:pPr>
      <w:bookmarkStart w:id="65" w:name="_Toc422216449"/>
      <w:bookmarkStart w:id="66" w:name="_Toc134086112"/>
      <w:r>
        <w:t>Stolpec (N) – Skupni izterjani znesek (celotno obdobje izterjave)</w:t>
      </w:r>
      <w:bookmarkEnd w:id="65"/>
      <w:bookmarkEnd w:id="66"/>
    </w:p>
    <w:p w14:paraId="39346647" w14:textId="77777777" w:rsidR="00DB3F3D" w:rsidRDefault="000C0F2B">
      <w:pPr>
        <w:ind w:left="0" w:firstLine="0"/>
      </w:pPr>
      <w:r>
        <w:t xml:space="preserve">Ta stolpec je treba izpolniti samo za „stare“ primere. </w:t>
      </w:r>
    </w:p>
    <w:p w14:paraId="2A449513" w14:textId="77777777" w:rsidR="00DB3F3D" w:rsidRDefault="000C0F2B">
      <w:pPr>
        <w:ind w:left="0" w:firstLine="0"/>
        <w:rPr>
          <w:snapToGrid w:val="0"/>
        </w:rPr>
      </w:pPr>
      <w:r>
        <w:rPr>
          <w:snapToGrid w:val="0"/>
        </w:rPr>
        <w:t>Skupne izterjave neporavnanega zneska (stolpca L + M) od upravičenca po ugotovitvi PACA. Odbitek 20 % za plačila EKJS v skladu s členom 55 Uredbe (EU) št. 1306/2013 se ne uporabi.</w:t>
      </w:r>
    </w:p>
    <w:p w14:paraId="2417C73B" w14:textId="77777777" w:rsidR="00DB3F3D" w:rsidRDefault="000C0F2B">
      <w:pPr>
        <w:ind w:left="0" w:firstLine="0"/>
        <w:rPr>
          <w:snapToGrid w:val="0"/>
        </w:rPr>
      </w:pPr>
      <w:r>
        <w:rPr>
          <w:snapToGrid w:val="0"/>
        </w:rPr>
        <w:t>Izterjani znesek se navede z negativnim predznakom.</w:t>
      </w:r>
    </w:p>
    <w:p w14:paraId="3F42E74B" w14:textId="77777777" w:rsidR="00DB3F3D" w:rsidRDefault="000C0F2B">
      <w:pPr>
        <w:ind w:left="0" w:firstLine="0"/>
        <w:rPr>
          <w:snapToGrid w:val="0"/>
        </w:rPr>
      </w:pPr>
      <w:r>
        <w:rPr>
          <w:snapToGrid w:val="0"/>
          <w:u w:val="single"/>
        </w:rPr>
        <w:t>Zahtevana oblika</w:t>
      </w:r>
      <w:r>
        <w:rPr>
          <w:snapToGrid w:val="0"/>
        </w:rPr>
        <w:t>: –99…99.99, kjer 9 pomeni števko od 0 do 9.</w:t>
      </w:r>
    </w:p>
    <w:p w14:paraId="04AFFF51" w14:textId="77777777" w:rsidR="00DB3F3D" w:rsidRDefault="000C0F2B">
      <w:pPr>
        <w:pStyle w:val="Heading2"/>
        <w:numPr>
          <w:ilvl w:val="3"/>
          <w:numId w:val="35"/>
        </w:numPr>
      </w:pPr>
      <w:bookmarkStart w:id="67" w:name="_Toc422216450"/>
      <w:bookmarkStart w:id="68" w:name="_Toc134086113"/>
      <w:r>
        <w:t>Stolpec (O) – Znesek, prijavljen kot neizterljiv</w:t>
      </w:r>
      <w:bookmarkEnd w:id="67"/>
      <w:bookmarkEnd w:id="68"/>
      <w:r>
        <w:t xml:space="preserve"> </w:t>
      </w:r>
    </w:p>
    <w:p w14:paraId="6EE27C72" w14:textId="77777777" w:rsidR="00DB3F3D" w:rsidRDefault="000C0F2B">
      <w:pPr>
        <w:ind w:left="0" w:firstLine="0"/>
      </w:pPr>
      <w:r>
        <w:t xml:space="preserve">Ta stolpec je treba izpolniti samo za „stare“ primere. </w:t>
      </w:r>
    </w:p>
    <w:p w14:paraId="01CD2032" w14:textId="77777777" w:rsidR="00DB3F3D" w:rsidRDefault="000C0F2B">
      <w:pPr>
        <w:ind w:left="0" w:firstLine="0"/>
      </w:pPr>
      <w:r>
        <w:t xml:space="preserve">To je znesek, ki ga plačilna agencija v proračunskem letu n šteje za neizterljivega. </w:t>
      </w:r>
      <w:r>
        <w:rPr>
          <w:snapToGrid w:val="0"/>
        </w:rPr>
        <w:t>Znesek se lahko prijavi kot neizterljiv izključno na podlagi utemeljitev</w:t>
      </w:r>
      <w:r>
        <w:t xml:space="preserve"> iz člena 54(3) Uredbe (EU) št. 1306/2013 (glej točko 2.1.2.25.). </w:t>
      </w:r>
    </w:p>
    <w:p w14:paraId="3558DE87" w14:textId="77777777" w:rsidR="00DB3F3D" w:rsidRDefault="000C0F2B">
      <w:pPr>
        <w:ind w:left="0" w:firstLine="0"/>
      </w:pPr>
      <w:r>
        <w:t xml:space="preserve">Navedejo se le primeri, prijavljeni kot neizterljivi v proračunskem letu n, saj so bili primeri, prijavljeni kot neizterljivi pred 16. oktobrom finančnega leta n, obračunani z izvedbenim sklepom Komisije </w:t>
      </w:r>
      <w:r>
        <w:rPr>
          <w:snapToGrid w:val="0"/>
        </w:rPr>
        <w:t>ali bodo obračunani s prihodnjimi sklepi</w:t>
      </w:r>
      <w:r>
        <w:t xml:space="preserve"> tako, da se 100 % neporavnanih zneskov knjiži v breme proračuna EU. </w:t>
      </w:r>
    </w:p>
    <w:p w14:paraId="2D5DBC02" w14:textId="77777777" w:rsidR="00DB3F3D" w:rsidRDefault="000C0F2B">
      <w:pPr>
        <w:ind w:left="0" w:firstLine="0"/>
      </w:pPr>
      <w:r>
        <w:rPr>
          <w:snapToGrid w:val="0"/>
        </w:rPr>
        <w:t>Neizterljivi znesek se navede z negativnim predznakom.</w:t>
      </w:r>
    </w:p>
    <w:p w14:paraId="000276D7" w14:textId="77777777" w:rsidR="00DB3F3D" w:rsidRDefault="000C0F2B">
      <w:pPr>
        <w:ind w:left="0" w:firstLine="0"/>
        <w:rPr>
          <w:snapToGrid w:val="0"/>
        </w:rPr>
      </w:pPr>
      <w:r>
        <w:rPr>
          <w:snapToGrid w:val="0"/>
          <w:u w:val="single"/>
        </w:rPr>
        <w:t>Zahtevana oblika</w:t>
      </w:r>
      <w:r>
        <w:rPr>
          <w:snapToGrid w:val="0"/>
        </w:rPr>
        <w:t>: –99…99.99, kjer 9 pomeni števko od 0 do 9.</w:t>
      </w:r>
    </w:p>
    <w:p w14:paraId="7995CEF9" w14:textId="77777777" w:rsidR="00DB3F3D" w:rsidRDefault="000C0F2B">
      <w:pPr>
        <w:pStyle w:val="Heading2"/>
        <w:numPr>
          <w:ilvl w:val="3"/>
          <w:numId w:val="35"/>
        </w:numPr>
      </w:pPr>
      <w:bookmarkStart w:id="69" w:name="_Toc422216451"/>
      <w:bookmarkStart w:id="70" w:name="_Toc134086114"/>
      <w:r>
        <w:t>Stolpca (O1) in (O2) – Znesek (glavnica), prijavljen kot neizterljiv, in znesek (obresti), prijavljen kot neizterljiv</w:t>
      </w:r>
      <w:bookmarkEnd w:id="69"/>
      <w:bookmarkEnd w:id="70"/>
    </w:p>
    <w:p w14:paraId="0332217F" w14:textId="77777777" w:rsidR="00DB3F3D" w:rsidRDefault="000C0F2B">
      <w:pPr>
        <w:ind w:left="0" w:firstLine="0"/>
        <w:rPr>
          <w:snapToGrid w:val="0"/>
        </w:rPr>
      </w:pPr>
      <w:r>
        <w:rPr>
          <w:snapToGrid w:val="0"/>
        </w:rPr>
        <w:t>Za „nove primere“ se od proračunskega leta 2015 naprej glavnice, določene v točki 2.22., razdelijo med stolpca (O1) in (O2):</w:t>
      </w:r>
    </w:p>
    <w:p w14:paraId="353BA9ED" w14:textId="77777777" w:rsidR="00DB3F3D" w:rsidRDefault="000C0F2B">
      <w:pPr>
        <w:numPr>
          <w:ilvl w:val="0"/>
          <w:numId w:val="17"/>
        </w:numPr>
      </w:pPr>
      <w:r>
        <w:t>(O1) = znesek glavnice, prijavljen kot neizterljiv;</w:t>
      </w:r>
    </w:p>
    <w:p w14:paraId="4CF2CA0F" w14:textId="77777777" w:rsidR="00DB3F3D" w:rsidRDefault="000C0F2B">
      <w:pPr>
        <w:numPr>
          <w:ilvl w:val="0"/>
          <w:numId w:val="17"/>
        </w:numPr>
      </w:pPr>
      <w:r>
        <w:t>(O2) = znesek obresti, prijavljen kot neizterljiv.</w:t>
      </w:r>
    </w:p>
    <w:p w14:paraId="193E6D94" w14:textId="77777777" w:rsidR="00DB3F3D" w:rsidRDefault="000C0F2B">
      <w:pPr>
        <w:ind w:left="0" w:firstLine="0"/>
      </w:pPr>
      <w:r>
        <w:rPr>
          <w:snapToGrid w:val="0"/>
        </w:rPr>
        <w:t>Neizterljivi znesek se navede z negativnim predznakom.</w:t>
      </w:r>
    </w:p>
    <w:p w14:paraId="0AFE8F3A" w14:textId="77777777" w:rsidR="00DB3F3D" w:rsidRDefault="000C0F2B">
      <w:pPr>
        <w:ind w:left="0" w:firstLine="0"/>
      </w:pPr>
      <w:r>
        <w:rPr>
          <w:snapToGrid w:val="0"/>
          <w:u w:val="single"/>
        </w:rPr>
        <w:t>Zahtevana oblika</w:t>
      </w:r>
      <w:r>
        <w:rPr>
          <w:snapToGrid w:val="0"/>
        </w:rPr>
        <w:t>: –99…99.99, kjer 9 pomeni števko od 0 do 9.</w:t>
      </w:r>
    </w:p>
    <w:p w14:paraId="62C949FB" w14:textId="77777777" w:rsidR="00DB3F3D" w:rsidRDefault="000C0F2B">
      <w:pPr>
        <w:pStyle w:val="Heading2"/>
        <w:numPr>
          <w:ilvl w:val="3"/>
          <w:numId w:val="35"/>
        </w:numPr>
      </w:pPr>
      <w:bookmarkStart w:id="71" w:name="_Toc422216452"/>
      <w:bookmarkStart w:id="72" w:name="_Toc134086115"/>
      <w:r>
        <w:t>Stolpec (P) – Proračunsko leto ugotovitve neizterljivosti</w:t>
      </w:r>
      <w:bookmarkEnd w:id="71"/>
      <w:bookmarkEnd w:id="72"/>
    </w:p>
    <w:p w14:paraId="5F281EF0" w14:textId="77777777" w:rsidR="00DB3F3D" w:rsidRDefault="000C0F2B">
      <w:pPr>
        <w:ind w:left="0" w:firstLine="0"/>
      </w:pPr>
      <w:r>
        <w:t>Ta stolpec se uporablja za „stare“ in „nove“ primere.</w:t>
      </w:r>
    </w:p>
    <w:p w14:paraId="2137C796" w14:textId="77777777" w:rsidR="00DB3F3D" w:rsidRDefault="000C0F2B">
      <w:pPr>
        <w:ind w:left="0" w:firstLine="0"/>
      </w:pPr>
      <w:r>
        <w:lastRenderedPageBreak/>
        <w:t xml:space="preserve">Tukaj se navede proračunsko leto, v katerem je bila sprejeta odločitev o neizterljivosti v skladu z nacionalnim pravom. </w:t>
      </w:r>
    </w:p>
    <w:p w14:paraId="73F09CA2" w14:textId="77777777" w:rsidR="00DB3F3D" w:rsidRDefault="000C0F2B">
      <w:pPr>
        <w:ind w:left="0" w:firstLine="0"/>
      </w:pPr>
      <w:r>
        <w:t xml:space="preserve">Navedejo se le primeri, prijavljeni kot neizterljivi v proračunskem letu n, saj so bili primeri, prijavljeni kot neizterljivi pred 16. oktobrom proračunskega leta n, obračunani z izvedbenim sklepom Komisije </w:t>
      </w:r>
      <w:r>
        <w:rPr>
          <w:snapToGrid w:val="0"/>
        </w:rPr>
        <w:t>ali bodo obračunani s prihodnjimi sklepi</w:t>
      </w:r>
      <w:r>
        <w:t xml:space="preserve"> tako, da se 100 % neporavnanih zneskov knjiži v breme proračuna EU. </w:t>
      </w:r>
    </w:p>
    <w:p w14:paraId="70B5D634" w14:textId="77777777" w:rsidR="00DB3F3D" w:rsidRDefault="000C0F2B">
      <w:pPr>
        <w:ind w:left="0" w:firstLine="0"/>
        <w:rPr>
          <w:snapToGrid w:val="0"/>
        </w:rPr>
      </w:pPr>
      <w:r>
        <w:rPr>
          <w:snapToGrid w:val="0"/>
          <w:u w:val="single"/>
        </w:rPr>
        <w:t>Zahtevana oblika</w:t>
      </w:r>
      <w:r>
        <w:rPr>
          <w:snapToGrid w:val="0"/>
        </w:rPr>
        <w:t>: „LLLL“ (leto s štirimestno številko).</w:t>
      </w:r>
    </w:p>
    <w:p w14:paraId="0AE783B4" w14:textId="77777777" w:rsidR="00DB3F3D" w:rsidRDefault="000C0F2B">
      <w:pPr>
        <w:pStyle w:val="Heading2"/>
        <w:numPr>
          <w:ilvl w:val="3"/>
          <w:numId w:val="35"/>
        </w:numPr>
      </w:pPr>
      <w:bookmarkStart w:id="73" w:name="_Toc422216453"/>
      <w:bookmarkStart w:id="74" w:name="_Toc134086116"/>
      <w:r>
        <w:t>Stolpec (Q) – Vzroki za neizterljivost</w:t>
      </w:r>
      <w:bookmarkEnd w:id="73"/>
      <w:bookmarkEnd w:id="74"/>
      <w:r>
        <w:t xml:space="preserve"> </w:t>
      </w:r>
    </w:p>
    <w:p w14:paraId="6EB438C6" w14:textId="77777777" w:rsidR="00DB3F3D" w:rsidRDefault="000C0F2B">
      <w:pPr>
        <w:ind w:left="0" w:firstLine="0"/>
      </w:pPr>
      <w:r>
        <w:t>Ta stolpec se uporablja za „stare“ in „nove“ primere.</w:t>
      </w:r>
    </w:p>
    <w:p w14:paraId="12F30077" w14:textId="77777777" w:rsidR="00DB3F3D" w:rsidRDefault="000C0F2B">
      <w:pPr>
        <w:ind w:left="0" w:firstLine="0"/>
      </w:pPr>
      <w:r>
        <w:t xml:space="preserve">Tukaj je treba navesti, zakaj se izterjava ne bo nadaljevala. Člen 54(3) Uredbe (EU) št. 1306/2013 določa dve utemeljitvi: </w:t>
      </w:r>
    </w:p>
    <w:p w14:paraId="0F658483" w14:textId="77777777" w:rsidR="00DB3F3D" w:rsidRDefault="000C0F2B">
      <w:pPr>
        <w:ind w:left="0" w:firstLine="0"/>
      </w:pPr>
      <w:r>
        <w:t>(a) primeri, ko je skupna vsota že obstoječih in predvidenih stroškov izterjave višja od zneska izterjave; pogoj, ki se šteje za izpolnjenega v skladu s členom 54(3)(a)(i) in členom 54(3)(a)(ii); primerov, za katere se uporablja ta utemeljitev, ni treba navesti v preglednici iz Priloge II;</w:t>
      </w:r>
    </w:p>
    <w:p w14:paraId="449960AB" w14:textId="77777777" w:rsidR="00DB3F3D" w:rsidRDefault="000C0F2B">
      <w:pPr>
        <w:ind w:left="0" w:firstLine="0"/>
      </w:pPr>
      <w:r>
        <w:t xml:space="preserve">(b) primeri plačilne nesposobnosti (kar lahko velja tako za fizične kot pravne osebe) iz člena 54(3)(b). </w:t>
      </w:r>
    </w:p>
    <w:p w14:paraId="4B1E5A1C" w14:textId="77777777" w:rsidR="00DB3F3D" w:rsidRDefault="000C0F2B">
      <w:pPr>
        <w:ind w:left="0" w:firstLine="0"/>
      </w:pPr>
      <w:r>
        <w:t>Poleg tega morajo od proračunskega leta 2021 certifikacijski organi v revizijskem poročilu preveriti in potrditi skupen znesek dolgov, za katere je odločitev, da se ne bodo izterjevali, v Prilogi II razvrščena kot „razlogi, ki ne spadajo med tiste iz člena 54(3)(a) ali 54(3)(b) Uredbe (EU) št. 1306/2013“, tj. (Q = 3).</w:t>
      </w:r>
    </w:p>
    <w:p w14:paraId="6673C3C7" w14:textId="77777777" w:rsidR="00DB3F3D" w:rsidRDefault="000C0F2B">
      <w:pPr>
        <w:ind w:left="0" w:firstLine="0"/>
      </w:pPr>
      <w:r>
        <w:t>Komisija lahko te primere spremlja s postopkom potrditve skladnosti v skladu s členom 54(5) Uredbe (EU) št. 1306/2013.</w:t>
      </w:r>
    </w:p>
    <w:p w14:paraId="022AA0CF" w14:textId="77777777" w:rsidR="00DB3F3D" w:rsidRDefault="000C0F2B">
      <w:pPr>
        <w:ind w:left="0" w:firstLine="0"/>
      </w:pPr>
      <w:r>
        <w:rPr>
          <w:u w:val="single"/>
        </w:rPr>
        <w:t>Zahtevana oblika</w:t>
      </w:r>
      <w:r>
        <w:t>: označi se z enoznakovno kodo v skladu z naslednjim seznamom kod: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6522"/>
      </w:tblGrid>
      <w:tr w:rsidR="00DB3F3D" w14:paraId="5E868290" w14:textId="77777777">
        <w:tc>
          <w:tcPr>
            <w:tcW w:w="1275" w:type="dxa"/>
          </w:tcPr>
          <w:p w14:paraId="3867CDD0" w14:textId="77777777" w:rsidR="00DB3F3D" w:rsidRDefault="000C0F2B">
            <w:pPr>
              <w:pStyle w:val="Text2"/>
              <w:spacing w:after="0"/>
              <w:ind w:left="0" w:firstLine="37"/>
              <w:jc w:val="center"/>
              <w:rPr>
                <w:snapToGrid w:val="0"/>
              </w:rPr>
            </w:pPr>
            <w:r>
              <w:rPr>
                <w:snapToGrid w:val="0"/>
              </w:rPr>
              <w:t>Koda</w:t>
            </w:r>
          </w:p>
        </w:tc>
        <w:tc>
          <w:tcPr>
            <w:tcW w:w="6522" w:type="dxa"/>
          </w:tcPr>
          <w:p w14:paraId="014F6947" w14:textId="77777777" w:rsidR="00DB3F3D" w:rsidRDefault="000C0F2B">
            <w:pPr>
              <w:pStyle w:val="Text2"/>
              <w:spacing w:after="0"/>
              <w:ind w:left="0" w:firstLine="0"/>
              <w:jc w:val="left"/>
              <w:rPr>
                <w:snapToGrid w:val="0"/>
              </w:rPr>
            </w:pPr>
            <w:r>
              <w:rPr>
                <w:snapToGrid w:val="0"/>
              </w:rPr>
              <w:t>Pomen</w:t>
            </w:r>
          </w:p>
        </w:tc>
      </w:tr>
      <w:tr w:rsidR="00DB3F3D" w14:paraId="7F84AE31" w14:textId="77777777">
        <w:tc>
          <w:tcPr>
            <w:tcW w:w="1275" w:type="dxa"/>
          </w:tcPr>
          <w:p w14:paraId="694BA9E0" w14:textId="77777777" w:rsidR="00DB3F3D" w:rsidRDefault="000C0F2B">
            <w:pPr>
              <w:pStyle w:val="Text2"/>
              <w:spacing w:after="0"/>
              <w:ind w:left="0" w:firstLine="37"/>
              <w:jc w:val="center"/>
              <w:rPr>
                <w:snapToGrid w:val="0"/>
              </w:rPr>
            </w:pPr>
            <w:r>
              <w:rPr>
                <w:snapToGrid w:val="0"/>
              </w:rPr>
              <w:t>1</w:t>
            </w:r>
          </w:p>
        </w:tc>
        <w:tc>
          <w:tcPr>
            <w:tcW w:w="6522" w:type="dxa"/>
          </w:tcPr>
          <w:p w14:paraId="16C0DA55" w14:textId="77777777" w:rsidR="00DB3F3D" w:rsidRDefault="000C0F2B">
            <w:pPr>
              <w:pStyle w:val="Text2"/>
              <w:spacing w:after="0"/>
              <w:ind w:left="0" w:firstLine="0"/>
              <w:jc w:val="left"/>
              <w:rPr>
                <w:snapToGrid w:val="0"/>
              </w:rPr>
            </w:pPr>
            <w:r>
              <w:rPr>
                <w:snapToGrid w:val="0"/>
              </w:rPr>
              <w:t>Uporaba člena 54(3)(a)</w:t>
            </w:r>
          </w:p>
        </w:tc>
      </w:tr>
      <w:tr w:rsidR="00DB3F3D" w14:paraId="10B5FF6B" w14:textId="77777777">
        <w:tc>
          <w:tcPr>
            <w:tcW w:w="1275" w:type="dxa"/>
          </w:tcPr>
          <w:p w14:paraId="201B7A4D" w14:textId="77777777" w:rsidR="00DB3F3D" w:rsidRDefault="000C0F2B">
            <w:pPr>
              <w:pStyle w:val="Text2"/>
              <w:spacing w:after="0"/>
              <w:ind w:left="0" w:firstLine="37"/>
              <w:jc w:val="center"/>
              <w:rPr>
                <w:snapToGrid w:val="0"/>
              </w:rPr>
            </w:pPr>
            <w:r>
              <w:rPr>
                <w:snapToGrid w:val="0"/>
              </w:rPr>
              <w:t>2</w:t>
            </w:r>
          </w:p>
        </w:tc>
        <w:tc>
          <w:tcPr>
            <w:tcW w:w="6522" w:type="dxa"/>
          </w:tcPr>
          <w:p w14:paraId="592F900C" w14:textId="77777777" w:rsidR="00DB3F3D" w:rsidRDefault="000C0F2B">
            <w:pPr>
              <w:pStyle w:val="Text2"/>
              <w:spacing w:after="0"/>
              <w:ind w:left="0" w:firstLine="0"/>
              <w:jc w:val="left"/>
              <w:rPr>
                <w:snapToGrid w:val="0"/>
              </w:rPr>
            </w:pPr>
            <w:r>
              <w:rPr>
                <w:snapToGrid w:val="0"/>
              </w:rPr>
              <w:t>Uporaba člena 54(3)(b)</w:t>
            </w:r>
          </w:p>
        </w:tc>
      </w:tr>
      <w:tr w:rsidR="00DB3F3D" w14:paraId="37C66B8A" w14:textId="77777777">
        <w:tc>
          <w:tcPr>
            <w:tcW w:w="1275" w:type="dxa"/>
          </w:tcPr>
          <w:p w14:paraId="3114644B" w14:textId="77777777" w:rsidR="00DB3F3D" w:rsidRDefault="000C0F2B">
            <w:pPr>
              <w:pStyle w:val="Text2"/>
              <w:spacing w:after="0"/>
              <w:ind w:left="0" w:firstLine="37"/>
              <w:jc w:val="center"/>
              <w:rPr>
                <w:snapToGrid w:val="0"/>
              </w:rPr>
            </w:pPr>
            <w:r>
              <w:rPr>
                <w:snapToGrid w:val="0"/>
              </w:rPr>
              <w:t>3</w:t>
            </w:r>
          </w:p>
        </w:tc>
        <w:tc>
          <w:tcPr>
            <w:tcW w:w="6522" w:type="dxa"/>
          </w:tcPr>
          <w:p w14:paraId="76586277" w14:textId="77777777" w:rsidR="00DB3F3D" w:rsidRDefault="000C0F2B">
            <w:pPr>
              <w:pStyle w:val="Text2"/>
              <w:spacing w:after="0"/>
              <w:ind w:left="0" w:firstLine="0"/>
              <w:jc w:val="left"/>
              <w:rPr>
                <w:snapToGrid w:val="0"/>
              </w:rPr>
            </w:pPr>
            <w:r>
              <w:rPr>
                <w:snapToGrid w:val="0"/>
              </w:rPr>
              <w:t>Drug vzrok kot člen 54(3)(a) ali člen 54(3)(b)</w:t>
            </w:r>
          </w:p>
        </w:tc>
      </w:tr>
    </w:tbl>
    <w:p w14:paraId="52184DCC" w14:textId="77777777" w:rsidR="00DB3F3D" w:rsidRDefault="000C0F2B">
      <w:pPr>
        <w:pStyle w:val="Heading2"/>
        <w:numPr>
          <w:ilvl w:val="3"/>
          <w:numId w:val="35"/>
        </w:numPr>
        <w:spacing w:before="240"/>
      </w:pPr>
      <w:bookmarkStart w:id="75" w:name="_Toc422216454"/>
      <w:bookmarkStart w:id="76" w:name="_Toc134086117"/>
      <w:r>
        <w:t>Stolpec (R) – Popravljeni znesek (v proračunskem letu n)</w:t>
      </w:r>
      <w:bookmarkEnd w:id="75"/>
      <w:bookmarkEnd w:id="76"/>
      <w:r>
        <w:t xml:space="preserve"> </w:t>
      </w:r>
    </w:p>
    <w:p w14:paraId="096D5B96" w14:textId="77777777" w:rsidR="00DB3F3D" w:rsidRDefault="000C0F2B">
      <w:pPr>
        <w:ind w:left="0" w:firstLine="0"/>
      </w:pPr>
      <w:r>
        <w:t xml:space="preserve">Ta stolpec je treba izpolniti samo za „stare“ primere. </w:t>
      </w:r>
    </w:p>
    <w:p w14:paraId="435F401D" w14:textId="77777777" w:rsidR="00DB3F3D" w:rsidRDefault="000C0F2B">
      <w:pPr>
        <w:ind w:left="0" w:firstLine="0"/>
      </w:pPr>
      <w:r>
        <w:t xml:space="preserve">V tem stolpcu se navedejo vsi popravki (+ ali –), ki so posledica revizije prvotnega zneska (glavnice) v proračunskem letu n – 1, in/ali vsi popravki zneska obresti (linearnih ali obrestnih obresti, odvisno od nacionalnih pravnih predpisov in pravnih predpisov EU) na prvotni neporavnani znesek v proračunskem letu n – 1. </w:t>
      </w:r>
      <w:r>
        <w:rPr>
          <w:snapToGrid w:val="0"/>
        </w:rPr>
        <w:t>Znesek je lahko pozitiven ali negativen.</w:t>
      </w:r>
      <w:r>
        <w:t xml:space="preserve"> </w:t>
      </w:r>
    </w:p>
    <w:p w14:paraId="382B8256" w14:textId="77777777" w:rsidR="00DB3F3D" w:rsidRDefault="000C0F2B">
      <w:pPr>
        <w:ind w:left="0" w:firstLine="0"/>
      </w:pPr>
      <w:r>
        <w:t xml:space="preserve">Zneski „starih“ primerov nepravilnosti z ugotovitvijo PACA pred proračunskim letom 2014, ki iz kakršnega koli razloga niso bili vključeni v preglednico iz Priloge II k Uredbi </w:t>
      </w:r>
      <w:r>
        <w:lastRenderedPageBreak/>
        <w:t>(EU) št. 908/2014 za proračunsko leto 2014 ali pred tem</w:t>
      </w:r>
      <w:r>
        <w:rPr>
          <w:rStyle w:val="FootnoteReference"/>
        </w:rPr>
        <w:footnoteReference w:id="21"/>
      </w:r>
      <w:r>
        <w:t>, se sporočijo v tem stolpcu in stolpcu (M) in ne kot „prvotni znesek“ v stolpcu (L).</w:t>
      </w:r>
    </w:p>
    <w:p w14:paraId="7833E2FF" w14:textId="77777777" w:rsidR="00DB3F3D" w:rsidRDefault="000C0F2B">
      <w:pPr>
        <w:ind w:left="0" w:firstLine="0"/>
        <w:rPr>
          <w:snapToGrid w:val="0"/>
        </w:rPr>
      </w:pPr>
      <w:r>
        <w:t>Ta stolpec se uporablja tudi za zneske, ki so bili predmet nekaterih finančnih popravkov ES, vendar še niso bili izterjani.</w:t>
      </w:r>
    </w:p>
    <w:p w14:paraId="799854F5" w14:textId="77777777" w:rsidR="00DB3F3D" w:rsidRDefault="000C0F2B">
      <w:pPr>
        <w:ind w:left="0" w:firstLine="0"/>
        <w:rPr>
          <w:snapToGrid w:val="0"/>
        </w:rPr>
      </w:pPr>
      <w:r>
        <w:rPr>
          <w:snapToGrid w:val="0"/>
          <w:u w:val="single"/>
        </w:rPr>
        <w:t>Zahtevana oblika</w:t>
      </w:r>
      <w:r>
        <w:rPr>
          <w:snapToGrid w:val="0"/>
        </w:rPr>
        <w:t>: +99…99.99 ali –99…99.99, kjer 9 pomeni števko od 0 do 9.</w:t>
      </w:r>
    </w:p>
    <w:p w14:paraId="640032D0" w14:textId="77777777" w:rsidR="00DB3F3D" w:rsidRDefault="000C0F2B">
      <w:pPr>
        <w:pStyle w:val="Heading2"/>
        <w:numPr>
          <w:ilvl w:val="3"/>
          <w:numId w:val="35"/>
        </w:numPr>
      </w:pPr>
      <w:bookmarkStart w:id="77" w:name="_Toc422216455"/>
      <w:bookmarkStart w:id="78" w:name="_Toc134086118"/>
      <w:r>
        <w:t>Stolpca (R1) in (R2) – Popravljeni znesek (glavnica) (v proračunskem letu n) in popravljeni znesek (obresti) (v proračunskem letu n)</w:t>
      </w:r>
      <w:bookmarkEnd w:id="77"/>
      <w:bookmarkEnd w:id="78"/>
    </w:p>
    <w:p w14:paraId="76AA407B" w14:textId="77777777" w:rsidR="00DB3F3D" w:rsidRDefault="000C0F2B">
      <w:pPr>
        <w:ind w:left="0" w:firstLine="0"/>
        <w:rPr>
          <w:snapToGrid w:val="0"/>
        </w:rPr>
      </w:pPr>
      <w:r>
        <w:rPr>
          <w:snapToGrid w:val="0"/>
        </w:rPr>
        <w:t>Za „nove“ primere se od proračunskega leta 2015 naprej zneski, določeni v točki 2.1.2.26., razdelijo med stolpca (R1) in (R2):</w:t>
      </w:r>
    </w:p>
    <w:p w14:paraId="7C78B69A" w14:textId="77777777" w:rsidR="00DB3F3D" w:rsidRDefault="000C0F2B">
      <w:pPr>
        <w:numPr>
          <w:ilvl w:val="0"/>
          <w:numId w:val="17"/>
        </w:numPr>
        <w:spacing w:after="120"/>
        <w:ind w:left="714" w:hanging="357"/>
      </w:pPr>
      <w:r>
        <w:t>(R1) = popravki prvotnega zneska (glavnice);</w:t>
      </w:r>
    </w:p>
    <w:p w14:paraId="3E021EF7" w14:textId="77777777" w:rsidR="00DB3F3D" w:rsidRDefault="000C0F2B">
      <w:pPr>
        <w:numPr>
          <w:ilvl w:val="0"/>
          <w:numId w:val="17"/>
        </w:numPr>
      </w:pPr>
      <w:r>
        <w:t xml:space="preserve">(R2) = popravki v zvezi s predhodno sporočenimi zneski obresti. </w:t>
      </w:r>
    </w:p>
    <w:p w14:paraId="726ACEA8" w14:textId="77777777" w:rsidR="00DB3F3D" w:rsidRDefault="000C0F2B">
      <w:pPr>
        <w:ind w:left="0" w:firstLine="0"/>
        <w:rPr>
          <w:snapToGrid w:val="0"/>
        </w:rPr>
      </w:pPr>
      <w:r>
        <w:rPr>
          <w:snapToGrid w:val="0"/>
        </w:rPr>
        <w:t>Znesek je lahko pozitiven ali negativen.</w:t>
      </w:r>
    </w:p>
    <w:p w14:paraId="0686F693" w14:textId="77777777" w:rsidR="00DB3F3D" w:rsidRDefault="000C0F2B">
      <w:pPr>
        <w:ind w:left="0" w:firstLine="0"/>
      </w:pPr>
      <w:r>
        <w:t xml:space="preserve">Zneski primerov nepravilnosti z zahtevkom za izterjavo, podanim pred proračunskim letom n, ki iz kakršnega koli razloga niso bili vključeni v preglednico iz Priloge II za proračunsko leto n – 1 ali pred tem, se sporočijo v teh stolpcih in ne kot „prvotni zneski“ v stolpcih (L1) in (L2). </w:t>
      </w:r>
    </w:p>
    <w:p w14:paraId="02AE1C7B" w14:textId="77777777" w:rsidR="00DB3F3D" w:rsidRDefault="000C0F2B">
      <w:pPr>
        <w:ind w:left="0" w:firstLine="0"/>
      </w:pPr>
      <w:r>
        <w:t>Ta stolpca se uporabljata tudi za zneske, ki so bili predmet nekaterih finančnih popravkov ES, vendar še niso bili izterjani.</w:t>
      </w:r>
    </w:p>
    <w:p w14:paraId="6C873B33" w14:textId="77777777" w:rsidR="00DB3F3D" w:rsidRDefault="000C0F2B">
      <w:pPr>
        <w:ind w:left="0" w:firstLine="0"/>
        <w:rPr>
          <w:snapToGrid w:val="0"/>
        </w:rPr>
      </w:pPr>
      <w:r>
        <w:rPr>
          <w:snapToGrid w:val="0"/>
          <w:u w:val="single"/>
        </w:rPr>
        <w:t>Zahtevana oblika</w:t>
      </w:r>
      <w:r>
        <w:rPr>
          <w:snapToGrid w:val="0"/>
        </w:rPr>
        <w:t>: +99…99.99 ali –99…99.99, kjer 9 pomeni števko od 0 do 9.</w:t>
      </w:r>
    </w:p>
    <w:p w14:paraId="1AF70D4A" w14:textId="77777777" w:rsidR="00DB3F3D" w:rsidRDefault="000C0F2B">
      <w:pPr>
        <w:pStyle w:val="Heading2"/>
        <w:numPr>
          <w:ilvl w:val="3"/>
          <w:numId w:val="35"/>
        </w:numPr>
      </w:pPr>
      <w:bookmarkStart w:id="79" w:name="_Toc422216456"/>
      <w:bookmarkStart w:id="80" w:name="_Toc134086119"/>
      <w:r>
        <w:t>Stolpec (Z) – Obresti (v proračunskem letu n)</w:t>
      </w:r>
      <w:bookmarkEnd w:id="79"/>
      <w:bookmarkEnd w:id="80"/>
    </w:p>
    <w:p w14:paraId="12C5A0BC" w14:textId="77777777" w:rsidR="00DB3F3D" w:rsidRDefault="000C0F2B">
      <w:pPr>
        <w:ind w:left="0" w:firstLine="0"/>
      </w:pPr>
      <w:r>
        <w:rPr>
          <w:snapToGrid w:val="0"/>
        </w:rPr>
        <w:t xml:space="preserve">Za „nove“ primere ta stolpec od proračunskega leta 2015 naprej vključuje obresti na neupravičena plačila, ki se izterjajo zaradi nepravilnosti ali malomarnosti, kot je določeno v členu 27 Uredbe (EU) št. 908/2014. </w:t>
      </w:r>
    </w:p>
    <w:p w14:paraId="42B3FF66" w14:textId="77777777" w:rsidR="00DB3F3D" w:rsidRDefault="000C0F2B">
      <w:pPr>
        <w:ind w:left="0" w:firstLine="0"/>
      </w:pPr>
      <w:r>
        <w:rPr>
          <w:snapToGrid w:val="0"/>
        </w:rPr>
        <w:t>Uporablja se za obresti, ki se natečejo v proračunskem letu n na podlagi zneska preostale glavnice, ki ga je treba izterjati, čeprav še ni bil dejansko zaračunan upravičencu, npr. kadar znesek glavnice še ni bil v celoti izterjan.</w:t>
      </w:r>
      <w:r>
        <w:t xml:space="preserve"> </w:t>
      </w:r>
    </w:p>
    <w:p w14:paraId="0E59C140" w14:textId="77777777" w:rsidR="00DB3F3D" w:rsidRDefault="000C0F2B">
      <w:pPr>
        <w:ind w:left="0" w:right="-28" w:firstLine="0"/>
        <w:rPr>
          <w:snapToGrid w:val="0"/>
        </w:rPr>
      </w:pPr>
      <w:r>
        <w:rPr>
          <w:snapToGrid w:val="0"/>
        </w:rPr>
        <w:t>Zneski se morajo navesti kot pozitivna vrednost.</w:t>
      </w:r>
    </w:p>
    <w:p w14:paraId="24577BE2" w14:textId="77777777" w:rsidR="00DB3F3D" w:rsidRDefault="000C0F2B">
      <w:pPr>
        <w:spacing w:after="0"/>
        <w:ind w:left="0" w:firstLine="0"/>
        <w:rPr>
          <w:snapToGrid w:val="0"/>
        </w:rPr>
      </w:pPr>
      <w:r>
        <w:rPr>
          <w:snapToGrid w:val="0"/>
          <w:u w:val="single"/>
        </w:rPr>
        <w:t>Zahtevana oblika:</w:t>
      </w:r>
      <w:r>
        <w:rPr>
          <w:snapToGrid w:val="0"/>
        </w:rPr>
        <w:t xml:space="preserve"> +99…99.99, kjer 9 pomeni števko od 0 do 9.</w:t>
      </w:r>
    </w:p>
    <w:p w14:paraId="4B385974" w14:textId="77777777" w:rsidR="00DB3F3D" w:rsidRDefault="000C0F2B">
      <w:pPr>
        <w:pStyle w:val="Heading2"/>
        <w:numPr>
          <w:ilvl w:val="3"/>
          <w:numId w:val="35"/>
        </w:numPr>
      </w:pPr>
      <w:bookmarkStart w:id="81" w:name="_Toc422216457"/>
      <w:bookmarkStart w:id="82" w:name="_Toc134086120"/>
      <w:r>
        <w:t>Stolpec (S) – Izterjani znesek (v proračunskem letu n)</w:t>
      </w:r>
      <w:bookmarkEnd w:id="81"/>
      <w:bookmarkEnd w:id="82"/>
      <w:r>
        <w:t xml:space="preserve"> </w:t>
      </w:r>
    </w:p>
    <w:p w14:paraId="4BCC9480" w14:textId="77777777" w:rsidR="00DB3F3D" w:rsidRDefault="000C0F2B">
      <w:pPr>
        <w:ind w:left="0" w:firstLine="0"/>
      </w:pPr>
      <w:r>
        <w:t xml:space="preserve">Ta stolpec je treba izpolniti samo za „stare“ primere. </w:t>
      </w:r>
    </w:p>
    <w:p w14:paraId="0269D8C8" w14:textId="77777777" w:rsidR="00DB3F3D" w:rsidRDefault="000C0F2B">
      <w:pPr>
        <w:ind w:left="0" w:firstLine="0"/>
        <w:rPr>
          <w:snapToGrid w:val="0"/>
        </w:rPr>
      </w:pPr>
      <w:r>
        <w:rPr>
          <w:snapToGrid w:val="0"/>
        </w:rPr>
        <w:t>To so zneski, ki jih država članica izterja od upravičenca v proračunskem letu n. Odbitek 20 % zneska, sporočenega v preglednici iz Priloge II, v skladu s členom 55</w:t>
      </w:r>
      <w:r>
        <w:t xml:space="preserve"> Uredbe (EU) </w:t>
      </w:r>
      <w:r>
        <w:lastRenderedPageBreak/>
        <w:t>št. 1306/2013 se ne uporabi</w:t>
      </w:r>
      <w:r>
        <w:rPr>
          <w:snapToGrid w:val="0"/>
        </w:rPr>
        <w:t>. Ti zneski morajo biti usklajeni z izterjavami, prijavljenimi v T104 (v letu n), ob upoštevanju 20 % odbitka in pravila 50/50.</w:t>
      </w:r>
    </w:p>
    <w:p w14:paraId="31AE21CF" w14:textId="77777777" w:rsidR="00DB3F3D" w:rsidRDefault="000C0F2B">
      <w:pPr>
        <w:ind w:left="0" w:firstLine="0"/>
        <w:rPr>
          <w:snapToGrid w:val="0"/>
        </w:rPr>
      </w:pPr>
      <w:r>
        <w:rPr>
          <w:snapToGrid w:val="0"/>
        </w:rPr>
        <w:t>Izterjani zneski se navedejo z negativnim predznakom.</w:t>
      </w:r>
    </w:p>
    <w:p w14:paraId="0053E20A" w14:textId="77777777" w:rsidR="00DB3F3D" w:rsidRDefault="000C0F2B">
      <w:pPr>
        <w:ind w:left="0" w:firstLine="0"/>
        <w:rPr>
          <w:snapToGrid w:val="0"/>
        </w:rPr>
      </w:pPr>
      <w:r>
        <w:rPr>
          <w:snapToGrid w:val="0"/>
          <w:u w:val="single"/>
        </w:rPr>
        <w:t>Zahtevana oblika</w:t>
      </w:r>
      <w:r>
        <w:rPr>
          <w:snapToGrid w:val="0"/>
        </w:rPr>
        <w:t>: –99…99.99, kjer 9 pomeni števko od 0 do 9.</w:t>
      </w:r>
    </w:p>
    <w:p w14:paraId="2D1349F7" w14:textId="77777777" w:rsidR="00DB3F3D" w:rsidRDefault="000C0F2B">
      <w:pPr>
        <w:pStyle w:val="Heading2"/>
        <w:numPr>
          <w:ilvl w:val="3"/>
          <w:numId w:val="35"/>
        </w:numPr>
      </w:pPr>
      <w:bookmarkStart w:id="83" w:name="_Toc422216458"/>
      <w:bookmarkStart w:id="84" w:name="_Toc134086121"/>
      <w:r>
        <w:t>Stolpca (S1) in (S2) – Izterjani znesek (glavnica) (v proračunskem letu n) in izterjani znesek (obresti) (v proračunskem letu n)</w:t>
      </w:r>
      <w:bookmarkEnd w:id="83"/>
      <w:bookmarkEnd w:id="84"/>
    </w:p>
    <w:p w14:paraId="58094247" w14:textId="77777777" w:rsidR="00DB3F3D" w:rsidRDefault="000C0F2B">
      <w:pPr>
        <w:ind w:left="0" w:firstLine="0"/>
        <w:rPr>
          <w:snapToGrid w:val="0"/>
        </w:rPr>
      </w:pPr>
      <w:r>
        <w:rPr>
          <w:snapToGrid w:val="0"/>
        </w:rPr>
        <w:t>Za „nove“ primere se od proračunskega leta 2015 naprej zneski, določeni v točki 2.29., razdelijo med stolpca (S1) in (S2):</w:t>
      </w:r>
    </w:p>
    <w:p w14:paraId="764072D5" w14:textId="77777777" w:rsidR="00DB3F3D" w:rsidRDefault="000C0F2B">
      <w:pPr>
        <w:numPr>
          <w:ilvl w:val="0"/>
          <w:numId w:val="17"/>
        </w:numPr>
      </w:pPr>
      <w:r>
        <w:t>(S1) = izterjave prvotnega zneska (glavnice);</w:t>
      </w:r>
    </w:p>
    <w:p w14:paraId="21825BCD" w14:textId="77777777" w:rsidR="00DB3F3D" w:rsidRDefault="000C0F2B">
      <w:pPr>
        <w:numPr>
          <w:ilvl w:val="0"/>
          <w:numId w:val="17"/>
        </w:numPr>
      </w:pPr>
      <w:r>
        <w:t xml:space="preserve">(S2) = izterjave zneska obresti na prvotni znesek. </w:t>
      </w:r>
    </w:p>
    <w:p w14:paraId="21089C38" w14:textId="77777777" w:rsidR="00DB3F3D" w:rsidRDefault="000C0F2B">
      <w:pPr>
        <w:ind w:left="142" w:hanging="142"/>
        <w:rPr>
          <w:snapToGrid w:val="0"/>
        </w:rPr>
      </w:pPr>
      <w:r>
        <w:rPr>
          <w:snapToGrid w:val="0"/>
        </w:rPr>
        <w:t>Izterjani zneski se navedejo z negativnim predznakom.</w:t>
      </w:r>
    </w:p>
    <w:p w14:paraId="625DD487" w14:textId="77777777" w:rsidR="00DB3F3D" w:rsidRDefault="000C0F2B">
      <w:pPr>
        <w:ind w:left="0" w:firstLine="0"/>
        <w:rPr>
          <w:snapToGrid w:val="0"/>
        </w:rPr>
      </w:pPr>
      <w:r>
        <w:rPr>
          <w:snapToGrid w:val="0"/>
        </w:rPr>
        <w:t>V skladu s členom 13 Uredbe (EU) št. 907/2014 morajo države članice v dobro EKSRP knjižiti preostalih 50 % vseh izterjanih zneskov iz primerov, za katere velja pravilo 50/50, razen če je te zneske mogoče prerazporediti v skladu s členom 56 Uredbe (EU) št. 1306/2013.</w:t>
      </w:r>
    </w:p>
    <w:p w14:paraId="44AF241F" w14:textId="77777777" w:rsidR="00DB3F3D" w:rsidRDefault="000C0F2B">
      <w:pPr>
        <w:ind w:left="142" w:hanging="142"/>
        <w:rPr>
          <w:snapToGrid w:val="0"/>
        </w:rPr>
      </w:pPr>
      <w:r>
        <w:rPr>
          <w:snapToGrid w:val="0"/>
          <w:u w:val="single"/>
        </w:rPr>
        <w:t>Zahtevana oblika</w:t>
      </w:r>
      <w:r>
        <w:rPr>
          <w:snapToGrid w:val="0"/>
        </w:rPr>
        <w:t>: –99…99.99, kjer 9 pomeni števko od 0 do 9.</w:t>
      </w:r>
    </w:p>
    <w:p w14:paraId="0E099461" w14:textId="77777777" w:rsidR="00DB3F3D" w:rsidRDefault="000C0F2B">
      <w:pPr>
        <w:pStyle w:val="Heading2"/>
        <w:numPr>
          <w:ilvl w:val="3"/>
          <w:numId w:val="35"/>
        </w:numPr>
      </w:pPr>
      <w:bookmarkStart w:id="85" w:name="_Toc422216459"/>
      <w:bookmarkStart w:id="86" w:name="_Toc134086122"/>
      <w:r>
        <w:t>Stolpec (T) – Znesek, za katerega je izterjava v teku</w:t>
      </w:r>
      <w:bookmarkEnd w:id="85"/>
      <w:bookmarkEnd w:id="86"/>
      <w:r>
        <w:t xml:space="preserve"> </w:t>
      </w:r>
    </w:p>
    <w:p w14:paraId="208DFBEC" w14:textId="77777777" w:rsidR="00DB3F3D" w:rsidRDefault="000C0F2B">
      <w:pPr>
        <w:ind w:left="0" w:firstLine="0"/>
      </w:pPr>
      <w:r>
        <w:t>Ta stolpec se uporablja za „stare“ in „nove“ primere.</w:t>
      </w:r>
    </w:p>
    <w:p w14:paraId="0206466F" w14:textId="77777777" w:rsidR="00DB3F3D" w:rsidRDefault="000C0F2B">
      <w:pPr>
        <w:ind w:left="0" w:firstLine="0"/>
      </w:pPr>
      <w:r>
        <w:t xml:space="preserve">Za „stare“ primere je stolpec (T) enak stolpcem: </w:t>
      </w:r>
    </w:p>
    <w:p w14:paraId="45C8BE8E" w14:textId="77777777" w:rsidR="00DB3F3D" w:rsidRDefault="000C0F2B">
      <w:pPr>
        <w:pStyle w:val="ListDash"/>
        <w:numPr>
          <w:ilvl w:val="0"/>
          <w:numId w:val="0"/>
        </w:numPr>
        <w:ind w:left="567"/>
      </w:pPr>
      <w:r>
        <w:t xml:space="preserve"> (L) + (M) + (N) + (O) </w:t>
      </w:r>
    </w:p>
    <w:p w14:paraId="41432A33" w14:textId="77777777" w:rsidR="00DB3F3D" w:rsidRDefault="000C0F2B">
      <w:pPr>
        <w:ind w:left="0" w:firstLine="0"/>
      </w:pPr>
      <w:r>
        <w:t xml:space="preserve">Pomeni dolg na datum zaključka (npr. 15. oktobra „leta n“), ki ga mora </w:t>
      </w:r>
      <w:r>
        <w:rPr>
          <w:snapToGrid w:val="0"/>
        </w:rPr>
        <w:t>država članica izterjati od upravičenca</w:t>
      </w:r>
      <w:r>
        <w:t>. Če v 4 oziroma 8 letih od ugotovitve PACA znesek ni bil v celoti izterjan, se zanj uporabi pravilo 50/50.</w:t>
      </w:r>
    </w:p>
    <w:p w14:paraId="48B6C47D" w14:textId="77777777" w:rsidR="00DB3F3D" w:rsidRDefault="000C0F2B">
      <w:pPr>
        <w:ind w:left="0" w:firstLine="0"/>
      </w:pPr>
      <w:r>
        <w:t xml:space="preserve">Od proračunskega leta 2015 se ta stolpec izpolni za „nove“ primere in je enak vsoti stolpcev (T1) in (T2), kot je opredeljeno v nadaljevanju. </w:t>
      </w:r>
    </w:p>
    <w:p w14:paraId="269CC0B6" w14:textId="77777777" w:rsidR="00DB3F3D" w:rsidRDefault="000C0F2B">
      <w:pPr>
        <w:ind w:left="0" w:firstLine="0"/>
      </w:pPr>
      <w:r>
        <w:t>Če v 4 oziroma 8 letih od zahtevka za izterjavo znesek ni bil v celoti izterjan, se zanj uporabi pravilo 50/50.</w:t>
      </w:r>
    </w:p>
    <w:p w14:paraId="6699BCAA" w14:textId="77777777" w:rsidR="00DB3F3D" w:rsidRDefault="000C0F2B">
      <w:pPr>
        <w:ind w:left="0" w:firstLine="0"/>
        <w:rPr>
          <w:snapToGrid w:val="0"/>
        </w:rPr>
      </w:pPr>
      <w:r>
        <w:rPr>
          <w:snapToGrid w:val="0"/>
          <w:u w:val="single"/>
        </w:rPr>
        <w:t>Zahtevana oblika</w:t>
      </w:r>
      <w:r>
        <w:rPr>
          <w:snapToGrid w:val="0"/>
        </w:rPr>
        <w:t>: +99…99.99, kjer 9 pomeni števko od 0 do 9.</w:t>
      </w:r>
    </w:p>
    <w:p w14:paraId="32E7A897" w14:textId="77777777" w:rsidR="00DB3F3D" w:rsidRDefault="000C0F2B">
      <w:pPr>
        <w:pStyle w:val="Heading2"/>
        <w:numPr>
          <w:ilvl w:val="3"/>
          <w:numId w:val="35"/>
        </w:numPr>
      </w:pPr>
      <w:bookmarkStart w:id="87" w:name="_Toc422216460"/>
      <w:bookmarkStart w:id="88" w:name="_Toc134086123"/>
      <w:r>
        <w:t>Stolpca (T1) in (T2) – Znesek (glavnica), za katerega je izterjava v teku, in znesek (obresti), za katerega je izterjava v teku</w:t>
      </w:r>
      <w:bookmarkEnd w:id="87"/>
      <w:bookmarkEnd w:id="88"/>
    </w:p>
    <w:p w14:paraId="7C3B72BB" w14:textId="77777777" w:rsidR="00DB3F3D" w:rsidRDefault="000C0F2B">
      <w:pPr>
        <w:ind w:left="0" w:firstLine="0"/>
      </w:pPr>
      <w:r>
        <w:rPr>
          <w:snapToGrid w:val="0"/>
        </w:rPr>
        <w:t>Samo za „nove“ primere sta s proračunskim letom 2015</w:t>
      </w:r>
      <w:r>
        <w:t xml:space="preserve"> ta stolpca enaka:</w:t>
      </w:r>
    </w:p>
    <w:p w14:paraId="0FAD73E3" w14:textId="77777777" w:rsidR="00DB3F3D" w:rsidRDefault="000C0F2B">
      <w:pPr>
        <w:pStyle w:val="ListDash"/>
        <w:numPr>
          <w:ilvl w:val="0"/>
          <w:numId w:val="0"/>
        </w:numPr>
        <w:ind w:left="567"/>
      </w:pPr>
      <w:r>
        <w:t>(T1) = (Y1)* + (O1) + (R1) + (S1);</w:t>
      </w:r>
    </w:p>
    <w:p w14:paraId="0C437A00" w14:textId="77777777" w:rsidR="00DB3F3D" w:rsidRDefault="000C0F2B">
      <w:pPr>
        <w:pStyle w:val="ListDash"/>
        <w:numPr>
          <w:ilvl w:val="0"/>
          <w:numId w:val="0"/>
        </w:numPr>
        <w:ind w:left="567"/>
      </w:pPr>
      <w:r>
        <w:lastRenderedPageBreak/>
        <w:t>(T2) = (Y2)* + (O2) + (R2) + (Z) + (S2).</w:t>
      </w:r>
    </w:p>
    <w:p w14:paraId="13ABFDC3" w14:textId="77777777" w:rsidR="00DB3F3D" w:rsidRDefault="000C0F2B">
      <w:pPr>
        <w:pStyle w:val="Text2"/>
        <w:ind w:left="0" w:firstLine="0"/>
      </w:pPr>
      <w:r>
        <w:t xml:space="preserve">Pomeni dolg na datum zaključka (npr. 15. oktobra „leta n“), </w:t>
      </w:r>
      <w:r>
        <w:rPr>
          <w:snapToGrid w:val="0"/>
        </w:rPr>
        <w:t>ki ga mora država članica izterjati od upravičenca</w:t>
      </w:r>
      <w:r>
        <w:t>.</w:t>
      </w:r>
    </w:p>
    <w:p w14:paraId="4832D850" w14:textId="77777777" w:rsidR="00DB3F3D" w:rsidRDefault="000C0F2B">
      <w:pPr>
        <w:pStyle w:val="Text2"/>
        <w:ind w:left="0" w:firstLine="0"/>
      </w:pPr>
      <w:r>
        <w:t>Vrednosti v teh stolpcih preglednice iz Priloge II za proračunsko leto n so enake vrednostim v stolpcih (Y1) in (Y2) za proračunsko leto n + 1.</w:t>
      </w:r>
    </w:p>
    <w:p w14:paraId="61A150EC" w14:textId="77777777" w:rsidR="00DB3F3D" w:rsidRDefault="000C0F2B">
      <w:pPr>
        <w:pStyle w:val="Text2"/>
        <w:ind w:left="0" w:firstLine="0"/>
        <w:rPr>
          <w:sz w:val="20"/>
        </w:rPr>
      </w:pPr>
      <w:r>
        <w:rPr>
          <w:sz w:val="20"/>
        </w:rPr>
        <w:t>* V prvem letu navedbe primera v Prilogi II je treba v formuli namesto vrednosti (Y1) in (Y2) upoštevati vrednosti (L1) in (L2).</w:t>
      </w:r>
    </w:p>
    <w:p w14:paraId="04AA621A" w14:textId="77777777" w:rsidR="00DB3F3D" w:rsidRDefault="000C0F2B">
      <w:pPr>
        <w:pStyle w:val="Heading2"/>
        <w:numPr>
          <w:ilvl w:val="3"/>
          <w:numId w:val="35"/>
        </w:numPr>
      </w:pPr>
      <w:bookmarkStart w:id="89" w:name="_Toc422216461"/>
      <w:bookmarkStart w:id="90" w:name="_Toc134086124"/>
      <w:r>
        <w:t>Stolpec (BB) – Znesek, za katerega velja pravilo 50/50 v skladu s členom 54(2) Uredbe (EU) št. 1306/2013 ob koncu proračunskega leta n</w:t>
      </w:r>
      <w:bookmarkEnd w:id="89"/>
      <w:bookmarkEnd w:id="90"/>
    </w:p>
    <w:p w14:paraId="1782364C" w14:textId="77777777" w:rsidR="00DB3F3D" w:rsidRDefault="000C0F2B">
      <w:pPr>
        <w:ind w:left="0" w:firstLine="0"/>
      </w:pPr>
      <w:r>
        <w:rPr>
          <w:snapToGrid w:val="0"/>
        </w:rPr>
        <w:t>Samo za „nove“ primere se od proračunskega leta 2015</w:t>
      </w:r>
      <w:r>
        <w:t xml:space="preserve"> naprej ta stolpec izpolni na naslednji način:</w:t>
      </w:r>
    </w:p>
    <w:p w14:paraId="7969B395" w14:textId="77777777" w:rsidR="00DB3F3D" w:rsidRDefault="000C0F2B">
      <w:pPr>
        <w:pStyle w:val="ListDash"/>
        <w:tabs>
          <w:tab w:val="clear" w:pos="283"/>
          <w:tab w:val="num" w:pos="567"/>
        </w:tabs>
        <w:ind w:left="567"/>
      </w:pPr>
      <w:r>
        <w:t>pred uporabo pravila 50/50: 0;</w:t>
      </w:r>
    </w:p>
    <w:p w14:paraId="671B6140" w14:textId="77777777" w:rsidR="00DB3F3D" w:rsidRDefault="000C0F2B">
      <w:pPr>
        <w:pStyle w:val="ListDash"/>
        <w:tabs>
          <w:tab w:val="clear" w:pos="283"/>
          <w:tab w:val="num" w:pos="567"/>
        </w:tabs>
        <w:ind w:left="567"/>
      </w:pPr>
      <w:r>
        <w:t xml:space="preserve">po uporabi pravila 50/50: znesek, obravnavan po pravilu 50/50. Znesek se mora navesti kot pozitivna vrednost. </w:t>
      </w:r>
    </w:p>
    <w:p w14:paraId="206EB37C" w14:textId="77777777" w:rsidR="00DB3F3D" w:rsidRDefault="000C0F2B">
      <w:pPr>
        <w:pStyle w:val="ListDash"/>
        <w:numPr>
          <w:ilvl w:val="0"/>
          <w:numId w:val="0"/>
        </w:numPr>
      </w:pPr>
      <w:r>
        <w:t>Po uporabi pravila 50/50 vrednost, sporočena v stolpcu (BB), ostane enaka pri vsakršnem poročanju v Prilogi II za naslednja proračunska leta.</w:t>
      </w:r>
    </w:p>
    <w:p w14:paraId="51E870B7" w14:textId="77777777" w:rsidR="00DB3F3D" w:rsidRDefault="000C0F2B">
      <w:pPr>
        <w:pStyle w:val="ListDash"/>
        <w:numPr>
          <w:ilvl w:val="0"/>
          <w:numId w:val="0"/>
        </w:numPr>
      </w:pPr>
      <w:r>
        <w:t>Opomba: zneskov, obračunanih na osnovi pravila 50/50 za EKSRP, država članica ne more „ponovno uporabiti “, kot je določeno v členu 56 Uredbe (EU) št. 1306/2013. Zneski, ki izhajajo iz uporabe tega pravila, so torej neto popravki, ki se odštejejo od sredstev, dodeljenih državi članici iz EKSRP.</w:t>
      </w:r>
    </w:p>
    <w:p w14:paraId="5D39000F" w14:textId="77777777" w:rsidR="00DB3F3D" w:rsidRDefault="000C0F2B">
      <w:pPr>
        <w:pStyle w:val="ListDash"/>
        <w:numPr>
          <w:ilvl w:val="0"/>
          <w:numId w:val="0"/>
        </w:numPr>
        <w:ind w:left="283" w:hanging="283"/>
        <w:rPr>
          <w:snapToGrid w:val="0"/>
        </w:rPr>
      </w:pPr>
      <w:r>
        <w:rPr>
          <w:snapToGrid w:val="0"/>
          <w:u w:val="single"/>
        </w:rPr>
        <w:t>Zahtevana oblika</w:t>
      </w:r>
      <w:r>
        <w:rPr>
          <w:snapToGrid w:val="0"/>
        </w:rPr>
        <w:t>: +99…99.99, kjer 9 pomeni števko od 0 do 9.</w:t>
      </w:r>
    </w:p>
    <w:p w14:paraId="6EC428A5" w14:textId="77777777" w:rsidR="00DB3F3D" w:rsidRDefault="000C0F2B">
      <w:pPr>
        <w:pStyle w:val="Heading2"/>
        <w:numPr>
          <w:ilvl w:val="3"/>
          <w:numId w:val="35"/>
        </w:numPr>
      </w:pPr>
      <w:bookmarkStart w:id="91" w:name="_Toc422216462"/>
      <w:bookmarkStart w:id="92" w:name="_Toc134086125"/>
      <w:r>
        <w:t>Stolpec (U) – Znesek, ki ga je treba knjižiti v dobro proračuna EU</w:t>
      </w:r>
      <w:bookmarkEnd w:id="91"/>
      <w:bookmarkEnd w:id="92"/>
      <w:r>
        <w:t xml:space="preserve"> </w:t>
      </w:r>
    </w:p>
    <w:p w14:paraId="7658430A" w14:textId="77777777" w:rsidR="00DB3F3D" w:rsidRDefault="000C0F2B">
      <w:pPr>
        <w:ind w:left="0" w:firstLine="0"/>
      </w:pPr>
      <w:r>
        <w:t>Ta stolpec se uporablja za „stare“ in „nove“ primere.</w:t>
      </w:r>
    </w:p>
    <w:p w14:paraId="3310D5A3" w14:textId="77777777" w:rsidR="00DB3F3D" w:rsidRDefault="000C0F2B">
      <w:pPr>
        <w:ind w:left="0" w:firstLine="0"/>
      </w:pPr>
      <w:r>
        <w:t>V nasprotju z drugimi stolpci stolpec (U) prikazuje stanje primerov nepravilnosti, ki jih sporoči država članica, v povezavi s proračunom EU in ne z upravičencem.</w:t>
      </w:r>
    </w:p>
    <w:p w14:paraId="27E0A38F" w14:textId="77777777" w:rsidR="00DB3F3D" w:rsidRDefault="000C0F2B">
      <w:pPr>
        <w:ind w:left="0" w:firstLine="0"/>
      </w:pPr>
      <w:r>
        <w:t>Za EKJS je treba zneske, ki jih države članice izterjajo od upravičencev, knjižiti v dobro proračuna EU</w:t>
      </w:r>
      <w:r>
        <w:rPr>
          <w:rStyle w:val="FootnoteReference"/>
        </w:rPr>
        <w:footnoteReference w:id="22"/>
      </w:r>
      <w:r>
        <w:t xml:space="preserve">. </w:t>
      </w:r>
    </w:p>
    <w:p w14:paraId="6FEF7A84" w14:textId="77777777" w:rsidR="00DB3F3D" w:rsidRDefault="000C0F2B">
      <w:pPr>
        <w:ind w:left="0" w:firstLine="0"/>
      </w:pPr>
      <w:r>
        <w:t xml:space="preserve">Kar zadeva EKSRP, se izterjani zneski ponovno uporabijo v skladu z določbami. Po uporabi pravila 50/50 si morajo države članice še naprej prizadevati za izterjavo in 50 % izterjanih zneskov knjižiti v dobro proračuna EU. </w:t>
      </w:r>
    </w:p>
    <w:p w14:paraId="513C046D" w14:textId="77777777" w:rsidR="00DB3F3D" w:rsidRDefault="000C0F2B">
      <w:pPr>
        <w:ind w:left="0" w:firstLine="0"/>
      </w:pPr>
      <w:r>
        <w:t>Posledično je znesek, ki se knjiži v dobro proračuna EU, naslednji:</w:t>
      </w:r>
    </w:p>
    <w:p w14:paraId="0682A7C9" w14:textId="77777777" w:rsidR="00DB3F3D" w:rsidRDefault="000C0F2B">
      <w:pPr>
        <w:pStyle w:val="ListBullet"/>
        <w:rPr>
          <w:u w:val="single"/>
        </w:rPr>
      </w:pPr>
      <w:r>
        <w:rPr>
          <w:u w:val="single"/>
        </w:rPr>
        <w:t>EKJS in ZIRP (za proračunski leti 2014 in 2015):</w:t>
      </w:r>
    </w:p>
    <w:p w14:paraId="5D6B89DB" w14:textId="77777777" w:rsidR="00DB3F3D" w:rsidRDefault="000C0F2B">
      <w:pPr>
        <w:pStyle w:val="ListDash"/>
        <w:tabs>
          <w:tab w:val="clear" w:pos="283"/>
          <w:tab w:val="num" w:pos="567"/>
        </w:tabs>
        <w:ind w:left="567"/>
      </w:pPr>
      <w:r>
        <w:lastRenderedPageBreak/>
        <w:t>pred uporabo pravila 50/50: celotni neporavnani znesek (naveden v stolpcu (T));</w:t>
      </w:r>
    </w:p>
    <w:p w14:paraId="01948D79" w14:textId="77777777" w:rsidR="00DB3F3D" w:rsidRDefault="000C0F2B">
      <w:pPr>
        <w:pStyle w:val="ListDash"/>
        <w:tabs>
          <w:tab w:val="clear" w:pos="283"/>
          <w:tab w:val="num" w:pos="567"/>
        </w:tabs>
        <w:ind w:left="567"/>
      </w:pPr>
      <w:r>
        <w:t xml:space="preserve">po uporabi pravila 50/50: 50 % celotnega neporavnanega zneska (navedenega v stolpcu (T)); </w:t>
      </w:r>
    </w:p>
    <w:p w14:paraId="3B04188C" w14:textId="77777777" w:rsidR="00DB3F3D" w:rsidRDefault="000C0F2B">
      <w:pPr>
        <w:pStyle w:val="ListDash"/>
        <w:tabs>
          <w:tab w:val="clear" w:pos="283"/>
          <w:tab w:val="num" w:pos="567"/>
        </w:tabs>
        <w:ind w:left="567"/>
      </w:pPr>
      <w:r>
        <w:t>po popolni izterjavi: 0.</w:t>
      </w:r>
    </w:p>
    <w:p w14:paraId="272E988A" w14:textId="77777777" w:rsidR="00DB3F3D" w:rsidRDefault="000C0F2B">
      <w:pPr>
        <w:pStyle w:val="ListBullet"/>
        <w:rPr>
          <w:u w:val="single"/>
        </w:rPr>
      </w:pPr>
      <w:r>
        <w:rPr>
          <w:u w:val="single"/>
        </w:rPr>
        <w:t>EKJS, ZIRP (od proračunskega leta 2016) in EKSRP za obdobje 2007–2013 (od proračunskega leta 2016 do proračunskega leta 2022):</w:t>
      </w:r>
    </w:p>
    <w:p w14:paraId="419EB7BB" w14:textId="77777777" w:rsidR="00DB3F3D" w:rsidRDefault="000C0F2B">
      <w:pPr>
        <w:pStyle w:val="ListDash"/>
        <w:tabs>
          <w:tab w:val="clear" w:pos="283"/>
          <w:tab w:val="num" w:pos="567"/>
        </w:tabs>
        <w:ind w:left="567"/>
      </w:pPr>
      <w:r>
        <w:t>pred uporabo pravila 50/50: celotni neporavnani znesek (naveden v stolpcu (T));</w:t>
      </w:r>
    </w:p>
    <w:p w14:paraId="00FB535C" w14:textId="77777777" w:rsidR="00DB3F3D" w:rsidRDefault="000C0F2B">
      <w:pPr>
        <w:pStyle w:val="ListDash"/>
        <w:tabs>
          <w:tab w:val="clear" w:pos="283"/>
          <w:tab w:val="num" w:pos="567"/>
        </w:tabs>
        <w:ind w:left="567"/>
      </w:pPr>
      <w:r>
        <w:t>po uporabi pravila 50/50: 50 % celotnega neporavnanega zneska (navedenega v stolpcu (T));</w:t>
      </w:r>
    </w:p>
    <w:p w14:paraId="44B99C68" w14:textId="77777777" w:rsidR="00DB3F3D" w:rsidRDefault="000C0F2B">
      <w:pPr>
        <w:pStyle w:val="ListDash"/>
        <w:tabs>
          <w:tab w:val="clear" w:pos="283"/>
          <w:tab w:val="num" w:pos="567"/>
        </w:tabs>
        <w:ind w:left="567"/>
      </w:pPr>
      <w:r>
        <w:t>po popolni izterjavi: 0.</w:t>
      </w:r>
    </w:p>
    <w:p w14:paraId="1FB20D2A" w14:textId="77777777" w:rsidR="00DB3F3D" w:rsidRDefault="000C0F2B">
      <w:pPr>
        <w:ind w:left="0" w:firstLine="0"/>
      </w:pPr>
      <w:r>
        <w:t>Za ZIRP in EKSRP za obdobje 2007–2013 bo Komisija izdala naloge za izterjavo za vse zneske, obračunane na osnovi pravila 50/50, in vse zneske, ki jih je država članica izterjala od upravičencev. V tem stolpcu je treba navesti naslednji znesek:</w:t>
      </w:r>
    </w:p>
    <w:p w14:paraId="0CAFB8DC" w14:textId="77777777" w:rsidR="00DB3F3D" w:rsidRDefault="000C0F2B">
      <w:pPr>
        <w:pStyle w:val="ListDash"/>
        <w:tabs>
          <w:tab w:val="clear" w:pos="283"/>
          <w:tab w:val="num" w:pos="567"/>
        </w:tabs>
        <w:ind w:left="567"/>
      </w:pPr>
      <w:r>
        <w:t>pred uporabo pravila 50/50: celotni neporavnani znesek (naveden v stolpcu (T));</w:t>
      </w:r>
    </w:p>
    <w:p w14:paraId="4C539707" w14:textId="77777777" w:rsidR="00DB3F3D" w:rsidRDefault="000C0F2B">
      <w:pPr>
        <w:pStyle w:val="ListDash"/>
        <w:tabs>
          <w:tab w:val="clear" w:pos="283"/>
          <w:tab w:val="num" w:pos="567"/>
        </w:tabs>
        <w:ind w:left="567"/>
      </w:pPr>
      <w:r>
        <w:t>po uporabi pravila 50/50: 50 % celotnega neporavnanega zneska (navedenega v stolpcu (T));</w:t>
      </w:r>
    </w:p>
    <w:p w14:paraId="3DD5CFD8" w14:textId="77777777" w:rsidR="00DB3F3D" w:rsidRDefault="000C0F2B">
      <w:pPr>
        <w:pStyle w:val="ListDash"/>
        <w:tabs>
          <w:tab w:val="clear" w:pos="283"/>
          <w:tab w:val="num" w:pos="567"/>
        </w:tabs>
        <w:ind w:left="567"/>
      </w:pPr>
      <w:r>
        <w:t>po popolni izterjavi nepravilnega zneska: 0.</w:t>
      </w:r>
    </w:p>
    <w:p w14:paraId="4E936550" w14:textId="77777777" w:rsidR="00DB3F3D" w:rsidRDefault="000C0F2B">
      <w:pPr>
        <w:pStyle w:val="ListBullet"/>
        <w:rPr>
          <w:u w:val="single"/>
        </w:rPr>
      </w:pPr>
      <w:r>
        <w:rPr>
          <w:u w:val="single"/>
        </w:rPr>
        <w:t>EKSRP za obdobje 2014–2020 (od proračunskega leta 2014) in</w:t>
      </w:r>
      <w:r>
        <w:t xml:space="preserve"> EKSRP za obdobje 2007–2013 (od proračunskega leta 2023):</w:t>
      </w:r>
    </w:p>
    <w:p w14:paraId="07A291B9" w14:textId="77777777" w:rsidR="00DB3F3D" w:rsidRDefault="000C0F2B">
      <w:pPr>
        <w:pStyle w:val="ListDash"/>
        <w:tabs>
          <w:tab w:val="clear" w:pos="283"/>
          <w:tab w:val="num" w:pos="567"/>
        </w:tabs>
        <w:ind w:left="567"/>
      </w:pPr>
      <w:r>
        <w:t>pred uporabo pravila 50/50: celotni neporavnani znesek (naveden v stolpcu (T));</w:t>
      </w:r>
    </w:p>
    <w:p w14:paraId="02BD09A7" w14:textId="77777777" w:rsidR="00DB3F3D" w:rsidRDefault="000C0F2B">
      <w:pPr>
        <w:pStyle w:val="ListDash"/>
      </w:pPr>
      <w:r>
        <w:t>po uporabi pravila 50/50: 50 % celotnega neporavnanega zneska (navedenega v stolpcu (T)), knjiženega v dobro proračuna Unije (po zaključku programa ali pred zaključkom programa, če izterjanih zneskov ni bilo mogoče ponovno uporabiti v skladu s členom 56 Uredbe (EU) št. 1306/2013 in členom 57 Uredbe (EU) 2021/2116);</w:t>
      </w:r>
    </w:p>
    <w:p w14:paraId="2927FBEC" w14:textId="77777777" w:rsidR="00DB3F3D" w:rsidRDefault="000C0F2B">
      <w:pPr>
        <w:pStyle w:val="ListDash"/>
        <w:tabs>
          <w:tab w:val="clear" w:pos="283"/>
          <w:tab w:val="num" w:pos="567"/>
        </w:tabs>
        <w:ind w:left="567"/>
      </w:pPr>
      <w:r>
        <w:t>po popolni izterjavi: 0.</w:t>
      </w:r>
    </w:p>
    <w:p w14:paraId="7DF865AC" w14:textId="77777777" w:rsidR="00DB3F3D" w:rsidRDefault="000C0F2B">
      <w:pPr>
        <w:ind w:left="0" w:firstLine="0"/>
      </w:pPr>
      <w:r>
        <w:t xml:space="preserve">Za EKJS lahko države članice obdržijo 20 % izterjanih zneskov kot pavšalni znesek stroškov izterjave, ko se </w:t>
      </w:r>
      <w:r>
        <w:rPr>
          <w:u w:val="single"/>
        </w:rPr>
        <w:t>izterjani zneski vknjižijo</w:t>
      </w:r>
      <w:r>
        <w:t xml:space="preserve"> v proračun EU. V času sporočanja informacij v preglednici iz Priloge II zneski iz stolpcev (T), (T1) in (T2) še niso bili izterjani od upravičencev; zato se ta odbitek ne odšteje od zneskov, navedenih v stolpcih (T), (T1) in (T2).</w:t>
      </w:r>
    </w:p>
    <w:p w14:paraId="3D617FA1" w14:textId="77777777" w:rsidR="00DB3F3D" w:rsidRDefault="000C0F2B">
      <w:pPr>
        <w:ind w:left="0" w:firstLine="0"/>
        <w:rPr>
          <w:snapToGrid w:val="0"/>
        </w:rPr>
      </w:pPr>
      <w:r>
        <w:rPr>
          <w:snapToGrid w:val="0"/>
          <w:u w:val="single"/>
        </w:rPr>
        <w:t>Zahtevana oblika</w:t>
      </w:r>
      <w:r>
        <w:rPr>
          <w:snapToGrid w:val="0"/>
        </w:rPr>
        <w:t>: +99…99.99, kjer 9 pomeni števko od 0 do 9.</w:t>
      </w:r>
    </w:p>
    <w:p w14:paraId="606A1EF9" w14:textId="77777777" w:rsidR="00DB3F3D" w:rsidRDefault="000C0F2B">
      <w:pPr>
        <w:pStyle w:val="Heading2"/>
        <w:numPr>
          <w:ilvl w:val="2"/>
          <w:numId w:val="35"/>
        </w:numPr>
      </w:pPr>
      <w:bookmarkStart w:id="93" w:name="_Toc116853033"/>
      <w:bookmarkStart w:id="94" w:name="_Toc116853824"/>
      <w:bookmarkStart w:id="95" w:name="_Toc118195083"/>
      <w:bookmarkStart w:id="96" w:name="_Toc118195418"/>
      <w:bookmarkStart w:id="97" w:name="_Toc118195612"/>
      <w:bookmarkStart w:id="98" w:name="_Toc118230901"/>
      <w:bookmarkStart w:id="99" w:name="_Toc118233337"/>
      <w:bookmarkStart w:id="100" w:name="_Toc118234960"/>
      <w:bookmarkStart w:id="101" w:name="_Toc118290373"/>
      <w:bookmarkStart w:id="102" w:name="_Toc118877651"/>
      <w:bookmarkStart w:id="103" w:name="_Toc422216463"/>
      <w:bookmarkStart w:id="104" w:name="_Toc134086126"/>
      <w:bookmarkEnd w:id="93"/>
      <w:bookmarkEnd w:id="94"/>
      <w:bookmarkEnd w:id="95"/>
      <w:bookmarkEnd w:id="96"/>
      <w:bookmarkEnd w:id="97"/>
      <w:bookmarkEnd w:id="98"/>
      <w:bookmarkEnd w:id="99"/>
      <w:bookmarkEnd w:id="100"/>
      <w:bookmarkEnd w:id="101"/>
      <w:bookmarkEnd w:id="102"/>
      <w:r>
        <w:t>Tehnične specifikacije za elektronsko predložitev preglednice iz Priloge II</w:t>
      </w:r>
      <w:bookmarkEnd w:id="103"/>
      <w:bookmarkEnd w:id="104"/>
    </w:p>
    <w:p w14:paraId="62332E57" w14:textId="77777777" w:rsidR="00DB3F3D" w:rsidRDefault="000C0F2B">
      <w:pPr>
        <w:pStyle w:val="NumPar2"/>
        <w:numPr>
          <w:ilvl w:val="3"/>
          <w:numId w:val="36"/>
        </w:numPr>
        <w:ind w:left="2127" w:hanging="851"/>
        <w:rPr>
          <w:snapToGrid w:val="0"/>
        </w:rPr>
      </w:pPr>
      <w:r>
        <w:rPr>
          <w:snapToGrid w:val="0"/>
        </w:rPr>
        <w:t xml:space="preserve">Država članica mora ustvariti računalniški zapis za vsako proračunsko kodo izvirnega odhodka v zvezi s posameznimi primeri </w:t>
      </w:r>
      <w:r>
        <w:rPr>
          <w:snapToGrid w:val="0"/>
        </w:rPr>
        <w:lastRenderedPageBreak/>
        <w:t>nepravilnosti, če gre za „nove“ primere; ali za vsak primer nepravilnosti, kadar gre za „stare“ primere (glej 2.1.2.3., 2.1.2.4.in 2.1.2.5).</w:t>
      </w:r>
    </w:p>
    <w:p w14:paraId="6085B16B" w14:textId="77777777" w:rsidR="00DB3F3D" w:rsidRDefault="000C0F2B">
      <w:pPr>
        <w:pStyle w:val="NumPar2"/>
        <w:numPr>
          <w:ilvl w:val="3"/>
          <w:numId w:val="36"/>
        </w:numPr>
        <w:ind w:left="2127" w:hanging="851"/>
        <w:rPr>
          <w:snapToGrid w:val="0"/>
        </w:rPr>
      </w:pPr>
      <w:r>
        <w:rPr>
          <w:snapToGrid w:val="0"/>
        </w:rPr>
        <w:t>Zapisi morajo imeti strukturo ploske datoteke.</w:t>
      </w:r>
    </w:p>
    <w:p w14:paraId="03F452B5" w14:textId="77777777" w:rsidR="00DB3F3D" w:rsidRDefault="000C0F2B">
      <w:pPr>
        <w:pStyle w:val="NumPar2"/>
        <w:numPr>
          <w:ilvl w:val="3"/>
          <w:numId w:val="36"/>
        </w:numPr>
        <w:ind w:left="2127" w:hanging="851"/>
        <w:rPr>
          <w:snapToGrid w:val="0"/>
        </w:rPr>
      </w:pPr>
      <w:r>
        <w:rPr>
          <w:snapToGrid w:val="0"/>
        </w:rPr>
        <w:t>Vrstica „skupaj“ se ne vključi v elektronsko datoteko.</w:t>
      </w:r>
    </w:p>
    <w:p w14:paraId="4F158E65" w14:textId="77777777" w:rsidR="00DB3F3D" w:rsidRDefault="000C0F2B">
      <w:pPr>
        <w:pStyle w:val="NumPar2"/>
        <w:numPr>
          <w:ilvl w:val="3"/>
          <w:numId w:val="36"/>
        </w:numPr>
        <w:ind w:left="2127" w:hanging="851"/>
        <w:rPr>
          <w:snapToGrid w:val="0"/>
        </w:rPr>
      </w:pPr>
      <w:r>
        <w:rPr>
          <w:snapToGrid w:val="0"/>
        </w:rPr>
        <w:t xml:space="preserve">Vsaka država članica lahko pošlje le eno računalniško datoteko na plačilno agencijo z </w:t>
      </w:r>
      <w:r>
        <w:rPr>
          <w:b/>
          <w:snapToGrid w:val="0"/>
        </w:rPr>
        <w:t>vsemi</w:t>
      </w:r>
      <w:r>
        <w:rPr>
          <w:snapToGrid w:val="0"/>
        </w:rPr>
        <w:t xml:space="preserve"> nepravilnostmi, in sicer za EKJS, EKSRP za obdobje 2007–2013, EKSRP za obdobje 2014–2020 in ZIRP.</w:t>
      </w:r>
    </w:p>
    <w:p w14:paraId="09048BB7" w14:textId="77777777" w:rsidR="00DB3F3D" w:rsidRDefault="000C0F2B">
      <w:pPr>
        <w:pStyle w:val="NumPar2"/>
        <w:numPr>
          <w:ilvl w:val="3"/>
          <w:numId w:val="36"/>
        </w:numPr>
        <w:ind w:left="2127" w:hanging="851"/>
      </w:pPr>
      <w:r>
        <w:t xml:space="preserve"> Računalniška datoteka mora imeti naslednje značilnosti:</w:t>
      </w:r>
    </w:p>
    <w:p w14:paraId="0E70A8DA" w14:textId="77777777" w:rsidR="00DB3F3D" w:rsidRDefault="000C0F2B">
      <w:pPr>
        <w:pStyle w:val="NumPar3"/>
        <w:numPr>
          <w:ilvl w:val="4"/>
          <w:numId w:val="46"/>
        </w:numPr>
      </w:pPr>
      <w:r>
        <w:t xml:space="preserve"> </w:t>
      </w:r>
      <w:bookmarkStart w:id="105" w:name="_Toc118877653"/>
      <w:bookmarkStart w:id="106" w:name="_Toc126682405"/>
      <w:r>
        <w:t>Prvi zapis v datoteki (vrstica v glavi) vsebuje opis datoteke. Imena polj ustrezajo naslovom stolpcev ((A), (B), (C) itd., glej tudi spodnji primer). Vrstni red polj ustreza vrstnemu redu iz točke 2.1.3.5.2.</w:t>
      </w:r>
      <w:bookmarkEnd w:id="105"/>
      <w:bookmarkEnd w:id="106"/>
    </w:p>
    <w:p w14:paraId="130A5D9C" w14:textId="77777777" w:rsidR="00DB3F3D" w:rsidRDefault="000C0F2B">
      <w:pPr>
        <w:pStyle w:val="NumPar3"/>
        <w:numPr>
          <w:ilvl w:val="4"/>
          <w:numId w:val="46"/>
        </w:numPr>
      </w:pPr>
      <w:r>
        <w:t>Naslednji zapisi v datoteki so podatki (podatkovne vrstice) v vrstnem redu, ki ga navaja prvi zapis z opisom strukture datoteke.</w:t>
      </w:r>
    </w:p>
    <w:p w14:paraId="0FB5D5CF" w14:textId="77777777" w:rsidR="00DB3F3D" w:rsidRDefault="000C0F2B">
      <w:pPr>
        <w:pStyle w:val="NumPar3"/>
        <w:numPr>
          <w:ilvl w:val="4"/>
          <w:numId w:val="46"/>
        </w:numPr>
      </w:pPr>
      <w:r>
        <w:t>Polja so ločena s podpičjem („;“). Vrstica v glavi in podatkovne vrstice vsebujejo enako število podpičij. V podatkovnih vrsticah so prazna polja označena z dvema zaporednima podpičjema („;;“) znotraj zapisa ali z enojnim podpičjem („;“) na koncu zapisa.</w:t>
      </w:r>
    </w:p>
    <w:p w14:paraId="4DD81926" w14:textId="77777777" w:rsidR="00DB3F3D" w:rsidRDefault="000C0F2B">
      <w:pPr>
        <w:pStyle w:val="NumPar3"/>
        <w:numPr>
          <w:ilvl w:val="4"/>
          <w:numId w:val="46"/>
        </w:numPr>
      </w:pPr>
      <w:r>
        <w:t>Dolžina zapisov je različna. Vsak zapis se konča s kodo „CR LF“ ali „Carriage Return – Line Feed“ (v šestnajstiškem zapisu: „0D 0A“). Glava se nikoli ne konča s „;“. Podatkovne vrstice se končajo s „;“ samo, če je zadnje polje prazno.</w:t>
      </w:r>
    </w:p>
    <w:p w14:paraId="7649B46C" w14:textId="77777777" w:rsidR="00DB3F3D" w:rsidRDefault="00DB3F3D">
      <w:pPr>
        <w:pStyle w:val="Text3"/>
      </w:pPr>
    </w:p>
    <w:p w14:paraId="049B897A" w14:textId="77777777" w:rsidR="00DB3F3D" w:rsidRDefault="00DB3F3D">
      <w:pPr>
        <w:pStyle w:val="Text3"/>
      </w:pPr>
    </w:p>
    <w:p w14:paraId="5DF5B2B5" w14:textId="77777777" w:rsidR="00DB3F3D" w:rsidRDefault="00DB3F3D">
      <w:pPr>
        <w:pStyle w:val="Text3"/>
      </w:pPr>
    </w:p>
    <w:p w14:paraId="35D5BC18" w14:textId="77777777" w:rsidR="00DB3F3D" w:rsidRDefault="000C0F2B">
      <w:pPr>
        <w:pStyle w:val="NumPar3"/>
        <w:numPr>
          <w:ilvl w:val="4"/>
          <w:numId w:val="46"/>
        </w:numPr>
      </w:pPr>
      <w:r>
        <w:t>Številska polja:</w:t>
      </w:r>
    </w:p>
    <w:p w14:paraId="639DC599" w14:textId="77777777" w:rsidR="00DB3F3D" w:rsidRDefault="000C0F2B">
      <w:pPr>
        <w:pStyle w:val="ListNumber1Level2"/>
        <w:tabs>
          <w:tab w:val="clear" w:pos="1899"/>
        </w:tabs>
        <w:ind w:left="2640"/>
      </w:pPr>
      <w:r>
        <w:t>Decimalno ločilo: „.“</w:t>
      </w:r>
    </w:p>
    <w:p w14:paraId="36B27977" w14:textId="77777777" w:rsidR="00DB3F3D" w:rsidRDefault="000C0F2B">
      <w:pPr>
        <w:pStyle w:val="ListNumber1Level2"/>
        <w:tabs>
          <w:tab w:val="clear" w:pos="1899"/>
        </w:tabs>
        <w:ind w:left="2640"/>
      </w:pPr>
      <w:r>
        <w:t>Znak („+“ ali „–“) je naveden na skrajni levi, sledijo pa mu številke (brez presledka). Za pozitivna števila je znak „+“ neobvezen.</w:t>
      </w:r>
    </w:p>
    <w:p w14:paraId="77EA9FDF" w14:textId="77777777" w:rsidR="00DB3F3D" w:rsidRDefault="000C0F2B">
      <w:pPr>
        <w:pStyle w:val="ListNumber1Level2"/>
        <w:tabs>
          <w:tab w:val="clear" w:pos="1899"/>
        </w:tabs>
        <w:ind w:left="2640"/>
      </w:pPr>
      <w:r>
        <w:t>Določeno število decimalnih mest: 2.</w:t>
      </w:r>
    </w:p>
    <w:p w14:paraId="7F041F73" w14:textId="77777777" w:rsidR="00DB3F3D" w:rsidRDefault="000C0F2B">
      <w:pPr>
        <w:pStyle w:val="ListNumber1Level2"/>
        <w:tabs>
          <w:tab w:val="clear" w:pos="1899"/>
        </w:tabs>
        <w:ind w:left="2640"/>
      </w:pPr>
      <w:r>
        <w:t>Med števkami ni presledkov. Med tisočicami ni presledkov ali drugih znakov.</w:t>
      </w:r>
    </w:p>
    <w:p w14:paraId="5C377F47" w14:textId="77777777" w:rsidR="00DB3F3D" w:rsidRDefault="000C0F2B">
      <w:pPr>
        <w:pStyle w:val="ListNumber1Level2"/>
        <w:tabs>
          <w:tab w:val="clear" w:pos="1899"/>
        </w:tabs>
        <w:ind w:left="2640"/>
      </w:pPr>
      <w:r>
        <w:lastRenderedPageBreak/>
        <w:t>Kadar informacija za zapis ni relevantna, je treba navesti vrednost 0 (nič).</w:t>
      </w:r>
    </w:p>
    <w:p w14:paraId="581AB469" w14:textId="77777777" w:rsidR="00DB3F3D" w:rsidRDefault="000C0F2B">
      <w:pPr>
        <w:pStyle w:val="NumPar3"/>
        <w:numPr>
          <w:ilvl w:val="4"/>
          <w:numId w:val="47"/>
        </w:numPr>
      </w:pPr>
      <w:r>
        <w:t>Narekovaji („ “) niso dovoljeni na začetku ali koncu zapisov. Ločilo polja podpičje „;“ se ne sme uporabljati pri podatkih v besedilni obliki.</w:t>
      </w:r>
    </w:p>
    <w:p w14:paraId="13881662" w14:textId="77777777" w:rsidR="00DB3F3D" w:rsidRDefault="000C0F2B">
      <w:pPr>
        <w:pStyle w:val="NumPar3"/>
        <w:numPr>
          <w:ilvl w:val="4"/>
          <w:numId w:val="47"/>
        </w:numPr>
      </w:pPr>
      <w:r>
        <w:t>Vsa polja: na začetku ali koncu polja ni presledka.</w:t>
      </w:r>
    </w:p>
    <w:p w14:paraId="66CF7934" w14:textId="77777777" w:rsidR="00DB3F3D" w:rsidRDefault="000C0F2B">
      <w:pPr>
        <w:pStyle w:val="NumPar3"/>
        <w:numPr>
          <w:ilvl w:val="4"/>
          <w:numId w:val="47"/>
        </w:numPr>
      </w:pPr>
      <w:r>
        <w:t>Datoteke, ki izpolnjujejo ta pravila, bodo imele naslednjo obliko (primer za proračunsko leto 2015):</w:t>
      </w:r>
    </w:p>
    <w:p w14:paraId="4069A44B" w14:textId="77777777" w:rsidR="00DB3F3D" w:rsidRDefault="000C0F2B">
      <w:pPr>
        <w:pStyle w:val="Text2"/>
        <w:keepNext/>
        <w:ind w:left="2761" w:hanging="67"/>
        <w:rPr>
          <w:sz w:val="18"/>
          <w:szCs w:val="18"/>
        </w:rPr>
      </w:pPr>
      <w:r>
        <w:rPr>
          <w:sz w:val="18"/>
        </w:rPr>
        <w:t>A;B;AA;V1;V2;C;D;E;F;G;H;I;W;J;X;K;L;L1;L2;Y1;Y2;M;N;O;O1;O2;P;Q;R;R1;R2;Z;S;S1;S2;T;T1;T2;BB;U</w:t>
      </w:r>
    </w:p>
    <w:p w14:paraId="2FD0BA5F" w14:textId="77777777" w:rsidR="00DB3F3D" w:rsidRDefault="000C0F2B">
      <w:pPr>
        <w:pStyle w:val="Text2"/>
        <w:keepNext/>
        <w:ind w:left="2761" w:hanging="67"/>
        <w:rPr>
          <w:sz w:val="18"/>
          <w:szCs w:val="18"/>
        </w:rPr>
      </w:pPr>
      <w:r>
        <w:rPr>
          <w:sz w:val="18"/>
        </w:rPr>
        <w:t>BE02;3;O;;;2015;EUR;case_nr;olaf_nr;Y;H_O_1;;;2015;;N;100;;;;;0;0;0;;;;;0;;;;0;;;100;;;;0</w:t>
      </w:r>
    </w:p>
    <w:p w14:paraId="758AA247" w14:textId="77777777" w:rsidR="00DB3F3D" w:rsidRDefault="000C0F2B">
      <w:pPr>
        <w:pStyle w:val="Text3"/>
        <w:spacing w:after="0"/>
        <w:ind w:left="2761" w:hanging="67"/>
        <w:rPr>
          <w:sz w:val="18"/>
          <w:szCs w:val="18"/>
        </w:rPr>
      </w:pPr>
      <w:r>
        <w:rPr>
          <w:sz w:val="18"/>
        </w:rPr>
        <w:t>BE02;3;N;2010;05030101;2015;EUR;case_nr;olaf_nr;N;H_N_1;;20150101;;20150831;N;;100;10;100;10;;;;0;0;;;;0;0;0;;0;0;110;100;10;0;0</w:t>
      </w:r>
    </w:p>
    <w:p w14:paraId="628080D7" w14:textId="77777777" w:rsidR="00DB3F3D" w:rsidRDefault="00DB3F3D">
      <w:pPr>
        <w:pStyle w:val="Text3"/>
        <w:ind w:left="2757"/>
      </w:pPr>
    </w:p>
    <w:p w14:paraId="76DBAC77" w14:textId="77777777" w:rsidR="00DB3F3D" w:rsidRDefault="000C0F2B">
      <w:pPr>
        <w:pStyle w:val="Text3"/>
        <w:spacing w:after="0"/>
        <w:ind w:left="2694" w:firstLine="0"/>
      </w:pPr>
      <w:r>
        <w:t>Taka datoteka se zlahka pripravi npr. v Excelu (z uporabo možnosti „Shrani kot CSV“).</w:t>
      </w:r>
    </w:p>
    <w:p w14:paraId="647454CD" w14:textId="77777777" w:rsidR="00DB3F3D" w:rsidRDefault="00DB3F3D">
      <w:pPr>
        <w:pStyle w:val="Text3"/>
        <w:spacing w:after="0"/>
        <w:ind w:left="1276"/>
      </w:pPr>
    </w:p>
    <w:p w14:paraId="5DE63B2D" w14:textId="77777777" w:rsidR="00DB3F3D" w:rsidRDefault="000C0F2B">
      <w:pPr>
        <w:pStyle w:val="NumPar2"/>
        <w:numPr>
          <w:ilvl w:val="3"/>
          <w:numId w:val="47"/>
        </w:numPr>
        <w:ind w:hanging="1001"/>
      </w:pPr>
      <w:r>
        <w:t xml:space="preserve"> Države članice morajo računalniške datoteke Komisiji poslati do 15. februarja po proračunskem letu n po sistemu SFC2014, oddelek „ANNUAL ACCOUNTS – ART 30(1)(A) REG(EU) NO908/2014“, „Debtor Ledger“ (Letni obračuni – člen 30(1)(a) Uredbe (EU) št. 908/2014, Knjiga terjatev), vrsta dokumenta „Irregularities“ (Nepravilnosti).</w:t>
      </w:r>
    </w:p>
    <w:p w14:paraId="64790D1B" w14:textId="77777777" w:rsidR="00DB3F3D" w:rsidRDefault="000C0F2B">
      <w:pPr>
        <w:pStyle w:val="Heading2"/>
        <w:numPr>
          <w:ilvl w:val="2"/>
          <w:numId w:val="35"/>
        </w:numPr>
      </w:pPr>
      <w:bookmarkStart w:id="107" w:name="_Toc422216464"/>
      <w:bookmarkStart w:id="108" w:name="_Toc134086127"/>
      <w:r>
        <w:t>Potrditev primerov nepravilnosti</w:t>
      </w:r>
      <w:bookmarkEnd w:id="107"/>
      <w:bookmarkEnd w:id="108"/>
    </w:p>
    <w:p w14:paraId="12F8A3E5" w14:textId="77777777" w:rsidR="00DB3F3D" w:rsidRDefault="000C0F2B">
      <w:pPr>
        <w:ind w:left="0" w:firstLine="0"/>
      </w:pPr>
      <w:r>
        <w:t>V skladu s členom 29(e) Uredbe (EU) št. 908/2014 morajo države članice navesti 8 zneskov na plačilno agencijo po koncu vsakega proračunskega leta:</w:t>
      </w:r>
    </w:p>
    <w:p w14:paraId="67B44EEC" w14:textId="77777777" w:rsidR="00DB3F3D" w:rsidRDefault="000C0F2B">
      <w:pPr>
        <w:pStyle w:val="ListBullet"/>
      </w:pPr>
      <w:r>
        <w:t>skupni znesek v breme države članice v skladu s pravilom 50/50 za neporavnane primere nepravilnosti ločeno za EKJS, EKSRP (2007–2013 in 2014–2020) ter ZIRP;</w:t>
      </w:r>
    </w:p>
    <w:p w14:paraId="0B449F8F" w14:textId="77777777" w:rsidR="00DB3F3D" w:rsidRDefault="000C0F2B">
      <w:pPr>
        <w:pStyle w:val="ListBullet"/>
      </w:pPr>
      <w:r>
        <w:t xml:space="preserve">skupni znesek, ki se 100-odstotno knjiži v breme proračuna EU zaradi neizterljivosti nepravilnih plačil ločeno za EKJS, EKSRP (2007–2013 in 2014–2020) ter ZIRP. Opozoriti je treba, da se zneski, prijavljeni kot neizterljivi, lahko knjižijo v breme proračuna EU samo </w:t>
      </w:r>
      <w:r>
        <w:rPr>
          <w:u w:val="single"/>
        </w:rPr>
        <w:t>v celoti</w:t>
      </w:r>
      <w:r>
        <w:t>. Zadevni zneski se v teh stolpcih lahko navedejo samo, če se neizterljivost prijavi v 4 oziroma, pri sodnem postopku, v 8 letih po datumu ugotovitve PACA za „stare“ primere in po datumu zahtevka za izterjavo za „nove“ primere. Z drugimi besedami, če se neizterljivost ugotovi po uporabi pravila 50/50, se v stolpcu „100 % v breme proračuna EU (člen 54(3) Uredbe (EU) št. 1306/2013)“ ne sme navesti noben znesek.</w:t>
      </w:r>
    </w:p>
    <w:p w14:paraId="62A9F309" w14:textId="77777777" w:rsidR="00DB3F3D" w:rsidRDefault="000C0F2B">
      <w:pPr>
        <w:pStyle w:val="ListBullet"/>
        <w:numPr>
          <w:ilvl w:val="0"/>
          <w:numId w:val="0"/>
        </w:numPr>
        <w:ind w:left="283"/>
      </w:pPr>
      <w:r>
        <w:t xml:space="preserve">Poleg tega se poudarja, da lahko v skladu s členom 54(3) Uredbe (EU) št. 1306/2013 neizterljivi zneski (100 %) bremenijo proračun EU, če se odločitev, da se ne izterjujejo, sprejme v naslednjih primerih: </w:t>
      </w:r>
    </w:p>
    <w:p w14:paraId="2CDD820D" w14:textId="77777777" w:rsidR="00DB3F3D" w:rsidRDefault="000C0F2B">
      <w:pPr>
        <w:pStyle w:val="ListBullet"/>
        <w:numPr>
          <w:ilvl w:val="0"/>
          <w:numId w:val="23"/>
        </w:numPr>
      </w:pPr>
      <w:r>
        <w:lastRenderedPageBreak/>
        <w:t xml:space="preserve">če stroški, ki so že nastali in ki bodo verjetno še nastali, skupaj znašajo več od zneska za izterjavo, kot je določeno v členu 3(a), točka (i) in (ii); </w:t>
      </w:r>
    </w:p>
    <w:p w14:paraId="48D30823" w14:textId="77777777" w:rsidR="00DB3F3D" w:rsidRDefault="000C0F2B">
      <w:pPr>
        <w:pStyle w:val="ListBullet"/>
        <w:numPr>
          <w:ilvl w:val="0"/>
          <w:numId w:val="23"/>
        </w:numPr>
      </w:pPr>
      <w:r>
        <w:t>kadar izterjave ni mogoče izvršiti zaradi plačilne nesposobnosti dolžnika ali oseb, ki so pravno odgovorne za nepravilnost, pri čemer je plačilna nesposobnost ugotovljena in priznana v skladu z nacionalnim pravom;</w:t>
      </w:r>
    </w:p>
    <w:p w14:paraId="62EBF144" w14:textId="77777777" w:rsidR="00DB3F3D" w:rsidRDefault="000C0F2B">
      <w:pPr>
        <w:pStyle w:val="ListBullet"/>
        <w:numPr>
          <w:ilvl w:val="0"/>
          <w:numId w:val="23"/>
        </w:numPr>
      </w:pPr>
      <w:r>
        <w:t>kjer še ni bilo uporabljeno t. i. „pravilo 50/50“, kot določa člen 54(3), zadnji pododstavek.</w:t>
      </w:r>
    </w:p>
    <w:p w14:paraId="1093B3A5" w14:textId="77777777" w:rsidR="00DB3F3D" w:rsidRDefault="000C0F2B">
      <w:pPr>
        <w:ind w:left="0" w:firstLine="0"/>
      </w:pPr>
      <w:r>
        <w:t>Če odločitev države članice, da ne bo izvršila izterjave, ni upravičena, lahko Komisija v skladu s členom 54(5) Uredbe (EU) št. 1306/2013 uporabi finančni popravek.</w:t>
      </w:r>
    </w:p>
    <w:p w14:paraId="0D5F70AD" w14:textId="77777777" w:rsidR="00DB3F3D" w:rsidRDefault="000C0F2B">
      <w:pPr>
        <w:ind w:left="0" w:firstLine="0"/>
      </w:pPr>
      <w:r>
        <w:t>Komisija bo preverila točnost teh zneskov na osnovi informacij, ki so jih države članice navedle v preglednici iz Priloge II, med potrjevanjem pa lahko za pregled posebnih primerov zahteva dodatne informacije.</w:t>
      </w:r>
    </w:p>
    <w:p w14:paraId="21724503" w14:textId="77777777" w:rsidR="00DB3F3D" w:rsidRDefault="000C0F2B">
      <w:pPr>
        <w:pStyle w:val="Heading2"/>
        <w:numPr>
          <w:ilvl w:val="2"/>
          <w:numId w:val="35"/>
        </w:numPr>
      </w:pPr>
      <w:bookmarkStart w:id="109" w:name="_Toc422216465"/>
      <w:bookmarkStart w:id="110" w:name="_Toc134086128"/>
      <w:r>
        <w:t>Potrditev preglednice s povzetkom iz Priloge II</w:t>
      </w:r>
      <w:bookmarkEnd w:id="109"/>
      <w:bookmarkEnd w:id="110"/>
    </w:p>
    <w:p w14:paraId="37CE455A" w14:textId="77777777" w:rsidR="00DB3F3D" w:rsidRDefault="000C0F2B">
      <w:pPr>
        <w:ind w:left="0" w:firstLine="0"/>
      </w:pPr>
      <w:r>
        <w:t>Vsote zneskov, navedenih v Prilogi II k Uredbi (EU) št. 908/2014, je treba navesti ločeno za vsako plačilno agencijo, certifikacijski organ pa jih mora potrditi.</w:t>
      </w:r>
    </w:p>
    <w:p w14:paraId="7F476F8C" w14:textId="77777777" w:rsidR="00DB3F3D" w:rsidRDefault="000C0F2B">
      <w:pPr>
        <w:ind w:left="0" w:firstLine="0"/>
      </w:pPr>
      <w:r>
        <w:t>Države članice morajo Komisiji za vsako proračunsko leto n do 15. februarja leta n + 1 v elektronski obliki predložiti to preglednico za vsako plačilno agencijo.</w:t>
      </w:r>
    </w:p>
    <w:p w14:paraId="728F569A" w14:textId="77777777" w:rsidR="00DB3F3D" w:rsidRDefault="000C0F2B">
      <w:pPr>
        <w:ind w:left="0" w:firstLine="0"/>
      </w:pPr>
      <w:r>
        <w:t>Države članice morajo od proračunskega leta 2019 naprej navedene vsote predložiti v strukturirani računalniški datoteki v skladu z značilnostmi, določenimi v točki 2.1.3.5. Ta oblika omogoča avtomatizirano obdelavo.</w:t>
      </w:r>
    </w:p>
    <w:p w14:paraId="7FFA3ED0" w14:textId="77777777" w:rsidR="00DB3F3D" w:rsidRDefault="000C0F2B">
      <w:pPr>
        <w:ind w:left="0" w:firstLine="0"/>
      </w:pPr>
      <w:r>
        <w:t>V stolpcih „Bal_P“ in „Bal_I“ se navede začetno stanje v proračunskem letu n. Ta znesek mora biti enak zaključnemu stanju v preglednici iz Priloge II za proračunsko leto n – 1. Stolpca „NewC_P“ in „NewC_I“ se uporabljata le za „nove“ primere in se ju ne sme uporabljati za sporočanje „starih“ primerov. V ostalih stolpcih je navedena vsota stolpcev (R), (R1), (R2), (S), (S1), (S2), (O), (O1), (O2), (Z) in (T) (podrobne) preglednice iz Priloge II.</w:t>
      </w:r>
    </w:p>
    <w:p w14:paraId="3E48AEEB" w14:textId="77777777" w:rsidR="00DB3F3D" w:rsidRDefault="000C0F2B">
      <w:pPr>
        <w:ind w:left="0" w:firstLine="0"/>
      </w:pPr>
      <w:r>
        <w:t>Stolpci „Stanje na dan 15. 10. n – 1“ (Bal), „Popravljeni znesek v proračunskem letu n“ (R), „Izterjani znesek v proračunskem letu n“ (S), „Znesek, prijavljen kot neizterljiv v proračunskem letu n“ (O), in „Znesek, za katerega je izterjava v teku“ (T) navedene preglednice so razdeljeni na dva stolpca za razlikovanje med zneski glavnice in obresti. Ti stolpci prikazujejo podatke, zahtevane v (podrobni) preglednici iz Priloge II. Za „stare“ primere se ta razčlenitev ne zahteva, celotni zneski pa se sporočijo kot „glavnica“.</w:t>
      </w:r>
    </w:p>
    <w:p w14:paraId="056B42DE" w14:textId="77777777" w:rsidR="00DB3F3D" w:rsidRDefault="000C0F2B">
      <w:pPr>
        <w:ind w:left="0" w:firstLine="0"/>
      </w:pPr>
      <w:r>
        <w:t xml:space="preserve">Poleg tega stolpec „Obresti v proračunskem letu n“ (Z) iz podrobne preglednice iz Priloge II ostane v preglednici s povzetkom za „nove“ primere, da se omogoči uskladitev končnega stanja bilance. Ta vsota pomeni zneske, sporočene za posamezne primere v stolpcu (z) podrobne preglednice iz Priloge II (glej 2.1.2.28). </w:t>
      </w:r>
    </w:p>
    <w:p w14:paraId="7EF0FBC9" w14:textId="77777777" w:rsidR="00DB3F3D" w:rsidRDefault="000C0F2B">
      <w:pPr>
        <w:ind w:left="0" w:firstLine="0"/>
      </w:pPr>
      <w:r>
        <w:t>Podrobna navodila o načinu poročanja v različnih stolpcih preglednice s povzetkom iz Priloge II so navedena v nadaljevanju.</w:t>
      </w:r>
    </w:p>
    <w:p w14:paraId="7DF8569C" w14:textId="77777777" w:rsidR="00DB3F3D" w:rsidRDefault="000C0F2B">
      <w:pPr>
        <w:pStyle w:val="Heading2"/>
        <w:numPr>
          <w:ilvl w:val="3"/>
          <w:numId w:val="35"/>
        </w:numPr>
      </w:pPr>
      <w:bookmarkStart w:id="111" w:name="_Toc17899915"/>
      <w:bookmarkStart w:id="112" w:name="_Toc18335294"/>
      <w:bookmarkStart w:id="113" w:name="_Toc18335443"/>
      <w:bookmarkStart w:id="114" w:name="_Toc18336158"/>
      <w:bookmarkStart w:id="115" w:name="_Toc18482024"/>
      <w:bookmarkStart w:id="116" w:name="_Toc18482166"/>
      <w:bookmarkStart w:id="117" w:name="_Toc18482307"/>
      <w:bookmarkStart w:id="118" w:name="_Toc18482590"/>
      <w:bookmarkStart w:id="119" w:name="_Toc19698461"/>
      <w:bookmarkStart w:id="120" w:name="_Toc19698594"/>
      <w:bookmarkStart w:id="121" w:name="_Toc19698726"/>
      <w:bookmarkStart w:id="122" w:name="_Toc19698857"/>
      <w:bookmarkStart w:id="123" w:name="_Toc19698989"/>
      <w:bookmarkStart w:id="124" w:name="_Toc19699121"/>
      <w:bookmarkStart w:id="125" w:name="_Toc19703780"/>
      <w:bookmarkStart w:id="126" w:name="_Toc19703982"/>
      <w:bookmarkStart w:id="127" w:name="_Toc134086129"/>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lastRenderedPageBreak/>
        <w:t>Vsebina stolpcev</w:t>
      </w:r>
      <w:bookmarkEnd w:id="127"/>
    </w:p>
    <w:p w14:paraId="3B1FA3F8" w14:textId="77777777" w:rsidR="00DB3F3D" w:rsidRDefault="000C0F2B">
      <w:pPr>
        <w:pStyle w:val="Heading3"/>
        <w:numPr>
          <w:ilvl w:val="4"/>
          <w:numId w:val="35"/>
        </w:numPr>
      </w:pPr>
      <w:bookmarkStart w:id="128" w:name="_Toc134086130"/>
      <w:r>
        <w:rPr>
          <w:b/>
        </w:rPr>
        <w:t>Stolpec (AA) – Primer (staro/novo)</w:t>
      </w:r>
      <w:bookmarkEnd w:id="128"/>
    </w:p>
    <w:p w14:paraId="47E24054" w14:textId="77777777" w:rsidR="00DB3F3D" w:rsidRDefault="000C0F2B">
      <w:pPr>
        <w:pStyle w:val="Text3"/>
        <w:ind w:left="0" w:firstLine="0"/>
      </w:pPr>
      <w:r>
        <w:t>To polje omogoča razlikovanje med „starimi“ in „novimi“ primeri nepravilnosti, kot je opisano v točki 2.1.2.3.</w:t>
      </w:r>
    </w:p>
    <w:p w14:paraId="4DCAAB2F" w14:textId="77777777" w:rsidR="00DB3F3D" w:rsidRDefault="000C0F2B">
      <w:pPr>
        <w:pStyle w:val="Text3"/>
        <w:ind w:left="0" w:firstLine="0"/>
      </w:pPr>
      <w:r>
        <w:rPr>
          <w:u w:val="single"/>
        </w:rPr>
        <w:t>Zahtevana oblika:</w:t>
      </w:r>
      <w:r>
        <w:t xml:space="preserve"> staro = „O“; novo = „N“.</w:t>
      </w:r>
    </w:p>
    <w:p w14:paraId="73160DA7" w14:textId="77777777" w:rsidR="00DB3F3D" w:rsidRDefault="000C0F2B">
      <w:pPr>
        <w:pStyle w:val="Heading3"/>
        <w:numPr>
          <w:ilvl w:val="4"/>
          <w:numId w:val="35"/>
        </w:numPr>
      </w:pPr>
      <w:bookmarkStart w:id="129" w:name="_Toc134086131"/>
      <w:r>
        <w:rPr>
          <w:b/>
        </w:rPr>
        <w:t>Stolpec (A) – Plačilna agencija</w:t>
      </w:r>
      <w:bookmarkEnd w:id="129"/>
    </w:p>
    <w:p w14:paraId="3016A8DE" w14:textId="77777777" w:rsidR="00DB3F3D" w:rsidRDefault="000C0F2B">
      <w:pPr>
        <w:pStyle w:val="Text3"/>
        <w:ind w:left="0" w:firstLine="0"/>
      </w:pPr>
      <w:r>
        <w:t>Koda plačilne agencije, ki je odgovorna za izterjavo nepravilno izplačanega zneska.</w:t>
      </w:r>
    </w:p>
    <w:p w14:paraId="70592762" w14:textId="77777777" w:rsidR="00DB3F3D" w:rsidRDefault="000C0F2B">
      <w:pPr>
        <w:ind w:left="0" w:firstLine="0"/>
        <w:rPr>
          <w:snapToGrid w:val="0"/>
        </w:rPr>
      </w:pPr>
      <w:r>
        <w:rPr>
          <w:snapToGrid w:val="0"/>
          <w:u w:val="single"/>
        </w:rPr>
        <w:t>Zahtevana oblika</w:t>
      </w:r>
      <w:r>
        <w:rPr>
          <w:snapToGrid w:val="0"/>
        </w:rPr>
        <w:t>:</w:t>
      </w:r>
      <w:r>
        <w:t xml:space="preserve"> DČ99, pri čemer DČ pomeni dvočrkovno kodo države članice po ISO, 9 pa pomeni števko od 0 do 9.</w:t>
      </w:r>
    </w:p>
    <w:p w14:paraId="2748D988" w14:textId="77777777" w:rsidR="00DB3F3D" w:rsidRDefault="000C0F2B">
      <w:pPr>
        <w:pStyle w:val="Heading3"/>
        <w:numPr>
          <w:ilvl w:val="4"/>
          <w:numId w:val="35"/>
        </w:numPr>
      </w:pPr>
      <w:bookmarkStart w:id="130" w:name="_Toc134086132"/>
      <w:r>
        <w:rPr>
          <w:b/>
        </w:rPr>
        <w:t>Stolpec (B) – Sklad</w:t>
      </w:r>
      <w:bookmarkEnd w:id="130"/>
    </w:p>
    <w:p w14:paraId="30CE04DC" w14:textId="77777777" w:rsidR="00DB3F3D" w:rsidRDefault="000C0F2B">
      <w:pPr>
        <w:pStyle w:val="Text3"/>
        <w:ind w:left="0" w:firstLine="0"/>
      </w:pPr>
      <w:r>
        <w:t>Sklad, iz katerega je bil nepravilno izplačan znesek.</w:t>
      </w:r>
    </w:p>
    <w:p w14:paraId="6A9D2637" w14:textId="77777777" w:rsidR="00DB3F3D" w:rsidRDefault="000C0F2B">
      <w:pPr>
        <w:pStyle w:val="Text3"/>
        <w:ind w:left="0" w:firstLine="0"/>
        <w:rPr>
          <w:u w:val="single"/>
        </w:rPr>
      </w:pPr>
      <w:r>
        <w:rPr>
          <w:u w:val="single"/>
        </w:rPr>
        <w:t>Zahtevana oblika: označi se z enoznakovno kodo v skladu z naslednjim seznamom: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51"/>
      </w:tblGrid>
      <w:tr w:rsidR="00DB3F3D" w14:paraId="00F90B0C" w14:textId="77777777">
        <w:tc>
          <w:tcPr>
            <w:tcW w:w="1275" w:type="dxa"/>
          </w:tcPr>
          <w:p w14:paraId="29CFF1F6" w14:textId="77777777" w:rsidR="00DB3F3D" w:rsidRDefault="000C0F2B">
            <w:pPr>
              <w:pStyle w:val="Text2"/>
              <w:spacing w:after="0"/>
              <w:ind w:left="0" w:firstLine="37"/>
              <w:jc w:val="center"/>
              <w:rPr>
                <w:snapToGrid w:val="0"/>
              </w:rPr>
            </w:pPr>
            <w:r>
              <w:rPr>
                <w:snapToGrid w:val="0"/>
              </w:rPr>
              <w:t>Koda</w:t>
            </w:r>
          </w:p>
        </w:tc>
        <w:tc>
          <w:tcPr>
            <w:tcW w:w="7451" w:type="dxa"/>
          </w:tcPr>
          <w:p w14:paraId="29822603" w14:textId="77777777" w:rsidR="00DB3F3D" w:rsidRDefault="000C0F2B">
            <w:pPr>
              <w:pStyle w:val="Text2"/>
              <w:spacing w:after="0"/>
              <w:ind w:left="0" w:firstLine="0"/>
              <w:jc w:val="left"/>
              <w:rPr>
                <w:snapToGrid w:val="0"/>
              </w:rPr>
            </w:pPr>
            <w:r>
              <w:rPr>
                <w:snapToGrid w:val="0"/>
              </w:rPr>
              <w:t>Pomen</w:t>
            </w:r>
          </w:p>
        </w:tc>
      </w:tr>
      <w:tr w:rsidR="00DB3F3D" w14:paraId="170C52E1" w14:textId="77777777">
        <w:tc>
          <w:tcPr>
            <w:tcW w:w="1275" w:type="dxa"/>
            <w:vAlign w:val="center"/>
          </w:tcPr>
          <w:p w14:paraId="6D29898C" w14:textId="77777777" w:rsidR="00DB3F3D" w:rsidRDefault="000C0F2B">
            <w:pPr>
              <w:pStyle w:val="Text2"/>
              <w:spacing w:after="0"/>
              <w:ind w:left="0" w:firstLine="37"/>
              <w:jc w:val="center"/>
              <w:rPr>
                <w:snapToGrid w:val="0"/>
              </w:rPr>
            </w:pPr>
            <w:r>
              <w:rPr>
                <w:snapToGrid w:val="0"/>
              </w:rPr>
              <w:t>3</w:t>
            </w:r>
          </w:p>
        </w:tc>
        <w:tc>
          <w:tcPr>
            <w:tcW w:w="7451" w:type="dxa"/>
          </w:tcPr>
          <w:p w14:paraId="6D8EB6EB" w14:textId="77777777" w:rsidR="00DB3F3D" w:rsidRDefault="000C0F2B">
            <w:pPr>
              <w:pStyle w:val="Text2"/>
              <w:spacing w:after="0"/>
              <w:ind w:left="0" w:firstLine="0"/>
              <w:jc w:val="left"/>
              <w:rPr>
                <w:snapToGrid w:val="0"/>
              </w:rPr>
            </w:pPr>
            <w:r>
              <w:rPr>
                <w:snapToGrid w:val="0"/>
              </w:rPr>
              <w:t xml:space="preserve">EKJS, vključno z vsemi odhodki nekdanjega Jamstvenega oddelka EKUJS </w:t>
            </w:r>
          </w:p>
        </w:tc>
      </w:tr>
      <w:tr w:rsidR="00DB3F3D" w14:paraId="4FF9E210" w14:textId="77777777">
        <w:tc>
          <w:tcPr>
            <w:tcW w:w="1275" w:type="dxa"/>
            <w:vAlign w:val="center"/>
          </w:tcPr>
          <w:p w14:paraId="4ED43ECE" w14:textId="77777777" w:rsidR="00DB3F3D" w:rsidRDefault="000C0F2B">
            <w:pPr>
              <w:pStyle w:val="Text2"/>
              <w:spacing w:after="0"/>
              <w:ind w:left="0" w:firstLine="37"/>
              <w:jc w:val="center"/>
              <w:rPr>
                <w:snapToGrid w:val="0"/>
              </w:rPr>
            </w:pPr>
            <w:r>
              <w:rPr>
                <w:snapToGrid w:val="0"/>
              </w:rPr>
              <w:t>4</w:t>
            </w:r>
          </w:p>
        </w:tc>
        <w:tc>
          <w:tcPr>
            <w:tcW w:w="7451" w:type="dxa"/>
          </w:tcPr>
          <w:p w14:paraId="3F7A4019" w14:textId="77777777" w:rsidR="00DB3F3D" w:rsidRDefault="000C0F2B">
            <w:pPr>
              <w:pStyle w:val="Text2"/>
              <w:spacing w:after="0"/>
              <w:ind w:left="0" w:firstLine="0"/>
              <w:jc w:val="left"/>
              <w:rPr>
                <w:snapToGrid w:val="0"/>
              </w:rPr>
            </w:pPr>
            <w:r>
              <w:rPr>
                <w:snapToGrid w:val="0"/>
              </w:rPr>
              <w:t>EKSRP za obdobje 2007–2013</w:t>
            </w:r>
          </w:p>
        </w:tc>
      </w:tr>
      <w:tr w:rsidR="00DB3F3D" w14:paraId="046910F3" w14:textId="77777777">
        <w:tc>
          <w:tcPr>
            <w:tcW w:w="1275" w:type="dxa"/>
            <w:vAlign w:val="center"/>
          </w:tcPr>
          <w:p w14:paraId="406257A1" w14:textId="77777777" w:rsidR="00DB3F3D" w:rsidRDefault="000C0F2B">
            <w:pPr>
              <w:pStyle w:val="Text2"/>
              <w:spacing w:after="0"/>
              <w:ind w:left="0" w:firstLine="37"/>
              <w:jc w:val="center"/>
              <w:rPr>
                <w:snapToGrid w:val="0"/>
              </w:rPr>
            </w:pPr>
            <w:r>
              <w:rPr>
                <w:snapToGrid w:val="0"/>
              </w:rPr>
              <w:t>5</w:t>
            </w:r>
          </w:p>
        </w:tc>
        <w:tc>
          <w:tcPr>
            <w:tcW w:w="7451" w:type="dxa"/>
          </w:tcPr>
          <w:p w14:paraId="17C890D6" w14:textId="77777777" w:rsidR="00DB3F3D" w:rsidRDefault="000C0F2B">
            <w:pPr>
              <w:pStyle w:val="Text2"/>
              <w:spacing w:after="0"/>
              <w:ind w:left="0" w:firstLine="0"/>
              <w:jc w:val="left"/>
              <w:rPr>
                <w:snapToGrid w:val="0"/>
              </w:rPr>
            </w:pPr>
            <w:r>
              <w:rPr>
                <w:snapToGrid w:val="0"/>
              </w:rPr>
              <w:t xml:space="preserve">ZIRP za EU-10 </w:t>
            </w:r>
          </w:p>
        </w:tc>
      </w:tr>
      <w:tr w:rsidR="00DB3F3D" w14:paraId="65F88A22" w14:textId="77777777">
        <w:tc>
          <w:tcPr>
            <w:tcW w:w="1275" w:type="dxa"/>
            <w:vAlign w:val="center"/>
          </w:tcPr>
          <w:p w14:paraId="4DBBFE63" w14:textId="77777777" w:rsidR="00DB3F3D" w:rsidRDefault="000C0F2B">
            <w:pPr>
              <w:pStyle w:val="Text2"/>
              <w:spacing w:after="0"/>
              <w:ind w:left="0" w:firstLine="37"/>
              <w:jc w:val="center"/>
              <w:rPr>
                <w:snapToGrid w:val="0"/>
              </w:rPr>
            </w:pPr>
            <w:r>
              <w:rPr>
                <w:snapToGrid w:val="0"/>
              </w:rPr>
              <w:t>6</w:t>
            </w:r>
          </w:p>
        </w:tc>
        <w:tc>
          <w:tcPr>
            <w:tcW w:w="7451" w:type="dxa"/>
          </w:tcPr>
          <w:p w14:paraId="401AFA13" w14:textId="77777777" w:rsidR="00DB3F3D" w:rsidRDefault="000C0F2B">
            <w:pPr>
              <w:pStyle w:val="Text2"/>
              <w:spacing w:after="0"/>
              <w:ind w:left="0" w:firstLine="0"/>
              <w:jc w:val="left"/>
              <w:rPr>
                <w:snapToGrid w:val="0"/>
              </w:rPr>
            </w:pPr>
            <w:r>
              <w:rPr>
                <w:snapToGrid w:val="0"/>
              </w:rPr>
              <w:t>EKSRP za obdobje 2014–2020</w:t>
            </w:r>
          </w:p>
        </w:tc>
      </w:tr>
    </w:tbl>
    <w:p w14:paraId="0AD83563" w14:textId="77777777" w:rsidR="00DB3F3D" w:rsidRDefault="000C0F2B">
      <w:pPr>
        <w:pStyle w:val="Heading3"/>
        <w:numPr>
          <w:ilvl w:val="4"/>
          <w:numId w:val="35"/>
        </w:numPr>
        <w:spacing w:before="240"/>
      </w:pPr>
      <w:bookmarkStart w:id="131" w:name="_Toc134086133"/>
      <w:r>
        <w:rPr>
          <w:b/>
        </w:rPr>
        <w:t>Stolpec (C) – Proračunsko leto n</w:t>
      </w:r>
      <w:bookmarkEnd w:id="131"/>
    </w:p>
    <w:p w14:paraId="2384D42F" w14:textId="77777777" w:rsidR="00DB3F3D" w:rsidRDefault="000C0F2B">
      <w:pPr>
        <w:pStyle w:val="Text3"/>
        <w:ind w:left="0" w:firstLine="0"/>
      </w:pPr>
      <w:r>
        <w:t xml:space="preserve">Navesti je treba proračunsko leto, na katero se preglednica nanaša, tj. „leto n“ za preglednice, ki jih je treba poslati Komisiji do 15. februarja „leta n + 1“. </w:t>
      </w:r>
    </w:p>
    <w:p w14:paraId="39CCD1E9" w14:textId="77777777" w:rsidR="00DB3F3D" w:rsidRDefault="000C0F2B">
      <w:pPr>
        <w:pStyle w:val="Text3"/>
        <w:ind w:left="0" w:firstLine="0"/>
      </w:pPr>
      <w:r>
        <w:rPr>
          <w:u w:val="single"/>
        </w:rPr>
        <w:t>Zahtevana oblika:</w:t>
      </w:r>
      <w:r>
        <w:t xml:space="preserve"> „LLLL“ (leto s štirimestno številko).</w:t>
      </w:r>
    </w:p>
    <w:p w14:paraId="019DB263" w14:textId="77777777" w:rsidR="00DB3F3D" w:rsidRDefault="000C0F2B">
      <w:pPr>
        <w:pStyle w:val="Heading3"/>
        <w:numPr>
          <w:ilvl w:val="4"/>
          <w:numId w:val="35"/>
        </w:numPr>
      </w:pPr>
      <w:bookmarkStart w:id="132" w:name="_Toc134086134"/>
      <w:r>
        <w:rPr>
          <w:b/>
        </w:rPr>
        <w:t>Stolpec (D) – Denarna enota</w:t>
      </w:r>
      <w:bookmarkEnd w:id="132"/>
    </w:p>
    <w:p w14:paraId="19D1322B" w14:textId="77777777" w:rsidR="00DB3F3D" w:rsidRDefault="000C0F2B">
      <w:pPr>
        <w:ind w:left="0" w:firstLine="0"/>
        <w:rPr>
          <w:u w:val="single"/>
        </w:rPr>
      </w:pPr>
      <w:r>
        <w:t xml:space="preserve">Tukaj se navede denarna enota, v kateri se v preglednici navede znesek. V preglednici se zneski navedejo v </w:t>
      </w:r>
      <w:r>
        <w:rPr>
          <w:u w:val="single"/>
        </w:rPr>
        <w:t>nacionalni valuti</w:t>
      </w:r>
      <w:r>
        <w:t>.</w:t>
      </w:r>
    </w:p>
    <w:p w14:paraId="097E69ED" w14:textId="77777777" w:rsidR="00DB3F3D" w:rsidRDefault="000C0F2B">
      <w:pPr>
        <w:ind w:left="0" w:firstLine="0"/>
      </w:pPr>
      <w:r>
        <w:rPr>
          <w:u w:val="single"/>
        </w:rPr>
        <w:t>Zahtevana oblika</w:t>
      </w:r>
      <w:r>
        <w:t>: koda ISO 4217: npr. DKK, EUR, GBP, HUF itd.</w:t>
      </w:r>
      <w:r>
        <w:rPr>
          <w:snapToGrid w:val="0"/>
        </w:rPr>
        <w:t xml:space="preserve"> </w:t>
      </w:r>
    </w:p>
    <w:p w14:paraId="51B260F5" w14:textId="77777777" w:rsidR="00DB3F3D" w:rsidRDefault="000C0F2B">
      <w:pPr>
        <w:pStyle w:val="Heading3"/>
        <w:numPr>
          <w:ilvl w:val="4"/>
          <w:numId w:val="35"/>
        </w:numPr>
      </w:pPr>
      <w:bookmarkStart w:id="133" w:name="_Toc134086135"/>
      <w:r>
        <w:rPr>
          <w:b/>
        </w:rPr>
        <w:t>Stolpec (Bal_P) – Začetno stanje – Glavnica</w:t>
      </w:r>
      <w:bookmarkEnd w:id="133"/>
    </w:p>
    <w:p w14:paraId="433E6D82" w14:textId="77777777" w:rsidR="00DB3F3D" w:rsidRDefault="000C0F2B">
      <w:pPr>
        <w:pStyle w:val="Text3"/>
        <w:ind w:left="0" w:firstLine="0"/>
      </w:pPr>
      <w:r>
        <w:t>Ta stolpec prikazuje stanje na dan 15. 10. n – 1. V tem stolpcu je naveden celotni znesek (glavnica + obresti) za „stare“ primere in le znesek glavnice za „nove“ primere.</w:t>
      </w:r>
    </w:p>
    <w:p w14:paraId="4CFBF5EF" w14:textId="77777777" w:rsidR="00DB3F3D" w:rsidRDefault="000C0F2B">
      <w:pPr>
        <w:pStyle w:val="Text3"/>
        <w:ind w:left="0" w:firstLine="0"/>
      </w:pPr>
      <w:r>
        <w:t>Znesek v tem stolpcu se navede s pozitivnim predznakom.</w:t>
      </w:r>
    </w:p>
    <w:p w14:paraId="7916A644" w14:textId="77777777" w:rsidR="00DB3F3D" w:rsidRDefault="000C0F2B">
      <w:pPr>
        <w:pStyle w:val="Text3"/>
        <w:ind w:left="0" w:firstLine="0"/>
        <w:rPr>
          <w:snapToGrid w:val="0"/>
        </w:rPr>
      </w:pPr>
      <w:r>
        <w:rPr>
          <w:u w:val="single"/>
        </w:rPr>
        <w:t>Zahtevana oblika:</w:t>
      </w:r>
      <w:r>
        <w:rPr>
          <w:snapToGrid w:val="0"/>
        </w:rPr>
        <w:t xml:space="preserve"> +99…99.99, kjer 9 pomeni števko od 0 do 9.</w:t>
      </w:r>
    </w:p>
    <w:p w14:paraId="74F573BD" w14:textId="77777777" w:rsidR="00DB3F3D" w:rsidRDefault="000C0F2B">
      <w:pPr>
        <w:pStyle w:val="Heading3"/>
        <w:numPr>
          <w:ilvl w:val="4"/>
          <w:numId w:val="35"/>
        </w:numPr>
      </w:pPr>
      <w:bookmarkStart w:id="134" w:name="_Toc134086136"/>
      <w:r>
        <w:rPr>
          <w:b/>
        </w:rPr>
        <w:lastRenderedPageBreak/>
        <w:t>Stolpec (Bal_I) – Začetno stanje – Obresti</w:t>
      </w:r>
      <w:bookmarkEnd w:id="134"/>
    </w:p>
    <w:p w14:paraId="07660F60" w14:textId="77777777" w:rsidR="00DB3F3D" w:rsidRDefault="000C0F2B">
      <w:pPr>
        <w:pStyle w:val="Text3"/>
        <w:ind w:left="0" w:firstLine="0"/>
      </w:pPr>
      <w:r>
        <w:t>V tem stolpcu je naveden skupni neporavnani znesek obresti na dan 15. 10. n – 1 in se uporablja le za „nove“ primere.</w:t>
      </w:r>
    </w:p>
    <w:p w14:paraId="71689723" w14:textId="77777777" w:rsidR="00DB3F3D" w:rsidRDefault="000C0F2B">
      <w:pPr>
        <w:pStyle w:val="Text3"/>
        <w:ind w:left="0" w:firstLine="0"/>
      </w:pPr>
      <w:r>
        <w:t>Znesek v tem stolpcu se navede s pozitivnim predznakom.</w:t>
      </w:r>
    </w:p>
    <w:p w14:paraId="547AFB92" w14:textId="77777777" w:rsidR="00DB3F3D" w:rsidRDefault="000C0F2B">
      <w:pPr>
        <w:pStyle w:val="Text3"/>
        <w:ind w:left="0" w:firstLine="0"/>
        <w:rPr>
          <w:snapToGrid w:val="0"/>
        </w:rPr>
      </w:pPr>
      <w:r>
        <w:rPr>
          <w:u w:val="single"/>
        </w:rPr>
        <w:t>Zahtevana oblika:</w:t>
      </w:r>
      <w:r>
        <w:rPr>
          <w:snapToGrid w:val="0"/>
        </w:rPr>
        <w:t xml:space="preserve"> +99…99.99, kjer 9 pomeni števko od 0 do 9.</w:t>
      </w:r>
    </w:p>
    <w:p w14:paraId="0D11F293" w14:textId="77777777" w:rsidR="00DB3F3D" w:rsidRDefault="000C0F2B">
      <w:pPr>
        <w:pStyle w:val="Heading3"/>
        <w:numPr>
          <w:ilvl w:val="4"/>
          <w:numId w:val="35"/>
        </w:numPr>
      </w:pPr>
      <w:bookmarkStart w:id="135" w:name="_Toc134086137"/>
      <w:r>
        <w:rPr>
          <w:b/>
        </w:rPr>
        <w:t>Stolpec (NewC_P) – Novi primeri v proračunskem letu n – Glavnica</w:t>
      </w:r>
      <w:bookmarkEnd w:id="135"/>
      <w:r>
        <w:rPr>
          <w:b/>
        </w:rPr>
        <w:t xml:space="preserve"> </w:t>
      </w:r>
    </w:p>
    <w:p w14:paraId="04939F6A" w14:textId="77777777" w:rsidR="00DB3F3D" w:rsidRDefault="000C0F2B">
      <w:pPr>
        <w:pStyle w:val="Text3"/>
        <w:ind w:left="0" w:firstLine="0"/>
      </w:pPr>
      <w:r>
        <w:t>Ta stolpec se uporablja le za „nove“ primere. V njem je naveden skupni nepravilni znesek glavnice, ki ga je treba izterjati in je bil registriran v proračunskem letu n.</w:t>
      </w:r>
    </w:p>
    <w:p w14:paraId="2E5746DA" w14:textId="77777777" w:rsidR="00DB3F3D" w:rsidRDefault="000C0F2B">
      <w:pPr>
        <w:pStyle w:val="Text3"/>
        <w:ind w:left="0" w:firstLine="0"/>
      </w:pPr>
      <w:r>
        <w:t>Znesek v tem stolpcu se navede s pozitivnim predznakom.</w:t>
      </w:r>
    </w:p>
    <w:p w14:paraId="6545EC83" w14:textId="77777777" w:rsidR="00DB3F3D" w:rsidRDefault="000C0F2B">
      <w:pPr>
        <w:pStyle w:val="Text3"/>
        <w:ind w:left="0" w:firstLine="0"/>
        <w:rPr>
          <w:snapToGrid w:val="0"/>
        </w:rPr>
      </w:pPr>
      <w:r>
        <w:rPr>
          <w:u w:val="single"/>
        </w:rPr>
        <w:t>Zahtevana oblika:</w:t>
      </w:r>
      <w:r>
        <w:rPr>
          <w:snapToGrid w:val="0"/>
        </w:rPr>
        <w:t xml:space="preserve"> +99…99.99, kjer 9 pomeni števko od 0 do 9.</w:t>
      </w:r>
    </w:p>
    <w:p w14:paraId="468F5D31" w14:textId="77777777" w:rsidR="00DB3F3D" w:rsidRDefault="000C0F2B">
      <w:pPr>
        <w:pStyle w:val="Heading3"/>
        <w:numPr>
          <w:ilvl w:val="4"/>
          <w:numId w:val="35"/>
        </w:numPr>
      </w:pPr>
      <w:bookmarkStart w:id="136" w:name="_Toc134086138"/>
      <w:r>
        <w:rPr>
          <w:b/>
        </w:rPr>
        <w:t>Stolpec (NewC_I) – Novi primeri v proračunskem letu n – Obresti</w:t>
      </w:r>
      <w:bookmarkEnd w:id="136"/>
    </w:p>
    <w:p w14:paraId="04F70775" w14:textId="77777777" w:rsidR="00DB3F3D" w:rsidRDefault="000C0F2B">
      <w:pPr>
        <w:pStyle w:val="Text3"/>
        <w:ind w:left="0" w:firstLine="0"/>
      </w:pPr>
      <w:r>
        <w:t>Ta stolpec se uporablja le za „nove“ primere. V njem je naveden skupni znesek obresti, ki ga je treba izterjati in je bil registriran v proračunskem letu n.</w:t>
      </w:r>
    </w:p>
    <w:p w14:paraId="13E5C123" w14:textId="77777777" w:rsidR="00DB3F3D" w:rsidRDefault="000C0F2B">
      <w:pPr>
        <w:pStyle w:val="Text3"/>
        <w:ind w:left="0" w:firstLine="0"/>
      </w:pPr>
      <w:r>
        <w:t>Znesek v tem stolpcu se navede s pozitivnim predznakom.</w:t>
      </w:r>
    </w:p>
    <w:p w14:paraId="702F26F1" w14:textId="77777777" w:rsidR="00DB3F3D" w:rsidRDefault="000C0F2B">
      <w:pPr>
        <w:pStyle w:val="Text3"/>
        <w:ind w:left="0" w:firstLine="0"/>
        <w:rPr>
          <w:snapToGrid w:val="0"/>
        </w:rPr>
      </w:pPr>
      <w:r>
        <w:rPr>
          <w:u w:val="single"/>
        </w:rPr>
        <w:t>Zahtevana oblika:</w:t>
      </w:r>
      <w:r>
        <w:rPr>
          <w:snapToGrid w:val="0"/>
        </w:rPr>
        <w:t xml:space="preserve"> +99…99.99, kjer 9 pomeni števko od 0 do 9.</w:t>
      </w:r>
    </w:p>
    <w:p w14:paraId="5BF5D37A" w14:textId="77777777" w:rsidR="00DB3F3D" w:rsidRDefault="000C0F2B">
      <w:pPr>
        <w:pStyle w:val="Heading3"/>
        <w:numPr>
          <w:ilvl w:val="4"/>
          <w:numId w:val="35"/>
        </w:numPr>
      </w:pPr>
      <w:bookmarkStart w:id="137" w:name="_Toc134086139"/>
      <w:r>
        <w:rPr>
          <w:b/>
        </w:rPr>
        <w:t>Stolpec (R1) – Popravljeni znesek v proračunskem letu n – Glavnica</w:t>
      </w:r>
      <w:bookmarkEnd w:id="137"/>
    </w:p>
    <w:p w14:paraId="00BEC6C4" w14:textId="77777777" w:rsidR="00DB3F3D" w:rsidRDefault="000C0F2B">
      <w:pPr>
        <w:pStyle w:val="Caption"/>
        <w:ind w:left="0" w:firstLine="0"/>
      </w:pPr>
      <w:bookmarkStart w:id="138" w:name="_Toc18335455"/>
      <w:bookmarkStart w:id="139" w:name="_Toc18336170"/>
      <w:r>
        <w:rPr>
          <w:b w:val="0"/>
        </w:rPr>
        <w:t>V tem stolpcu je naveden celotni znesek (glavnica + obresti) za „stare“ primere in le znesek glavnice za „nove“ primere.</w:t>
      </w:r>
      <w:bookmarkEnd w:id="138"/>
      <w:bookmarkEnd w:id="139"/>
    </w:p>
    <w:p w14:paraId="31DBFFB5" w14:textId="77777777" w:rsidR="00DB3F3D" w:rsidRDefault="000C0F2B">
      <w:pPr>
        <w:pStyle w:val="Text3"/>
        <w:ind w:left="0" w:firstLine="0"/>
      </w:pPr>
      <w:r>
        <w:t>Zato pri „starih“ primerih znesek, ki se navede v tem stolpcu, prikazuje vsoto zneskov, navedenih na ravni primerov v stolpcu (R) (opisano v točki 2.1.2.26.) preglednice iz Priloge II k Uredbi (EU) št. 908/2014.</w:t>
      </w:r>
    </w:p>
    <w:p w14:paraId="5FED8690" w14:textId="77777777" w:rsidR="00DB3F3D" w:rsidRDefault="000C0F2B">
      <w:pPr>
        <w:pStyle w:val="Text3"/>
        <w:ind w:left="0" w:firstLine="0"/>
      </w:pPr>
      <w:r>
        <w:t>Pri „novih“ primerih znesek v tem stolpcu prikazuje vsoto zneskov, navedenih na ravni primerov v stolpcu (R1) (opisano v točki 2.1.2.27.) preglednice iz Priloge II k Uredbi (EU) št. 908/2014.</w:t>
      </w:r>
    </w:p>
    <w:p w14:paraId="3650366A" w14:textId="77777777" w:rsidR="00DB3F3D" w:rsidRDefault="000C0F2B">
      <w:pPr>
        <w:pStyle w:val="Text3"/>
        <w:ind w:left="0" w:firstLine="0"/>
      </w:pPr>
      <w:r>
        <w:t>Znesek je lahko pozitiven ali negativen.</w:t>
      </w:r>
    </w:p>
    <w:p w14:paraId="3E445879" w14:textId="77777777" w:rsidR="00DB3F3D" w:rsidRDefault="000C0F2B">
      <w:pPr>
        <w:ind w:hanging="1202"/>
        <w:rPr>
          <w:snapToGrid w:val="0"/>
        </w:rPr>
      </w:pPr>
      <w:r>
        <w:rPr>
          <w:snapToGrid w:val="0"/>
          <w:u w:val="single"/>
        </w:rPr>
        <w:t>Zahtevana oblika</w:t>
      </w:r>
      <w:r>
        <w:rPr>
          <w:snapToGrid w:val="0"/>
        </w:rPr>
        <w:t>: +99…99.99 ali –99…99.99, kjer 9 pomeni števko od 0 do 9.</w:t>
      </w:r>
    </w:p>
    <w:p w14:paraId="5F02FD3C" w14:textId="77777777" w:rsidR="00DB3F3D" w:rsidRDefault="000C0F2B">
      <w:pPr>
        <w:pStyle w:val="Heading3"/>
        <w:numPr>
          <w:ilvl w:val="4"/>
          <w:numId w:val="35"/>
        </w:numPr>
      </w:pPr>
      <w:bookmarkStart w:id="140" w:name="_Toc134086140"/>
      <w:r>
        <w:rPr>
          <w:b/>
        </w:rPr>
        <w:t>Stolpec (R2) – Popravljeni znesek v proračunskem letu n – Obresti</w:t>
      </w:r>
      <w:bookmarkEnd w:id="140"/>
    </w:p>
    <w:p w14:paraId="10B9DA7D" w14:textId="77777777" w:rsidR="00DB3F3D" w:rsidRDefault="000C0F2B">
      <w:pPr>
        <w:pStyle w:val="Text3"/>
        <w:ind w:left="0" w:firstLine="0"/>
      </w:pPr>
      <w:r>
        <w:t>Ta stolpec se uporablja le za „nove“ primere.</w:t>
      </w:r>
    </w:p>
    <w:p w14:paraId="44FFB245" w14:textId="77777777" w:rsidR="00DB3F3D" w:rsidRDefault="000C0F2B">
      <w:pPr>
        <w:pStyle w:val="Text3"/>
        <w:ind w:left="0" w:firstLine="0"/>
      </w:pPr>
      <w:r>
        <w:t>Znesek v tem stolpcu prikazuje vsoto zneskov, navedenih na ravni primerov v stolpcu (R2) (opisano v točki 2.1.2.27.) preglednice iz Priloge II k Uredbi (EU) št. 908/2014.</w:t>
      </w:r>
    </w:p>
    <w:p w14:paraId="2066D823" w14:textId="77777777" w:rsidR="00DB3F3D" w:rsidRDefault="000C0F2B">
      <w:pPr>
        <w:pStyle w:val="Text3"/>
        <w:ind w:left="0" w:firstLine="0"/>
      </w:pPr>
      <w:r>
        <w:lastRenderedPageBreak/>
        <w:t>Znesek je lahko pozitiven ali negativen.</w:t>
      </w:r>
    </w:p>
    <w:p w14:paraId="247E6CBD" w14:textId="77777777" w:rsidR="00DB3F3D" w:rsidRDefault="000C0F2B">
      <w:pPr>
        <w:ind w:left="0" w:firstLine="0"/>
        <w:rPr>
          <w:snapToGrid w:val="0"/>
        </w:rPr>
      </w:pPr>
      <w:r>
        <w:rPr>
          <w:snapToGrid w:val="0"/>
          <w:u w:val="single"/>
        </w:rPr>
        <w:t>Zahtevana oblika</w:t>
      </w:r>
      <w:r>
        <w:rPr>
          <w:snapToGrid w:val="0"/>
        </w:rPr>
        <w:t>: +99…99,99 ali –99…99.99, kjer 9 pomeni števko od 0 do 9.</w:t>
      </w:r>
    </w:p>
    <w:p w14:paraId="211E6714" w14:textId="77777777" w:rsidR="00DB3F3D" w:rsidRDefault="000C0F2B">
      <w:pPr>
        <w:pStyle w:val="Heading3"/>
        <w:numPr>
          <w:ilvl w:val="4"/>
          <w:numId w:val="35"/>
        </w:numPr>
        <w:rPr>
          <w:b/>
        </w:rPr>
      </w:pPr>
      <w:bookmarkStart w:id="141" w:name="_Toc134086141"/>
      <w:r>
        <w:rPr>
          <w:b/>
        </w:rPr>
        <w:t>Stolpec (Z) – Obresti v proračunskem letu n</w:t>
      </w:r>
      <w:bookmarkEnd w:id="141"/>
    </w:p>
    <w:p w14:paraId="26652AA2" w14:textId="77777777" w:rsidR="00DB3F3D" w:rsidRDefault="000C0F2B">
      <w:pPr>
        <w:pStyle w:val="Text3"/>
        <w:ind w:left="0" w:firstLine="0"/>
      </w:pPr>
      <w:r>
        <w:t>Ta stolpec se uporablja le za „nove primere“ in prikazuje vsoto zneskov, navedenih na ravni primerov v stolpcu (Z) (opisano v točki 2.1.2.28.) preglednice iz Priloge II k Uredbi (EU) št. 908/2014.</w:t>
      </w:r>
    </w:p>
    <w:p w14:paraId="12213D74" w14:textId="77777777" w:rsidR="00DB3F3D" w:rsidRDefault="000C0F2B">
      <w:pPr>
        <w:pStyle w:val="Text3"/>
        <w:ind w:left="0" w:firstLine="0"/>
      </w:pPr>
      <w:r>
        <w:t>Znesek v tem stolpcu se navede s pozitivnim predznakom.</w:t>
      </w:r>
    </w:p>
    <w:p w14:paraId="203F5240" w14:textId="77777777" w:rsidR="00DB3F3D" w:rsidRDefault="000C0F2B">
      <w:pPr>
        <w:pStyle w:val="Text3"/>
        <w:ind w:left="0" w:firstLine="0"/>
        <w:rPr>
          <w:snapToGrid w:val="0"/>
        </w:rPr>
      </w:pPr>
      <w:r>
        <w:rPr>
          <w:u w:val="single"/>
        </w:rPr>
        <w:t>Zahtevana oblika:</w:t>
      </w:r>
      <w:r>
        <w:rPr>
          <w:snapToGrid w:val="0"/>
        </w:rPr>
        <w:t xml:space="preserve"> +99…99.99, kjer 9 pomeni števko od 0 do 9.</w:t>
      </w:r>
    </w:p>
    <w:p w14:paraId="38432330" w14:textId="77777777" w:rsidR="00DB3F3D" w:rsidRDefault="000C0F2B">
      <w:pPr>
        <w:pStyle w:val="Heading3"/>
        <w:numPr>
          <w:ilvl w:val="4"/>
          <w:numId w:val="35"/>
        </w:numPr>
        <w:rPr>
          <w:b/>
        </w:rPr>
      </w:pPr>
      <w:bookmarkStart w:id="142" w:name="_Toc134086142"/>
      <w:r>
        <w:rPr>
          <w:b/>
        </w:rPr>
        <w:t>Stolpec (S1) – Izterjani znesek v proračunskem letu n – Glavnica</w:t>
      </w:r>
      <w:bookmarkEnd w:id="142"/>
    </w:p>
    <w:p w14:paraId="02A9BC49" w14:textId="77777777" w:rsidR="00DB3F3D" w:rsidRDefault="000C0F2B">
      <w:pPr>
        <w:pStyle w:val="Text3"/>
        <w:ind w:left="0" w:firstLine="0"/>
      </w:pPr>
      <w:r>
        <w:t>Ta stolpec se uporablja za „stare“ in „nove“ primere. Pri „novih“ primerih je treba navesti le znesek glavnice, ki se izterja.</w:t>
      </w:r>
    </w:p>
    <w:p w14:paraId="44A8F9D0" w14:textId="77777777" w:rsidR="00DB3F3D" w:rsidRDefault="000C0F2B">
      <w:pPr>
        <w:pStyle w:val="Text3"/>
        <w:ind w:left="0" w:firstLine="0"/>
      </w:pPr>
      <w:r>
        <w:t>Zato pri „starih“ primerih znesek, ki se navede v tem stolpcu, prikazuje vsoto zneskov, navedenih na ravni primerov v stolpcu (S) (opisano v točki 2.1.2.29.) preglednice iz Priloge II k Uredbi (EU) št. 908/2014.</w:t>
      </w:r>
    </w:p>
    <w:p w14:paraId="21846A5F" w14:textId="77777777" w:rsidR="00DB3F3D" w:rsidRDefault="000C0F2B">
      <w:pPr>
        <w:pStyle w:val="Text3"/>
        <w:ind w:left="0" w:firstLine="0"/>
      </w:pPr>
      <w:r>
        <w:t>Pri „novih“ primerih znesek, ki se navede v tem stolpcu, prikazuje vsoto zneskov, navedenih na ravni primerov v stolpcu (S1) (opisano v točki 2.1.2.30.) preglednice iz Priloge II k Uredbi (EU) št. 908/2014.</w:t>
      </w:r>
    </w:p>
    <w:p w14:paraId="6FF185C4" w14:textId="77777777" w:rsidR="00DB3F3D" w:rsidRDefault="000C0F2B">
      <w:pPr>
        <w:pStyle w:val="Text3"/>
        <w:ind w:left="0" w:firstLine="0"/>
      </w:pPr>
      <w:r>
        <w:t>Znesek v tem stolpcu se navede z negativnim predznakom.</w:t>
      </w:r>
    </w:p>
    <w:p w14:paraId="1FA5A671" w14:textId="77777777" w:rsidR="00DB3F3D" w:rsidRDefault="000C0F2B">
      <w:pPr>
        <w:pStyle w:val="Text3"/>
        <w:ind w:left="0" w:firstLine="0"/>
        <w:rPr>
          <w:snapToGrid w:val="0"/>
        </w:rPr>
      </w:pPr>
      <w:r>
        <w:rPr>
          <w:u w:val="single"/>
        </w:rPr>
        <w:t>Zahtevana oblika:</w:t>
      </w:r>
      <w:r>
        <w:rPr>
          <w:snapToGrid w:val="0"/>
        </w:rPr>
        <w:t xml:space="preserve"> –99…99.99, kjer 9 pomeni števko od 0 do 9.</w:t>
      </w:r>
    </w:p>
    <w:p w14:paraId="30EF08CE" w14:textId="77777777" w:rsidR="00DB3F3D" w:rsidRDefault="000C0F2B">
      <w:pPr>
        <w:pStyle w:val="Heading3"/>
        <w:numPr>
          <w:ilvl w:val="4"/>
          <w:numId w:val="35"/>
        </w:numPr>
        <w:rPr>
          <w:b/>
        </w:rPr>
      </w:pPr>
      <w:bookmarkStart w:id="143" w:name="_Toc134086143"/>
      <w:r>
        <w:rPr>
          <w:b/>
        </w:rPr>
        <w:t>Stolpec (S2)</w:t>
      </w:r>
      <w:r>
        <w:t xml:space="preserve"> – </w:t>
      </w:r>
      <w:r>
        <w:rPr>
          <w:b/>
        </w:rPr>
        <w:t>Izterjani znesek v proračunskem letu n – Obresti</w:t>
      </w:r>
      <w:bookmarkEnd w:id="143"/>
    </w:p>
    <w:p w14:paraId="5D3192D0" w14:textId="77777777" w:rsidR="00DB3F3D" w:rsidRDefault="000C0F2B">
      <w:pPr>
        <w:pStyle w:val="Text3"/>
        <w:ind w:left="0" w:firstLine="0"/>
      </w:pPr>
      <w:r>
        <w:t>Ta stolpec se uporablja za „nove“ primere. Tu se navede skupni znesek izterjav, ki se nanašajo na obresti na prvotni znesek.</w:t>
      </w:r>
    </w:p>
    <w:p w14:paraId="51DA1672" w14:textId="77777777" w:rsidR="00DB3F3D" w:rsidRDefault="000C0F2B">
      <w:pPr>
        <w:pStyle w:val="Text3"/>
        <w:ind w:left="0" w:firstLine="0"/>
      </w:pPr>
      <w:r>
        <w:t>Znesek v tem stolpcu prikazuje vsoto zneskov, navedenih na ravni primerov v stolpcu (S2) (opisano v točki 2.1.2.30.) preglednice iz Priloge II k Uredbi (EU) št. 908/2014.</w:t>
      </w:r>
    </w:p>
    <w:p w14:paraId="369BE7EF" w14:textId="77777777" w:rsidR="00DB3F3D" w:rsidRDefault="000C0F2B">
      <w:pPr>
        <w:pStyle w:val="Text3"/>
        <w:ind w:left="0" w:firstLine="0"/>
      </w:pPr>
      <w:r>
        <w:t>Izterjani znesek se navede z negativnim predznakom.</w:t>
      </w:r>
    </w:p>
    <w:p w14:paraId="161D9178" w14:textId="77777777" w:rsidR="00DB3F3D" w:rsidRDefault="000C0F2B">
      <w:pPr>
        <w:pStyle w:val="Text3"/>
        <w:ind w:left="0" w:firstLine="0"/>
        <w:rPr>
          <w:snapToGrid w:val="0"/>
        </w:rPr>
      </w:pPr>
      <w:r>
        <w:rPr>
          <w:u w:val="single"/>
        </w:rPr>
        <w:t>Zahtevana oblika:</w:t>
      </w:r>
      <w:r>
        <w:rPr>
          <w:snapToGrid w:val="0"/>
        </w:rPr>
        <w:t xml:space="preserve"> –99…99.99, kjer 9 pomeni števko od 0 do 9.</w:t>
      </w:r>
    </w:p>
    <w:p w14:paraId="076273AD" w14:textId="77777777" w:rsidR="00DB3F3D" w:rsidRDefault="000C0F2B">
      <w:pPr>
        <w:pStyle w:val="Heading3"/>
        <w:numPr>
          <w:ilvl w:val="4"/>
          <w:numId w:val="35"/>
        </w:numPr>
        <w:rPr>
          <w:b/>
        </w:rPr>
      </w:pPr>
      <w:bookmarkStart w:id="144" w:name="_Toc134086144"/>
      <w:r>
        <w:rPr>
          <w:b/>
        </w:rPr>
        <w:t>Stolpec (O1) – Znesek, prijavljen kot neizterljiv v proračunskem letu n – Glavnica</w:t>
      </w:r>
      <w:bookmarkEnd w:id="144"/>
    </w:p>
    <w:p w14:paraId="66FC6779" w14:textId="77777777" w:rsidR="00DB3F3D" w:rsidRDefault="000C0F2B">
      <w:pPr>
        <w:pStyle w:val="Text3"/>
        <w:ind w:left="0" w:firstLine="0"/>
      </w:pPr>
      <w:r>
        <w:t>Ta stolpec se uporablja za „stare“ in „nove“ primere. Pri „novih“ primerih je treba navesti le znesek glavnice.</w:t>
      </w:r>
    </w:p>
    <w:p w14:paraId="7C1A6C90" w14:textId="77777777" w:rsidR="00DB3F3D" w:rsidRDefault="000C0F2B">
      <w:pPr>
        <w:pStyle w:val="Text3"/>
        <w:ind w:left="0" w:firstLine="0"/>
      </w:pPr>
      <w:r>
        <w:t>Zato pri „starih“ primerih znesek prikazuje vsoto zneskov, navedenih na ravni primerov v stolpcu (O) (opisano v točki 2.1.2.22.) preglednice iz Priloge II k Uredbi (EU) št. 908/2014.</w:t>
      </w:r>
    </w:p>
    <w:p w14:paraId="1CC3C7D3" w14:textId="77777777" w:rsidR="00DB3F3D" w:rsidRDefault="000C0F2B">
      <w:pPr>
        <w:pStyle w:val="Text3"/>
        <w:ind w:left="0" w:firstLine="0"/>
      </w:pPr>
      <w:r>
        <w:lastRenderedPageBreak/>
        <w:t>Pri „novih“ primerih znesek prikazuje vsoto zneskov, navedenih na ravni primerov v stolpcu (O1) (opisano v točki 2.1.2.23.) preglednice iz Priloge II k Uredbi (EU) št. 908/2014.</w:t>
      </w:r>
    </w:p>
    <w:p w14:paraId="1DD5B8B4" w14:textId="77777777" w:rsidR="00DB3F3D" w:rsidRDefault="000C0F2B">
      <w:pPr>
        <w:pStyle w:val="Text3"/>
        <w:ind w:left="0" w:firstLine="0"/>
      </w:pPr>
      <w:r>
        <w:t>Neizterljivi znesek se navede z negativnim predznakom.</w:t>
      </w:r>
    </w:p>
    <w:p w14:paraId="2B1B9D12" w14:textId="77777777" w:rsidR="00DB3F3D" w:rsidRDefault="000C0F2B">
      <w:pPr>
        <w:pStyle w:val="Text3"/>
        <w:ind w:left="0" w:firstLine="0"/>
        <w:rPr>
          <w:snapToGrid w:val="0"/>
        </w:rPr>
      </w:pPr>
      <w:r>
        <w:rPr>
          <w:u w:val="single"/>
        </w:rPr>
        <w:t>Zahtevana oblika:</w:t>
      </w:r>
      <w:r>
        <w:rPr>
          <w:snapToGrid w:val="0"/>
        </w:rPr>
        <w:t xml:space="preserve"> –99…99.99, kjer 9 pomeni števko od 0 do 9.</w:t>
      </w:r>
    </w:p>
    <w:p w14:paraId="5D65808C" w14:textId="77777777" w:rsidR="00DB3F3D" w:rsidRDefault="000C0F2B">
      <w:pPr>
        <w:pStyle w:val="Heading3"/>
        <w:numPr>
          <w:ilvl w:val="4"/>
          <w:numId w:val="35"/>
        </w:numPr>
        <w:rPr>
          <w:b/>
        </w:rPr>
      </w:pPr>
      <w:bookmarkStart w:id="145" w:name="_Toc134086145"/>
      <w:r>
        <w:rPr>
          <w:b/>
        </w:rPr>
        <w:t>Stolpec (O2) – Znesek, prijavljen kot neizterljiv v proračunskem letu n – Obresti</w:t>
      </w:r>
      <w:bookmarkEnd w:id="145"/>
    </w:p>
    <w:p w14:paraId="1A015FDE" w14:textId="77777777" w:rsidR="00DB3F3D" w:rsidRDefault="000C0F2B">
      <w:pPr>
        <w:pStyle w:val="Text3"/>
        <w:ind w:left="0" w:firstLine="0"/>
      </w:pPr>
      <w:r>
        <w:t>Ta stolpec se uporablja za „nove“ primere. Tu se navede skupni znesek, prijavljen kot neizterljiv, ki se nanaša na obresti.</w:t>
      </w:r>
    </w:p>
    <w:p w14:paraId="41C7756E" w14:textId="77777777" w:rsidR="00DB3F3D" w:rsidRDefault="000C0F2B">
      <w:pPr>
        <w:pStyle w:val="Text3"/>
        <w:ind w:left="0" w:firstLine="0"/>
      </w:pPr>
      <w:r>
        <w:t>Znesek v tem stolpcu prikazuje vsoto zneskov, navedenih na ravni primerov v stolpcu (O2) (opisano v točki 2.1.2.23.) preglednice iz Priloge II k Uredbi (EU) št. 908/2014.</w:t>
      </w:r>
    </w:p>
    <w:p w14:paraId="1BF0D621" w14:textId="77777777" w:rsidR="00DB3F3D" w:rsidRDefault="000C0F2B">
      <w:pPr>
        <w:pStyle w:val="Text3"/>
        <w:ind w:left="0" w:firstLine="0"/>
      </w:pPr>
      <w:r>
        <w:t>Neizterljivi znesek se navede z negativnim predznakom.</w:t>
      </w:r>
    </w:p>
    <w:p w14:paraId="01536950" w14:textId="77777777" w:rsidR="00DB3F3D" w:rsidRDefault="000C0F2B">
      <w:pPr>
        <w:pStyle w:val="Text3"/>
        <w:ind w:left="0" w:firstLine="0"/>
        <w:rPr>
          <w:snapToGrid w:val="0"/>
        </w:rPr>
      </w:pPr>
      <w:r>
        <w:rPr>
          <w:u w:val="single"/>
        </w:rPr>
        <w:t>Zahtevana oblika:</w:t>
      </w:r>
      <w:r>
        <w:rPr>
          <w:snapToGrid w:val="0"/>
        </w:rPr>
        <w:t xml:space="preserve"> –99…99.99, kjer 9 pomeni števko od 0 do 9.</w:t>
      </w:r>
    </w:p>
    <w:p w14:paraId="77FBD3D0" w14:textId="77777777" w:rsidR="00DB3F3D" w:rsidRDefault="000C0F2B">
      <w:pPr>
        <w:pStyle w:val="Heading3"/>
        <w:numPr>
          <w:ilvl w:val="4"/>
          <w:numId w:val="35"/>
        </w:numPr>
        <w:rPr>
          <w:b/>
        </w:rPr>
      </w:pPr>
      <w:bookmarkStart w:id="146" w:name="_Toc134086146"/>
      <w:r>
        <w:rPr>
          <w:b/>
        </w:rPr>
        <w:t>Stolpec (T1) – Znesek, za katerega je izterjava v teku (stanje na dan 15. 10. n) – Glavnica</w:t>
      </w:r>
      <w:bookmarkEnd w:id="146"/>
    </w:p>
    <w:p w14:paraId="12F9C3C9" w14:textId="77777777" w:rsidR="00DB3F3D" w:rsidRDefault="000C0F2B">
      <w:pPr>
        <w:pStyle w:val="Text3"/>
        <w:ind w:left="0" w:firstLine="0"/>
      </w:pPr>
      <w:r>
        <w:t>Ta stolpec se uporablja za „stare“ in „nove“ primere. Pri „novih“ primerih je treba navesti le znesek glavnice. Ta znesek pomeni (glavnico) dolg na datum zaključka, ki ga mora država članica še izterjati od upravičenca.</w:t>
      </w:r>
    </w:p>
    <w:p w14:paraId="12D8A05B" w14:textId="77777777" w:rsidR="00DB3F3D" w:rsidRDefault="000C0F2B">
      <w:pPr>
        <w:pStyle w:val="Text3"/>
        <w:ind w:left="0" w:firstLine="0"/>
      </w:pPr>
      <w:r>
        <w:t>Zato pri „starih“ primerih znesek, ki se navede v tem stolpcu, prikazuje vsoto zneskov nepravilnih primerov, ki jih je še treba izterjati, in je enak:</w:t>
      </w:r>
    </w:p>
    <w:p w14:paraId="1B8C8E97" w14:textId="77777777" w:rsidR="00DB3F3D" w:rsidRDefault="000C0F2B">
      <w:pPr>
        <w:pStyle w:val="Text3"/>
        <w:ind w:left="0" w:firstLine="0"/>
      </w:pPr>
      <w:r>
        <w:tab/>
        <w:t>(T1)</w:t>
      </w:r>
      <w:r>
        <w:rPr>
          <w:rStyle w:val="FootnoteReference"/>
        </w:rPr>
        <w:footnoteReference w:id="23"/>
      </w:r>
      <w:r>
        <w:t xml:space="preserve"> = (Bal_P) + (R1) + (S1) + (O1).</w:t>
      </w:r>
    </w:p>
    <w:p w14:paraId="7A46EDED" w14:textId="77777777" w:rsidR="00DB3F3D" w:rsidRDefault="000C0F2B">
      <w:pPr>
        <w:pStyle w:val="Text3"/>
        <w:ind w:left="0" w:firstLine="0"/>
      </w:pPr>
      <w:r>
        <w:t>Pri „novih“ primerih znesek, naveden v tem stolpcu, prikazuje vsoto zneskov primerov nepravilnosti, ki jih je še treba izterjati na ravni primerov v stolpcu (T1) (opisano v točki 2.1.2.32.) preglednice iz Priloge II k Uredbi (EU) št. 908/2014. Ta stolpec je enak:</w:t>
      </w:r>
    </w:p>
    <w:p w14:paraId="0E228A59" w14:textId="77777777" w:rsidR="00DB3F3D" w:rsidRDefault="000C0F2B">
      <w:pPr>
        <w:pStyle w:val="Text3"/>
        <w:ind w:left="0" w:firstLine="0"/>
      </w:pPr>
      <w:r>
        <w:tab/>
        <w:t>(T1)</w:t>
      </w:r>
      <w:r>
        <w:rPr>
          <w:rStyle w:val="FootnoteReference"/>
        </w:rPr>
        <w:footnoteReference w:id="24"/>
      </w:r>
      <w:r>
        <w:t xml:space="preserve"> = (Bal_P) + (NewC_P) + (R1) + (S1) + (O1).</w:t>
      </w:r>
    </w:p>
    <w:p w14:paraId="5E222583" w14:textId="77777777" w:rsidR="00DB3F3D" w:rsidRDefault="000C0F2B">
      <w:pPr>
        <w:pStyle w:val="Text3"/>
        <w:ind w:left="0" w:firstLine="0"/>
      </w:pPr>
      <w:r>
        <w:rPr>
          <w:u w:val="single"/>
        </w:rPr>
        <w:t>Zahtevana oblika:</w:t>
      </w:r>
      <w:r>
        <w:t xml:space="preserve"> +99…99.99, kjer 9 pomeni števko od 0 do 9.</w:t>
      </w:r>
    </w:p>
    <w:p w14:paraId="5F0600BC" w14:textId="77777777" w:rsidR="00DB3F3D" w:rsidRDefault="000C0F2B">
      <w:pPr>
        <w:pStyle w:val="Heading3"/>
        <w:numPr>
          <w:ilvl w:val="4"/>
          <w:numId w:val="35"/>
        </w:numPr>
        <w:rPr>
          <w:b/>
        </w:rPr>
      </w:pPr>
      <w:bookmarkStart w:id="147" w:name="_Toc134086147"/>
      <w:r>
        <w:rPr>
          <w:b/>
        </w:rPr>
        <w:t>Stolpec (T2) – Znesek, za katerega je izterjava v teku (stanje na dan 15. 10. n) – Obresti</w:t>
      </w:r>
      <w:bookmarkEnd w:id="147"/>
    </w:p>
    <w:p w14:paraId="04570697" w14:textId="77777777" w:rsidR="00DB3F3D" w:rsidRDefault="000C0F2B">
      <w:pPr>
        <w:pStyle w:val="Caption"/>
        <w:ind w:left="0" w:firstLine="0"/>
        <w:rPr>
          <w:b w:val="0"/>
        </w:rPr>
      </w:pPr>
      <w:bookmarkStart w:id="148" w:name="_Toc18336179"/>
      <w:bookmarkStart w:id="149" w:name="_Toc18482611"/>
      <w:r>
        <w:rPr>
          <w:b w:val="0"/>
        </w:rPr>
        <w:t>Ta stolpec se uporablja za „nove“ primere. Ta znesek pomeni del dolga, ki se nanaša na obresti na datuma zaključka, ki ga mora država članica še izterjati od upravičenca.</w:t>
      </w:r>
      <w:bookmarkEnd w:id="148"/>
      <w:bookmarkEnd w:id="149"/>
    </w:p>
    <w:p w14:paraId="19A47D9D" w14:textId="77777777" w:rsidR="00DB3F3D" w:rsidRDefault="000C0F2B">
      <w:pPr>
        <w:pStyle w:val="Text3"/>
        <w:ind w:left="0" w:firstLine="0"/>
      </w:pPr>
      <w:r>
        <w:t>Znesek, ki se navede v tem stolpcu, prikazuje zneske, navedene na ravni primerov v stolpcu (T2) (opisano v točki 2.1.2.32.) preglednice iz Priloge II k Uredbi (EU) št. 908/2014. Ta stolpec je enak:</w:t>
      </w:r>
    </w:p>
    <w:p w14:paraId="5673B0B2" w14:textId="77777777" w:rsidR="00DB3F3D" w:rsidRDefault="000C0F2B">
      <w:pPr>
        <w:pStyle w:val="Text3"/>
        <w:ind w:left="0" w:firstLine="0"/>
      </w:pPr>
      <w:r>
        <w:lastRenderedPageBreak/>
        <w:tab/>
        <w:t>(T2) = (Bal_I) + (NewC_I) + (R2) + (Z)+ (S2) + (O2).</w:t>
      </w:r>
    </w:p>
    <w:p w14:paraId="2F4E9380" w14:textId="77777777" w:rsidR="00DB3F3D" w:rsidRDefault="000C0F2B">
      <w:pPr>
        <w:pStyle w:val="Text3"/>
        <w:ind w:left="0" w:firstLine="0"/>
      </w:pPr>
      <w:r>
        <w:rPr>
          <w:u w:val="single"/>
        </w:rPr>
        <w:t>Zahtevana oblika:</w:t>
      </w:r>
      <w:r>
        <w:t xml:space="preserve"> +99…99.99, kjer 9 pomeni števko od 0 do 9.</w:t>
      </w:r>
    </w:p>
    <w:p w14:paraId="747D727C" w14:textId="77777777" w:rsidR="00DB3F3D" w:rsidRDefault="000C0F2B">
      <w:pPr>
        <w:pStyle w:val="Heading2"/>
        <w:numPr>
          <w:ilvl w:val="3"/>
          <w:numId w:val="35"/>
        </w:numPr>
      </w:pPr>
      <w:bookmarkStart w:id="150" w:name="_Toc18335316"/>
      <w:bookmarkStart w:id="151" w:name="_Toc18335465"/>
      <w:bookmarkStart w:id="152" w:name="_Toc18336180"/>
      <w:bookmarkEnd w:id="150"/>
      <w:bookmarkEnd w:id="151"/>
      <w:bookmarkEnd w:id="152"/>
      <w:r>
        <w:t xml:space="preserve"> </w:t>
      </w:r>
      <w:bookmarkStart w:id="153" w:name="_Toc134086148"/>
      <w:r>
        <w:t>Primer</w:t>
      </w:r>
      <w:bookmarkEnd w:id="153"/>
    </w:p>
    <w:p w14:paraId="0B9DE8D9" w14:textId="77777777" w:rsidR="00DB3F3D" w:rsidRDefault="000C0F2B">
      <w:pPr>
        <w:pStyle w:val="Text3"/>
        <w:ind w:left="0" w:firstLine="0"/>
      </w:pPr>
      <w:r>
        <w:t>Priloga 1 k tej smernici prikazuje razmerje med prejšnjo preglednico s povzetkom iz Priloge II in novim formatom datoteke .csv.</w:t>
      </w:r>
    </w:p>
    <w:p w14:paraId="43FA9297" w14:textId="77777777" w:rsidR="00DB3F3D" w:rsidRDefault="000C0F2B">
      <w:pPr>
        <w:pStyle w:val="Heading2"/>
        <w:numPr>
          <w:ilvl w:val="3"/>
          <w:numId w:val="35"/>
        </w:numPr>
      </w:pPr>
      <w:r>
        <w:t xml:space="preserve"> </w:t>
      </w:r>
      <w:bookmarkStart w:id="154" w:name="_Toc134086149"/>
      <w:r>
        <w:t>Prenos</w:t>
      </w:r>
      <w:bookmarkEnd w:id="154"/>
    </w:p>
    <w:p w14:paraId="7ED688D0" w14:textId="77777777" w:rsidR="00DB3F3D" w:rsidRDefault="000C0F2B">
      <w:pPr>
        <w:ind w:left="0" w:firstLine="0"/>
      </w:pPr>
      <w:r>
        <w:t>Države članice morajo računalniške datoteke Komisiji poslati do 15. februarja po proračunskem letu n po sistemu SFC2014, oddelek „ANNUAL ACCOUNTS – ART 30(1)(A) REG(EU) NO908/2014“, „Debtor Ledger“ (Letni obračuni – člen 30(1)(a) Uredbe (EU) št. 908/2014, Knjiga terjatev), vrsta dokumenta „Annex II – total“ (Priloga II – skupaj).</w:t>
      </w:r>
    </w:p>
    <w:p w14:paraId="074B8B3A" w14:textId="77777777" w:rsidR="00DB3F3D" w:rsidRDefault="000C0F2B">
      <w:pPr>
        <w:pStyle w:val="Heading2"/>
        <w:numPr>
          <w:ilvl w:val="2"/>
          <w:numId w:val="35"/>
        </w:numPr>
      </w:pPr>
      <w:bookmarkStart w:id="155" w:name="_Toc134086150"/>
      <w:r>
        <w:t>Potrditev preglednice („50/50“) iz člena 54(2)/člena 54(3)</w:t>
      </w:r>
      <w:bookmarkEnd w:id="155"/>
    </w:p>
    <w:p w14:paraId="7828E6B1" w14:textId="77777777" w:rsidR="00DB3F3D" w:rsidRDefault="000C0F2B">
      <w:pPr>
        <w:ind w:left="0" w:firstLine="0"/>
        <w:rPr>
          <w:highlight w:val="yellow"/>
        </w:rPr>
      </w:pPr>
      <w:r>
        <w:t>Certifikacijski organi morajo potrditi zneske, navedene v točki 2.1.4. Poleg tega morajo od proračunskega leta 2021 naprej v revizijskem poročilu preveriti in potrditi skupen znesek dolgov, za katere je odločitev, da se ne bodo izterjevali, v Prilogi II razvrščena kot „razlogi, ki ne spadajo med tiste iz člena 54(3)(a) ali 54(3)(b) Uredbe (EU) št. 1306/2013“, tj. (Q = 3)</w:t>
      </w:r>
      <w:r>
        <w:rPr>
          <w:rStyle w:val="FootnoteReference"/>
        </w:rPr>
        <w:footnoteReference w:id="25"/>
      </w:r>
      <w:r>
        <w:t>. Države članice morajo od proračunskega leta 2019 naprej navedene vsote predložiti v strukturirani računalniški datoteki v skladu z značilnostmi, določenimi v točki 2.1.3.5. Ta oblika omogoča avtomatizirano obdelavo.</w:t>
      </w:r>
    </w:p>
    <w:p w14:paraId="5426FE19" w14:textId="77777777" w:rsidR="00DB3F3D" w:rsidRDefault="000C0F2B">
      <w:pPr>
        <w:pStyle w:val="Heading2"/>
        <w:numPr>
          <w:ilvl w:val="3"/>
          <w:numId w:val="35"/>
        </w:numPr>
        <w:spacing w:before="240"/>
      </w:pPr>
      <w:r>
        <w:t xml:space="preserve"> </w:t>
      </w:r>
      <w:bookmarkStart w:id="156" w:name="_Toc134086151"/>
      <w:r>
        <w:t>Vsebina stolpcev</w:t>
      </w:r>
      <w:bookmarkEnd w:id="156"/>
    </w:p>
    <w:p w14:paraId="76EEF133" w14:textId="77777777" w:rsidR="00DB3F3D" w:rsidRDefault="000C0F2B">
      <w:pPr>
        <w:pStyle w:val="Heading3"/>
        <w:numPr>
          <w:ilvl w:val="4"/>
          <w:numId w:val="35"/>
        </w:numPr>
        <w:rPr>
          <w:b/>
        </w:rPr>
      </w:pPr>
      <w:r>
        <w:rPr>
          <w:b/>
        </w:rPr>
        <w:t xml:space="preserve"> </w:t>
      </w:r>
      <w:bookmarkStart w:id="157" w:name="_Toc134086152"/>
      <w:r>
        <w:rPr>
          <w:b/>
        </w:rPr>
        <w:t>Stolpec (A) – Plačilna agencija</w:t>
      </w:r>
      <w:bookmarkEnd w:id="157"/>
    </w:p>
    <w:p w14:paraId="47A835DA" w14:textId="77777777" w:rsidR="00DB3F3D" w:rsidRDefault="000C0F2B">
      <w:pPr>
        <w:pStyle w:val="Text3"/>
        <w:ind w:left="0" w:firstLine="0"/>
      </w:pPr>
      <w:r>
        <w:t xml:space="preserve">Koda plačilne agencije, ki je odgovorna za izterjavo nepravilno izplačanega zneska. </w:t>
      </w:r>
    </w:p>
    <w:p w14:paraId="1B26BDA5" w14:textId="77777777" w:rsidR="00DB3F3D" w:rsidRDefault="000C0F2B">
      <w:pPr>
        <w:ind w:left="0" w:firstLine="0"/>
        <w:rPr>
          <w:snapToGrid w:val="0"/>
        </w:rPr>
      </w:pPr>
      <w:r>
        <w:rPr>
          <w:snapToGrid w:val="0"/>
          <w:u w:val="single"/>
        </w:rPr>
        <w:t>Zahtevana oblika</w:t>
      </w:r>
      <w:r>
        <w:rPr>
          <w:snapToGrid w:val="0"/>
        </w:rPr>
        <w:t>:</w:t>
      </w:r>
      <w:r>
        <w:t xml:space="preserve"> DČ99, pri čemer DČ pomeni dvočrkovno kodo države članice po ISO, 9 pa pomeni števko od 0 do 9.</w:t>
      </w:r>
    </w:p>
    <w:p w14:paraId="3846276D" w14:textId="77777777" w:rsidR="00DB3F3D" w:rsidRDefault="000C0F2B">
      <w:pPr>
        <w:pStyle w:val="Heading3"/>
        <w:numPr>
          <w:ilvl w:val="4"/>
          <w:numId w:val="35"/>
        </w:numPr>
        <w:rPr>
          <w:b/>
        </w:rPr>
      </w:pPr>
      <w:bookmarkStart w:id="158" w:name="_Toc134086153"/>
      <w:r>
        <w:rPr>
          <w:b/>
        </w:rPr>
        <w:t>Stolpec (B) – Sklad</w:t>
      </w:r>
      <w:bookmarkEnd w:id="158"/>
    </w:p>
    <w:p w14:paraId="76635B2F" w14:textId="77777777" w:rsidR="00DB3F3D" w:rsidRDefault="000C0F2B">
      <w:pPr>
        <w:pStyle w:val="Text3"/>
        <w:ind w:left="0" w:firstLine="0"/>
      </w:pPr>
      <w:r>
        <w:t xml:space="preserve">Sklad, iz katerega je bil nepravilno izplačan znesek. </w:t>
      </w:r>
    </w:p>
    <w:p w14:paraId="5CAE0B11" w14:textId="77777777" w:rsidR="00DB3F3D" w:rsidRDefault="000C0F2B">
      <w:pPr>
        <w:pStyle w:val="Text3"/>
        <w:ind w:left="0" w:firstLine="0"/>
        <w:rPr>
          <w:u w:val="single"/>
        </w:rPr>
      </w:pPr>
      <w:r>
        <w:rPr>
          <w:u w:val="single"/>
        </w:rPr>
        <w:t>Zahtevana oblika:</w:t>
      </w:r>
      <w:r>
        <w:t xml:space="preserve"> označi se z enoznakovno kodo v skladu z naslednjim seznamom: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51"/>
      </w:tblGrid>
      <w:tr w:rsidR="00DB3F3D" w14:paraId="091C9DD4" w14:textId="77777777">
        <w:tc>
          <w:tcPr>
            <w:tcW w:w="1275" w:type="dxa"/>
          </w:tcPr>
          <w:p w14:paraId="1BEB61B8" w14:textId="77777777" w:rsidR="00DB3F3D" w:rsidRDefault="000C0F2B">
            <w:pPr>
              <w:pStyle w:val="Text2"/>
              <w:spacing w:after="0"/>
              <w:ind w:left="0" w:firstLine="0"/>
              <w:jc w:val="center"/>
              <w:rPr>
                <w:snapToGrid w:val="0"/>
              </w:rPr>
            </w:pPr>
            <w:r>
              <w:rPr>
                <w:snapToGrid w:val="0"/>
              </w:rPr>
              <w:t>Koda</w:t>
            </w:r>
          </w:p>
        </w:tc>
        <w:tc>
          <w:tcPr>
            <w:tcW w:w="7451" w:type="dxa"/>
          </w:tcPr>
          <w:p w14:paraId="3010A1D1" w14:textId="77777777" w:rsidR="00DB3F3D" w:rsidRDefault="000C0F2B">
            <w:pPr>
              <w:pStyle w:val="Text2"/>
              <w:spacing w:after="0"/>
              <w:ind w:left="0" w:firstLine="0"/>
              <w:jc w:val="left"/>
              <w:rPr>
                <w:snapToGrid w:val="0"/>
              </w:rPr>
            </w:pPr>
            <w:r>
              <w:rPr>
                <w:snapToGrid w:val="0"/>
              </w:rPr>
              <w:t>Pomen</w:t>
            </w:r>
          </w:p>
        </w:tc>
      </w:tr>
      <w:tr w:rsidR="00DB3F3D" w14:paraId="4F9BE9D3" w14:textId="77777777">
        <w:tc>
          <w:tcPr>
            <w:tcW w:w="1275" w:type="dxa"/>
            <w:vAlign w:val="center"/>
          </w:tcPr>
          <w:p w14:paraId="29DF8BC2" w14:textId="77777777" w:rsidR="00DB3F3D" w:rsidRDefault="000C0F2B">
            <w:pPr>
              <w:pStyle w:val="Text2"/>
              <w:spacing w:after="0"/>
              <w:ind w:left="0" w:firstLine="0"/>
              <w:jc w:val="center"/>
              <w:rPr>
                <w:snapToGrid w:val="0"/>
              </w:rPr>
            </w:pPr>
            <w:r>
              <w:rPr>
                <w:snapToGrid w:val="0"/>
              </w:rPr>
              <w:t>3</w:t>
            </w:r>
          </w:p>
        </w:tc>
        <w:tc>
          <w:tcPr>
            <w:tcW w:w="7451" w:type="dxa"/>
          </w:tcPr>
          <w:p w14:paraId="00015EBB" w14:textId="77777777" w:rsidR="00DB3F3D" w:rsidRDefault="000C0F2B">
            <w:pPr>
              <w:pStyle w:val="Text2"/>
              <w:spacing w:after="0"/>
              <w:ind w:left="0" w:firstLine="0"/>
              <w:jc w:val="left"/>
              <w:rPr>
                <w:snapToGrid w:val="0"/>
              </w:rPr>
            </w:pPr>
            <w:r>
              <w:rPr>
                <w:snapToGrid w:val="0"/>
              </w:rPr>
              <w:t xml:space="preserve">EKJS, vključno z vsemi odhodki nekdanjega Jamstvenega oddelka EKUJS </w:t>
            </w:r>
          </w:p>
        </w:tc>
      </w:tr>
      <w:tr w:rsidR="00DB3F3D" w14:paraId="06D0F4EA" w14:textId="77777777">
        <w:tc>
          <w:tcPr>
            <w:tcW w:w="1275" w:type="dxa"/>
            <w:vAlign w:val="center"/>
          </w:tcPr>
          <w:p w14:paraId="2B661ED8" w14:textId="77777777" w:rsidR="00DB3F3D" w:rsidRDefault="000C0F2B">
            <w:pPr>
              <w:pStyle w:val="Text2"/>
              <w:spacing w:after="0"/>
              <w:ind w:left="0" w:firstLine="0"/>
              <w:jc w:val="center"/>
              <w:rPr>
                <w:snapToGrid w:val="0"/>
              </w:rPr>
            </w:pPr>
            <w:r>
              <w:rPr>
                <w:snapToGrid w:val="0"/>
              </w:rPr>
              <w:t>4</w:t>
            </w:r>
          </w:p>
        </w:tc>
        <w:tc>
          <w:tcPr>
            <w:tcW w:w="7451" w:type="dxa"/>
          </w:tcPr>
          <w:p w14:paraId="07BA07FC" w14:textId="77777777" w:rsidR="00DB3F3D" w:rsidRDefault="000C0F2B">
            <w:pPr>
              <w:pStyle w:val="Text2"/>
              <w:spacing w:after="0"/>
              <w:ind w:left="0" w:firstLine="0"/>
              <w:jc w:val="left"/>
              <w:rPr>
                <w:snapToGrid w:val="0"/>
              </w:rPr>
            </w:pPr>
            <w:r>
              <w:rPr>
                <w:snapToGrid w:val="0"/>
              </w:rPr>
              <w:t>EKSRP za obdobje 2007–2013</w:t>
            </w:r>
          </w:p>
        </w:tc>
      </w:tr>
      <w:tr w:rsidR="00DB3F3D" w14:paraId="739E223B" w14:textId="77777777">
        <w:tc>
          <w:tcPr>
            <w:tcW w:w="1275" w:type="dxa"/>
            <w:vAlign w:val="center"/>
          </w:tcPr>
          <w:p w14:paraId="1950687C" w14:textId="77777777" w:rsidR="00DB3F3D" w:rsidRDefault="000C0F2B">
            <w:pPr>
              <w:pStyle w:val="Text2"/>
              <w:spacing w:after="0"/>
              <w:ind w:left="0" w:firstLine="0"/>
              <w:jc w:val="center"/>
              <w:rPr>
                <w:snapToGrid w:val="0"/>
              </w:rPr>
            </w:pPr>
            <w:r>
              <w:rPr>
                <w:snapToGrid w:val="0"/>
              </w:rPr>
              <w:t>5</w:t>
            </w:r>
          </w:p>
        </w:tc>
        <w:tc>
          <w:tcPr>
            <w:tcW w:w="7451" w:type="dxa"/>
          </w:tcPr>
          <w:p w14:paraId="3CC52EB8" w14:textId="77777777" w:rsidR="00DB3F3D" w:rsidRDefault="000C0F2B">
            <w:pPr>
              <w:pStyle w:val="Text2"/>
              <w:spacing w:after="0"/>
              <w:ind w:left="0" w:firstLine="0"/>
              <w:jc w:val="left"/>
              <w:rPr>
                <w:snapToGrid w:val="0"/>
              </w:rPr>
            </w:pPr>
            <w:r>
              <w:rPr>
                <w:snapToGrid w:val="0"/>
              </w:rPr>
              <w:t xml:space="preserve">ZIRP za EU-10 </w:t>
            </w:r>
          </w:p>
        </w:tc>
      </w:tr>
      <w:tr w:rsidR="00DB3F3D" w14:paraId="59CFBFCD" w14:textId="77777777">
        <w:tc>
          <w:tcPr>
            <w:tcW w:w="1275" w:type="dxa"/>
            <w:vAlign w:val="center"/>
          </w:tcPr>
          <w:p w14:paraId="14942606" w14:textId="77777777" w:rsidR="00DB3F3D" w:rsidRDefault="000C0F2B">
            <w:pPr>
              <w:pStyle w:val="Text2"/>
              <w:spacing w:after="0"/>
              <w:ind w:left="0" w:firstLine="0"/>
              <w:jc w:val="center"/>
              <w:rPr>
                <w:snapToGrid w:val="0"/>
              </w:rPr>
            </w:pPr>
            <w:r>
              <w:rPr>
                <w:snapToGrid w:val="0"/>
              </w:rPr>
              <w:t>6</w:t>
            </w:r>
          </w:p>
        </w:tc>
        <w:tc>
          <w:tcPr>
            <w:tcW w:w="7451" w:type="dxa"/>
          </w:tcPr>
          <w:p w14:paraId="12837FEF" w14:textId="77777777" w:rsidR="00DB3F3D" w:rsidRDefault="000C0F2B">
            <w:pPr>
              <w:pStyle w:val="Text2"/>
              <w:spacing w:after="0"/>
              <w:ind w:left="0" w:firstLine="0"/>
              <w:jc w:val="left"/>
              <w:rPr>
                <w:snapToGrid w:val="0"/>
              </w:rPr>
            </w:pPr>
            <w:r>
              <w:rPr>
                <w:snapToGrid w:val="0"/>
              </w:rPr>
              <w:t>EKSRP za obdobje 2014–2020</w:t>
            </w:r>
          </w:p>
        </w:tc>
      </w:tr>
    </w:tbl>
    <w:p w14:paraId="11FDFC5C" w14:textId="77777777" w:rsidR="00DB3F3D" w:rsidRDefault="000C0F2B">
      <w:pPr>
        <w:pStyle w:val="Heading3"/>
        <w:numPr>
          <w:ilvl w:val="4"/>
          <w:numId w:val="35"/>
        </w:numPr>
        <w:spacing w:before="240"/>
        <w:rPr>
          <w:b/>
        </w:rPr>
      </w:pPr>
      <w:bookmarkStart w:id="159" w:name="_Toc134086154"/>
      <w:r>
        <w:rPr>
          <w:b/>
        </w:rPr>
        <w:lastRenderedPageBreak/>
        <w:t>Stolpec (C) – Proračunsko leto</w:t>
      </w:r>
      <w:bookmarkEnd w:id="159"/>
    </w:p>
    <w:p w14:paraId="57C70394" w14:textId="77777777" w:rsidR="00DB3F3D" w:rsidRDefault="000C0F2B">
      <w:pPr>
        <w:pStyle w:val="Text3"/>
        <w:ind w:left="0" w:firstLine="0"/>
      </w:pPr>
      <w:r>
        <w:t xml:space="preserve">Navesti je treba proračunsko leto, na katero se nanaša preglednica, tj. „leto n“ za preglednice, ki jih je treba Komisiji poslati do 15. februarja „leta n + 1“. </w:t>
      </w:r>
    </w:p>
    <w:p w14:paraId="08E11A6A" w14:textId="77777777" w:rsidR="00DB3F3D" w:rsidRDefault="000C0F2B">
      <w:pPr>
        <w:pStyle w:val="Text3"/>
        <w:ind w:left="0" w:firstLine="0"/>
      </w:pPr>
      <w:r>
        <w:rPr>
          <w:u w:val="single"/>
        </w:rPr>
        <w:t>Zahtevana oblika:</w:t>
      </w:r>
      <w:r>
        <w:t xml:space="preserve"> „LLLL“ (leto s štirimestno številko).</w:t>
      </w:r>
    </w:p>
    <w:p w14:paraId="3EBEF939" w14:textId="77777777" w:rsidR="00DB3F3D" w:rsidRDefault="000C0F2B">
      <w:pPr>
        <w:pStyle w:val="Heading3"/>
        <w:numPr>
          <w:ilvl w:val="4"/>
          <w:numId w:val="35"/>
        </w:numPr>
        <w:rPr>
          <w:b/>
        </w:rPr>
      </w:pPr>
      <w:bookmarkStart w:id="160" w:name="_Toc134086155"/>
      <w:r>
        <w:rPr>
          <w:b/>
        </w:rPr>
        <w:t>Stolpec (D) – Denarna enota</w:t>
      </w:r>
      <w:bookmarkEnd w:id="160"/>
    </w:p>
    <w:p w14:paraId="3F6BD9B2" w14:textId="77777777" w:rsidR="00DB3F3D" w:rsidRDefault="000C0F2B">
      <w:pPr>
        <w:ind w:left="0" w:firstLine="0"/>
        <w:rPr>
          <w:u w:val="single"/>
        </w:rPr>
      </w:pPr>
      <w:r>
        <w:t xml:space="preserve">Tukaj se navede denarna enota, v kateri se v preglednici navede znesek. V preglednici se zneski navedejo v </w:t>
      </w:r>
      <w:r>
        <w:rPr>
          <w:u w:val="single"/>
        </w:rPr>
        <w:t>nacionalni valuti</w:t>
      </w:r>
      <w:r>
        <w:t>.</w:t>
      </w:r>
    </w:p>
    <w:p w14:paraId="278B6146" w14:textId="77777777" w:rsidR="00DB3F3D" w:rsidRDefault="000C0F2B">
      <w:pPr>
        <w:ind w:left="0" w:firstLine="0"/>
      </w:pPr>
      <w:r>
        <w:rPr>
          <w:u w:val="single"/>
        </w:rPr>
        <w:t>Zahtevana oblika</w:t>
      </w:r>
      <w:r>
        <w:t xml:space="preserve">: koda ISO 4217: npr. DKK, EUR, GBP, HUF itd. </w:t>
      </w:r>
    </w:p>
    <w:p w14:paraId="291F8B94" w14:textId="77777777" w:rsidR="00DB3F3D" w:rsidRDefault="000C0F2B">
      <w:pPr>
        <w:pStyle w:val="Heading3"/>
        <w:numPr>
          <w:ilvl w:val="4"/>
          <w:numId w:val="35"/>
        </w:numPr>
        <w:rPr>
          <w:b/>
        </w:rPr>
      </w:pPr>
      <w:bookmarkStart w:id="161" w:name="_Toc134086156"/>
      <w:r>
        <w:rPr>
          <w:b/>
        </w:rPr>
        <w:t>Stolpec (EU_50) – 50 % v breme države članice (člen 54(2) Uredbe (EU) št. 1306/2013)</w:t>
      </w:r>
      <w:bookmarkEnd w:id="161"/>
    </w:p>
    <w:p w14:paraId="3A3A7BBE" w14:textId="77777777" w:rsidR="00DB3F3D" w:rsidRDefault="000C0F2B">
      <w:pPr>
        <w:pStyle w:val="Text3"/>
        <w:ind w:left="0" w:firstLine="0"/>
      </w:pPr>
      <w:r>
        <w:t>Tu se navede skupni znesek, ki se v skladu s členom 54(2) Uredbe (EU) št. 1306/2013 državi članici zaračuna v proračunskem letu n na podlagi pravila 50/50.</w:t>
      </w:r>
    </w:p>
    <w:p w14:paraId="70A9ECBB" w14:textId="77777777" w:rsidR="00DB3F3D" w:rsidRDefault="000C0F2B">
      <w:pPr>
        <w:pStyle w:val="Text3"/>
        <w:ind w:left="0" w:firstLine="0"/>
      </w:pPr>
      <w:r>
        <w:t>Znesek se mora navesti kot pozitivna vrednost.</w:t>
      </w:r>
    </w:p>
    <w:p w14:paraId="41EBB16D" w14:textId="77777777" w:rsidR="00DB3F3D" w:rsidRDefault="000C0F2B">
      <w:pPr>
        <w:pStyle w:val="Text3"/>
        <w:ind w:left="0" w:firstLine="0"/>
      </w:pPr>
      <w:r>
        <w:rPr>
          <w:u w:val="single"/>
        </w:rPr>
        <w:t>Zahtevana oblika:</w:t>
      </w:r>
      <w:r>
        <w:t xml:space="preserve"> +99…99.99, kjer 9 pomeni števko od 0 do 9.</w:t>
      </w:r>
    </w:p>
    <w:p w14:paraId="0A02873B" w14:textId="77777777" w:rsidR="00DB3F3D" w:rsidRDefault="000C0F2B">
      <w:pPr>
        <w:pStyle w:val="Heading3"/>
        <w:numPr>
          <w:ilvl w:val="4"/>
          <w:numId w:val="35"/>
        </w:numPr>
        <w:rPr>
          <w:b/>
        </w:rPr>
      </w:pPr>
      <w:bookmarkStart w:id="162" w:name="_Toc134086157"/>
      <w:r>
        <w:rPr>
          <w:b/>
        </w:rPr>
        <w:t>Stolpec (EU_100)</w:t>
      </w:r>
      <w:r>
        <w:t xml:space="preserve"> – </w:t>
      </w:r>
      <w:r>
        <w:rPr>
          <w:b/>
        </w:rPr>
        <w:t>100 % se knjiži v breme proračuna EU (člen 54(3) Uredbe (EU) št. 1306/2013</w:t>
      </w:r>
      <w:r>
        <w:rPr>
          <w:rStyle w:val="FootnoteReference"/>
          <w:b/>
        </w:rPr>
        <w:footnoteReference w:id="26"/>
      </w:r>
      <w:bookmarkEnd w:id="162"/>
    </w:p>
    <w:p w14:paraId="1E0A93BD" w14:textId="77777777" w:rsidR="00DB3F3D" w:rsidRDefault="000C0F2B">
      <w:pPr>
        <w:pStyle w:val="Text3"/>
        <w:ind w:left="0" w:firstLine="0"/>
      </w:pPr>
      <w:r>
        <w:t>Tu se navede skupni znesek, ki se v proračunskem letu n v skladu s členom 54(3) Uredbe (EU) št. 1306/2013 krije iz proračuna EU.</w:t>
      </w:r>
    </w:p>
    <w:p w14:paraId="16D28112" w14:textId="77777777" w:rsidR="00DB3F3D" w:rsidRDefault="000C0F2B">
      <w:pPr>
        <w:pStyle w:val="Text3"/>
        <w:ind w:left="0" w:firstLine="0"/>
      </w:pPr>
      <w:r>
        <w:t>Znesek se mora navesti kot pozitivna vrednost.</w:t>
      </w:r>
    </w:p>
    <w:p w14:paraId="24AE46FD" w14:textId="77777777" w:rsidR="00DB3F3D" w:rsidRDefault="000C0F2B">
      <w:pPr>
        <w:pStyle w:val="Text3"/>
        <w:ind w:left="0" w:firstLine="0"/>
      </w:pPr>
      <w:r>
        <w:rPr>
          <w:u w:val="single"/>
        </w:rPr>
        <w:t>Zahtevana oblika:</w:t>
      </w:r>
      <w:r>
        <w:t xml:space="preserve"> +99…99.99, kjer 9 pomeni števko od 0 do 9.</w:t>
      </w:r>
    </w:p>
    <w:p w14:paraId="4CE61B45" w14:textId="77777777" w:rsidR="00DB3F3D" w:rsidRDefault="000C0F2B">
      <w:pPr>
        <w:pStyle w:val="Heading2"/>
        <w:numPr>
          <w:ilvl w:val="3"/>
          <w:numId w:val="35"/>
        </w:numPr>
      </w:pPr>
      <w:bookmarkStart w:id="163" w:name="_Toc18335353"/>
      <w:bookmarkStart w:id="164" w:name="_Toc18335502"/>
      <w:bookmarkStart w:id="165" w:name="_Toc18336217"/>
      <w:bookmarkEnd w:id="163"/>
      <w:bookmarkEnd w:id="164"/>
      <w:bookmarkEnd w:id="165"/>
      <w:r>
        <w:t xml:space="preserve"> </w:t>
      </w:r>
      <w:bookmarkStart w:id="166" w:name="_Toc134086158"/>
      <w:r>
        <w:t>Primer</w:t>
      </w:r>
      <w:bookmarkEnd w:id="166"/>
    </w:p>
    <w:p w14:paraId="32B10B39" w14:textId="77777777" w:rsidR="00DB3F3D" w:rsidRDefault="000C0F2B">
      <w:pPr>
        <w:pStyle w:val="Text3"/>
        <w:ind w:left="0" w:firstLine="0"/>
      </w:pPr>
      <w:r>
        <w:t>Priloga 5 k tej smernici prikazuje razmerje med prejšnjo „preglednico 50/50“ in novim formatom datoteke .csv.</w:t>
      </w:r>
    </w:p>
    <w:p w14:paraId="4D08456D" w14:textId="77777777" w:rsidR="00DB3F3D" w:rsidRDefault="000C0F2B">
      <w:pPr>
        <w:pStyle w:val="Heading2"/>
        <w:numPr>
          <w:ilvl w:val="3"/>
          <w:numId w:val="35"/>
        </w:numPr>
      </w:pPr>
      <w:bookmarkStart w:id="167" w:name="_Toc134086159"/>
      <w:r>
        <w:t>Prenos</w:t>
      </w:r>
      <w:bookmarkEnd w:id="167"/>
    </w:p>
    <w:p w14:paraId="515C3785" w14:textId="77777777" w:rsidR="00DB3F3D" w:rsidRDefault="000C0F2B">
      <w:pPr>
        <w:ind w:left="0" w:firstLine="0"/>
      </w:pPr>
      <w:r>
        <w:t>Države članice morajo računalniške datoteke Komisiji poslati do 15. februarja po proračunskem letu n po sistemu SFC2014, oddelek „ANNUAL ACCOUNTS – ART 30(1)(A) REG(EU) NO908/2014“, „Debtor Ledger“ (Letni obračuni – člen 30(1)(a) Uredbe (EU) št. 908/2014, Knjiga terjatev), vrsta dokumenta „50-50 table“ (preglednica 50/50).</w:t>
      </w:r>
    </w:p>
    <w:p w14:paraId="59CAC9BF" w14:textId="77777777" w:rsidR="00DB3F3D" w:rsidRDefault="000C0F2B">
      <w:pPr>
        <w:pStyle w:val="Heading2"/>
        <w:numPr>
          <w:ilvl w:val="2"/>
          <w:numId w:val="35"/>
        </w:numPr>
      </w:pPr>
      <w:bookmarkStart w:id="168" w:name="_Toc17899973"/>
      <w:bookmarkStart w:id="169" w:name="_Toc18335356"/>
      <w:bookmarkStart w:id="170" w:name="_Toc18335505"/>
      <w:bookmarkStart w:id="171" w:name="_Toc18336220"/>
      <w:bookmarkStart w:id="172" w:name="_Toc422216466"/>
      <w:bookmarkStart w:id="173" w:name="_Toc134086160"/>
      <w:bookmarkEnd w:id="168"/>
      <w:bookmarkEnd w:id="169"/>
      <w:bookmarkEnd w:id="170"/>
      <w:bookmarkEnd w:id="171"/>
      <w:r>
        <w:lastRenderedPageBreak/>
        <w:t>Izterjave od upravičencev po 15. oktobru leta N za primere nepravilnosti, za katere se uporablja pravilo 50/50 v odločitvi o potrditvi obračunov iz maja</w:t>
      </w:r>
      <w:bookmarkEnd w:id="172"/>
      <w:r>
        <w:t xml:space="preserve"> v letu N + 1</w:t>
      </w:r>
      <w:bookmarkEnd w:id="173"/>
    </w:p>
    <w:p w14:paraId="53AA9BD2" w14:textId="77777777" w:rsidR="00DB3F3D" w:rsidRDefault="000C0F2B">
      <w:pPr>
        <w:ind w:left="0" w:firstLine="0"/>
        <w:rPr>
          <w:snapToGrid w:val="0"/>
        </w:rPr>
      </w:pPr>
      <w:r>
        <w:rPr>
          <w:snapToGrid w:val="0"/>
        </w:rPr>
        <w:t>Zneske, ki so jih države članice izterjale od upravičencev, je treba knjižiti v dobro proračuna EU:</w:t>
      </w:r>
    </w:p>
    <w:p w14:paraId="5328B5A8" w14:textId="77777777" w:rsidR="00DB3F3D" w:rsidRDefault="000C0F2B">
      <w:pPr>
        <w:numPr>
          <w:ilvl w:val="0"/>
          <w:numId w:val="17"/>
        </w:numPr>
        <w:rPr>
          <w:snapToGrid w:val="0"/>
        </w:rPr>
      </w:pPr>
      <w:r>
        <w:rPr>
          <w:snapToGrid w:val="0"/>
        </w:rPr>
        <w:t>v celoti</w:t>
      </w:r>
      <w:r>
        <w:t xml:space="preserve">, preden </w:t>
      </w:r>
      <w:r>
        <w:rPr>
          <w:snapToGrid w:val="0"/>
        </w:rPr>
        <w:t>se za primer uporabi pravilo 50/50</w:t>
      </w:r>
      <w:r>
        <w:t>,</w:t>
      </w:r>
    </w:p>
    <w:p w14:paraId="5BCDDD39" w14:textId="77777777" w:rsidR="00DB3F3D" w:rsidRDefault="000C0F2B">
      <w:pPr>
        <w:numPr>
          <w:ilvl w:val="0"/>
          <w:numId w:val="17"/>
        </w:numPr>
        <w:rPr>
          <w:snapToGrid w:val="0"/>
        </w:rPr>
      </w:pPr>
      <w:r>
        <w:rPr>
          <w:snapToGrid w:val="0"/>
        </w:rPr>
        <w:t>50 %, če se je za primer pred tem že uporabilo pravilo 50/50.</w:t>
      </w:r>
    </w:p>
    <w:p w14:paraId="03ACC2D4" w14:textId="77777777" w:rsidR="00DB3F3D" w:rsidRDefault="000C0F2B">
      <w:pPr>
        <w:ind w:left="0" w:firstLine="0"/>
        <w:rPr>
          <w:snapToGrid w:val="0"/>
        </w:rPr>
      </w:pPr>
      <w:r>
        <w:rPr>
          <w:snapToGrid w:val="0"/>
        </w:rPr>
        <w:t>Ker se pravilo 50/50 uporablja le maja koledarskega leta N + 1 s sklepom o finančni potrditvi, je potrebna naslednja posebna določba: če država članica od upravičenca izterja denar po 15. oktobru koledarskega leta N za primer, za katerega bo v odločitvi o potrditvi obračunov maja koledarskega leta N + 1 veljalo pravilo 50/50, se bo le 50 % izterjanih zneskov knjižilo v dobro proračuna EU, da bi se izognili prekomerni kompenzaciji proračuna EU.</w:t>
      </w:r>
    </w:p>
    <w:p w14:paraId="15BB00CE" w14:textId="77777777" w:rsidR="00DB3F3D" w:rsidRDefault="00DB3F3D">
      <w:pPr>
        <w:rPr>
          <w:snapToGrid w:val="0"/>
        </w:rPr>
        <w:sectPr w:rsidR="00DB3F3D">
          <w:headerReference w:type="even" r:id="rId12"/>
          <w:headerReference w:type="default" r:id="rId13"/>
          <w:footerReference w:type="even" r:id="rId14"/>
          <w:footerReference w:type="default" r:id="rId15"/>
          <w:headerReference w:type="first" r:id="rId16"/>
          <w:footerReference w:type="first" r:id="rId17"/>
          <w:pgSz w:w="11906" w:h="16838"/>
          <w:pgMar w:top="1020" w:right="1558" w:bottom="1020" w:left="1587" w:header="601" w:footer="1077" w:gutter="0"/>
          <w:cols w:space="720"/>
          <w:titlePg/>
        </w:sectPr>
      </w:pPr>
    </w:p>
    <w:p w14:paraId="421AA4BF" w14:textId="77777777" w:rsidR="00DB3F3D" w:rsidRDefault="000C0F2B">
      <w:pPr>
        <w:pStyle w:val="Heading1"/>
        <w:spacing w:before="0" w:after="200"/>
        <w:ind w:left="601"/>
      </w:pPr>
      <w:bookmarkStart w:id="174" w:name="_Toc134086161"/>
      <w:r>
        <w:lastRenderedPageBreak/>
        <w:t xml:space="preserve">2.2. </w:t>
      </w:r>
      <w:r>
        <w:rPr>
          <w:smallCaps w:val="0"/>
        </w:rPr>
        <w:t>Preglednica iz Priloge III k Uredbi (EU) št. 908/2014</w:t>
      </w:r>
      <w:bookmarkEnd w:id="174"/>
    </w:p>
    <w:p w14:paraId="132EF8EC" w14:textId="77777777" w:rsidR="00DB3F3D" w:rsidRDefault="000C0F2B">
      <w:pPr>
        <w:pStyle w:val="Heading3"/>
        <w:numPr>
          <w:ilvl w:val="0"/>
          <w:numId w:val="0"/>
        </w:numPr>
        <w:spacing w:after="120"/>
        <w:ind w:left="284"/>
      </w:pPr>
      <w:r>
        <w:t xml:space="preserve"> </w:t>
      </w:r>
      <w:bookmarkStart w:id="175" w:name="_Toc134086162"/>
      <w:r>
        <w:rPr>
          <w:b/>
          <w:i w:val="0"/>
        </w:rPr>
        <w:t>2.2.1</w:t>
      </w:r>
      <w:r>
        <w:t xml:space="preserve">. </w:t>
      </w:r>
      <w:bookmarkStart w:id="176" w:name="_Toc422216467"/>
      <w:r>
        <w:rPr>
          <w:b/>
          <w:i w:val="0"/>
        </w:rPr>
        <w:t>Primeri, o katerih se poroča</w:t>
      </w:r>
      <w:bookmarkEnd w:id="176"/>
      <w:bookmarkEnd w:id="175"/>
    </w:p>
    <w:p w14:paraId="0C103ECB" w14:textId="77777777" w:rsidR="00DB3F3D" w:rsidRDefault="000C0F2B">
      <w:pPr>
        <w:spacing w:after="220"/>
        <w:ind w:left="0" w:firstLine="0"/>
      </w:pPr>
      <w:r>
        <w:t>Ta preglednica vsebuje zneske, ki jih države članice dolgujejo proračunu EU in niso niti posledica nepravilnosti niti administrativnih napak. Ti zneski na primer zajemajo znižanja in izključitve zaradi neupoštevanja obveznosti glede navzkrižne skladnosti, kazni in sankcije (npr. večletne sankcije) ali dajatev na mleko, ki se dolgujejo proračunu EU iz obdobja 2002/2003 in pred njim</w:t>
      </w:r>
      <w:r>
        <w:rPr>
          <w:rStyle w:val="FootnoteReference"/>
        </w:rPr>
        <w:footnoteReference w:id="27"/>
      </w:r>
      <w:r>
        <w:t>. Zneski, navedeni v tej preglednici (neporavnani zneski, ki se dolgujejo proračunu EU), se ne ujemajo nujno z zneski v knjigah terjatev plačilnih agencij (neporavnani zneski, ki se dolgujejo upravičencu).</w:t>
      </w:r>
    </w:p>
    <w:p w14:paraId="6645A90B" w14:textId="77777777" w:rsidR="00DB3F3D" w:rsidRDefault="000C0F2B">
      <w:pPr>
        <w:spacing w:after="220"/>
        <w:ind w:left="0" w:firstLine="0"/>
      </w:pPr>
      <w:r>
        <w:t xml:space="preserve">Člen 54(3)(a) Uredbe (EU) št. 1306/2013 o pravilu </w:t>
      </w:r>
      <w:r>
        <w:rPr>
          <w:i/>
        </w:rPr>
        <w:t>de minimis</w:t>
      </w:r>
      <w:r>
        <w:t xml:space="preserve"> se ne uporablja za zneske, o katerih se poroča v preglednici iz Priloge III. Vendar zneskov, ki se odpišejo v skladu s sektorskim pravilom </w:t>
      </w:r>
      <w:r>
        <w:rPr>
          <w:i/>
        </w:rPr>
        <w:t>de minimis</w:t>
      </w:r>
      <w:r>
        <w:t xml:space="preserve"> iz predpisov EU, kot je člen 23(2) Uredbe (ES) št. 73/2009, ni treba vključiti v preglednico iz Priloge III. Nasprotno je treba v preglednici poročati tudi o primerih, ki so bili odkriti v proračunskem letu n in so bili v istem letu v celoti izterjani (vključno s tistimi, ki so se poravnali s poznejšimi plačili).</w:t>
      </w:r>
    </w:p>
    <w:p w14:paraId="1972E6C9" w14:textId="77777777" w:rsidR="00DB3F3D" w:rsidRDefault="000C0F2B">
      <w:pPr>
        <w:spacing w:after="220"/>
        <w:ind w:left="0" w:firstLine="0"/>
      </w:pPr>
      <w:r>
        <w:t>Namen te preglednice je Komisiji za vsak sklad posebej omogočiti popoln pregled nad zneski, ki so jih države članice izterjale, in zneskom, ki je ob koncu vsakega proračunskega leta ostal neporavnan, skupaj s preglednico iz Priloge II.</w:t>
      </w:r>
    </w:p>
    <w:p w14:paraId="680C740D" w14:textId="77777777" w:rsidR="00DB3F3D" w:rsidRDefault="000C0F2B">
      <w:pPr>
        <w:spacing w:after="220"/>
        <w:ind w:left="0" w:firstLine="0"/>
      </w:pPr>
      <w:r>
        <w:t>Države članice morajo od proračunskega leta 2019 naprej podatke predložiti v strukturirani računalniški datoteki v skladu z značilnostmi, določenimi v točki 2.1.3.5. Podrobna navodila o načinu poročanja v različnih stolpcih so navedena v nadaljevanju. Zneski v preglednici pomenijo skupne zneske na sklad in kategorijo neporavnanega zneska, ki vključujejo vse ustrezne primere.</w:t>
      </w:r>
    </w:p>
    <w:p w14:paraId="40CCF80E" w14:textId="77777777" w:rsidR="00DB3F3D" w:rsidRDefault="000C0F2B">
      <w:pPr>
        <w:pStyle w:val="Heading3"/>
        <w:numPr>
          <w:ilvl w:val="0"/>
          <w:numId w:val="0"/>
        </w:numPr>
        <w:spacing w:after="120"/>
        <w:ind w:left="284"/>
        <w:rPr>
          <w:b/>
          <w:i w:val="0"/>
        </w:rPr>
      </w:pPr>
      <w:bookmarkStart w:id="177" w:name="_Toc422216468"/>
      <w:bookmarkStart w:id="178" w:name="_Toc134086163"/>
      <w:r>
        <w:rPr>
          <w:b/>
          <w:i w:val="0"/>
        </w:rPr>
        <w:t>2.2.2. Vsebina stolpcev</w:t>
      </w:r>
      <w:bookmarkEnd w:id="177"/>
      <w:bookmarkEnd w:id="178"/>
    </w:p>
    <w:p w14:paraId="1255090E" w14:textId="77777777" w:rsidR="00DB3F3D" w:rsidRDefault="000C0F2B">
      <w:pPr>
        <w:pStyle w:val="Heading2"/>
        <w:numPr>
          <w:ilvl w:val="3"/>
          <w:numId w:val="49"/>
        </w:numPr>
      </w:pPr>
      <w:bookmarkStart w:id="179" w:name="_Toc422216469"/>
      <w:r>
        <w:t xml:space="preserve"> </w:t>
      </w:r>
      <w:bookmarkStart w:id="180" w:name="_Toc134086164"/>
      <w:r>
        <w:t>Stolpec (A) – Plačilna agencija</w:t>
      </w:r>
      <w:bookmarkEnd w:id="179"/>
      <w:bookmarkEnd w:id="180"/>
    </w:p>
    <w:p w14:paraId="63491B00" w14:textId="77777777" w:rsidR="00DB3F3D" w:rsidRDefault="000C0F2B">
      <w:pPr>
        <w:spacing w:after="220"/>
        <w:ind w:left="0" w:firstLine="0"/>
      </w:pPr>
      <w:r>
        <w:t>Koda plačilne agencije, ki mora knjižiti znesek v dobro proračuna EU.</w:t>
      </w:r>
    </w:p>
    <w:p w14:paraId="069DC2B1" w14:textId="77777777" w:rsidR="00DB3F3D" w:rsidRDefault="000C0F2B">
      <w:pPr>
        <w:spacing w:after="220"/>
        <w:ind w:left="0" w:firstLine="0"/>
        <w:rPr>
          <w:szCs w:val="24"/>
        </w:rPr>
      </w:pPr>
      <w:r>
        <w:rPr>
          <w:snapToGrid w:val="0"/>
          <w:u w:val="single"/>
        </w:rPr>
        <w:t>Zahtevana oblika</w:t>
      </w:r>
      <w:r>
        <w:rPr>
          <w:snapToGrid w:val="0"/>
        </w:rPr>
        <w:t>:</w:t>
      </w:r>
      <w:r>
        <w:t xml:space="preserve"> DČ99, pri čemer DČ pomeni dvočrkovno kodo države članice po ISO, 9 pa pomeni števko od 0 do 9.</w:t>
      </w:r>
    </w:p>
    <w:p w14:paraId="6D42C528" w14:textId="77777777" w:rsidR="00DB3F3D" w:rsidRDefault="000C0F2B">
      <w:pPr>
        <w:pStyle w:val="Heading2"/>
        <w:numPr>
          <w:ilvl w:val="3"/>
          <w:numId w:val="37"/>
        </w:numPr>
      </w:pPr>
      <w:bookmarkStart w:id="181" w:name="_Toc422216470"/>
      <w:r>
        <w:t xml:space="preserve"> </w:t>
      </w:r>
      <w:bookmarkStart w:id="182" w:name="_Toc134086165"/>
      <w:r>
        <w:t>Stolpec (B) – Sklad</w:t>
      </w:r>
      <w:bookmarkEnd w:id="181"/>
      <w:bookmarkEnd w:id="182"/>
    </w:p>
    <w:p w14:paraId="35928CF6" w14:textId="77777777" w:rsidR="00DB3F3D" w:rsidRDefault="000C0F2B">
      <w:pPr>
        <w:spacing w:after="220"/>
        <w:ind w:left="0" w:firstLine="0"/>
      </w:pPr>
      <w:r>
        <w:t xml:space="preserve">Na tem mestu se navede sklad, iz katerega je bil nepravilno izplačan znesek. </w:t>
      </w:r>
    </w:p>
    <w:p w14:paraId="523695E7" w14:textId="77777777" w:rsidR="00DB3F3D" w:rsidRDefault="000C0F2B">
      <w:pPr>
        <w:spacing w:after="200"/>
        <w:ind w:left="0" w:firstLine="0"/>
        <w:rPr>
          <w:snapToGrid w:val="0"/>
        </w:rPr>
      </w:pPr>
      <w:r>
        <w:rPr>
          <w:snapToGrid w:val="0"/>
          <w:u w:val="single"/>
        </w:rPr>
        <w:t>Zahtevana oblika</w:t>
      </w:r>
      <w:r>
        <w:rPr>
          <w:snapToGrid w:val="0"/>
        </w:rPr>
        <w:t xml:space="preserve">: </w:t>
      </w:r>
      <w:r>
        <w:t xml:space="preserve">označi </w:t>
      </w:r>
      <w:r>
        <w:rPr>
          <w:snapToGrid w:val="0"/>
        </w:rPr>
        <w:t>se z enoznakovno kodo v skladu z naslednjim seznamom kod: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51"/>
      </w:tblGrid>
      <w:tr w:rsidR="00DB3F3D" w14:paraId="5BA9CAEF" w14:textId="77777777">
        <w:tc>
          <w:tcPr>
            <w:tcW w:w="1275" w:type="dxa"/>
          </w:tcPr>
          <w:p w14:paraId="1321A546" w14:textId="77777777" w:rsidR="00DB3F3D" w:rsidRDefault="000C0F2B">
            <w:pPr>
              <w:pStyle w:val="Text2"/>
              <w:spacing w:after="0"/>
              <w:ind w:left="0" w:firstLine="0"/>
              <w:jc w:val="center"/>
              <w:rPr>
                <w:snapToGrid w:val="0"/>
              </w:rPr>
            </w:pPr>
            <w:r>
              <w:rPr>
                <w:snapToGrid w:val="0"/>
              </w:rPr>
              <w:t>Koda</w:t>
            </w:r>
          </w:p>
        </w:tc>
        <w:tc>
          <w:tcPr>
            <w:tcW w:w="7451" w:type="dxa"/>
          </w:tcPr>
          <w:p w14:paraId="0CCE268E" w14:textId="77777777" w:rsidR="00DB3F3D" w:rsidRDefault="000C0F2B">
            <w:pPr>
              <w:pStyle w:val="Text2"/>
              <w:spacing w:after="0"/>
              <w:ind w:left="0" w:firstLine="0"/>
              <w:jc w:val="left"/>
              <w:rPr>
                <w:snapToGrid w:val="0"/>
              </w:rPr>
            </w:pPr>
            <w:r>
              <w:rPr>
                <w:snapToGrid w:val="0"/>
              </w:rPr>
              <w:t>Pomen</w:t>
            </w:r>
          </w:p>
        </w:tc>
      </w:tr>
      <w:tr w:rsidR="00DB3F3D" w14:paraId="10367DFC" w14:textId="77777777">
        <w:tc>
          <w:tcPr>
            <w:tcW w:w="1275" w:type="dxa"/>
            <w:vAlign w:val="center"/>
          </w:tcPr>
          <w:p w14:paraId="1BDB1941" w14:textId="77777777" w:rsidR="00DB3F3D" w:rsidRDefault="000C0F2B">
            <w:pPr>
              <w:pStyle w:val="Text2"/>
              <w:spacing w:after="0"/>
              <w:ind w:left="0" w:firstLine="0"/>
              <w:jc w:val="center"/>
              <w:rPr>
                <w:snapToGrid w:val="0"/>
              </w:rPr>
            </w:pPr>
            <w:r>
              <w:rPr>
                <w:snapToGrid w:val="0"/>
              </w:rPr>
              <w:t>3</w:t>
            </w:r>
          </w:p>
        </w:tc>
        <w:tc>
          <w:tcPr>
            <w:tcW w:w="7451" w:type="dxa"/>
          </w:tcPr>
          <w:p w14:paraId="3F6491B4" w14:textId="77777777" w:rsidR="00DB3F3D" w:rsidRDefault="000C0F2B">
            <w:pPr>
              <w:pStyle w:val="Text2"/>
              <w:spacing w:after="0"/>
              <w:ind w:left="0" w:firstLine="0"/>
              <w:jc w:val="left"/>
              <w:rPr>
                <w:snapToGrid w:val="0"/>
              </w:rPr>
            </w:pPr>
            <w:r>
              <w:rPr>
                <w:snapToGrid w:val="0"/>
              </w:rPr>
              <w:t xml:space="preserve">EKJS, vključno z vsemi odhodki nekdanjega Jamstvenega oddelka EKUJS </w:t>
            </w:r>
          </w:p>
        </w:tc>
      </w:tr>
      <w:tr w:rsidR="00DB3F3D" w14:paraId="4D1B6EAB" w14:textId="77777777">
        <w:tc>
          <w:tcPr>
            <w:tcW w:w="1275" w:type="dxa"/>
            <w:vAlign w:val="center"/>
          </w:tcPr>
          <w:p w14:paraId="158BECFD" w14:textId="77777777" w:rsidR="00DB3F3D" w:rsidRDefault="000C0F2B">
            <w:pPr>
              <w:pStyle w:val="Text2"/>
              <w:spacing w:after="0"/>
              <w:ind w:left="0" w:firstLine="0"/>
              <w:jc w:val="center"/>
              <w:rPr>
                <w:snapToGrid w:val="0"/>
              </w:rPr>
            </w:pPr>
            <w:r>
              <w:rPr>
                <w:snapToGrid w:val="0"/>
              </w:rPr>
              <w:t>4</w:t>
            </w:r>
          </w:p>
        </w:tc>
        <w:tc>
          <w:tcPr>
            <w:tcW w:w="7451" w:type="dxa"/>
          </w:tcPr>
          <w:p w14:paraId="340F617B" w14:textId="77777777" w:rsidR="00DB3F3D" w:rsidRDefault="000C0F2B">
            <w:pPr>
              <w:pStyle w:val="Text2"/>
              <w:spacing w:after="0"/>
              <w:ind w:left="0" w:firstLine="0"/>
              <w:jc w:val="left"/>
              <w:rPr>
                <w:snapToGrid w:val="0"/>
              </w:rPr>
            </w:pPr>
            <w:r>
              <w:rPr>
                <w:snapToGrid w:val="0"/>
              </w:rPr>
              <w:t>EKSRP za obdobje 2007–2013</w:t>
            </w:r>
          </w:p>
        </w:tc>
      </w:tr>
      <w:tr w:rsidR="00DB3F3D" w14:paraId="3F8DF960" w14:textId="77777777">
        <w:tc>
          <w:tcPr>
            <w:tcW w:w="1275" w:type="dxa"/>
            <w:vAlign w:val="center"/>
          </w:tcPr>
          <w:p w14:paraId="30717ECC" w14:textId="77777777" w:rsidR="00DB3F3D" w:rsidRDefault="000C0F2B">
            <w:pPr>
              <w:pStyle w:val="Text2"/>
              <w:spacing w:after="0"/>
              <w:ind w:left="0" w:firstLine="0"/>
              <w:jc w:val="center"/>
              <w:rPr>
                <w:snapToGrid w:val="0"/>
              </w:rPr>
            </w:pPr>
            <w:r>
              <w:rPr>
                <w:snapToGrid w:val="0"/>
              </w:rPr>
              <w:t>5</w:t>
            </w:r>
          </w:p>
        </w:tc>
        <w:tc>
          <w:tcPr>
            <w:tcW w:w="7451" w:type="dxa"/>
          </w:tcPr>
          <w:p w14:paraId="0D1A2870" w14:textId="77777777" w:rsidR="00DB3F3D" w:rsidRDefault="000C0F2B">
            <w:pPr>
              <w:pStyle w:val="Text2"/>
              <w:spacing w:after="0"/>
              <w:ind w:left="0" w:firstLine="0"/>
              <w:jc w:val="left"/>
              <w:rPr>
                <w:snapToGrid w:val="0"/>
              </w:rPr>
            </w:pPr>
            <w:r>
              <w:rPr>
                <w:snapToGrid w:val="0"/>
              </w:rPr>
              <w:t xml:space="preserve">ZIRP za EU-10 </w:t>
            </w:r>
          </w:p>
        </w:tc>
      </w:tr>
      <w:tr w:rsidR="00DB3F3D" w14:paraId="12E5033A" w14:textId="77777777">
        <w:tc>
          <w:tcPr>
            <w:tcW w:w="1275" w:type="dxa"/>
            <w:vAlign w:val="center"/>
          </w:tcPr>
          <w:p w14:paraId="44A4A38D" w14:textId="77777777" w:rsidR="00DB3F3D" w:rsidRDefault="000C0F2B">
            <w:pPr>
              <w:pStyle w:val="Text2"/>
              <w:spacing w:after="0"/>
              <w:ind w:left="0" w:firstLine="0"/>
              <w:jc w:val="center"/>
              <w:rPr>
                <w:snapToGrid w:val="0"/>
              </w:rPr>
            </w:pPr>
            <w:r>
              <w:rPr>
                <w:snapToGrid w:val="0"/>
              </w:rPr>
              <w:t>6</w:t>
            </w:r>
          </w:p>
        </w:tc>
        <w:tc>
          <w:tcPr>
            <w:tcW w:w="7451" w:type="dxa"/>
          </w:tcPr>
          <w:p w14:paraId="7B234397" w14:textId="77777777" w:rsidR="00DB3F3D" w:rsidRDefault="000C0F2B">
            <w:pPr>
              <w:pStyle w:val="Text2"/>
              <w:spacing w:after="0"/>
              <w:ind w:left="0" w:firstLine="0"/>
              <w:jc w:val="left"/>
              <w:rPr>
                <w:snapToGrid w:val="0"/>
              </w:rPr>
            </w:pPr>
            <w:r>
              <w:rPr>
                <w:snapToGrid w:val="0"/>
              </w:rPr>
              <w:t>EKSRP za obdobje 2014–2020</w:t>
            </w:r>
          </w:p>
        </w:tc>
      </w:tr>
    </w:tbl>
    <w:p w14:paraId="76B975D9" w14:textId="77777777" w:rsidR="00DB3F3D" w:rsidRDefault="000C0F2B">
      <w:pPr>
        <w:pStyle w:val="Heading2"/>
        <w:numPr>
          <w:ilvl w:val="3"/>
          <w:numId w:val="37"/>
        </w:numPr>
        <w:spacing w:before="240"/>
      </w:pPr>
      <w:bookmarkStart w:id="183" w:name="_Toc17899981"/>
      <w:bookmarkEnd w:id="183"/>
      <w:r>
        <w:lastRenderedPageBreak/>
        <w:t xml:space="preserve"> </w:t>
      </w:r>
      <w:bookmarkStart w:id="184" w:name="_Toc134086166"/>
      <w:r>
        <w:t>Stolpec (C) – Proračunsko leto n</w:t>
      </w:r>
      <w:bookmarkEnd w:id="184"/>
    </w:p>
    <w:p w14:paraId="43EB055C" w14:textId="77777777" w:rsidR="00DB3F3D" w:rsidRDefault="000C0F2B">
      <w:pPr>
        <w:pStyle w:val="Caption"/>
        <w:ind w:left="0" w:firstLine="0"/>
        <w:rPr>
          <w:b w:val="0"/>
          <w:i/>
        </w:rPr>
      </w:pPr>
      <w:bookmarkStart w:id="185" w:name="_Toc18335513"/>
      <w:bookmarkStart w:id="186" w:name="_Toc18336228"/>
      <w:bookmarkStart w:id="187" w:name="_Toc18482657"/>
      <w:r>
        <w:rPr>
          <w:b w:val="0"/>
        </w:rPr>
        <w:t>Navesti je treba proračunsko leto, na katero se preglednica nanaša, tj</w:t>
      </w:r>
      <w:r>
        <w:rPr>
          <w:b w:val="0"/>
          <w:i/>
        </w:rPr>
        <w:t>.</w:t>
      </w:r>
      <w:r>
        <w:rPr>
          <w:b w:val="0"/>
        </w:rPr>
        <w:t xml:space="preserve"> „leto n“ za preglednice, ki jih je treba poslati Komisiji do 15. februarja „leta n + 1“. To polje omogoča razlikovanje med podatki, sporočenimi v različnih letih.</w:t>
      </w:r>
      <w:bookmarkEnd w:id="185"/>
      <w:bookmarkEnd w:id="186"/>
      <w:bookmarkEnd w:id="187"/>
    </w:p>
    <w:p w14:paraId="2A397A42" w14:textId="77777777" w:rsidR="00DB3F3D" w:rsidRDefault="000C0F2B">
      <w:pPr>
        <w:ind w:left="0" w:firstLine="0"/>
        <w:rPr>
          <w:snapToGrid w:val="0"/>
          <w:u w:val="single"/>
        </w:rPr>
      </w:pPr>
      <w:r>
        <w:rPr>
          <w:snapToGrid w:val="0"/>
          <w:u w:val="single"/>
        </w:rPr>
        <w:t>Zahtevana oblika:</w:t>
      </w:r>
      <w:r>
        <w:rPr>
          <w:snapToGrid w:val="0"/>
        </w:rPr>
        <w:t xml:space="preserve"> „LLLL“ (leto s štirimestno številko).</w:t>
      </w:r>
    </w:p>
    <w:p w14:paraId="7A13F5AA" w14:textId="77777777" w:rsidR="00DB3F3D" w:rsidRDefault="000C0F2B">
      <w:pPr>
        <w:pStyle w:val="Heading2"/>
        <w:numPr>
          <w:ilvl w:val="3"/>
          <w:numId w:val="37"/>
        </w:numPr>
      </w:pPr>
      <w:bookmarkStart w:id="188" w:name="_Toc422216471"/>
      <w:bookmarkStart w:id="189" w:name="_Toc134086167"/>
      <w:r>
        <w:t>Stolpec (C_III) – Denarna enota</w:t>
      </w:r>
      <w:bookmarkEnd w:id="188"/>
      <w:bookmarkEnd w:id="189"/>
    </w:p>
    <w:p w14:paraId="6AC463BB" w14:textId="77777777" w:rsidR="00DB3F3D" w:rsidRDefault="000C0F2B">
      <w:pPr>
        <w:ind w:left="0" w:firstLine="0"/>
      </w:pPr>
      <w:r>
        <w:t>Tukaj se navede denarna enota, v kateri se v preglednici navedejo zneski. V preglednici se zneski navedejo v nacionalni valuti.</w:t>
      </w:r>
    </w:p>
    <w:p w14:paraId="0B32E935" w14:textId="77777777" w:rsidR="00DB3F3D" w:rsidRDefault="000C0F2B">
      <w:pPr>
        <w:ind w:left="0" w:firstLine="0"/>
        <w:rPr>
          <w:snapToGrid w:val="0"/>
        </w:rPr>
      </w:pPr>
      <w:r>
        <w:rPr>
          <w:u w:val="single"/>
        </w:rPr>
        <w:t>Zahtevana oblika</w:t>
      </w:r>
      <w:r>
        <w:t>: koda ISO 4217: npr. DKK, EUR, GBP, HUF itd.</w:t>
      </w:r>
    </w:p>
    <w:p w14:paraId="3B295BDD" w14:textId="77777777" w:rsidR="00DB3F3D" w:rsidRDefault="000C0F2B">
      <w:pPr>
        <w:pStyle w:val="Heading2"/>
        <w:numPr>
          <w:ilvl w:val="3"/>
          <w:numId w:val="37"/>
        </w:numPr>
      </w:pPr>
      <w:bookmarkStart w:id="190" w:name="_Toc422216472"/>
      <w:r>
        <w:t xml:space="preserve"> </w:t>
      </w:r>
      <w:bookmarkStart w:id="191" w:name="_Toc134086168"/>
      <w:r>
        <w:t>Stolpec (I_III) – Kategorija neporavnanega zneska (sankcija v zvezi z navzkrižno skladnostjo, večletna sankcija ali drugo)</w:t>
      </w:r>
      <w:bookmarkEnd w:id="190"/>
      <w:bookmarkEnd w:id="191"/>
    </w:p>
    <w:p w14:paraId="3CB5FD4F" w14:textId="77777777" w:rsidR="00DB3F3D" w:rsidRDefault="000C0F2B">
      <w:pPr>
        <w:ind w:left="0" w:firstLine="0"/>
        <w:rPr>
          <w:snapToGrid w:val="0"/>
        </w:rPr>
      </w:pPr>
      <w:r>
        <w:rPr>
          <w:snapToGrid w:val="0"/>
        </w:rPr>
        <w:t>Tukaj se navede kategorija, kateri ustrezajo nepravilno plačani zneski.</w:t>
      </w:r>
    </w:p>
    <w:p w14:paraId="2CC3993D" w14:textId="77777777" w:rsidR="00DB3F3D" w:rsidRDefault="000C0F2B">
      <w:pPr>
        <w:ind w:left="0" w:firstLine="0"/>
      </w:pPr>
      <w:r>
        <w:rPr>
          <w:snapToGrid w:val="0"/>
          <w:u w:val="single"/>
        </w:rPr>
        <w:t>Zahtevana oblika</w:t>
      </w:r>
      <w:r>
        <w:rPr>
          <w:snapToGrid w:val="0"/>
        </w:rPr>
        <w:t>: označi se z enoznakovno kodo v skladu z naslednjim seznamom kod: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51"/>
      </w:tblGrid>
      <w:tr w:rsidR="00DB3F3D" w14:paraId="7D7FCA7B" w14:textId="77777777">
        <w:tc>
          <w:tcPr>
            <w:tcW w:w="1275" w:type="dxa"/>
          </w:tcPr>
          <w:p w14:paraId="66DA9552" w14:textId="77777777" w:rsidR="00DB3F3D" w:rsidRDefault="000C0F2B">
            <w:pPr>
              <w:pStyle w:val="Text2"/>
              <w:spacing w:after="0"/>
              <w:ind w:left="0" w:firstLine="0"/>
              <w:jc w:val="center"/>
              <w:rPr>
                <w:snapToGrid w:val="0"/>
              </w:rPr>
            </w:pPr>
            <w:r>
              <w:rPr>
                <w:snapToGrid w:val="0"/>
              </w:rPr>
              <w:t>Koda</w:t>
            </w:r>
          </w:p>
        </w:tc>
        <w:tc>
          <w:tcPr>
            <w:tcW w:w="7451" w:type="dxa"/>
          </w:tcPr>
          <w:p w14:paraId="6A9F54A9" w14:textId="77777777" w:rsidR="00DB3F3D" w:rsidRDefault="000C0F2B">
            <w:pPr>
              <w:pStyle w:val="Text2"/>
              <w:spacing w:after="0"/>
              <w:ind w:left="0" w:firstLine="0"/>
              <w:jc w:val="left"/>
              <w:rPr>
                <w:snapToGrid w:val="0"/>
              </w:rPr>
            </w:pPr>
            <w:r>
              <w:rPr>
                <w:snapToGrid w:val="0"/>
              </w:rPr>
              <w:t>Pomen</w:t>
            </w:r>
          </w:p>
        </w:tc>
      </w:tr>
      <w:tr w:rsidR="00DB3F3D" w14:paraId="480F05FA" w14:textId="77777777">
        <w:tc>
          <w:tcPr>
            <w:tcW w:w="1275" w:type="dxa"/>
            <w:vAlign w:val="center"/>
          </w:tcPr>
          <w:p w14:paraId="2A87D0E3" w14:textId="77777777" w:rsidR="00DB3F3D" w:rsidRDefault="000C0F2B">
            <w:pPr>
              <w:pStyle w:val="Text2"/>
              <w:spacing w:after="0"/>
              <w:ind w:left="0" w:firstLine="0"/>
              <w:jc w:val="center"/>
              <w:rPr>
                <w:snapToGrid w:val="0"/>
              </w:rPr>
            </w:pPr>
            <w:r>
              <w:rPr>
                <w:snapToGrid w:val="0"/>
              </w:rPr>
              <w:t>1</w:t>
            </w:r>
          </w:p>
        </w:tc>
        <w:tc>
          <w:tcPr>
            <w:tcW w:w="7451" w:type="dxa"/>
          </w:tcPr>
          <w:p w14:paraId="37656636" w14:textId="77777777" w:rsidR="00DB3F3D" w:rsidRDefault="000C0F2B">
            <w:pPr>
              <w:pStyle w:val="Text2"/>
              <w:spacing w:after="0"/>
              <w:ind w:left="0" w:firstLine="0"/>
              <w:jc w:val="left"/>
              <w:rPr>
                <w:snapToGrid w:val="0"/>
              </w:rPr>
            </w:pPr>
            <w:r>
              <w:rPr>
                <w:snapToGrid w:val="0"/>
              </w:rPr>
              <w:t>Sankcija v zvezi z navzkrižno skladnostjo</w:t>
            </w:r>
          </w:p>
        </w:tc>
      </w:tr>
      <w:tr w:rsidR="00DB3F3D" w14:paraId="1E69E287" w14:textId="77777777">
        <w:tc>
          <w:tcPr>
            <w:tcW w:w="1275" w:type="dxa"/>
            <w:vAlign w:val="center"/>
          </w:tcPr>
          <w:p w14:paraId="036511EE" w14:textId="77777777" w:rsidR="00DB3F3D" w:rsidRDefault="000C0F2B">
            <w:pPr>
              <w:pStyle w:val="Text2"/>
              <w:spacing w:after="0"/>
              <w:ind w:left="0" w:firstLine="0"/>
              <w:jc w:val="center"/>
              <w:rPr>
                <w:snapToGrid w:val="0"/>
              </w:rPr>
            </w:pPr>
            <w:r>
              <w:rPr>
                <w:snapToGrid w:val="0"/>
              </w:rPr>
              <w:t>2</w:t>
            </w:r>
          </w:p>
        </w:tc>
        <w:tc>
          <w:tcPr>
            <w:tcW w:w="7451" w:type="dxa"/>
          </w:tcPr>
          <w:p w14:paraId="576D7D39" w14:textId="77777777" w:rsidR="00DB3F3D" w:rsidRDefault="000C0F2B">
            <w:pPr>
              <w:pStyle w:val="Text2"/>
              <w:spacing w:after="0"/>
              <w:ind w:left="0" w:firstLine="0"/>
              <w:jc w:val="left"/>
              <w:rPr>
                <w:snapToGrid w:val="0"/>
              </w:rPr>
            </w:pPr>
            <w:r>
              <w:rPr>
                <w:snapToGrid w:val="0"/>
              </w:rPr>
              <w:t>Večletna sankcija</w:t>
            </w:r>
          </w:p>
        </w:tc>
      </w:tr>
      <w:tr w:rsidR="00DB3F3D" w14:paraId="2CAF581C" w14:textId="77777777">
        <w:tc>
          <w:tcPr>
            <w:tcW w:w="1275" w:type="dxa"/>
            <w:vAlign w:val="center"/>
          </w:tcPr>
          <w:p w14:paraId="5F242152" w14:textId="77777777" w:rsidR="00DB3F3D" w:rsidRDefault="000C0F2B">
            <w:pPr>
              <w:pStyle w:val="Text2"/>
              <w:spacing w:after="0"/>
              <w:ind w:left="0" w:firstLine="0"/>
              <w:jc w:val="center"/>
              <w:rPr>
                <w:snapToGrid w:val="0"/>
              </w:rPr>
            </w:pPr>
            <w:r>
              <w:rPr>
                <w:snapToGrid w:val="0"/>
              </w:rPr>
              <w:t>3</w:t>
            </w:r>
          </w:p>
        </w:tc>
        <w:tc>
          <w:tcPr>
            <w:tcW w:w="7451" w:type="dxa"/>
          </w:tcPr>
          <w:p w14:paraId="081F1D2F" w14:textId="77777777" w:rsidR="00DB3F3D" w:rsidRDefault="000C0F2B">
            <w:pPr>
              <w:pStyle w:val="Text2"/>
              <w:spacing w:after="0"/>
              <w:ind w:left="0" w:firstLine="0"/>
              <w:jc w:val="left"/>
              <w:rPr>
                <w:snapToGrid w:val="0"/>
              </w:rPr>
            </w:pPr>
            <w:r>
              <w:rPr>
                <w:snapToGrid w:val="0"/>
              </w:rPr>
              <w:t>Drugi razlog razen sankcije v zvezi z navzkrižno skladnostjo in večletne sankcije</w:t>
            </w:r>
          </w:p>
        </w:tc>
      </w:tr>
    </w:tbl>
    <w:p w14:paraId="5DD40150" w14:textId="77777777" w:rsidR="00DB3F3D" w:rsidRDefault="000C0F2B">
      <w:pPr>
        <w:pStyle w:val="Heading2"/>
        <w:numPr>
          <w:ilvl w:val="3"/>
          <w:numId w:val="37"/>
        </w:numPr>
        <w:spacing w:before="240"/>
      </w:pPr>
      <w:bookmarkStart w:id="192" w:name="_Toc17899985"/>
      <w:bookmarkStart w:id="193" w:name="_Toc18335367"/>
      <w:bookmarkStart w:id="194" w:name="_Toc18335516"/>
      <w:bookmarkStart w:id="195" w:name="_Toc18336231"/>
      <w:bookmarkStart w:id="196" w:name="_Toc422216473"/>
      <w:bookmarkEnd w:id="192"/>
      <w:bookmarkEnd w:id="193"/>
      <w:bookmarkEnd w:id="194"/>
      <w:bookmarkEnd w:id="195"/>
      <w:r>
        <w:t xml:space="preserve"> </w:t>
      </w:r>
      <w:bookmarkStart w:id="197" w:name="_Toc134086169"/>
      <w:r>
        <w:t>Stolpec (D_III) – Stanje na dan 15. oktobra n – 1</w:t>
      </w:r>
      <w:bookmarkEnd w:id="196"/>
      <w:bookmarkEnd w:id="197"/>
    </w:p>
    <w:p w14:paraId="29433D6B" w14:textId="77777777" w:rsidR="00DB3F3D" w:rsidRDefault="000C0F2B">
      <w:pPr>
        <w:ind w:left="0" w:firstLine="0"/>
      </w:pPr>
      <w:r>
        <w:t>To je začetno stanje teh primerov izterjave zneskov (brez nepravilnosti in administrativnih napak), ki se dolgujejo EKJS/EKSRP/ZIRP za proračunsko leto n.</w:t>
      </w:r>
    </w:p>
    <w:p w14:paraId="1398062B" w14:textId="77777777" w:rsidR="00DB3F3D" w:rsidRDefault="000C0F2B">
      <w:pPr>
        <w:ind w:left="0" w:firstLine="0"/>
        <w:rPr>
          <w:snapToGrid w:val="0"/>
        </w:rPr>
      </w:pPr>
      <w:r>
        <w:rPr>
          <w:snapToGrid w:val="0"/>
          <w:u w:val="single"/>
        </w:rPr>
        <w:t>Zahtevana oblika</w:t>
      </w:r>
      <w:r>
        <w:rPr>
          <w:snapToGrid w:val="0"/>
        </w:rPr>
        <w:t>: +99…99.99, kjer 9 pomeni števko od 0 do 9.</w:t>
      </w:r>
    </w:p>
    <w:p w14:paraId="4A31605C" w14:textId="77777777" w:rsidR="00DB3F3D" w:rsidRDefault="000C0F2B">
      <w:pPr>
        <w:pStyle w:val="Heading2"/>
        <w:numPr>
          <w:ilvl w:val="3"/>
          <w:numId w:val="37"/>
        </w:numPr>
      </w:pPr>
      <w:bookmarkStart w:id="198" w:name="_Toc18335369"/>
      <w:bookmarkStart w:id="199" w:name="_Toc18335518"/>
      <w:bookmarkStart w:id="200" w:name="_Toc18336233"/>
      <w:bookmarkStart w:id="201" w:name="_Toc422216474"/>
      <w:bookmarkEnd w:id="198"/>
      <w:bookmarkEnd w:id="199"/>
      <w:bookmarkEnd w:id="200"/>
      <w:r>
        <w:t xml:space="preserve"> </w:t>
      </w:r>
      <w:bookmarkStart w:id="202" w:name="_Toc134086170"/>
      <w:r>
        <w:t>Stolpec (E_III) – Novi primeri (leto n)</w:t>
      </w:r>
      <w:bookmarkEnd w:id="201"/>
      <w:bookmarkEnd w:id="202"/>
    </w:p>
    <w:p w14:paraId="634A80DD" w14:textId="77777777" w:rsidR="00DB3F3D" w:rsidRDefault="000C0F2B">
      <w:pPr>
        <w:ind w:left="0" w:firstLine="0"/>
      </w:pPr>
      <w:r>
        <w:t>Tukaj se navedejo zneski za izterjavo (brez nepravilnosti in administrativnih napak), zabeleženi v proračunskem letu n.</w:t>
      </w:r>
    </w:p>
    <w:p w14:paraId="3C3E7727" w14:textId="77777777" w:rsidR="00DB3F3D" w:rsidRDefault="000C0F2B">
      <w:pPr>
        <w:ind w:left="0" w:firstLine="0"/>
      </w:pPr>
      <w:r>
        <w:rPr>
          <w:snapToGrid w:val="0"/>
          <w:u w:val="single"/>
        </w:rPr>
        <w:t>Zahtevana oblika</w:t>
      </w:r>
      <w:r>
        <w:rPr>
          <w:snapToGrid w:val="0"/>
        </w:rPr>
        <w:t>: +99…99.99, kjer 9 pomeni števko od 0 do 9.</w:t>
      </w:r>
    </w:p>
    <w:p w14:paraId="436DD6FA" w14:textId="77777777" w:rsidR="00DB3F3D" w:rsidRDefault="000C0F2B">
      <w:pPr>
        <w:pStyle w:val="Heading2"/>
        <w:numPr>
          <w:ilvl w:val="3"/>
          <w:numId w:val="37"/>
        </w:numPr>
      </w:pPr>
      <w:bookmarkStart w:id="203" w:name="_Toc422216475"/>
      <w:r>
        <w:t xml:space="preserve"> </w:t>
      </w:r>
      <w:bookmarkStart w:id="204" w:name="_Toc134086171"/>
      <w:r>
        <w:t>Stolpec (F_III) – Skupne izterjave (leto n)</w:t>
      </w:r>
      <w:bookmarkEnd w:id="203"/>
      <w:bookmarkEnd w:id="204"/>
    </w:p>
    <w:p w14:paraId="67DD1D6B" w14:textId="77777777" w:rsidR="00DB3F3D" w:rsidRDefault="000C0F2B">
      <w:pPr>
        <w:ind w:left="0" w:firstLine="0"/>
        <w:rPr>
          <w:snapToGrid w:val="0"/>
        </w:rPr>
      </w:pPr>
      <w:r>
        <w:t>V tem stolpcu se z negativnim predznakom navedejo sešteti zneski, izterjani v proračunskem letu n.</w:t>
      </w:r>
    </w:p>
    <w:p w14:paraId="28BE8197" w14:textId="77777777" w:rsidR="00DB3F3D" w:rsidRDefault="000C0F2B">
      <w:pPr>
        <w:ind w:left="0" w:firstLine="0"/>
        <w:rPr>
          <w:snapToGrid w:val="0"/>
        </w:rPr>
      </w:pPr>
      <w:r>
        <w:rPr>
          <w:snapToGrid w:val="0"/>
          <w:u w:val="single"/>
        </w:rPr>
        <w:t>Zahtevana oblika</w:t>
      </w:r>
      <w:r>
        <w:rPr>
          <w:snapToGrid w:val="0"/>
        </w:rPr>
        <w:t>: –99…99.99, kjer 9 pomeni števko od 0 do 9.</w:t>
      </w:r>
    </w:p>
    <w:p w14:paraId="2F7E5107" w14:textId="77777777" w:rsidR="00DB3F3D" w:rsidRDefault="000C0F2B">
      <w:pPr>
        <w:pStyle w:val="Heading2"/>
        <w:numPr>
          <w:ilvl w:val="3"/>
          <w:numId w:val="37"/>
        </w:numPr>
      </w:pPr>
      <w:bookmarkStart w:id="205" w:name="_Toc18335372"/>
      <w:bookmarkStart w:id="206" w:name="_Toc18335521"/>
      <w:bookmarkStart w:id="207" w:name="_Toc18336236"/>
      <w:bookmarkStart w:id="208" w:name="_Toc422216476"/>
      <w:bookmarkEnd w:id="205"/>
      <w:bookmarkEnd w:id="206"/>
      <w:bookmarkEnd w:id="207"/>
      <w:r>
        <w:t xml:space="preserve"> </w:t>
      </w:r>
      <w:bookmarkStart w:id="209" w:name="_Toc134086172"/>
      <w:r>
        <w:t>Stolpec (G_III) – Skupni popravki, vključno z neizterljivimi zneski (leto n)</w:t>
      </w:r>
      <w:bookmarkEnd w:id="208"/>
      <w:bookmarkEnd w:id="209"/>
    </w:p>
    <w:p w14:paraId="1BF744D9" w14:textId="77777777" w:rsidR="00DB3F3D" w:rsidRDefault="000C0F2B">
      <w:pPr>
        <w:ind w:left="0" w:firstLine="0"/>
      </w:pPr>
      <w:r>
        <w:t xml:space="preserve">V tem stolpcu se navede znesek obresti na prvotni neporavnani znesek v proračunskem letu n ter vsi popravki (+ ali –), ki so posledica revizije zneska za izterjavo v </w:t>
      </w:r>
      <w:r>
        <w:lastRenderedPageBreak/>
        <w:t xml:space="preserve">proračunskem letu n – 1, vključno z neizterljivimi zneski. </w:t>
      </w:r>
      <w:r>
        <w:rPr>
          <w:snapToGrid w:val="0"/>
        </w:rPr>
        <w:t>Znesek je lahko pozitiven ali negativen.</w:t>
      </w:r>
    </w:p>
    <w:p w14:paraId="7819015C" w14:textId="77777777" w:rsidR="00DB3F3D" w:rsidRDefault="000C0F2B">
      <w:pPr>
        <w:ind w:left="0" w:firstLine="0"/>
        <w:rPr>
          <w:snapToGrid w:val="0"/>
        </w:rPr>
      </w:pPr>
      <w:r>
        <w:rPr>
          <w:snapToGrid w:val="0"/>
          <w:u w:val="single"/>
        </w:rPr>
        <w:t>Zahtevana oblika</w:t>
      </w:r>
      <w:r>
        <w:rPr>
          <w:snapToGrid w:val="0"/>
        </w:rPr>
        <w:t>: +99…99.99 ali –99…99.99, kjer 9 pomeni števko od 0 do 9.</w:t>
      </w:r>
    </w:p>
    <w:p w14:paraId="72562007" w14:textId="77777777" w:rsidR="00DB3F3D" w:rsidRDefault="000C0F2B">
      <w:pPr>
        <w:pStyle w:val="Heading2"/>
        <w:numPr>
          <w:ilvl w:val="3"/>
          <w:numId w:val="37"/>
        </w:numPr>
      </w:pPr>
      <w:bookmarkStart w:id="210" w:name="_Toc18335374"/>
      <w:bookmarkStart w:id="211" w:name="_Toc18335523"/>
      <w:bookmarkStart w:id="212" w:name="_Toc18336238"/>
      <w:bookmarkStart w:id="213" w:name="_Toc422216477"/>
      <w:bookmarkStart w:id="214" w:name="_Toc134086173"/>
      <w:bookmarkEnd w:id="210"/>
      <w:bookmarkEnd w:id="211"/>
      <w:bookmarkEnd w:id="212"/>
      <w:r>
        <w:t>Stolpec (H_III) – Znesek za izterjavo 15. oktobra leta n</w:t>
      </w:r>
      <w:bookmarkEnd w:id="213"/>
      <w:bookmarkEnd w:id="214"/>
    </w:p>
    <w:p w14:paraId="6D17A540" w14:textId="77777777" w:rsidR="00DB3F3D" w:rsidRDefault="000C0F2B">
      <w:pPr>
        <w:ind w:left="0" w:firstLine="0"/>
      </w:pPr>
      <w:r>
        <w:t xml:space="preserve">To je znesek, ki ga je na dan 15. oktobra leta n še treba izterjati. Stolpec (H_III) je vsota stolpcev (D_III), (E_III), (F_III) in (G_III). </w:t>
      </w:r>
    </w:p>
    <w:p w14:paraId="3F2B7A11" w14:textId="77777777" w:rsidR="00DB3F3D" w:rsidRDefault="000C0F2B">
      <w:pPr>
        <w:ind w:left="0" w:firstLine="0"/>
        <w:rPr>
          <w:snapToGrid w:val="0"/>
        </w:rPr>
      </w:pPr>
      <w:r>
        <w:rPr>
          <w:snapToGrid w:val="0"/>
          <w:u w:val="single"/>
        </w:rPr>
        <w:t>Zahtevana oblika</w:t>
      </w:r>
      <w:r>
        <w:rPr>
          <w:snapToGrid w:val="0"/>
        </w:rPr>
        <w:t>: +99…99.99, kjer 9 pomeni števko od 0 do 9.</w:t>
      </w:r>
    </w:p>
    <w:p w14:paraId="01F6B4B9" w14:textId="77777777" w:rsidR="00DB3F3D" w:rsidRDefault="000C0F2B">
      <w:pPr>
        <w:pStyle w:val="Heading3"/>
        <w:numPr>
          <w:ilvl w:val="2"/>
          <w:numId w:val="37"/>
        </w:numPr>
      </w:pPr>
      <w:bookmarkStart w:id="215" w:name="_Toc17899991"/>
      <w:bookmarkEnd w:id="215"/>
      <w:r>
        <w:rPr>
          <w:b/>
          <w:i w:val="0"/>
        </w:rPr>
        <w:t xml:space="preserve"> </w:t>
      </w:r>
      <w:bookmarkStart w:id="216" w:name="_Toc134086174"/>
      <w:r>
        <w:rPr>
          <w:b/>
          <w:i w:val="0"/>
        </w:rPr>
        <w:t>Primer</w:t>
      </w:r>
      <w:bookmarkEnd w:id="216"/>
    </w:p>
    <w:p w14:paraId="707FC8D0" w14:textId="77777777" w:rsidR="00DB3F3D" w:rsidRDefault="000C0F2B">
      <w:pPr>
        <w:pStyle w:val="Text3"/>
        <w:ind w:left="0" w:firstLine="0"/>
      </w:pPr>
      <w:r>
        <w:t>Priloga 6 k tej smernici prikazuje razmerje med prejšnjo preglednico s povzetkom iz Priloge III (člen 29(g) Uredbe (EU) št. 908/2014) in novim formatom datoteke .csv.</w:t>
      </w:r>
    </w:p>
    <w:p w14:paraId="7147C8D3" w14:textId="77777777" w:rsidR="00DB3F3D" w:rsidRDefault="000C0F2B">
      <w:pPr>
        <w:pStyle w:val="Heading3"/>
        <w:numPr>
          <w:ilvl w:val="2"/>
          <w:numId w:val="37"/>
        </w:numPr>
      </w:pPr>
      <w:bookmarkStart w:id="217" w:name="_Toc18335376"/>
      <w:bookmarkStart w:id="218" w:name="_Toc18335525"/>
      <w:bookmarkStart w:id="219" w:name="_Toc18336240"/>
      <w:bookmarkStart w:id="220" w:name="_Toc18482099"/>
      <w:bookmarkStart w:id="221" w:name="_Toc18482241"/>
      <w:bookmarkStart w:id="222" w:name="_Toc18482382"/>
      <w:bookmarkStart w:id="223" w:name="_Toc18482665"/>
      <w:bookmarkStart w:id="224" w:name="_Toc134086175"/>
      <w:bookmarkEnd w:id="217"/>
      <w:bookmarkEnd w:id="218"/>
      <w:bookmarkEnd w:id="219"/>
      <w:bookmarkEnd w:id="220"/>
      <w:bookmarkEnd w:id="221"/>
      <w:bookmarkEnd w:id="222"/>
      <w:bookmarkEnd w:id="223"/>
      <w:r>
        <w:rPr>
          <w:b/>
          <w:i w:val="0"/>
        </w:rPr>
        <w:t>Prenos</w:t>
      </w:r>
      <w:bookmarkEnd w:id="224"/>
    </w:p>
    <w:p w14:paraId="69F041C2" w14:textId="77777777" w:rsidR="00DB3F3D" w:rsidRDefault="000C0F2B">
      <w:pPr>
        <w:ind w:left="0" w:firstLine="0"/>
      </w:pPr>
      <w:r>
        <w:t>Države članice morajo računalniške datoteke Komisiji poslati do 15. februarja po proračunskem letu n po sistemu SFC2014, oddelek „ANNUAL ACCOUNTS – ART 30(1)(A) REG(EU) NO908/2014“, „Debtor Ledger“ (Letni obračuni – člen 30(1)(a) Uredbe (EU) št. 908/2014, Knjiga terjatev), vrsta dokumenta „Annex III“ (Priloga III).</w:t>
      </w:r>
    </w:p>
    <w:p w14:paraId="41179A1A" w14:textId="77777777" w:rsidR="00DB3F3D" w:rsidRDefault="000C0F2B">
      <w:pPr>
        <w:rPr>
          <w:b/>
          <w:smallCaps/>
        </w:rPr>
      </w:pPr>
      <w:r>
        <w:br w:type="page"/>
      </w:r>
    </w:p>
    <w:p w14:paraId="417F9D21" w14:textId="77777777" w:rsidR="00DB3F3D" w:rsidRDefault="000C0F2B">
      <w:pPr>
        <w:pStyle w:val="Heading1"/>
        <w:numPr>
          <w:ilvl w:val="1"/>
          <w:numId w:val="37"/>
        </w:numPr>
      </w:pPr>
      <w:bookmarkStart w:id="225" w:name="_Toc134086176"/>
      <w:r>
        <w:rPr>
          <w:smallCaps w:val="0"/>
        </w:rPr>
        <w:lastRenderedPageBreak/>
        <w:t>Podrobna preglednica o izterjavah za pretekla programska obdobja</w:t>
      </w:r>
      <w:bookmarkEnd w:id="225"/>
    </w:p>
    <w:p w14:paraId="57BBD1FB" w14:textId="77777777" w:rsidR="00DB3F3D" w:rsidRDefault="000C0F2B">
      <w:pPr>
        <w:pStyle w:val="Heading1"/>
        <w:numPr>
          <w:ilvl w:val="2"/>
          <w:numId w:val="48"/>
        </w:numPr>
        <w:rPr>
          <w:smallCaps w:val="0"/>
        </w:rPr>
      </w:pPr>
      <w:bookmarkStart w:id="226" w:name="_Toc18335379"/>
      <w:bookmarkStart w:id="227" w:name="_Toc18335528"/>
      <w:bookmarkStart w:id="228" w:name="_Toc18336243"/>
      <w:bookmarkStart w:id="229" w:name="_Toc18482102"/>
      <w:bookmarkStart w:id="230" w:name="_Toc18482244"/>
      <w:bookmarkStart w:id="231" w:name="_Toc18482385"/>
      <w:bookmarkStart w:id="232" w:name="_Toc18482668"/>
      <w:bookmarkStart w:id="233" w:name="_Toc134086177"/>
      <w:bookmarkEnd w:id="226"/>
      <w:bookmarkEnd w:id="227"/>
      <w:bookmarkEnd w:id="228"/>
      <w:bookmarkEnd w:id="229"/>
      <w:bookmarkEnd w:id="230"/>
      <w:bookmarkEnd w:id="231"/>
      <w:bookmarkEnd w:id="232"/>
      <w:r>
        <w:rPr>
          <w:smallCaps w:val="0"/>
        </w:rPr>
        <w:t>Primeri, o katerih se poroča</w:t>
      </w:r>
      <w:bookmarkEnd w:id="233"/>
    </w:p>
    <w:p w14:paraId="5B735F9A" w14:textId="77777777" w:rsidR="00DB3F3D" w:rsidRDefault="000C0F2B">
      <w:pPr>
        <w:spacing w:after="120"/>
        <w:ind w:left="0" w:firstLine="0"/>
      </w:pPr>
      <w:r>
        <w:t>V skladu s členom 56(2) Uredbe (EU) št. 1306/2013 Evropskega parlamenta in Sveta država članica po zaključku EKSRP (2007–2013) in ZIRP zneske, izterjane od upravičencev, vrne v proračun Unije. Izterjavi po zaključku programa sledijo nadaljnji ukrepi na podlagi poročanja v prilogah II in III k Izvedbeni uredbi Komisije (EU) št. 908/2014. To poročanje je podlaga za pripravo naloga za izterjavo, ki se izda v skladu s členoma 98 in 100 finančne uredbe (EU, Euratom) 2018/1046.</w:t>
      </w:r>
    </w:p>
    <w:p w14:paraId="7427737B" w14:textId="77777777" w:rsidR="00DB3F3D" w:rsidRDefault="000C0F2B">
      <w:pPr>
        <w:spacing w:after="120"/>
        <w:ind w:left="0" w:firstLine="0"/>
        <w:rPr>
          <w:i/>
        </w:rPr>
      </w:pPr>
      <w:r>
        <w:t xml:space="preserve">Vendar za programsko obdobje 2023–2027 člen 57(1), drugi odstavek, Uredbe (EU) 2021/2116 navaja, da se </w:t>
      </w:r>
      <w:r>
        <w:rPr>
          <w:i/>
          <w:iCs/>
        </w:rPr>
        <w:t>[z]neski financiranja Unije iz EKSRP, ki se prekličejo, in izterjani zneski s pripadajočimi obrestmi [...] prerazporedijo za druge operacije razvoja podeželja iz strateških načrtov SKP</w:t>
      </w:r>
      <w:r>
        <w:t xml:space="preserve">. Navaja tudi, da </w:t>
      </w:r>
      <w:r>
        <w:rPr>
          <w:i/>
          <w:iCs/>
        </w:rPr>
        <w:t>lahko država članica preklicana ali izterjana sredstva Unije v celoti ponovno uporabi le za operacijo razvoja podeželja, predvideno v njenem strateškem načrtu SKP, in teh sredstev ne sme prerazporediti za operacije za razvoj podeželja, ki so bile predmet finančnega popravka</w:t>
      </w:r>
      <w:r>
        <w:t>.</w:t>
      </w:r>
      <w:r>
        <w:rPr>
          <w:i/>
        </w:rPr>
        <w:t xml:space="preserve"> </w:t>
      </w:r>
    </w:p>
    <w:p w14:paraId="28861C0A" w14:textId="77777777" w:rsidR="00DB3F3D" w:rsidRDefault="000C0F2B">
      <w:pPr>
        <w:spacing w:after="120"/>
        <w:ind w:left="0" w:firstLine="0"/>
        <w:rPr>
          <w:i/>
        </w:rPr>
      </w:pPr>
      <w:r>
        <w:t xml:space="preserve">Kot je določeno v tej določbi, se lahko izterjani zneski, financirani v okviru EKSRP, od 1. 1. 2023 naprej </w:t>
      </w:r>
      <w:r>
        <w:rPr>
          <w:i/>
          <w:iCs/>
        </w:rPr>
        <w:t>prerazporedijo za druge operacije razvoja podeželja iz strateških načrtov SKP</w:t>
      </w:r>
      <w:r>
        <w:t>, če so izpolnjeni pogoji iz istega člena</w:t>
      </w:r>
      <w:r>
        <w:rPr>
          <w:rStyle w:val="FootnoteReference"/>
        </w:rPr>
        <w:footnoteReference w:id="28"/>
      </w:r>
      <w:r>
        <w:t>.</w:t>
      </w:r>
      <w:r>
        <w:rPr>
          <w:i/>
        </w:rPr>
        <w:t xml:space="preserve"> </w:t>
      </w:r>
    </w:p>
    <w:p w14:paraId="3BEE63E8" w14:textId="77777777" w:rsidR="00DB3F3D" w:rsidRDefault="000C0F2B">
      <w:pPr>
        <w:ind w:left="0" w:firstLine="0"/>
      </w:pPr>
      <w:r>
        <w:t>V tem delu smernic so določena navodila za pripravo in pošiljanje podrobne preglednice o izterjavah za pretekla programska obdobja (v nadaljnjem besedilu: podrobna preglednica o izterjavah). V tej podrobni preglednici o izterjavah je treba poročati samo o primerih v zvezi z EKSRP (2007–2013) in ZIRP.</w:t>
      </w:r>
    </w:p>
    <w:p w14:paraId="437B7E91" w14:textId="77777777" w:rsidR="00DB3F3D" w:rsidRDefault="000C0F2B">
      <w:pPr>
        <w:ind w:left="0" w:firstLine="0"/>
      </w:pPr>
      <w:r>
        <w:t>Države članice morajo od proračunskega leta 2019 naprej podatke predložiti v strukturirani računalniški datoteki v skladu z značilnostmi, opisanimi v oddelku A, del 2, točka 2.1.3.5. Podrobna navodila o načinu poročanja v različnih stolpcih so navedena v nadaljevanju.</w:t>
      </w:r>
    </w:p>
    <w:p w14:paraId="73B35EDC" w14:textId="77777777" w:rsidR="00DB3F3D" w:rsidRDefault="000C0F2B">
      <w:pPr>
        <w:ind w:left="0" w:firstLine="0"/>
      </w:pPr>
      <w:r>
        <w:t>Potrditi jo mora certifikacijski organ tako glede točnosti zneskov v preglednici kot glede pravilnosti razkritja/kategorizacije v posameznih stolpcih podrobne preglednice o izterjavah. Potrditev zneskov, sporočenih v podrobni preglednici o izterjavah, mora biti navedena v poročilu certifikacijskega organa za proračunsko leto n v oddelku 5.3.3. in/ali 18.4.3. v okviru potrjevanja letnih obračunov.</w:t>
      </w:r>
    </w:p>
    <w:p w14:paraId="434B0420" w14:textId="77777777" w:rsidR="00DB3F3D" w:rsidRDefault="000C0F2B">
      <w:pPr>
        <w:pStyle w:val="Heading1"/>
        <w:numPr>
          <w:ilvl w:val="2"/>
          <w:numId w:val="48"/>
        </w:numPr>
        <w:rPr>
          <w:smallCaps w:val="0"/>
        </w:rPr>
      </w:pPr>
      <w:bookmarkStart w:id="234" w:name="_Toc118877706"/>
      <w:bookmarkStart w:id="235" w:name="_Toc17899995"/>
      <w:bookmarkStart w:id="236" w:name="_Toc520884369"/>
      <w:bookmarkStart w:id="237" w:name="_Toc134086178"/>
      <w:bookmarkEnd w:id="234"/>
      <w:bookmarkEnd w:id="235"/>
      <w:r>
        <w:rPr>
          <w:smallCaps w:val="0"/>
        </w:rPr>
        <w:lastRenderedPageBreak/>
        <w:t>Vsebina stolpcev</w:t>
      </w:r>
      <w:bookmarkEnd w:id="236"/>
      <w:bookmarkEnd w:id="237"/>
    </w:p>
    <w:p w14:paraId="2FEA102D" w14:textId="77777777" w:rsidR="00DB3F3D" w:rsidRDefault="000C0F2B">
      <w:pPr>
        <w:pStyle w:val="Heading2"/>
        <w:keepLines/>
        <w:numPr>
          <w:ilvl w:val="3"/>
          <w:numId w:val="48"/>
        </w:numPr>
      </w:pPr>
      <w:bookmarkStart w:id="238" w:name="_Toc520884370"/>
      <w:r>
        <w:t xml:space="preserve"> </w:t>
      </w:r>
      <w:bookmarkStart w:id="239" w:name="_Toc134086179"/>
      <w:r>
        <w:t>Stolpec (AA) – Primer (staro/novo)</w:t>
      </w:r>
      <w:bookmarkEnd w:id="239"/>
    </w:p>
    <w:p w14:paraId="417B4BF0" w14:textId="77777777" w:rsidR="00DB3F3D" w:rsidRDefault="000C0F2B">
      <w:pPr>
        <w:pStyle w:val="Caption"/>
        <w:ind w:left="0" w:firstLine="0"/>
        <w:rPr>
          <w:b w:val="0"/>
        </w:rPr>
      </w:pPr>
      <w:bookmarkStart w:id="240" w:name="_Toc18335532"/>
      <w:bookmarkStart w:id="241" w:name="_Toc18336247"/>
      <w:bookmarkStart w:id="242" w:name="_Toc18482672"/>
      <w:r>
        <w:rPr>
          <w:b w:val="0"/>
        </w:rPr>
        <w:t>To polje omogoča razlikovanje med „starimi“ in „novimi“ primeri nepravilnosti, kot je opisano v oddelku A, del 2, točke 2.1.2.3. teh smernic.</w:t>
      </w:r>
      <w:bookmarkStart w:id="243" w:name="_Toc18335533"/>
      <w:bookmarkStart w:id="244" w:name="_Toc18482673"/>
      <w:bookmarkEnd w:id="240"/>
      <w:bookmarkEnd w:id="241"/>
      <w:bookmarkEnd w:id="242"/>
    </w:p>
    <w:p w14:paraId="321D1BDE" w14:textId="77777777" w:rsidR="00DB3F3D" w:rsidRDefault="000C0F2B">
      <w:pPr>
        <w:pStyle w:val="Caption"/>
        <w:ind w:left="0" w:firstLine="0"/>
        <w:rPr>
          <w:b w:val="0"/>
        </w:rPr>
      </w:pPr>
      <w:r>
        <w:rPr>
          <w:b w:val="0"/>
          <w:u w:val="single"/>
        </w:rPr>
        <w:t>Zahtevana oblika:</w:t>
      </w:r>
      <w:r>
        <w:rPr>
          <w:b w:val="0"/>
        </w:rPr>
        <w:t xml:space="preserve"> staro = „O“; novo = „N“.</w:t>
      </w:r>
      <w:bookmarkEnd w:id="243"/>
      <w:bookmarkEnd w:id="244"/>
    </w:p>
    <w:p w14:paraId="21C2D9C9" w14:textId="77777777" w:rsidR="00DB3F3D" w:rsidRDefault="000C0F2B">
      <w:pPr>
        <w:pStyle w:val="Heading2"/>
        <w:keepLines/>
        <w:numPr>
          <w:ilvl w:val="3"/>
          <w:numId w:val="48"/>
        </w:numPr>
        <w:spacing w:before="240"/>
      </w:pPr>
      <w:r>
        <w:t xml:space="preserve"> </w:t>
      </w:r>
      <w:bookmarkStart w:id="245" w:name="_Toc134086180"/>
      <w:r>
        <w:t>Stolpec (A) – Plačilna agencija</w:t>
      </w:r>
      <w:bookmarkEnd w:id="245"/>
    </w:p>
    <w:p w14:paraId="4B29A818" w14:textId="77777777" w:rsidR="00DB3F3D" w:rsidRDefault="000C0F2B">
      <w:pPr>
        <w:pStyle w:val="Text2"/>
        <w:ind w:left="0" w:firstLine="0"/>
      </w:pPr>
      <w:r>
        <w:t xml:space="preserve">Koda plačilne agencije, ki je odgovorna za izterjavo nepravilno izplačanega zneska. </w:t>
      </w:r>
    </w:p>
    <w:p w14:paraId="182283C7" w14:textId="77777777" w:rsidR="00DB3F3D" w:rsidRDefault="000C0F2B">
      <w:pPr>
        <w:pStyle w:val="Text2"/>
        <w:ind w:left="0" w:firstLine="0"/>
      </w:pPr>
      <w:r>
        <w:rPr>
          <w:snapToGrid w:val="0"/>
          <w:u w:val="single"/>
        </w:rPr>
        <w:t>Zahtevana oblika</w:t>
      </w:r>
      <w:r>
        <w:rPr>
          <w:snapToGrid w:val="0"/>
        </w:rPr>
        <w:t>:</w:t>
      </w:r>
      <w:r>
        <w:t xml:space="preserve"> DČ99, pri čemer DČ pomeni dvočrkovno kodo države članice po ISO, 9 pa pomeni števko od 0 do 9.</w:t>
      </w:r>
    </w:p>
    <w:p w14:paraId="7F2621B6" w14:textId="77777777" w:rsidR="00DB3F3D" w:rsidRDefault="000C0F2B">
      <w:pPr>
        <w:pStyle w:val="Heading2"/>
        <w:keepLines/>
        <w:numPr>
          <w:ilvl w:val="3"/>
          <w:numId w:val="48"/>
        </w:numPr>
        <w:spacing w:before="240"/>
      </w:pPr>
      <w:r>
        <w:t xml:space="preserve"> </w:t>
      </w:r>
      <w:bookmarkStart w:id="246" w:name="_Toc134086181"/>
      <w:r>
        <w:t>Stolpec (B) – Sklad</w:t>
      </w:r>
      <w:bookmarkEnd w:id="246"/>
    </w:p>
    <w:p w14:paraId="74E83AB3" w14:textId="77777777" w:rsidR="00DB3F3D" w:rsidRDefault="000C0F2B">
      <w:pPr>
        <w:pStyle w:val="Text2"/>
        <w:ind w:left="0" w:firstLine="0"/>
      </w:pPr>
      <w:r>
        <w:t xml:space="preserve">Na tem mestu se navede sklad, iz katerega je bil nepravilno izplačan znesek. </w:t>
      </w:r>
    </w:p>
    <w:p w14:paraId="0C20E156" w14:textId="77777777" w:rsidR="00DB3F3D" w:rsidRDefault="000C0F2B">
      <w:pPr>
        <w:ind w:left="0" w:firstLine="0"/>
        <w:rPr>
          <w:snapToGrid w:val="0"/>
        </w:rPr>
      </w:pPr>
      <w:r>
        <w:rPr>
          <w:snapToGrid w:val="0"/>
          <w:u w:val="single"/>
        </w:rPr>
        <w:t>Zahtevana oblika:</w:t>
      </w:r>
      <w:r>
        <w:rPr>
          <w:snapToGrid w:val="0"/>
        </w:rPr>
        <w:t xml:space="preserve"> označi se z enoznakovno kodo v skladu z naslednjim seznamom kod: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51"/>
      </w:tblGrid>
      <w:tr w:rsidR="00DB3F3D" w14:paraId="3C4EED1A" w14:textId="77777777">
        <w:tc>
          <w:tcPr>
            <w:tcW w:w="1275" w:type="dxa"/>
          </w:tcPr>
          <w:p w14:paraId="647160E7" w14:textId="77777777" w:rsidR="00DB3F3D" w:rsidRDefault="000C0F2B">
            <w:pPr>
              <w:pStyle w:val="Text2"/>
              <w:spacing w:after="0"/>
              <w:ind w:left="0" w:firstLine="0"/>
              <w:jc w:val="center"/>
              <w:rPr>
                <w:snapToGrid w:val="0"/>
              </w:rPr>
            </w:pPr>
            <w:r>
              <w:rPr>
                <w:snapToGrid w:val="0"/>
              </w:rPr>
              <w:t>Koda</w:t>
            </w:r>
          </w:p>
        </w:tc>
        <w:tc>
          <w:tcPr>
            <w:tcW w:w="7451" w:type="dxa"/>
          </w:tcPr>
          <w:p w14:paraId="6C9F74C0" w14:textId="77777777" w:rsidR="00DB3F3D" w:rsidRDefault="000C0F2B">
            <w:pPr>
              <w:pStyle w:val="Text2"/>
              <w:spacing w:after="0"/>
              <w:ind w:left="0" w:firstLine="0"/>
              <w:jc w:val="left"/>
              <w:rPr>
                <w:snapToGrid w:val="0"/>
              </w:rPr>
            </w:pPr>
            <w:r>
              <w:rPr>
                <w:snapToGrid w:val="0"/>
              </w:rPr>
              <w:t>Pomen</w:t>
            </w:r>
          </w:p>
        </w:tc>
      </w:tr>
      <w:tr w:rsidR="00DB3F3D" w14:paraId="6765FFC5" w14:textId="77777777">
        <w:tc>
          <w:tcPr>
            <w:tcW w:w="1275" w:type="dxa"/>
            <w:vAlign w:val="center"/>
          </w:tcPr>
          <w:p w14:paraId="3AEAC1F5" w14:textId="77777777" w:rsidR="00DB3F3D" w:rsidRDefault="000C0F2B">
            <w:pPr>
              <w:pStyle w:val="Text2"/>
              <w:spacing w:after="0"/>
              <w:ind w:left="0" w:firstLine="0"/>
              <w:jc w:val="center"/>
              <w:rPr>
                <w:snapToGrid w:val="0"/>
              </w:rPr>
            </w:pPr>
            <w:r>
              <w:rPr>
                <w:snapToGrid w:val="0"/>
              </w:rPr>
              <w:t>3</w:t>
            </w:r>
          </w:p>
        </w:tc>
        <w:tc>
          <w:tcPr>
            <w:tcW w:w="7451" w:type="dxa"/>
          </w:tcPr>
          <w:p w14:paraId="5B1FA0BB" w14:textId="77777777" w:rsidR="00DB3F3D" w:rsidRDefault="000C0F2B">
            <w:pPr>
              <w:pStyle w:val="Text2"/>
              <w:spacing w:after="0"/>
              <w:ind w:left="0" w:firstLine="0"/>
              <w:jc w:val="left"/>
              <w:rPr>
                <w:snapToGrid w:val="0"/>
              </w:rPr>
            </w:pPr>
            <w:r>
              <w:rPr>
                <w:snapToGrid w:val="0"/>
              </w:rPr>
              <w:t xml:space="preserve">EKJS, vključno z vsemi odhodki nekdanjega Jamstvenega oddelka EKUJS </w:t>
            </w:r>
          </w:p>
        </w:tc>
      </w:tr>
      <w:tr w:rsidR="00DB3F3D" w14:paraId="232FEA78" w14:textId="77777777">
        <w:tc>
          <w:tcPr>
            <w:tcW w:w="1275" w:type="dxa"/>
            <w:vAlign w:val="center"/>
          </w:tcPr>
          <w:p w14:paraId="4F12209A" w14:textId="77777777" w:rsidR="00DB3F3D" w:rsidRDefault="000C0F2B">
            <w:pPr>
              <w:pStyle w:val="Text2"/>
              <w:spacing w:after="0"/>
              <w:ind w:left="0" w:firstLine="0"/>
              <w:jc w:val="center"/>
              <w:rPr>
                <w:snapToGrid w:val="0"/>
              </w:rPr>
            </w:pPr>
            <w:r>
              <w:rPr>
                <w:snapToGrid w:val="0"/>
              </w:rPr>
              <w:t>4</w:t>
            </w:r>
          </w:p>
        </w:tc>
        <w:tc>
          <w:tcPr>
            <w:tcW w:w="7451" w:type="dxa"/>
          </w:tcPr>
          <w:p w14:paraId="05798D57" w14:textId="77777777" w:rsidR="00DB3F3D" w:rsidRDefault="000C0F2B">
            <w:pPr>
              <w:pStyle w:val="Text2"/>
              <w:spacing w:after="0"/>
              <w:ind w:left="0" w:firstLine="0"/>
              <w:jc w:val="left"/>
              <w:rPr>
                <w:snapToGrid w:val="0"/>
              </w:rPr>
            </w:pPr>
            <w:r>
              <w:rPr>
                <w:snapToGrid w:val="0"/>
              </w:rPr>
              <w:t>EKSRP za obdobje 2007–2013</w:t>
            </w:r>
          </w:p>
        </w:tc>
      </w:tr>
      <w:tr w:rsidR="00DB3F3D" w14:paraId="4E77E295" w14:textId="77777777">
        <w:tc>
          <w:tcPr>
            <w:tcW w:w="1275" w:type="dxa"/>
            <w:vAlign w:val="center"/>
          </w:tcPr>
          <w:p w14:paraId="0042C95A" w14:textId="77777777" w:rsidR="00DB3F3D" w:rsidRDefault="000C0F2B">
            <w:pPr>
              <w:pStyle w:val="Text2"/>
              <w:spacing w:after="0"/>
              <w:ind w:left="0" w:firstLine="0"/>
              <w:jc w:val="center"/>
              <w:rPr>
                <w:snapToGrid w:val="0"/>
              </w:rPr>
            </w:pPr>
            <w:r>
              <w:rPr>
                <w:snapToGrid w:val="0"/>
              </w:rPr>
              <w:t>5</w:t>
            </w:r>
          </w:p>
        </w:tc>
        <w:tc>
          <w:tcPr>
            <w:tcW w:w="7451" w:type="dxa"/>
          </w:tcPr>
          <w:p w14:paraId="1D332750" w14:textId="77777777" w:rsidR="00DB3F3D" w:rsidRDefault="000C0F2B">
            <w:pPr>
              <w:pStyle w:val="Text2"/>
              <w:spacing w:after="0"/>
              <w:ind w:left="0" w:firstLine="0"/>
              <w:jc w:val="left"/>
              <w:rPr>
                <w:snapToGrid w:val="0"/>
              </w:rPr>
            </w:pPr>
            <w:r>
              <w:rPr>
                <w:snapToGrid w:val="0"/>
              </w:rPr>
              <w:t xml:space="preserve">ZIRP za EU-10 </w:t>
            </w:r>
          </w:p>
        </w:tc>
      </w:tr>
      <w:tr w:rsidR="00DB3F3D" w14:paraId="579B335D" w14:textId="77777777">
        <w:tc>
          <w:tcPr>
            <w:tcW w:w="1275" w:type="dxa"/>
            <w:vAlign w:val="center"/>
          </w:tcPr>
          <w:p w14:paraId="683C5108" w14:textId="77777777" w:rsidR="00DB3F3D" w:rsidRDefault="000C0F2B">
            <w:pPr>
              <w:pStyle w:val="Text2"/>
              <w:spacing w:after="0"/>
              <w:ind w:left="0" w:firstLine="0"/>
              <w:jc w:val="center"/>
              <w:rPr>
                <w:snapToGrid w:val="0"/>
              </w:rPr>
            </w:pPr>
            <w:r>
              <w:rPr>
                <w:snapToGrid w:val="0"/>
              </w:rPr>
              <w:t>6</w:t>
            </w:r>
          </w:p>
        </w:tc>
        <w:tc>
          <w:tcPr>
            <w:tcW w:w="7451" w:type="dxa"/>
          </w:tcPr>
          <w:p w14:paraId="6CFD971D" w14:textId="77777777" w:rsidR="00DB3F3D" w:rsidRDefault="000C0F2B">
            <w:pPr>
              <w:pStyle w:val="Text2"/>
              <w:spacing w:after="0"/>
              <w:ind w:left="0" w:firstLine="0"/>
              <w:jc w:val="left"/>
              <w:rPr>
                <w:snapToGrid w:val="0"/>
              </w:rPr>
            </w:pPr>
            <w:r>
              <w:rPr>
                <w:snapToGrid w:val="0"/>
              </w:rPr>
              <w:t>EKSRP za obdobje 2014–2020</w:t>
            </w:r>
          </w:p>
        </w:tc>
      </w:tr>
    </w:tbl>
    <w:p w14:paraId="780E4C20" w14:textId="77777777" w:rsidR="00DB3F3D" w:rsidRDefault="000C0F2B">
      <w:pPr>
        <w:pStyle w:val="Heading2"/>
        <w:keepLines/>
        <w:numPr>
          <w:ilvl w:val="3"/>
          <w:numId w:val="48"/>
        </w:numPr>
        <w:spacing w:before="240"/>
      </w:pPr>
      <w:r>
        <w:t xml:space="preserve"> </w:t>
      </w:r>
      <w:bookmarkStart w:id="247" w:name="_Toc134086182"/>
      <w:r>
        <w:t>Stolpec (C) – Proračunsko leto</w:t>
      </w:r>
      <w:bookmarkEnd w:id="247"/>
      <w:r>
        <w:t xml:space="preserve"> </w:t>
      </w:r>
    </w:p>
    <w:p w14:paraId="578B638E" w14:textId="77777777" w:rsidR="00DB3F3D" w:rsidRDefault="000C0F2B">
      <w:pPr>
        <w:pStyle w:val="Text3"/>
        <w:ind w:left="0" w:firstLine="0"/>
      </w:pPr>
      <w:r>
        <w:t xml:space="preserve">Navesti je treba proračunsko leto, na katero se nanaša preglednica, tj. „leto n“ za preglednice, ki jih je treba Komisiji poslati do 15. februarja „leta n + 1“. </w:t>
      </w:r>
    </w:p>
    <w:p w14:paraId="19772936" w14:textId="77777777" w:rsidR="00DB3F3D" w:rsidRDefault="000C0F2B">
      <w:pPr>
        <w:pStyle w:val="Text3"/>
        <w:ind w:left="0" w:firstLine="0"/>
      </w:pPr>
      <w:r>
        <w:rPr>
          <w:u w:val="single"/>
        </w:rPr>
        <w:t>Zahtevana oblika:</w:t>
      </w:r>
      <w:r>
        <w:t xml:space="preserve"> „LLLL“ (leto s štirimestno številko).</w:t>
      </w:r>
    </w:p>
    <w:p w14:paraId="0B74C24E" w14:textId="77777777" w:rsidR="00DB3F3D" w:rsidRDefault="000C0F2B">
      <w:pPr>
        <w:pStyle w:val="Heading2"/>
        <w:keepLines/>
        <w:numPr>
          <w:ilvl w:val="3"/>
          <w:numId w:val="48"/>
        </w:numPr>
      </w:pPr>
      <w:r>
        <w:t xml:space="preserve"> </w:t>
      </w:r>
      <w:bookmarkStart w:id="248" w:name="_Toc134086183"/>
      <w:r>
        <w:t>Stolpec (S) – Izterjani znesek v proračunskem letu n</w:t>
      </w:r>
      <w:bookmarkEnd w:id="238"/>
      <w:bookmarkEnd w:id="248"/>
    </w:p>
    <w:p w14:paraId="194EDAF8" w14:textId="77777777" w:rsidR="00DB3F3D" w:rsidRDefault="000C0F2B">
      <w:pPr>
        <w:ind w:left="0" w:firstLine="0"/>
      </w:pPr>
      <w:r>
        <w:t>Tu se navedejo zneski, ki jih je država članica izterjala od upravičenca v proračunskem letu n. Ustrezati morajo vsoti zneskov, navedenih v stolpcih (S1) in (S2) preglednice s povzetkom iz Priloge II k Izvedbeni uredbi Komisije (EU) št. 908/2014 za proračunsko leto n.</w:t>
      </w:r>
    </w:p>
    <w:p w14:paraId="01330B27" w14:textId="77777777" w:rsidR="00DB3F3D" w:rsidRDefault="000C0F2B">
      <w:pPr>
        <w:ind w:left="0" w:firstLine="0"/>
      </w:pPr>
      <w:r>
        <w:t>Izterjani zneski se navedejo s pozitivnim predznakom</w:t>
      </w:r>
      <w:r>
        <w:rPr>
          <w:b/>
        </w:rPr>
        <w:t>.</w:t>
      </w:r>
    </w:p>
    <w:p w14:paraId="1E3F8D58" w14:textId="77777777" w:rsidR="00DB3F3D" w:rsidRDefault="000C0F2B">
      <w:pPr>
        <w:ind w:left="0" w:firstLine="0"/>
      </w:pPr>
      <w:r>
        <w:rPr>
          <w:u w:val="single"/>
        </w:rPr>
        <w:t>Zahtevana oblika:</w:t>
      </w:r>
      <w:r>
        <w:t xml:space="preserve"> +99…99.99, kjer 9 pomeni števko od 0 do 9.</w:t>
      </w:r>
    </w:p>
    <w:p w14:paraId="071E28F6" w14:textId="77777777" w:rsidR="00DB3F3D" w:rsidRDefault="000C0F2B">
      <w:pPr>
        <w:pStyle w:val="Heading2"/>
        <w:keepLines/>
        <w:numPr>
          <w:ilvl w:val="3"/>
          <w:numId w:val="48"/>
        </w:numPr>
      </w:pPr>
      <w:bookmarkStart w:id="249" w:name="_Toc18335388"/>
      <w:bookmarkStart w:id="250" w:name="_Toc18335537"/>
      <w:bookmarkStart w:id="251" w:name="_Toc18336252"/>
      <w:bookmarkStart w:id="252" w:name="_Toc520884372"/>
      <w:bookmarkEnd w:id="249"/>
      <w:bookmarkEnd w:id="250"/>
      <w:bookmarkEnd w:id="251"/>
      <w:r>
        <w:t xml:space="preserve"> </w:t>
      </w:r>
      <w:bookmarkStart w:id="253" w:name="_Toc134086184"/>
      <w:r>
        <w:t>Stolpec (B_21) – Razlike med nalogom za izterjavo, ki ga Komisija izda za proračunsko leto n – 1, in knjigo terjatev držav članic</w:t>
      </w:r>
      <w:bookmarkEnd w:id="253"/>
      <w:r>
        <w:t xml:space="preserve"> </w:t>
      </w:r>
      <w:bookmarkEnd w:id="252"/>
    </w:p>
    <w:p w14:paraId="2B1628FE" w14:textId="77777777" w:rsidR="00DB3F3D" w:rsidRDefault="000C0F2B">
      <w:pPr>
        <w:ind w:left="0" w:firstLine="0"/>
      </w:pPr>
      <w:r>
        <w:t>V tem stolpcu se navedejo zneski vseh morebitnih razlik med nalogom za izterjavo, ki ga izda Komisija za proračunsko leto n – 1, in knjigo terjatev države članice. (V tem stolpcu je treba navesti na primer administrativne napake držav članic ali Komisije.)</w:t>
      </w:r>
    </w:p>
    <w:p w14:paraId="0C2F5C46" w14:textId="77777777" w:rsidR="00DB3F3D" w:rsidRDefault="000C0F2B">
      <w:pPr>
        <w:pStyle w:val="ListParagraph"/>
        <w:spacing w:before="240"/>
        <w:ind w:left="0" w:firstLine="0"/>
        <w:jc w:val="both"/>
        <w:rPr>
          <w:rFonts w:ascii="Times New Roman" w:hAnsi="Times New Roman"/>
          <w:sz w:val="24"/>
          <w:szCs w:val="24"/>
        </w:rPr>
      </w:pPr>
      <w:r>
        <w:rPr>
          <w:rFonts w:ascii="Times New Roman" w:hAnsi="Times New Roman"/>
          <w:sz w:val="24"/>
        </w:rPr>
        <w:t>Zneski v tem stolpcu so lahko pozitivni ali negativni.</w:t>
      </w:r>
    </w:p>
    <w:p w14:paraId="0FF3A9E9" w14:textId="77777777" w:rsidR="00DB3F3D" w:rsidRDefault="000C0F2B">
      <w:pPr>
        <w:pStyle w:val="ListParagraph"/>
        <w:spacing w:before="240" w:after="240"/>
        <w:ind w:left="0" w:firstLine="0"/>
        <w:jc w:val="both"/>
        <w:rPr>
          <w:rFonts w:ascii="Times New Roman" w:hAnsi="Times New Roman"/>
          <w:sz w:val="24"/>
          <w:szCs w:val="24"/>
        </w:rPr>
      </w:pPr>
      <w:r>
        <w:rPr>
          <w:rFonts w:ascii="Times New Roman" w:hAnsi="Times New Roman"/>
          <w:sz w:val="24"/>
          <w:u w:val="single"/>
        </w:rPr>
        <w:lastRenderedPageBreak/>
        <w:t>Zahtevana oblika:</w:t>
      </w:r>
      <w:r>
        <w:rPr>
          <w:rFonts w:ascii="Times New Roman" w:hAnsi="Times New Roman"/>
          <w:sz w:val="24"/>
        </w:rPr>
        <w:t xml:space="preserve"> +99…99.99 ali –99…99.99, kjer 9 pomeni števko od 0 do 9. </w:t>
      </w:r>
    </w:p>
    <w:p w14:paraId="11C9FB85" w14:textId="77777777" w:rsidR="00DB3F3D" w:rsidRDefault="000C0F2B">
      <w:pPr>
        <w:pStyle w:val="Heading2"/>
        <w:keepLines/>
        <w:numPr>
          <w:ilvl w:val="3"/>
          <w:numId w:val="48"/>
        </w:numPr>
        <w:rPr>
          <w:bCs/>
        </w:rPr>
      </w:pPr>
      <w:bookmarkStart w:id="254" w:name="_Toc18335390"/>
      <w:bookmarkStart w:id="255" w:name="_Toc18335539"/>
      <w:bookmarkStart w:id="256" w:name="_Toc18336254"/>
      <w:bookmarkStart w:id="257" w:name="_Toc520884373"/>
      <w:bookmarkEnd w:id="254"/>
      <w:bookmarkEnd w:id="255"/>
      <w:bookmarkEnd w:id="256"/>
      <w:r>
        <w:t xml:space="preserve"> </w:t>
      </w:r>
      <w:bookmarkStart w:id="258" w:name="_Toc134086185"/>
      <w:r>
        <w:t>Stolpec (C_21) – Del zneska, ki je bil že izterjan in vrnjen Komisiji po pravilu 50/50 v preteklih proračunskih letih v skladu s členom 54(2) Uredbe (EU) št. 1306/2013</w:t>
      </w:r>
      <w:bookmarkEnd w:id="257"/>
      <w:bookmarkEnd w:id="258"/>
    </w:p>
    <w:p w14:paraId="0CC2CB10" w14:textId="77777777" w:rsidR="00DB3F3D" w:rsidRDefault="000C0F2B">
      <w:pPr>
        <w:ind w:left="0" w:firstLine="0"/>
      </w:pPr>
      <w:r>
        <w:t>V tem stolpcu se sporoči tisti del izterjanih zneskov</w:t>
      </w:r>
      <w:r>
        <w:rPr>
          <w:rStyle w:val="FootnoteReference"/>
        </w:rPr>
        <w:footnoteReference w:id="29"/>
      </w:r>
      <w:r>
        <w:t>, ki je bil po pravilu 50/50 že vrnjen v sklad v preteklih letih.</w:t>
      </w:r>
    </w:p>
    <w:p w14:paraId="27F4E750" w14:textId="77777777" w:rsidR="00DB3F3D" w:rsidRDefault="000C0F2B">
      <w:pPr>
        <w:ind w:left="0" w:firstLine="0"/>
      </w:pPr>
      <w:r>
        <w:t>Del izterjanih zneskov, ki je že bil vrnjen v sklad, se mora navesti kot pozitivna vrednost</w:t>
      </w:r>
      <w:r>
        <w:rPr>
          <w:b/>
        </w:rPr>
        <w:t>.</w:t>
      </w:r>
    </w:p>
    <w:p w14:paraId="795AB69F" w14:textId="77777777" w:rsidR="00DB3F3D" w:rsidRDefault="000C0F2B">
      <w:pPr>
        <w:ind w:left="0" w:firstLine="0"/>
      </w:pPr>
      <w:r>
        <w:rPr>
          <w:u w:val="single"/>
        </w:rPr>
        <w:t>Zahtevana oblika:</w:t>
      </w:r>
      <w:r>
        <w:t xml:space="preserve"> +99…99.99, kjer 9 pomeni števko od 0 do 9.</w:t>
      </w:r>
    </w:p>
    <w:p w14:paraId="281CF00E" w14:textId="77777777" w:rsidR="00DB3F3D" w:rsidRDefault="000C0F2B">
      <w:pPr>
        <w:pStyle w:val="Heading2"/>
        <w:keepLines/>
        <w:numPr>
          <w:ilvl w:val="3"/>
          <w:numId w:val="48"/>
        </w:numPr>
      </w:pPr>
      <w:r>
        <w:t xml:space="preserve"> </w:t>
      </w:r>
      <w:bookmarkStart w:id="259" w:name="_Toc134086186"/>
      <w:r>
        <w:t>Stolpec (C_21A) – Del zneska, ki je že bil vrnjen Komisiji v skladu s členom 57(1) Uredbe (EU) 2021/2116 in členom 22(1)(e) Uredbe (EU) 2022/128</w:t>
      </w:r>
      <w:bookmarkEnd w:id="259"/>
    </w:p>
    <w:p w14:paraId="793215BC" w14:textId="77777777" w:rsidR="00DB3F3D" w:rsidRDefault="000C0F2B">
      <w:pPr>
        <w:ind w:left="0" w:firstLine="0"/>
        <w:rPr>
          <w:rFonts w:eastAsia="Calibri"/>
        </w:rPr>
      </w:pPr>
      <w:r>
        <w:t>Zneske, prijavljene kot izterjane v izjavah o odhodkih EKSRP v skladu s členom 22(1)(e) Uredbe (EU) 2022/128 in členom 57(1), drugi odstavek, Uredbe 2021/2116, bi bilo treba sporočiti v tem stolpcu.</w:t>
      </w:r>
    </w:p>
    <w:p w14:paraId="1178C689" w14:textId="77777777" w:rsidR="00DB3F3D" w:rsidRDefault="000C0F2B">
      <w:pPr>
        <w:ind w:left="0" w:firstLine="0"/>
        <w:rPr>
          <w:b/>
        </w:rPr>
      </w:pPr>
      <w:r>
        <w:t>Del izterjanih zneskov, ki je že bil vrnjen v sklad, se mora navesti kot pozitivna vrednost</w:t>
      </w:r>
      <w:r>
        <w:rPr>
          <w:b/>
        </w:rPr>
        <w:t>.</w:t>
      </w:r>
      <w:bookmarkStart w:id="260" w:name="_Toc118877715"/>
    </w:p>
    <w:p w14:paraId="61652559" w14:textId="77777777" w:rsidR="00DB3F3D" w:rsidRDefault="000C0F2B">
      <w:pPr>
        <w:ind w:left="0" w:firstLine="0"/>
      </w:pPr>
      <w:r>
        <w:rPr>
          <w:u w:val="single"/>
        </w:rPr>
        <w:t>Zahtevana oblika:</w:t>
      </w:r>
      <w:r>
        <w:t xml:space="preserve"> +99…99.99, kjer 9 pomeni števko od 0 do 9.</w:t>
      </w:r>
      <w:bookmarkEnd w:id="260"/>
    </w:p>
    <w:p w14:paraId="0056AE4A" w14:textId="77777777" w:rsidR="00DB3F3D" w:rsidRDefault="000C0F2B">
      <w:pPr>
        <w:pStyle w:val="Heading2"/>
        <w:keepLines/>
        <w:numPr>
          <w:ilvl w:val="3"/>
          <w:numId w:val="48"/>
        </w:numPr>
      </w:pPr>
      <w:bookmarkStart w:id="261" w:name="_Toc520884374"/>
      <w:r>
        <w:t xml:space="preserve"> </w:t>
      </w:r>
      <w:bookmarkStart w:id="262" w:name="_Toc134086187"/>
      <w:r>
        <w:t>Stolpec (D_21) – Skupni znesek, ki se vrne Komisiji za proračunsko leto N</w:t>
      </w:r>
      <w:bookmarkEnd w:id="262"/>
      <w:r>
        <w:t xml:space="preserve"> </w:t>
      </w:r>
      <w:bookmarkEnd w:id="261"/>
    </w:p>
    <w:p w14:paraId="1868F007" w14:textId="77777777" w:rsidR="00DB3F3D" w:rsidRDefault="000C0F2B">
      <w:pPr>
        <w:ind w:left="0" w:firstLine="0"/>
      </w:pPr>
      <w:r>
        <w:t>Vrednosti v tem stolpcu (D_21) so enake stolpcem:</w:t>
      </w:r>
    </w:p>
    <w:p w14:paraId="0CCCF74B" w14:textId="77777777" w:rsidR="00DB3F3D" w:rsidRDefault="000C0F2B">
      <w:pPr>
        <w:ind w:left="0" w:firstLine="0"/>
      </w:pPr>
      <w:r>
        <w:t xml:space="preserve"> (D_21) = (S) + (B_21) - (C_21) - (C_21A)</w:t>
      </w:r>
    </w:p>
    <w:p w14:paraId="2E37A350" w14:textId="77777777" w:rsidR="00DB3F3D" w:rsidRDefault="000C0F2B">
      <w:pPr>
        <w:ind w:left="0" w:firstLine="0"/>
        <w:rPr>
          <w:szCs w:val="24"/>
        </w:rPr>
      </w:pPr>
      <w:r>
        <w:t>in pomenijo zneske, ki jih je država članica izterjala od upravičencev in bi jih še morala vrniti v sklade EU. V izjemnih primerih je lahko ta znesek negativen in pomeni zmanjšanje zneska, ki se izterja z nalogom za izterjavo.</w:t>
      </w:r>
    </w:p>
    <w:p w14:paraId="27810066" w14:textId="77777777" w:rsidR="00DB3F3D" w:rsidRDefault="000C0F2B">
      <w:pPr>
        <w:ind w:left="0" w:firstLine="0"/>
        <w:rPr>
          <w:szCs w:val="24"/>
        </w:rPr>
      </w:pPr>
      <w:r>
        <w:t xml:space="preserve">Zneski v tem stolpcu se vključijo v nalog za izterjavo za proračunsko leto n. </w:t>
      </w:r>
    </w:p>
    <w:p w14:paraId="1AF907EC" w14:textId="77777777" w:rsidR="00DB3F3D" w:rsidRDefault="000C0F2B">
      <w:pPr>
        <w:pStyle w:val="ListParagraph"/>
        <w:spacing w:before="240"/>
        <w:ind w:left="0" w:firstLine="0"/>
        <w:jc w:val="both"/>
        <w:rPr>
          <w:rFonts w:ascii="Times New Roman" w:hAnsi="Times New Roman"/>
          <w:sz w:val="24"/>
          <w:szCs w:val="24"/>
        </w:rPr>
      </w:pPr>
      <w:r>
        <w:rPr>
          <w:rFonts w:ascii="Times New Roman" w:hAnsi="Times New Roman"/>
          <w:sz w:val="24"/>
        </w:rPr>
        <w:t>Zneski v tem stolpcu so lahko pozitivni ali (izjemoma) negativni.</w:t>
      </w:r>
    </w:p>
    <w:p w14:paraId="5EB1AB6B" w14:textId="77777777" w:rsidR="00DB3F3D" w:rsidRDefault="000C0F2B">
      <w:pPr>
        <w:pStyle w:val="ListParagraph"/>
        <w:spacing w:before="240"/>
        <w:ind w:left="0" w:firstLine="0"/>
        <w:jc w:val="both"/>
        <w:rPr>
          <w:rFonts w:ascii="Times New Roman" w:hAnsi="Times New Roman"/>
          <w:sz w:val="24"/>
          <w:szCs w:val="24"/>
        </w:rPr>
      </w:pPr>
      <w:r>
        <w:rPr>
          <w:rFonts w:ascii="Times New Roman" w:hAnsi="Times New Roman"/>
          <w:sz w:val="24"/>
          <w:u w:val="single"/>
        </w:rPr>
        <w:t>Zahtevana oblika:</w:t>
      </w:r>
      <w:r>
        <w:rPr>
          <w:rFonts w:ascii="Times New Roman" w:hAnsi="Times New Roman"/>
          <w:sz w:val="24"/>
        </w:rPr>
        <w:t xml:space="preserve"> +99…99.99 ali –99…99.99, kjer 9 pomeni števko od 0 do 9. </w:t>
      </w:r>
    </w:p>
    <w:p w14:paraId="610A1B09" w14:textId="77777777" w:rsidR="00DB3F3D" w:rsidRDefault="000C0F2B">
      <w:pPr>
        <w:pStyle w:val="Heading2"/>
        <w:numPr>
          <w:ilvl w:val="2"/>
          <w:numId w:val="48"/>
        </w:numPr>
        <w:spacing w:before="240"/>
      </w:pPr>
      <w:bookmarkStart w:id="263" w:name="_Toc17900006"/>
      <w:bookmarkStart w:id="264" w:name="_Toc134086188"/>
      <w:bookmarkEnd w:id="263"/>
      <w:r>
        <w:t>Primer</w:t>
      </w:r>
      <w:bookmarkEnd w:id="264"/>
    </w:p>
    <w:p w14:paraId="5BBC0913" w14:textId="77777777" w:rsidR="00DB3F3D" w:rsidRDefault="000C0F2B">
      <w:pPr>
        <w:pStyle w:val="Text3"/>
        <w:spacing w:before="240"/>
        <w:ind w:left="0" w:firstLine="0"/>
      </w:pPr>
      <w:r>
        <w:t>Priloga 3 k tej smernici prikazuje razmerje med prejšnjo podrobno preglednico izterjav za pretekla programska obdobja in novim formatom datoteke .csv.</w:t>
      </w:r>
    </w:p>
    <w:p w14:paraId="57B511D1" w14:textId="77777777" w:rsidR="00DB3F3D" w:rsidRDefault="000C0F2B">
      <w:pPr>
        <w:pStyle w:val="Heading2"/>
        <w:numPr>
          <w:ilvl w:val="2"/>
          <w:numId w:val="48"/>
        </w:numPr>
        <w:spacing w:before="240"/>
      </w:pPr>
      <w:bookmarkStart w:id="265" w:name="_Toc134086189"/>
      <w:r>
        <w:t>Prenos</w:t>
      </w:r>
      <w:bookmarkEnd w:id="265"/>
      <w:r>
        <w:t xml:space="preserve"> </w:t>
      </w:r>
    </w:p>
    <w:p w14:paraId="587958B0" w14:textId="77777777" w:rsidR="00DB3F3D" w:rsidRDefault="000C0F2B">
      <w:pPr>
        <w:pStyle w:val="Text3"/>
        <w:ind w:left="0" w:firstLine="0"/>
        <w:rPr>
          <w:b/>
          <w:smallCaps/>
        </w:rPr>
      </w:pPr>
      <w:r>
        <w:t xml:space="preserve">Države članice morajo računalniške datoteke Komisiji poslati do 15. februarja po proračunskem letu n po sistemu SFC2014, oddelek „ANNUAL ACCOUNTS – ART 30(1)(A) REG(EU) NO908/2014“, „Debtor Ledger“ (Letni obračuni – člen 30(1)(a) </w:t>
      </w:r>
      <w:r>
        <w:lastRenderedPageBreak/>
        <w:t>Uredbe (EU) št. 908/2014, Knjiga terjatev), vrsta dokumenta „Detailed table on recoveries related to previous programming periods“ (Podrobna preglednica izterjav za pretekla programska obdobja).</w:t>
      </w:r>
    </w:p>
    <w:p w14:paraId="424C4901" w14:textId="77777777" w:rsidR="00DB3F3D" w:rsidRDefault="000C0F2B">
      <w:pPr>
        <w:ind w:left="0" w:firstLine="0"/>
      </w:pPr>
      <w:r>
        <w:br w:type="page"/>
      </w:r>
    </w:p>
    <w:p w14:paraId="039988E1" w14:textId="77777777" w:rsidR="00DB3F3D" w:rsidRDefault="00DB3F3D">
      <w:pPr>
        <w:rPr>
          <w:b/>
          <w:smallCaps/>
        </w:rPr>
        <w:sectPr w:rsidR="00DB3F3D">
          <w:headerReference w:type="even" r:id="rId18"/>
          <w:headerReference w:type="default" r:id="rId19"/>
          <w:headerReference w:type="first" r:id="rId20"/>
          <w:footerReference w:type="first" r:id="rId21"/>
          <w:pgSz w:w="11906" w:h="16838"/>
          <w:pgMar w:top="1020" w:right="1701" w:bottom="1020" w:left="1587" w:header="601" w:footer="1077" w:gutter="0"/>
          <w:cols w:space="720"/>
          <w:titlePg/>
        </w:sectPr>
      </w:pPr>
    </w:p>
    <w:p w14:paraId="3424C73A" w14:textId="77777777" w:rsidR="00DB3F3D" w:rsidRDefault="000C0F2B">
      <w:pPr>
        <w:pStyle w:val="Heading1"/>
        <w:ind w:left="0" w:firstLine="0"/>
        <w:jc w:val="center"/>
      </w:pPr>
      <w:bookmarkStart w:id="266" w:name="_Toc134086190"/>
      <w:r>
        <w:lastRenderedPageBreak/>
        <w:t>Priloga 1: Preglednica s povzetkom iz Priloge II k Izvedbeni uredbi Komisije (EU) št. 908/2014</w:t>
      </w:r>
      <w:bookmarkEnd w:id="266"/>
    </w:p>
    <w:p w14:paraId="01FBCB59" w14:textId="77777777" w:rsidR="00DB3F3D" w:rsidRDefault="000C0F2B">
      <w:pPr>
        <w:pStyle w:val="Text1"/>
        <w:ind w:left="0" w:firstLine="0"/>
      </w:pPr>
      <w:r>
        <w:t>Vsaka plačilna agencija mora GD AGRI do 15. februarja po proračunskem letu n poslati potrjeno preglednico s povzetkom iz Priloge II v strukturirani računalniški datoteki v skladu z značilnostmi, določenimi v oddelku A, del 2, točka 2.1.5.3.</w:t>
      </w:r>
    </w:p>
    <w:p w14:paraId="33B4CF8D" w14:textId="4F295397" w:rsidR="00DB3F3D" w:rsidRDefault="00CC094E">
      <w:pPr>
        <w:pStyle w:val="Text1"/>
        <w:jc w:val="center"/>
      </w:pPr>
      <w:r w:rsidRPr="00CC094E">
        <w:drawing>
          <wp:inline distT="0" distB="0" distL="0" distR="0" wp14:anchorId="4F8CE419" wp14:editId="64AC603A">
            <wp:extent cx="8401050" cy="45840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07672" cy="4587678"/>
                    </a:xfrm>
                    <a:prstGeom prst="rect">
                      <a:avLst/>
                    </a:prstGeom>
                    <a:noFill/>
                    <a:ln>
                      <a:noFill/>
                    </a:ln>
                  </pic:spPr>
                </pic:pic>
              </a:graphicData>
            </a:graphic>
          </wp:inline>
        </w:drawing>
      </w:r>
    </w:p>
    <w:p w14:paraId="3A8B333C" w14:textId="77777777" w:rsidR="00DB3F3D" w:rsidRDefault="000C0F2B">
      <w:pPr>
        <w:pStyle w:val="Heading1"/>
        <w:ind w:left="0" w:firstLine="0"/>
      </w:pPr>
      <w:bookmarkStart w:id="267" w:name="_Toc134086191"/>
      <w:r>
        <w:lastRenderedPageBreak/>
        <w:t>Priloga 2: Primeri poročanja v Prilogi II</w:t>
      </w:r>
      <w:bookmarkEnd w:id="267"/>
    </w:p>
    <w:p w14:paraId="09395B91" w14:textId="77777777" w:rsidR="00DB3F3D" w:rsidRDefault="000C0F2B">
      <w:pPr>
        <w:pStyle w:val="Text1"/>
        <w:ind w:left="0" w:firstLine="0"/>
      </w:pPr>
      <w:r>
        <w:t xml:space="preserve">Študije primerov s praktičnimi primeri poročanja v preglednici iz Priloge II, na podlagi izmišljenih scenarijev. [Glej primere v priloženi preglednici v Excelu.] </w:t>
      </w:r>
    </w:p>
    <w:p w14:paraId="787A8A30" w14:textId="77777777" w:rsidR="00DB3F3D" w:rsidRDefault="000C0F2B">
      <w:r>
        <w:br w:type="page"/>
      </w:r>
    </w:p>
    <w:p w14:paraId="10143C57" w14:textId="77777777" w:rsidR="00DB3F3D" w:rsidRDefault="000C0F2B">
      <w:pPr>
        <w:pStyle w:val="Heading1"/>
        <w:spacing w:before="0"/>
        <w:ind w:left="0" w:firstLine="0"/>
      </w:pPr>
      <w:bookmarkStart w:id="268" w:name="_Toc134086192"/>
      <w:r>
        <w:lastRenderedPageBreak/>
        <w:t>Priloga 3: Podrobna preglednica o izterjavah za pretekla programska obdobja</w:t>
      </w:r>
      <w:bookmarkEnd w:id="268"/>
    </w:p>
    <w:p w14:paraId="735B9478" w14:textId="77777777" w:rsidR="00DB3F3D" w:rsidRDefault="000C0F2B">
      <w:pPr>
        <w:pStyle w:val="Text1"/>
        <w:ind w:left="0" w:firstLine="0"/>
      </w:pPr>
      <w:r>
        <w:t>Vsaka plačilna agencija mora GD AGRI do 15. februarja po proračunskem letu n poslati potrjeno podrobno preglednico o izterjavah v zvezi s prejšnjimi programskimi obdobji v strukturirani računalniški datoteki v skladu z značilnostmi, določenimi v oddelku A, del 2, točka 2.3.4., teh smernic</w:t>
      </w:r>
      <w:r>
        <w:rPr>
          <w:u w:val="single"/>
        </w:rPr>
        <w:t>.</w:t>
      </w:r>
      <w:r>
        <w:t xml:space="preserve"> </w:t>
      </w:r>
    </w:p>
    <w:p w14:paraId="26618EE5" w14:textId="0B54B675" w:rsidR="00DB3F3D" w:rsidRDefault="00CC094E">
      <w:pPr>
        <w:pStyle w:val="Text1"/>
        <w:ind w:left="0" w:firstLine="0"/>
        <w:jc w:val="center"/>
      </w:pPr>
      <w:r w:rsidRPr="00CC094E">
        <w:drawing>
          <wp:inline distT="0" distB="0" distL="0" distR="0" wp14:anchorId="64F5B721" wp14:editId="43FB05E6">
            <wp:extent cx="8381388" cy="4544060"/>
            <wp:effectExtent l="0" t="0" r="63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00008" cy="4554155"/>
                    </a:xfrm>
                    <a:prstGeom prst="rect">
                      <a:avLst/>
                    </a:prstGeom>
                    <a:noFill/>
                    <a:ln>
                      <a:noFill/>
                    </a:ln>
                  </pic:spPr>
                </pic:pic>
              </a:graphicData>
            </a:graphic>
          </wp:inline>
        </w:drawing>
      </w:r>
    </w:p>
    <w:p w14:paraId="07B3AF93" w14:textId="77777777" w:rsidR="00DB3F3D" w:rsidRDefault="000C0F2B">
      <w:pPr>
        <w:pStyle w:val="Heading1"/>
        <w:spacing w:after="0"/>
        <w:ind w:left="0" w:firstLine="0"/>
        <w:jc w:val="left"/>
      </w:pPr>
      <w:bookmarkStart w:id="269" w:name="_Toc134086193"/>
      <w:r>
        <w:lastRenderedPageBreak/>
        <w:t>Priloga 4: Podrobna preglednica o izterjavah za pretekla programska obdobja – PRIMER</w:t>
      </w:r>
      <w:bookmarkEnd w:id="269"/>
    </w:p>
    <w:p w14:paraId="13635FB7" w14:textId="77777777" w:rsidR="00DB3F3D" w:rsidRDefault="000C0F2B">
      <w:pPr>
        <w:spacing w:after="0"/>
      </w:pPr>
      <w:r>
        <w:rPr>
          <w:highlight w:val="yellow"/>
        </w:rPr>
        <w:t xml:space="preserve"> </w:t>
      </w:r>
    </w:p>
    <w:p w14:paraId="665BA3A1" w14:textId="77777777" w:rsidR="00DB3F3D" w:rsidRDefault="000C0F2B">
      <w:pPr>
        <w:pStyle w:val="Text1"/>
        <w:ind w:left="0" w:firstLine="0"/>
      </w:pPr>
      <w:r>
        <w:t>V nadaljevanju je predstavljen praktičen primer poročanja s to podrobno preglednico o izterjavah na podlagi fiktivnega scenarija.</w:t>
      </w:r>
    </w:p>
    <w:p w14:paraId="64A14183" w14:textId="77777777" w:rsidR="00DB3F3D" w:rsidRDefault="000C0F2B">
      <w:pPr>
        <w:pStyle w:val="Text1"/>
        <w:ind w:left="0" w:firstLine="0"/>
        <w:rPr>
          <w:b/>
          <w:u w:val="single"/>
        </w:rPr>
      </w:pPr>
      <w:r>
        <w:rPr>
          <w:b/>
          <w:u w:val="single"/>
        </w:rPr>
        <w:t>Scenarij:</w:t>
      </w:r>
    </w:p>
    <w:p w14:paraId="195B1941" w14:textId="77777777" w:rsidR="00DB3F3D" w:rsidRDefault="000C0F2B">
      <w:pPr>
        <w:pStyle w:val="Text1"/>
        <w:spacing w:after="120"/>
        <w:ind w:left="0" w:firstLine="0"/>
      </w:pPr>
      <w:r>
        <w:t xml:space="preserve">Plačilna agencija je v proračunskem letu 2019 (proračunsko leto n) izterjala 5 000 000,00 EUR v zvezi s „starimi“ primeri ZIRP (Začasni instrument za razvoj podeželja). </w:t>
      </w:r>
    </w:p>
    <w:p w14:paraId="56E4A436" w14:textId="77777777" w:rsidR="00DB3F3D" w:rsidRDefault="000C0F2B">
      <w:pPr>
        <w:pStyle w:val="Text1"/>
        <w:spacing w:after="120"/>
        <w:ind w:left="0" w:firstLine="0"/>
      </w:pPr>
      <w:r>
        <w:t>Poleg tega je bil pri prejemanju naloga za izterjavo za proračunsko leto 2018 od Komisije, morda zaradi administrativne napake, kot skupni znesek, ki se vrne v sklad, naveden znesek 3 </w:t>
      </w:r>
      <w:r>
        <w:rPr>
          <w:b/>
          <w:u w:val="single"/>
        </w:rPr>
        <w:t>96</w:t>
      </w:r>
      <w:r>
        <w:t>0 000 EUR namesto zneska 3 </w:t>
      </w:r>
      <w:r>
        <w:rPr>
          <w:b/>
          <w:u w:val="single"/>
        </w:rPr>
        <w:t>69</w:t>
      </w:r>
      <w:r>
        <w:t>0 000 EUR. Zaradi te napake pri prenosu je bil znesek v nalogu za izterjavo previsok za 270 000 EUR.</w:t>
      </w:r>
    </w:p>
    <w:p w14:paraId="1C7C7E0A" w14:textId="77777777" w:rsidR="00DB3F3D" w:rsidRDefault="000C0F2B">
      <w:pPr>
        <w:pStyle w:val="Text1"/>
        <w:spacing w:after="120"/>
        <w:ind w:left="0" w:firstLine="0"/>
      </w:pPr>
      <w:r>
        <w:t xml:space="preserve">Po knjigi terjatev države članice je bilo od zneska, izterjanega v proračunskem letu 2019 (5 000 000 EUR), v preteklih letih za znesek v višini 300 000 EUR že uporabljeno pravilo 50/50 in ta znesek bi bilo treba odšteti od 5 000 000 EUR, da bi se izognili dvojni kompenzaciji. </w:t>
      </w:r>
    </w:p>
    <w:p w14:paraId="6EFC17FA" w14:textId="77777777" w:rsidR="00DB3F3D" w:rsidRDefault="000C0F2B">
      <w:pPr>
        <w:pStyle w:val="Text1"/>
        <w:spacing w:after="120"/>
        <w:ind w:left="0" w:firstLine="0"/>
      </w:pPr>
      <w:r>
        <w:t>Glede na vse navedeno se v nalog za izterjavo za proračunsko leto 2019 vključi skupni znesek v višini 4 430 000 (EUR (5 000 000 – 270 000 – 300 000).</w:t>
      </w:r>
    </w:p>
    <w:p w14:paraId="5830C38F" w14:textId="77777777" w:rsidR="00DB3F3D" w:rsidRDefault="000C0F2B">
      <w:pPr>
        <w:pStyle w:val="Text1"/>
        <w:spacing w:after="120"/>
        <w:ind w:left="0" w:firstLine="0"/>
        <w:rPr>
          <w:u w:val="single"/>
        </w:rPr>
      </w:pPr>
      <w:r>
        <w:rPr>
          <w:u w:val="single"/>
        </w:rPr>
        <w:t>Povzetek informacij:</w:t>
      </w:r>
    </w:p>
    <w:tbl>
      <w:tblPr>
        <w:tblStyle w:val="TableGrid"/>
        <w:tblW w:w="0" w:type="auto"/>
        <w:jc w:val="center"/>
        <w:tblLook w:val="04A0" w:firstRow="1" w:lastRow="0" w:firstColumn="1" w:lastColumn="0" w:noHBand="0" w:noVBand="1"/>
      </w:tblPr>
      <w:tblGrid>
        <w:gridCol w:w="11823"/>
        <w:gridCol w:w="2030"/>
      </w:tblGrid>
      <w:tr w:rsidR="00DB3F3D" w14:paraId="762C625D" w14:textId="77777777">
        <w:trPr>
          <w:trHeight w:val="305"/>
          <w:jc w:val="center"/>
        </w:trPr>
        <w:tc>
          <w:tcPr>
            <w:tcW w:w="11823" w:type="dxa"/>
          </w:tcPr>
          <w:p w14:paraId="61CB3AF6" w14:textId="77777777" w:rsidR="00DB3F3D" w:rsidRDefault="000C0F2B">
            <w:pPr>
              <w:pStyle w:val="Text1"/>
              <w:spacing w:after="0"/>
              <w:ind w:left="0" w:firstLine="0"/>
              <w:jc w:val="center"/>
              <w:rPr>
                <w:b/>
              </w:rPr>
            </w:pPr>
            <w:r>
              <w:rPr>
                <w:b/>
              </w:rPr>
              <w:t>Naslov stolpca</w:t>
            </w:r>
          </w:p>
        </w:tc>
        <w:tc>
          <w:tcPr>
            <w:tcW w:w="2030" w:type="dxa"/>
          </w:tcPr>
          <w:p w14:paraId="4CA1CC6D" w14:textId="77777777" w:rsidR="00DB3F3D" w:rsidRDefault="000C0F2B">
            <w:pPr>
              <w:pStyle w:val="Text1"/>
              <w:spacing w:after="0"/>
              <w:ind w:left="0" w:firstLine="0"/>
              <w:jc w:val="center"/>
              <w:rPr>
                <w:b/>
              </w:rPr>
            </w:pPr>
            <w:r>
              <w:rPr>
                <w:b/>
              </w:rPr>
              <w:t>Zneski</w:t>
            </w:r>
          </w:p>
        </w:tc>
      </w:tr>
      <w:tr w:rsidR="00DB3F3D" w14:paraId="1E8212D6" w14:textId="77777777">
        <w:trPr>
          <w:jc w:val="center"/>
        </w:trPr>
        <w:tc>
          <w:tcPr>
            <w:tcW w:w="11823" w:type="dxa"/>
          </w:tcPr>
          <w:p w14:paraId="1FC671CA" w14:textId="77777777" w:rsidR="00DB3F3D" w:rsidRDefault="000C0F2B">
            <w:pPr>
              <w:pStyle w:val="Text1"/>
              <w:spacing w:after="0"/>
              <w:ind w:left="0" w:firstLine="0"/>
            </w:pPr>
            <w:r>
              <w:t>Izterjani znesek v proračunskem letu n</w:t>
            </w:r>
            <w:r>
              <w:rPr>
                <w:rStyle w:val="FootnoteReference"/>
              </w:rPr>
              <w:footnoteReference w:id="30"/>
            </w:r>
          </w:p>
        </w:tc>
        <w:tc>
          <w:tcPr>
            <w:tcW w:w="2030" w:type="dxa"/>
          </w:tcPr>
          <w:p w14:paraId="1B080A5B" w14:textId="77777777" w:rsidR="00DB3F3D" w:rsidRDefault="000C0F2B">
            <w:pPr>
              <w:pStyle w:val="Text1"/>
              <w:spacing w:after="0"/>
              <w:ind w:left="0" w:firstLine="0"/>
              <w:jc w:val="right"/>
            </w:pPr>
            <w:r>
              <w:t>5 000 000,00 EUR</w:t>
            </w:r>
          </w:p>
        </w:tc>
      </w:tr>
      <w:tr w:rsidR="00DB3F3D" w14:paraId="436F1572" w14:textId="77777777">
        <w:trPr>
          <w:trHeight w:val="554"/>
          <w:jc w:val="center"/>
        </w:trPr>
        <w:tc>
          <w:tcPr>
            <w:tcW w:w="11823" w:type="dxa"/>
          </w:tcPr>
          <w:p w14:paraId="7F19640B" w14:textId="77777777" w:rsidR="00DB3F3D" w:rsidRDefault="000C0F2B">
            <w:pPr>
              <w:pStyle w:val="Text1"/>
              <w:spacing w:after="0"/>
              <w:ind w:left="0" w:firstLine="0"/>
              <w:rPr>
                <w:highlight w:val="yellow"/>
              </w:rPr>
            </w:pPr>
            <w:r>
              <w:t xml:space="preserve">Razlike med nalogom za izterjavo, ki ga Komisija izda za proračunsko leto n – 1, in knjigo terjatev države članice </w:t>
            </w:r>
          </w:p>
        </w:tc>
        <w:tc>
          <w:tcPr>
            <w:tcW w:w="2030" w:type="dxa"/>
          </w:tcPr>
          <w:p w14:paraId="0C200511" w14:textId="77777777" w:rsidR="00DB3F3D" w:rsidRDefault="000C0F2B">
            <w:pPr>
              <w:pStyle w:val="Text1"/>
              <w:spacing w:after="0"/>
              <w:ind w:left="0" w:firstLine="0"/>
              <w:jc w:val="right"/>
            </w:pPr>
            <w:r>
              <w:t xml:space="preserve">(–) 270 000 </w:t>
            </w:r>
          </w:p>
        </w:tc>
      </w:tr>
      <w:tr w:rsidR="00DB3F3D" w14:paraId="4D1413D7" w14:textId="77777777">
        <w:trPr>
          <w:jc w:val="center"/>
        </w:trPr>
        <w:tc>
          <w:tcPr>
            <w:tcW w:w="11823" w:type="dxa"/>
          </w:tcPr>
          <w:p w14:paraId="1796A011" w14:textId="77777777" w:rsidR="00DB3F3D" w:rsidRDefault="000C0F2B">
            <w:pPr>
              <w:pStyle w:val="Text1"/>
              <w:spacing w:after="0"/>
              <w:ind w:left="0" w:firstLine="0"/>
            </w:pPr>
            <w:r>
              <w:t xml:space="preserve">Del zneska, ki je bil že izterjan in vrnjen Komisiji po pravilu 50/50 v preteklih proračunskih letih v skladu s členom 54(2) Uredbe (EU) št. 1306/2013 </w:t>
            </w:r>
          </w:p>
        </w:tc>
        <w:tc>
          <w:tcPr>
            <w:tcW w:w="2030" w:type="dxa"/>
          </w:tcPr>
          <w:p w14:paraId="08876400" w14:textId="77777777" w:rsidR="00DB3F3D" w:rsidRDefault="000C0F2B">
            <w:pPr>
              <w:pStyle w:val="Text1"/>
              <w:spacing w:after="0"/>
              <w:ind w:left="0" w:firstLine="0"/>
              <w:jc w:val="right"/>
            </w:pPr>
            <w:r>
              <w:t>300 000</w:t>
            </w:r>
          </w:p>
        </w:tc>
      </w:tr>
      <w:tr w:rsidR="00DB3F3D" w14:paraId="7F266270" w14:textId="77777777">
        <w:trPr>
          <w:jc w:val="center"/>
        </w:trPr>
        <w:tc>
          <w:tcPr>
            <w:tcW w:w="11823" w:type="dxa"/>
          </w:tcPr>
          <w:p w14:paraId="1649EFA8" w14:textId="77777777" w:rsidR="00DB3F3D" w:rsidRDefault="000C0F2B">
            <w:pPr>
              <w:pStyle w:val="Text1"/>
              <w:spacing w:after="0"/>
              <w:ind w:left="0" w:firstLine="0"/>
            </w:pPr>
            <w:r>
              <w:t>Del zneska, ki je že bil vrnjen Komisiji v skladu s členom 57(1) Uredbe (EU) 2021/2116 in členom 22(1)(e) Uredbe (EU) 2022/128.</w:t>
            </w:r>
          </w:p>
        </w:tc>
        <w:tc>
          <w:tcPr>
            <w:tcW w:w="2030" w:type="dxa"/>
          </w:tcPr>
          <w:p w14:paraId="2D7BBDA0" w14:textId="77777777" w:rsidR="00DB3F3D" w:rsidRDefault="00DB3F3D">
            <w:pPr>
              <w:pStyle w:val="Text1"/>
              <w:spacing w:after="0"/>
              <w:ind w:left="0" w:firstLine="0"/>
              <w:jc w:val="right"/>
            </w:pPr>
          </w:p>
        </w:tc>
      </w:tr>
      <w:tr w:rsidR="00DB3F3D" w14:paraId="679CBCB8" w14:textId="77777777">
        <w:trPr>
          <w:jc w:val="center"/>
        </w:trPr>
        <w:tc>
          <w:tcPr>
            <w:tcW w:w="11823" w:type="dxa"/>
          </w:tcPr>
          <w:p w14:paraId="7E9B4F2E" w14:textId="77777777" w:rsidR="00DB3F3D" w:rsidRDefault="000C0F2B">
            <w:pPr>
              <w:pStyle w:val="Text1"/>
              <w:spacing w:after="0"/>
              <w:ind w:left="0" w:firstLine="0"/>
            </w:pPr>
            <w:r>
              <w:rPr>
                <w:b/>
              </w:rPr>
              <w:t xml:space="preserve">Skupni znesek, ki se vrne Komisiji za proračunsko leto n </w:t>
            </w:r>
          </w:p>
        </w:tc>
        <w:tc>
          <w:tcPr>
            <w:tcW w:w="2030" w:type="dxa"/>
          </w:tcPr>
          <w:p w14:paraId="27399884" w14:textId="77777777" w:rsidR="00DB3F3D" w:rsidRDefault="000C0F2B">
            <w:pPr>
              <w:pStyle w:val="Text1"/>
              <w:spacing w:after="0"/>
              <w:ind w:left="0"/>
              <w:jc w:val="right"/>
            </w:pPr>
            <w:r>
              <w:rPr>
                <w:b/>
              </w:rPr>
              <w:t>4 430 000 EUR</w:t>
            </w:r>
          </w:p>
        </w:tc>
      </w:tr>
    </w:tbl>
    <w:p w14:paraId="0300C49A" w14:textId="77777777" w:rsidR="00DB3F3D" w:rsidRDefault="00DB3F3D">
      <w:pPr>
        <w:pStyle w:val="Text1"/>
        <w:ind w:left="0" w:firstLine="0"/>
        <w:rPr>
          <w:u w:val="single"/>
        </w:rPr>
      </w:pPr>
    </w:p>
    <w:p w14:paraId="4F82EEAF" w14:textId="77777777" w:rsidR="00DB3F3D" w:rsidRDefault="000C0F2B">
      <w:pPr>
        <w:pStyle w:val="Text1"/>
        <w:ind w:left="0" w:firstLine="0"/>
        <w:jc w:val="center"/>
        <w:rPr>
          <w:u w:val="single"/>
        </w:rPr>
      </w:pPr>
      <w:r>
        <w:rPr>
          <w:u w:val="single"/>
        </w:rPr>
        <w:lastRenderedPageBreak/>
        <w:t>Poročanje v podrobni preglednici o izterjavah v zvezi s preteklimi programskimi obdobji za proračunsko leto n:</w:t>
      </w:r>
    </w:p>
    <w:p w14:paraId="6D0B85E4" w14:textId="7BCF50EF" w:rsidR="00DB3F3D" w:rsidRDefault="003D244E">
      <w:pPr>
        <w:pStyle w:val="Text1"/>
        <w:ind w:left="0" w:firstLine="0"/>
        <w:jc w:val="center"/>
        <w:rPr>
          <w:u w:val="single"/>
        </w:rPr>
      </w:pPr>
      <w:r w:rsidRPr="003D244E">
        <w:drawing>
          <wp:inline distT="0" distB="0" distL="0" distR="0" wp14:anchorId="43A7573D" wp14:editId="401EF114">
            <wp:extent cx="8067633" cy="50933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74784" cy="5097849"/>
                    </a:xfrm>
                    <a:prstGeom prst="rect">
                      <a:avLst/>
                    </a:prstGeom>
                    <a:noFill/>
                    <a:ln>
                      <a:noFill/>
                    </a:ln>
                  </pic:spPr>
                </pic:pic>
              </a:graphicData>
            </a:graphic>
          </wp:inline>
        </w:drawing>
      </w:r>
    </w:p>
    <w:p w14:paraId="6E1C7642" w14:textId="77777777" w:rsidR="00DB3F3D" w:rsidRDefault="00DB3F3D">
      <w:pPr>
        <w:rPr>
          <w:b/>
          <w:smallCaps/>
          <w:lang w:eastAsia="en-GB"/>
        </w:rPr>
      </w:pPr>
    </w:p>
    <w:p w14:paraId="54F1BAAF" w14:textId="77777777" w:rsidR="00DB3F3D" w:rsidRDefault="000C0F2B">
      <w:pPr>
        <w:pStyle w:val="Heading1"/>
        <w:spacing w:before="0"/>
        <w:ind w:left="0" w:firstLine="0"/>
      </w:pPr>
      <w:bookmarkStart w:id="270" w:name="_Toc134086194"/>
      <w:r>
        <w:t>Priloga 5: Preglednice („50/50“) iz člena 54(2)/člena 54(3)</w:t>
      </w:r>
      <w:bookmarkEnd w:id="270"/>
    </w:p>
    <w:p w14:paraId="5893BD64" w14:textId="77777777" w:rsidR="00DB3F3D" w:rsidRDefault="000C0F2B">
      <w:pPr>
        <w:pStyle w:val="Text1"/>
        <w:ind w:left="0" w:firstLine="0"/>
      </w:pPr>
      <w:r>
        <w:t>Vsaka plačilna agencija mora GD AGRI do 15. februarja po proračunskem letu n poslati potrjeno preglednico („50/50“) iz člena 54(2)/člena 54(3) v strukturirani računalniški datoteki v skladu z značilnostmi, določenimi v oddelku A, del 2, točka 2.1.6.3.</w:t>
      </w:r>
    </w:p>
    <w:p w14:paraId="36D57BCC" w14:textId="209D1CEF" w:rsidR="00DB3F3D" w:rsidRDefault="00CC094E">
      <w:pPr>
        <w:pStyle w:val="Text1"/>
        <w:ind w:left="0" w:firstLine="0"/>
        <w:jc w:val="center"/>
      </w:pPr>
      <w:r w:rsidRPr="00CC094E">
        <w:drawing>
          <wp:inline distT="0" distB="0" distL="0" distR="0" wp14:anchorId="78576F7D" wp14:editId="2AAB2322">
            <wp:extent cx="7972425" cy="42297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982403" cy="4235054"/>
                    </a:xfrm>
                    <a:prstGeom prst="rect">
                      <a:avLst/>
                    </a:prstGeom>
                    <a:noFill/>
                    <a:ln>
                      <a:noFill/>
                    </a:ln>
                  </pic:spPr>
                </pic:pic>
              </a:graphicData>
            </a:graphic>
          </wp:inline>
        </w:drawing>
      </w:r>
      <w:r w:rsidR="000C0F2B">
        <w:br w:type="page"/>
      </w:r>
    </w:p>
    <w:p w14:paraId="36FB0C1D" w14:textId="77777777" w:rsidR="00DB3F3D" w:rsidRDefault="000C0F2B">
      <w:pPr>
        <w:pStyle w:val="Heading1"/>
        <w:spacing w:before="0"/>
        <w:ind w:left="0" w:firstLine="0"/>
        <w:rPr>
          <w:b w:val="0"/>
        </w:rPr>
      </w:pPr>
      <w:bookmarkStart w:id="271" w:name="_Toc134086195"/>
      <w:r>
        <w:lastRenderedPageBreak/>
        <w:t>Priloga 6: Vzorčna preglednica iz Priloge III, navedena v členu 29(g) Uredbe (EU) št. 908/2014</w:t>
      </w:r>
      <w:bookmarkEnd w:id="271"/>
    </w:p>
    <w:p w14:paraId="580C878E" w14:textId="77777777" w:rsidR="00DB3F3D" w:rsidRDefault="000C0F2B">
      <w:pPr>
        <w:pStyle w:val="Text1"/>
        <w:ind w:left="0" w:firstLine="0"/>
      </w:pPr>
      <w:r>
        <w:t>Vsaka plačilna agencija mora GD AGRI do 15. februarja po proračunskem letu n predložiti potrjeno preglednico iz Priloge III v strukturirani računalniški datoteki v skladu z značilnostmi, določenimi v oddelku A, del 2, točka 2.2.4.</w:t>
      </w:r>
    </w:p>
    <w:p w14:paraId="2040C8E9" w14:textId="77777777" w:rsidR="00D313CA" w:rsidRDefault="00CC094E" w:rsidP="00D313CA">
      <w:pPr>
        <w:pStyle w:val="Text1"/>
        <w:ind w:left="0" w:firstLine="0"/>
        <w:sectPr w:rsidR="00D313CA">
          <w:pgSz w:w="16838" w:h="11906" w:orient="landscape"/>
          <w:pgMar w:top="1588" w:right="1021" w:bottom="1701" w:left="1021" w:header="601" w:footer="1077" w:gutter="0"/>
          <w:cols w:space="720"/>
          <w:titlePg/>
          <w:docGrid w:linePitch="326"/>
        </w:sectPr>
      </w:pPr>
      <w:r w:rsidRPr="00CC094E">
        <w:drawing>
          <wp:inline distT="0" distB="0" distL="0" distR="0" wp14:anchorId="28AD6ABE" wp14:editId="2F46C334">
            <wp:extent cx="9162141" cy="4514850"/>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214941" cy="4540868"/>
                    </a:xfrm>
                    <a:prstGeom prst="rect">
                      <a:avLst/>
                    </a:prstGeom>
                    <a:noFill/>
                    <a:ln>
                      <a:noFill/>
                    </a:ln>
                  </pic:spPr>
                </pic:pic>
              </a:graphicData>
            </a:graphic>
          </wp:inline>
        </w:drawing>
      </w:r>
    </w:p>
    <w:p w14:paraId="70685EC5" w14:textId="77777777" w:rsidR="00D313CA" w:rsidRDefault="00D313CA" w:rsidP="00D313CA">
      <w:pPr>
        <w:pStyle w:val="Text1"/>
        <w:ind w:left="0" w:firstLine="0"/>
      </w:pPr>
    </w:p>
    <w:p w14:paraId="0394ADED" w14:textId="2B1CCB23" w:rsidR="00DB3F3D" w:rsidRPr="00D313CA" w:rsidRDefault="000C0F2B" w:rsidP="00D313CA">
      <w:pPr>
        <w:jc w:val="center"/>
        <w:rPr>
          <w:b/>
          <w:bCs/>
        </w:rPr>
      </w:pPr>
      <w:bookmarkStart w:id="272" w:name="_Toc134086196"/>
      <w:r w:rsidRPr="00D313CA">
        <w:rPr>
          <w:b/>
          <w:bCs/>
        </w:rPr>
        <w:t>ODDELEK B – UPRAVLJANJE DOLGA IN POROČANJE V OKVIRU UREDBE (EU) 2021/2116</w:t>
      </w:r>
      <w:bookmarkEnd w:id="272"/>
    </w:p>
    <w:p w14:paraId="79E11C2F" w14:textId="77777777" w:rsidR="00DB3F3D" w:rsidRDefault="000C0F2B">
      <w:pPr>
        <w:rPr>
          <w:b/>
        </w:rPr>
      </w:pPr>
      <w:r>
        <w:br w:type="page"/>
      </w:r>
    </w:p>
    <w:p w14:paraId="4C033507" w14:textId="77777777" w:rsidR="00DB3F3D" w:rsidRDefault="000C0F2B">
      <w:pPr>
        <w:pStyle w:val="Heading1"/>
        <w:overflowPunct w:val="0"/>
        <w:autoSpaceDE w:val="0"/>
        <w:autoSpaceDN w:val="0"/>
        <w:adjustRightInd w:val="0"/>
        <w:ind w:left="0" w:firstLine="0"/>
        <w:textAlignment w:val="baseline"/>
        <w:rPr>
          <w:szCs w:val="24"/>
        </w:rPr>
      </w:pPr>
      <w:bookmarkStart w:id="273" w:name="_Toc134086197"/>
      <w:r>
        <w:lastRenderedPageBreak/>
        <w:t>DEL 1. UPRAVLJANJE DOLGA</w:t>
      </w:r>
      <w:bookmarkEnd w:id="273"/>
    </w:p>
    <w:p w14:paraId="3216346C" w14:textId="77777777" w:rsidR="00DB3F3D" w:rsidRDefault="000C0F2B">
      <w:pPr>
        <w:pStyle w:val="Heading2"/>
        <w:numPr>
          <w:ilvl w:val="1"/>
          <w:numId w:val="45"/>
        </w:numPr>
      </w:pPr>
      <w:r>
        <w:t xml:space="preserve"> </w:t>
      </w:r>
      <w:bookmarkStart w:id="274" w:name="_Toc134086198"/>
      <w:r>
        <w:t>Izterjava neupravičenih plačil in obresti, ki izhajajo iz nepravilnosti – Glavna načela</w:t>
      </w:r>
      <w:bookmarkEnd w:id="274"/>
    </w:p>
    <w:p w14:paraId="18E5D5C6" w14:textId="77777777" w:rsidR="00DB3F3D" w:rsidRDefault="000C0F2B">
      <w:pPr>
        <w:pStyle w:val="Text2"/>
        <w:ind w:left="0" w:firstLine="0"/>
      </w:pPr>
      <w:r>
        <w:t>Glavna načela v zvezi z izterjavo neupravičenih plačil, ki so posledica nepravilnosti, v programskem obdobju 2023–2027 ostajajo nespremenjena, kot je pojasnjeno v naslednjih točkah.</w:t>
      </w:r>
    </w:p>
    <w:p w14:paraId="4446CBCB" w14:textId="77777777" w:rsidR="00DB3F3D" w:rsidRDefault="000C0F2B">
      <w:pPr>
        <w:pStyle w:val="Heading2"/>
        <w:numPr>
          <w:ilvl w:val="2"/>
          <w:numId w:val="45"/>
        </w:numPr>
      </w:pPr>
      <w:bookmarkStart w:id="275" w:name="_Toc134086199"/>
      <w:r>
        <w:t>Zaščita finančnih interesov Unije</w:t>
      </w:r>
      <w:bookmarkEnd w:id="275"/>
      <w:r>
        <w:t xml:space="preserve"> </w:t>
      </w:r>
    </w:p>
    <w:p w14:paraId="6B0513CB" w14:textId="77777777" w:rsidR="00DB3F3D" w:rsidRDefault="000C0F2B">
      <w:pPr>
        <w:pStyle w:val="Caption"/>
        <w:ind w:left="0" w:firstLine="0"/>
        <w:rPr>
          <w:b w:val="0"/>
        </w:rPr>
      </w:pPr>
      <w:r>
        <w:rPr>
          <w:b w:val="0"/>
        </w:rPr>
        <w:t>V skladu s členom 59(1) Uredbe (EU) 2021/2116 države članice v okviru SKP spoštujejo veljavne sisteme upravljanja, sprejmejo vse zakone in druge predpise, pa tudi vse druge potrebne ukrepe za zagotavljanje učinkovite zaščite finančnih interesov Unije, vključno z uporabo učinkovitih meril za upravičenost odhodkov iz člena 37</w:t>
      </w:r>
      <w:r>
        <w:rPr>
          <w:rStyle w:val="FootnoteReference"/>
          <w:b w:val="0"/>
        </w:rPr>
        <w:footnoteReference w:id="31"/>
      </w:r>
      <w:r>
        <w:rPr>
          <w:b w:val="0"/>
        </w:rPr>
        <w:t xml:space="preserve">. Ti predpisi in ukrepi zadevajo zlasti: (...) </w:t>
      </w:r>
      <w:r>
        <w:rPr>
          <w:b w:val="0"/>
          <w:i/>
          <w:iCs/>
        </w:rPr>
        <w:t>(e) izterjavo neupravičeno plačanih zneskov skupaj z obrestmi in po potrebi začetek pravnih postopkov v zvezi s tem, vključno za nepravilnosti v smislu člena 1(2) Uredbe (ES, Euratom) št. 2988/95</w:t>
      </w:r>
      <w:r>
        <w:rPr>
          <w:b w:val="0"/>
        </w:rPr>
        <w:t>.</w:t>
      </w:r>
    </w:p>
    <w:p w14:paraId="3CD545E9" w14:textId="77777777" w:rsidR="00DB3F3D" w:rsidRDefault="00DB3F3D">
      <w:pPr>
        <w:pStyle w:val="Caption"/>
        <w:spacing w:after="0"/>
        <w:rPr>
          <w:sz w:val="14"/>
          <w:szCs w:val="10"/>
        </w:rPr>
      </w:pPr>
    </w:p>
    <w:p w14:paraId="5CE7DC86" w14:textId="77777777" w:rsidR="00DB3F3D" w:rsidRDefault="000C0F2B">
      <w:pPr>
        <w:pStyle w:val="Heading2"/>
        <w:numPr>
          <w:ilvl w:val="2"/>
          <w:numId w:val="45"/>
        </w:numPr>
      </w:pPr>
      <w:bookmarkStart w:id="276" w:name="_Toc134086200"/>
      <w:r>
        <w:t>Izterjave v primeru neizpolnjevanja</w:t>
      </w:r>
      <w:bookmarkEnd w:id="276"/>
      <w:r>
        <w:t xml:space="preserve"> </w:t>
      </w:r>
    </w:p>
    <w:p w14:paraId="4603FB90" w14:textId="77777777" w:rsidR="00DB3F3D" w:rsidRDefault="000C0F2B">
      <w:pPr>
        <w:spacing w:after="0"/>
        <w:ind w:left="567" w:firstLine="0"/>
        <w:rPr>
          <w:b/>
          <w:i/>
        </w:rPr>
      </w:pPr>
      <w:r>
        <w:rPr>
          <w:b/>
          <w:i/>
        </w:rPr>
        <w:t>EKJS</w:t>
      </w:r>
    </w:p>
    <w:p w14:paraId="21D698F5" w14:textId="77777777" w:rsidR="00DB3F3D" w:rsidRDefault="00DB3F3D">
      <w:pPr>
        <w:spacing w:after="0"/>
        <w:ind w:left="567" w:firstLine="0"/>
        <w:rPr>
          <w:b/>
          <w:i/>
        </w:rPr>
      </w:pPr>
    </w:p>
    <w:p w14:paraId="40B6BA15" w14:textId="77777777" w:rsidR="00DB3F3D" w:rsidRDefault="000C0F2B">
      <w:pPr>
        <w:spacing w:after="0"/>
        <w:ind w:left="0" w:firstLine="0"/>
      </w:pPr>
      <w:r>
        <w:t xml:space="preserve">V skladu s členom 56 Uredbe (EU) 2021/2116 se zneski </w:t>
      </w:r>
      <w:r>
        <w:rPr>
          <w:b/>
        </w:rPr>
        <w:t>EKJS</w:t>
      </w:r>
      <w:r>
        <w:t>, ki jih izterjajo države članice zaradi nepravilnosti in drugih primerov neizpolnjevanja pogojev intervencij iz strateških načrtov SKP s strani upravičencev, in pripadajoče obresti nakažejo plačilnim agencijam, ki jih vknjižijo kot prihodke, namenjene EKJS, in sicer v mesecu, ko je bil denar dejansko prejet od upravičenca.</w:t>
      </w:r>
    </w:p>
    <w:p w14:paraId="3D0D919E" w14:textId="77777777" w:rsidR="00DB3F3D" w:rsidRDefault="00DB3F3D">
      <w:pPr>
        <w:spacing w:after="0"/>
        <w:ind w:left="567" w:firstLine="0"/>
        <w:rPr>
          <w:sz w:val="16"/>
          <w:szCs w:val="12"/>
        </w:rPr>
      </w:pPr>
    </w:p>
    <w:p w14:paraId="4C983A02" w14:textId="77777777" w:rsidR="00DB3F3D" w:rsidRDefault="000C0F2B">
      <w:pPr>
        <w:ind w:left="0" w:firstLine="0"/>
      </w:pPr>
      <w:r>
        <w:t>Ob nakazovanju v proračun Unije, kot je navedeno v zgornjem odstavku, lahko zadevna država članica za pavšalno povračilo stroškov izterjave zadrži 20 % ustreznega zneska, razen v primeru neizpolnjevanja s strani upravnih organov ali drugih služb države članice.</w:t>
      </w:r>
    </w:p>
    <w:p w14:paraId="06F62FE1" w14:textId="77777777" w:rsidR="00DB3F3D" w:rsidRDefault="000C0F2B">
      <w:pPr>
        <w:spacing w:after="0"/>
        <w:ind w:left="567" w:firstLine="0"/>
        <w:rPr>
          <w:b/>
          <w:i/>
        </w:rPr>
      </w:pPr>
      <w:r>
        <w:rPr>
          <w:b/>
          <w:i/>
        </w:rPr>
        <w:lastRenderedPageBreak/>
        <w:t>EKSRP</w:t>
      </w:r>
    </w:p>
    <w:p w14:paraId="2D97735A" w14:textId="77777777" w:rsidR="00DB3F3D" w:rsidRDefault="00DB3F3D">
      <w:pPr>
        <w:spacing w:after="0"/>
        <w:ind w:left="567" w:firstLine="0"/>
        <w:rPr>
          <w:b/>
          <w:i/>
        </w:rPr>
      </w:pPr>
    </w:p>
    <w:p w14:paraId="26310868" w14:textId="77777777" w:rsidR="00DB3F3D" w:rsidRDefault="000C0F2B">
      <w:pPr>
        <w:spacing w:after="0"/>
        <w:ind w:left="0" w:firstLine="0"/>
      </w:pPr>
      <w:r>
        <w:t>V skladu s členom 57 Uredbe (EU) 2021/2116 države članice ob ugotovitvi nepravilnosti in v drugih primerih neizpolnjevanja pogojev intervencij za razvoj podeželja, določenih v strateških načrtih SKP, s strani upravičencev ter, kar zadeva finančne instrumente, tudi s strani posebnih skladov v okviru holdinških skladov ali končnih prejemnikov uporabijo finančne popravke, tako da delno ali, kadar je to upravičeno, v celoti prekličejo zadevno financiranje Unije. Države članice upoštevajo naravo in težo ugotovljenega neizpolnjevanja ter višino finančne izgube za EKSRP.</w:t>
      </w:r>
    </w:p>
    <w:p w14:paraId="421C46E9" w14:textId="77777777" w:rsidR="00DB3F3D" w:rsidRDefault="00DB3F3D">
      <w:pPr>
        <w:spacing w:after="0"/>
        <w:ind w:left="567" w:firstLine="34"/>
        <w:rPr>
          <w:b/>
          <w:i/>
        </w:rPr>
      </w:pPr>
    </w:p>
    <w:p w14:paraId="51D93D46" w14:textId="77777777" w:rsidR="00DB3F3D" w:rsidRDefault="000C0F2B">
      <w:pPr>
        <w:ind w:left="567" w:firstLine="34"/>
        <w:rPr>
          <w:b/>
          <w:i/>
        </w:rPr>
      </w:pPr>
      <w:r>
        <w:rPr>
          <w:b/>
          <w:i/>
        </w:rPr>
        <w:t xml:space="preserve">Ponovna uporaba – Splošno pravilo </w:t>
      </w:r>
    </w:p>
    <w:p w14:paraId="16107E19" w14:textId="77777777" w:rsidR="00DB3F3D" w:rsidRDefault="000C0F2B">
      <w:pPr>
        <w:ind w:left="0" w:firstLine="0"/>
      </w:pPr>
      <w:r>
        <w:t xml:space="preserve">Zneski financiranja Unije iz EKSRP, ki se prekličejo, in izterjani zneski s pripadajočimi obrestmi </w:t>
      </w:r>
      <w:r>
        <w:rPr>
          <w:b/>
        </w:rPr>
        <w:t>se prerazporedijo za druge operacije razvoja podeželja iz strateških načrtov SKP</w:t>
      </w:r>
      <w:r>
        <w:t>. Vendar lahko država članica preklicana ali izterjana sredstva Unije v celoti ponovno uporabi le za operacijo razvoja podeželja, predvideno v njenem strateškem načrtu SKP, in teh sredstev ne sme prerazporediti za operacije razvoja podeželja, ki so bile predmet finančnega popravka.</w:t>
      </w:r>
    </w:p>
    <w:p w14:paraId="11C24C7E" w14:textId="77777777" w:rsidR="00DB3F3D" w:rsidRDefault="000C0F2B">
      <w:pPr>
        <w:spacing w:after="0"/>
        <w:ind w:left="567" w:firstLine="0"/>
        <w:rPr>
          <w:b/>
          <w:i/>
        </w:rPr>
      </w:pPr>
      <w:r>
        <w:rPr>
          <w:b/>
          <w:i/>
        </w:rPr>
        <w:t xml:space="preserve">Ponovna uporaba – V okviru finančnih instrumentov </w:t>
      </w:r>
    </w:p>
    <w:p w14:paraId="65FD3538" w14:textId="77777777" w:rsidR="00DB3F3D" w:rsidRDefault="00DB3F3D">
      <w:pPr>
        <w:spacing w:after="0"/>
        <w:ind w:left="567" w:firstLine="0"/>
        <w:rPr>
          <w:b/>
          <w:i/>
        </w:rPr>
      </w:pPr>
    </w:p>
    <w:p w14:paraId="3DEF8F11" w14:textId="77777777" w:rsidR="00DB3F3D" w:rsidRDefault="000C0F2B">
      <w:pPr>
        <w:ind w:left="0" w:firstLine="0"/>
      </w:pPr>
      <w:r>
        <w:t>Za intervencije za razvoj podeželja, ki prejemajo pomoč iz finančnih instrumentov iz člena 58 Uredbe (EU) 2021/1060, se lahko prispevek, preklican zaradi posameznega neizpolnjevanja, ponovno uporabi v okviru istega finančnega instrumenta, kot sledi:</w:t>
      </w:r>
    </w:p>
    <w:p w14:paraId="2A506455" w14:textId="77777777" w:rsidR="00DB3F3D" w:rsidRDefault="000C0F2B">
      <w:pPr>
        <w:pStyle w:val="ListParagraph"/>
        <w:numPr>
          <w:ilvl w:val="0"/>
          <w:numId w:val="38"/>
        </w:numPr>
        <w:jc w:val="both"/>
        <w:rPr>
          <w:rFonts w:ascii="Times New Roman" w:eastAsia="Times New Roman" w:hAnsi="Times New Roman"/>
          <w:i/>
          <w:sz w:val="24"/>
          <w:szCs w:val="20"/>
        </w:rPr>
      </w:pPr>
      <w:r>
        <w:rPr>
          <w:rFonts w:ascii="Times New Roman" w:hAnsi="Times New Roman"/>
          <w:i/>
          <w:sz w:val="24"/>
        </w:rPr>
        <w:t>kadar je neizpolnjevanje, zaradi katerega se prekliče prispevek, ugotovljeno na ravni končnega prejemnika, kot je opredeljen v členu 2, točka 18, Uredbe (EU) 2021/1060, samo za druge končne prejemnike v okviru istega finančnega instrumenta;</w:t>
      </w:r>
    </w:p>
    <w:p w14:paraId="6925CC98" w14:textId="77777777" w:rsidR="00DB3F3D" w:rsidRDefault="000C0F2B">
      <w:pPr>
        <w:pStyle w:val="ListParagraph"/>
        <w:numPr>
          <w:ilvl w:val="0"/>
          <w:numId w:val="38"/>
        </w:numPr>
        <w:jc w:val="both"/>
        <w:rPr>
          <w:rFonts w:ascii="Times New Roman" w:eastAsia="Times New Roman" w:hAnsi="Times New Roman"/>
          <w:i/>
          <w:sz w:val="24"/>
          <w:szCs w:val="20"/>
        </w:rPr>
      </w:pPr>
      <w:r>
        <w:rPr>
          <w:rFonts w:ascii="Times New Roman" w:hAnsi="Times New Roman"/>
          <w:i/>
          <w:sz w:val="24"/>
        </w:rPr>
        <w:t>kadar je neizpolnjevanje, zaradi katerega se prekliče prispevek, ugotovljeno na ravni posebnega sklada, kot je opredeljen v členu 2, točka 21, Uredbe (EU) 2021/1060, znotraj holdinškega sklada, kot je opredeljen v členu 2, točka 20, navedene uredbe, in sicer samo za druge posebne sklade.</w:t>
      </w:r>
    </w:p>
    <w:p w14:paraId="6A26DA81" w14:textId="77777777" w:rsidR="00DB3F3D" w:rsidRDefault="00DB3F3D"/>
    <w:p w14:paraId="6F99674B" w14:textId="77777777" w:rsidR="00DB3F3D" w:rsidRDefault="000C0F2B">
      <w:pPr>
        <w:pStyle w:val="Heading2"/>
        <w:numPr>
          <w:ilvl w:val="1"/>
          <w:numId w:val="45"/>
        </w:numPr>
      </w:pPr>
      <w:r>
        <w:t xml:space="preserve"> </w:t>
      </w:r>
      <w:bookmarkStart w:id="277" w:name="_Toc134086201"/>
      <w:r>
        <w:t>Postopki za dolgove</w:t>
      </w:r>
      <w:bookmarkEnd w:id="277"/>
    </w:p>
    <w:p w14:paraId="6B1C9FAE" w14:textId="77777777" w:rsidR="00DB3F3D" w:rsidRDefault="000C0F2B">
      <w:pPr>
        <w:ind w:left="0" w:firstLine="0"/>
      </w:pPr>
      <w:r>
        <w:t xml:space="preserve">Podobno kot v prejšnjih programskih obdobjih bi bilo treba za programsko obdobje 2023–2027 vzpostaviti sistem kontrol za upravljanje dolga, ki bi temeljil na zahtevah EU in nacionalnih pravilih. Osnovne postopke je treba vzpostaviti v skladu z naslednjimi uredbami: </w:t>
      </w:r>
    </w:p>
    <w:p w14:paraId="4426C4BB" w14:textId="77777777" w:rsidR="00DB3F3D" w:rsidRDefault="000C0F2B">
      <w:pPr>
        <w:pStyle w:val="Heading2"/>
        <w:numPr>
          <w:ilvl w:val="2"/>
          <w:numId w:val="45"/>
        </w:numPr>
      </w:pPr>
      <w:bookmarkStart w:id="278" w:name="_Toc134086202"/>
      <w:r>
        <w:lastRenderedPageBreak/>
        <w:t>Akreditacijska merila – Uredba (EU) 2022/127</w:t>
      </w:r>
      <w:bookmarkEnd w:id="278"/>
    </w:p>
    <w:p w14:paraId="1E5610C7" w14:textId="77777777" w:rsidR="00DB3F3D" w:rsidRDefault="000C0F2B">
      <w:pPr>
        <w:spacing w:after="0"/>
        <w:ind w:left="0" w:firstLine="0"/>
        <w:rPr>
          <w:szCs w:val="24"/>
        </w:rPr>
      </w:pPr>
      <w:r>
        <w:t xml:space="preserve">V skladu s točko 2(F) Priloge I – </w:t>
      </w:r>
      <w:r>
        <w:rPr>
          <w:i/>
        </w:rPr>
        <w:t>Akreditacijska merila plačilnih agencij</w:t>
      </w:r>
      <w:r>
        <w:t xml:space="preserve"> – k Uredbi (EU) 2022/127:</w:t>
      </w:r>
    </w:p>
    <w:p w14:paraId="66CE69C6" w14:textId="77777777" w:rsidR="00DB3F3D" w:rsidRDefault="00DB3F3D">
      <w:pPr>
        <w:spacing w:after="0"/>
        <w:ind w:left="567" w:firstLine="0"/>
        <w:rPr>
          <w:szCs w:val="24"/>
        </w:rPr>
      </w:pPr>
    </w:p>
    <w:p w14:paraId="17BCB5B6" w14:textId="77777777" w:rsidR="00DB3F3D" w:rsidRDefault="000C0F2B">
      <w:pPr>
        <w:pStyle w:val="ListParagraph"/>
        <w:numPr>
          <w:ilvl w:val="0"/>
          <w:numId w:val="39"/>
        </w:numPr>
        <w:jc w:val="both"/>
        <w:rPr>
          <w:rFonts w:ascii="Times New Roman" w:hAnsi="Times New Roman"/>
          <w:sz w:val="24"/>
          <w:szCs w:val="24"/>
        </w:rPr>
      </w:pPr>
      <w:r>
        <w:rPr>
          <w:rFonts w:ascii="Times New Roman" w:hAnsi="Times New Roman"/>
          <w:sz w:val="24"/>
        </w:rPr>
        <w:t xml:space="preserve">Plačilna agencija vzpostavi sistem za </w:t>
      </w:r>
      <w:r>
        <w:rPr>
          <w:rFonts w:ascii="Times New Roman" w:hAnsi="Times New Roman"/>
          <w:b/>
          <w:sz w:val="24"/>
        </w:rPr>
        <w:t>priznanje vseh dolgovanih zneskov</w:t>
      </w:r>
      <w:r>
        <w:rPr>
          <w:rFonts w:ascii="Times New Roman" w:hAnsi="Times New Roman"/>
          <w:sz w:val="24"/>
        </w:rPr>
        <w:t xml:space="preserve"> in za evidentiranje vseh dolgov pred njihovim sprejemom v </w:t>
      </w:r>
      <w:r>
        <w:rPr>
          <w:rFonts w:ascii="Times New Roman" w:hAnsi="Times New Roman"/>
          <w:b/>
          <w:sz w:val="24"/>
        </w:rPr>
        <w:t>eno samo knjigo terjatev</w:t>
      </w:r>
      <w:r>
        <w:rPr>
          <w:rFonts w:ascii="Times New Roman" w:hAnsi="Times New Roman"/>
          <w:sz w:val="24"/>
        </w:rPr>
        <w:t>.</w:t>
      </w:r>
    </w:p>
    <w:p w14:paraId="3D93C65B" w14:textId="77777777" w:rsidR="00DB3F3D" w:rsidRDefault="00DB3F3D">
      <w:pPr>
        <w:pStyle w:val="ListParagraph"/>
        <w:ind w:left="1287" w:firstLine="0"/>
        <w:jc w:val="both"/>
        <w:rPr>
          <w:rFonts w:ascii="Times New Roman" w:hAnsi="Times New Roman"/>
          <w:sz w:val="16"/>
          <w:szCs w:val="16"/>
        </w:rPr>
      </w:pPr>
    </w:p>
    <w:p w14:paraId="692D7696" w14:textId="77777777" w:rsidR="00DB3F3D" w:rsidRDefault="000C0F2B">
      <w:pPr>
        <w:pStyle w:val="ListParagraph"/>
        <w:numPr>
          <w:ilvl w:val="0"/>
          <w:numId w:val="39"/>
        </w:numPr>
        <w:jc w:val="both"/>
        <w:rPr>
          <w:rFonts w:ascii="Times New Roman" w:hAnsi="Times New Roman"/>
          <w:sz w:val="24"/>
          <w:szCs w:val="24"/>
        </w:rPr>
      </w:pPr>
      <w:r>
        <w:rPr>
          <w:rFonts w:ascii="Times New Roman" w:hAnsi="Times New Roman"/>
          <w:sz w:val="24"/>
        </w:rPr>
        <w:t xml:space="preserve">Knjiga terjatev se redno </w:t>
      </w:r>
      <w:r>
        <w:rPr>
          <w:rFonts w:ascii="Times New Roman" w:hAnsi="Times New Roman"/>
          <w:b/>
          <w:sz w:val="24"/>
        </w:rPr>
        <w:t>pregleduje</w:t>
      </w:r>
      <w:r>
        <w:rPr>
          <w:rFonts w:ascii="Times New Roman" w:hAnsi="Times New Roman"/>
          <w:sz w:val="24"/>
        </w:rPr>
        <w:t xml:space="preserve"> in sprejmejo se ukrepi za izterjavo zapadlih dolgov. </w:t>
      </w:r>
    </w:p>
    <w:p w14:paraId="102B370E" w14:textId="77777777" w:rsidR="00DB3F3D" w:rsidRDefault="00DB3F3D">
      <w:pPr>
        <w:pStyle w:val="ListParagraph"/>
        <w:rPr>
          <w:rFonts w:ascii="Times New Roman" w:hAnsi="Times New Roman"/>
          <w:sz w:val="24"/>
          <w:szCs w:val="24"/>
        </w:rPr>
      </w:pPr>
    </w:p>
    <w:p w14:paraId="64EBD067" w14:textId="77777777" w:rsidR="00DB3F3D" w:rsidRDefault="00DB3F3D">
      <w:pPr>
        <w:pStyle w:val="ListParagraph"/>
        <w:ind w:left="1287" w:firstLine="0"/>
        <w:jc w:val="both"/>
        <w:rPr>
          <w:rFonts w:ascii="Times New Roman" w:hAnsi="Times New Roman"/>
          <w:sz w:val="24"/>
          <w:szCs w:val="24"/>
        </w:rPr>
      </w:pPr>
    </w:p>
    <w:p w14:paraId="45A6E1B9" w14:textId="77777777" w:rsidR="00DB3F3D" w:rsidRDefault="000C0F2B">
      <w:pPr>
        <w:ind w:left="0" w:firstLine="0"/>
        <w:rPr>
          <w:szCs w:val="24"/>
        </w:rPr>
      </w:pPr>
      <w:r>
        <w:t>Čas določitve dolga je trenutek, ko je dolg opredeljen kot opredmeten in ko obstaja veljavna obveza za njegovo plačilo. Plačilna agencija mora biti sposobna določiti:</w:t>
      </w:r>
    </w:p>
    <w:p w14:paraId="2E2E5C09" w14:textId="77777777" w:rsidR="00DB3F3D" w:rsidRDefault="000C0F2B">
      <w:pPr>
        <w:pStyle w:val="ListParagraph"/>
        <w:numPr>
          <w:ilvl w:val="0"/>
          <w:numId w:val="42"/>
        </w:numPr>
        <w:ind w:left="2127" w:hanging="142"/>
        <w:rPr>
          <w:rFonts w:ascii="Times New Roman" w:hAnsi="Times New Roman"/>
          <w:sz w:val="24"/>
          <w:szCs w:val="24"/>
        </w:rPr>
      </w:pPr>
      <w:r>
        <w:rPr>
          <w:rFonts w:ascii="Times New Roman" w:hAnsi="Times New Roman"/>
          <w:sz w:val="24"/>
        </w:rPr>
        <w:t>natančno identiteto dolžnika;</w:t>
      </w:r>
    </w:p>
    <w:p w14:paraId="438D9957" w14:textId="77777777" w:rsidR="00DB3F3D" w:rsidRDefault="000C0F2B">
      <w:pPr>
        <w:pStyle w:val="ListParagraph"/>
        <w:numPr>
          <w:ilvl w:val="0"/>
          <w:numId w:val="42"/>
        </w:numPr>
        <w:ind w:hanging="142"/>
        <w:rPr>
          <w:rFonts w:ascii="Times New Roman" w:hAnsi="Times New Roman"/>
          <w:sz w:val="24"/>
          <w:szCs w:val="24"/>
        </w:rPr>
      </w:pPr>
      <w:r>
        <w:rPr>
          <w:rFonts w:ascii="Times New Roman" w:hAnsi="Times New Roman"/>
          <w:sz w:val="24"/>
        </w:rPr>
        <w:t>da je dolg dejansko ugotovljen;</w:t>
      </w:r>
    </w:p>
    <w:p w14:paraId="2A4070CE" w14:textId="77777777" w:rsidR="00DB3F3D" w:rsidRDefault="000C0F2B">
      <w:pPr>
        <w:pStyle w:val="ListParagraph"/>
        <w:numPr>
          <w:ilvl w:val="0"/>
          <w:numId w:val="42"/>
        </w:numPr>
        <w:ind w:hanging="142"/>
        <w:rPr>
          <w:rFonts w:ascii="Times New Roman" w:hAnsi="Times New Roman"/>
          <w:sz w:val="24"/>
          <w:szCs w:val="24"/>
        </w:rPr>
      </w:pPr>
      <w:r>
        <w:rPr>
          <w:rFonts w:ascii="Times New Roman" w:hAnsi="Times New Roman"/>
          <w:sz w:val="24"/>
        </w:rPr>
        <w:t xml:space="preserve">zadevni znesek. </w:t>
      </w:r>
    </w:p>
    <w:p w14:paraId="05344C48" w14:textId="77777777" w:rsidR="00DB3F3D" w:rsidRDefault="00DB3F3D">
      <w:pPr>
        <w:spacing w:after="0"/>
        <w:ind w:left="567" w:hanging="142"/>
      </w:pPr>
    </w:p>
    <w:p w14:paraId="425F1789" w14:textId="77777777" w:rsidR="00DB3F3D" w:rsidRDefault="000C0F2B">
      <w:pPr>
        <w:spacing w:after="0"/>
        <w:ind w:left="0" w:firstLine="0"/>
      </w:pPr>
      <w:r>
        <w:t>Ko so ti pogoji izpolnjeni, je treba ugotovljeni dolg takoj zabeležiti v eni sami knjigi terjatev. Plačilna agencija mora zagotoviti, da knjiga terjatev zagotavlja pravilno in popolno sliko zneskov, ki jih je treba izterjati, da so postopki izterjave učinkoviti ter da so zneski pravilno in takoj knjiženi v dobro skladov.</w:t>
      </w:r>
    </w:p>
    <w:p w14:paraId="5516B125" w14:textId="77777777" w:rsidR="00DB3F3D" w:rsidRDefault="00DB3F3D">
      <w:pPr>
        <w:spacing w:after="0"/>
        <w:ind w:left="567" w:firstLine="0"/>
      </w:pPr>
    </w:p>
    <w:p w14:paraId="6296B221" w14:textId="77777777" w:rsidR="00DB3F3D" w:rsidRDefault="000C0F2B">
      <w:pPr>
        <w:pStyle w:val="Heading2"/>
        <w:numPr>
          <w:ilvl w:val="3"/>
          <w:numId w:val="45"/>
        </w:numPr>
      </w:pPr>
      <w:bookmarkStart w:id="279" w:name="_Toc134086203"/>
      <w:r>
        <w:t>Knjiga terjatev</w:t>
      </w:r>
      <w:bookmarkEnd w:id="279"/>
      <w:r>
        <w:t xml:space="preserve"> </w:t>
      </w:r>
    </w:p>
    <w:p w14:paraId="4A3C8616" w14:textId="77777777" w:rsidR="00DB3F3D" w:rsidRDefault="00DB3F3D">
      <w:pPr>
        <w:pStyle w:val="ListParagraph"/>
        <w:ind w:left="2424" w:firstLine="0"/>
        <w:rPr>
          <w:rFonts w:ascii="Times New Roman" w:hAnsi="Times New Roman"/>
          <w:b/>
          <w:sz w:val="24"/>
          <w:szCs w:val="24"/>
        </w:rPr>
      </w:pPr>
    </w:p>
    <w:p w14:paraId="0EF0DBA1" w14:textId="77777777" w:rsidR="00DB3F3D" w:rsidRDefault="000C0F2B">
      <w:pPr>
        <w:ind w:left="0" w:firstLine="0"/>
      </w:pPr>
      <w:r>
        <w:t xml:space="preserve">Plačilna agencija mora voditi knjigo terjatev glede plačil, ki se upravljajo v okviru skladov EU (EKJS in EKSRP), da bi spremljala neporavnane zneske. Zaradi organizacijske ali postopkovne strukture v dani državi članici je lahko smiselno voditi tudi ločeno knjigo za posamezen sklad. </w:t>
      </w:r>
    </w:p>
    <w:p w14:paraId="4926569A" w14:textId="77777777" w:rsidR="00DB3F3D" w:rsidRDefault="000C0F2B">
      <w:pPr>
        <w:ind w:left="0" w:firstLine="0"/>
      </w:pPr>
      <w:r>
        <w:t>Knjiga terjatev bi morala vključevati ustrezne podatke v zvezi z življenjskim ciklom dolga. Za vsak primer dolga je treba navesti vsaj naslednje elemente:</w:t>
      </w:r>
    </w:p>
    <w:p w14:paraId="5ED524BD" w14:textId="77777777" w:rsidR="00DB3F3D" w:rsidRDefault="000C0F2B">
      <w:pPr>
        <w:pStyle w:val="ListParagraph"/>
        <w:numPr>
          <w:ilvl w:val="0"/>
          <w:numId w:val="40"/>
        </w:numPr>
        <w:jc w:val="both"/>
        <w:rPr>
          <w:rFonts w:ascii="Times New Roman" w:eastAsia="Times New Roman" w:hAnsi="Times New Roman"/>
          <w:sz w:val="24"/>
          <w:szCs w:val="20"/>
        </w:rPr>
      </w:pPr>
      <w:r>
        <w:rPr>
          <w:rFonts w:ascii="Times New Roman" w:hAnsi="Times New Roman"/>
          <w:sz w:val="24"/>
        </w:rPr>
        <w:t>identifikacija dolžnika;</w:t>
      </w:r>
    </w:p>
    <w:p w14:paraId="31EF5BD9" w14:textId="77777777" w:rsidR="00DB3F3D" w:rsidRDefault="000C0F2B">
      <w:pPr>
        <w:pStyle w:val="ListParagraph"/>
        <w:numPr>
          <w:ilvl w:val="0"/>
          <w:numId w:val="40"/>
        </w:numPr>
        <w:jc w:val="both"/>
        <w:rPr>
          <w:rFonts w:ascii="Times New Roman" w:eastAsia="Times New Roman" w:hAnsi="Times New Roman"/>
          <w:sz w:val="24"/>
          <w:szCs w:val="20"/>
        </w:rPr>
      </w:pPr>
      <w:r>
        <w:rPr>
          <w:rFonts w:ascii="Times New Roman" w:hAnsi="Times New Roman"/>
          <w:sz w:val="24"/>
        </w:rPr>
        <w:t>sklad, ukrep ali intervencija, na katerega oz. katero se neupravičen znesek nanaša;</w:t>
      </w:r>
    </w:p>
    <w:p w14:paraId="46A370F8" w14:textId="77777777" w:rsidR="00DB3F3D" w:rsidRDefault="000C0F2B">
      <w:pPr>
        <w:pStyle w:val="ListParagraph"/>
        <w:numPr>
          <w:ilvl w:val="0"/>
          <w:numId w:val="40"/>
        </w:numPr>
        <w:jc w:val="both"/>
        <w:rPr>
          <w:rFonts w:ascii="Times New Roman" w:eastAsia="Times New Roman" w:hAnsi="Times New Roman"/>
          <w:sz w:val="24"/>
          <w:szCs w:val="20"/>
        </w:rPr>
      </w:pPr>
      <w:r>
        <w:rPr>
          <w:rFonts w:ascii="Times New Roman" w:hAnsi="Times New Roman"/>
          <w:sz w:val="24"/>
        </w:rPr>
        <w:t>klasifikacija zneska dolga (administrativna napaka, nepravilnost ali kazen);</w:t>
      </w:r>
    </w:p>
    <w:p w14:paraId="0731AB78" w14:textId="77777777" w:rsidR="00DB3F3D" w:rsidRDefault="000C0F2B">
      <w:pPr>
        <w:pStyle w:val="ListParagraph"/>
        <w:numPr>
          <w:ilvl w:val="0"/>
          <w:numId w:val="40"/>
        </w:numPr>
        <w:jc w:val="both"/>
        <w:rPr>
          <w:rFonts w:ascii="Times New Roman" w:eastAsia="Times New Roman" w:hAnsi="Times New Roman"/>
          <w:sz w:val="24"/>
          <w:szCs w:val="20"/>
        </w:rPr>
      </w:pPr>
      <w:r>
        <w:rPr>
          <w:rFonts w:ascii="Times New Roman" w:hAnsi="Times New Roman"/>
          <w:sz w:val="24"/>
        </w:rPr>
        <w:lastRenderedPageBreak/>
        <w:t>datum prvega obvestila o nepravilnosti (ali morebitni nepravilnosti);</w:t>
      </w:r>
    </w:p>
    <w:p w14:paraId="178BD81D" w14:textId="77777777" w:rsidR="00DB3F3D" w:rsidRDefault="000C0F2B">
      <w:pPr>
        <w:pStyle w:val="ListParagraph"/>
        <w:numPr>
          <w:ilvl w:val="0"/>
          <w:numId w:val="40"/>
        </w:numPr>
        <w:jc w:val="both"/>
        <w:rPr>
          <w:rFonts w:ascii="Times New Roman" w:eastAsia="Times New Roman" w:hAnsi="Times New Roman"/>
          <w:sz w:val="24"/>
          <w:szCs w:val="20"/>
        </w:rPr>
      </w:pPr>
      <w:r>
        <w:rPr>
          <w:rFonts w:ascii="Times New Roman" w:hAnsi="Times New Roman"/>
          <w:sz w:val="24"/>
        </w:rPr>
        <w:t>znesek;</w:t>
      </w:r>
    </w:p>
    <w:p w14:paraId="6AEE88E1" w14:textId="77777777" w:rsidR="00DB3F3D" w:rsidRDefault="000C0F2B">
      <w:pPr>
        <w:pStyle w:val="ListParagraph"/>
        <w:numPr>
          <w:ilvl w:val="0"/>
          <w:numId w:val="40"/>
        </w:numPr>
        <w:jc w:val="both"/>
        <w:rPr>
          <w:rFonts w:ascii="Times New Roman" w:eastAsia="Times New Roman" w:hAnsi="Times New Roman"/>
          <w:sz w:val="24"/>
          <w:szCs w:val="20"/>
        </w:rPr>
      </w:pPr>
      <w:r>
        <w:rPr>
          <w:rFonts w:ascii="Times New Roman" w:hAnsi="Times New Roman"/>
          <w:sz w:val="24"/>
        </w:rPr>
        <w:t>natečene obresti;</w:t>
      </w:r>
    </w:p>
    <w:p w14:paraId="5C06105B" w14:textId="77777777" w:rsidR="00DB3F3D" w:rsidRDefault="000C0F2B">
      <w:pPr>
        <w:pStyle w:val="ListParagraph"/>
        <w:numPr>
          <w:ilvl w:val="0"/>
          <w:numId w:val="40"/>
        </w:numPr>
        <w:jc w:val="both"/>
        <w:rPr>
          <w:rFonts w:ascii="Times New Roman" w:eastAsia="Times New Roman" w:hAnsi="Times New Roman"/>
          <w:sz w:val="24"/>
          <w:szCs w:val="20"/>
        </w:rPr>
      </w:pPr>
      <w:r>
        <w:rPr>
          <w:rFonts w:ascii="Times New Roman" w:hAnsi="Times New Roman"/>
          <w:sz w:val="24"/>
        </w:rPr>
        <w:t>popravljeni zneski;</w:t>
      </w:r>
    </w:p>
    <w:p w14:paraId="6FAE4D32" w14:textId="77777777" w:rsidR="00DB3F3D" w:rsidRDefault="000C0F2B">
      <w:pPr>
        <w:pStyle w:val="ListParagraph"/>
        <w:numPr>
          <w:ilvl w:val="0"/>
          <w:numId w:val="40"/>
        </w:numPr>
        <w:jc w:val="both"/>
        <w:rPr>
          <w:rFonts w:ascii="Times New Roman" w:eastAsia="Times New Roman" w:hAnsi="Times New Roman"/>
          <w:sz w:val="24"/>
          <w:szCs w:val="20"/>
        </w:rPr>
      </w:pPr>
      <w:r>
        <w:rPr>
          <w:rFonts w:ascii="Times New Roman" w:hAnsi="Times New Roman"/>
          <w:sz w:val="24"/>
        </w:rPr>
        <w:t>izterjani zneski in ustrezni datumi;</w:t>
      </w:r>
    </w:p>
    <w:p w14:paraId="0CD464B6" w14:textId="77777777" w:rsidR="00DB3F3D" w:rsidRDefault="000C0F2B">
      <w:pPr>
        <w:pStyle w:val="ListParagraph"/>
        <w:numPr>
          <w:ilvl w:val="0"/>
          <w:numId w:val="40"/>
        </w:numPr>
        <w:jc w:val="both"/>
        <w:rPr>
          <w:rFonts w:ascii="Times New Roman" w:eastAsia="Times New Roman" w:hAnsi="Times New Roman"/>
          <w:sz w:val="24"/>
          <w:szCs w:val="20"/>
        </w:rPr>
      </w:pPr>
      <w:r>
        <w:rPr>
          <w:rFonts w:ascii="Times New Roman" w:hAnsi="Times New Roman"/>
          <w:sz w:val="24"/>
        </w:rPr>
        <w:t>upravni ukrepi, sprejeti za izterjavo zneska dolga, in sicer zahtevek za izterjavo in ustrezni datumi;</w:t>
      </w:r>
    </w:p>
    <w:p w14:paraId="4B28632C" w14:textId="77777777" w:rsidR="00DB3F3D" w:rsidRDefault="000C0F2B">
      <w:pPr>
        <w:pStyle w:val="ListParagraph"/>
        <w:numPr>
          <w:ilvl w:val="0"/>
          <w:numId w:val="40"/>
        </w:numPr>
        <w:jc w:val="both"/>
        <w:rPr>
          <w:rFonts w:ascii="Times New Roman" w:eastAsia="Times New Roman" w:hAnsi="Times New Roman"/>
          <w:sz w:val="24"/>
          <w:szCs w:val="20"/>
        </w:rPr>
      </w:pPr>
      <w:r>
        <w:rPr>
          <w:rFonts w:ascii="Times New Roman" w:hAnsi="Times New Roman"/>
          <w:sz w:val="24"/>
        </w:rPr>
        <w:t>sodni ukrepi, sprejeti za izterjavo zneska dolga, in ustrezni datumi;</w:t>
      </w:r>
    </w:p>
    <w:p w14:paraId="67716CA5" w14:textId="77777777" w:rsidR="00DB3F3D" w:rsidRDefault="000C0F2B">
      <w:pPr>
        <w:pStyle w:val="ListParagraph"/>
        <w:numPr>
          <w:ilvl w:val="0"/>
          <w:numId w:val="40"/>
        </w:numPr>
        <w:jc w:val="both"/>
        <w:rPr>
          <w:rFonts w:ascii="Times New Roman" w:eastAsia="Times New Roman" w:hAnsi="Times New Roman"/>
          <w:sz w:val="24"/>
          <w:szCs w:val="20"/>
        </w:rPr>
      </w:pPr>
      <w:r>
        <w:rPr>
          <w:rFonts w:ascii="Times New Roman" w:hAnsi="Times New Roman"/>
          <w:sz w:val="24"/>
        </w:rPr>
        <w:t>če se je dolg štel za neizterljivega, ustrezni datum odločitve, da se izterjava ne izvede;</w:t>
      </w:r>
    </w:p>
    <w:p w14:paraId="0561D1BC" w14:textId="77777777" w:rsidR="00DB3F3D" w:rsidRDefault="000C0F2B">
      <w:pPr>
        <w:pStyle w:val="ListParagraph"/>
        <w:numPr>
          <w:ilvl w:val="0"/>
          <w:numId w:val="40"/>
        </w:numPr>
        <w:jc w:val="both"/>
        <w:rPr>
          <w:rFonts w:ascii="Times New Roman" w:eastAsia="Times New Roman" w:hAnsi="Times New Roman"/>
          <w:sz w:val="24"/>
          <w:szCs w:val="20"/>
        </w:rPr>
      </w:pPr>
      <w:r>
        <w:rPr>
          <w:rFonts w:ascii="Times New Roman" w:hAnsi="Times New Roman"/>
          <w:sz w:val="24"/>
        </w:rPr>
        <w:t>če je bil dolg odpisan, ustrezni datum odločitve plačilne agencije;</w:t>
      </w:r>
    </w:p>
    <w:p w14:paraId="14B7B9F8" w14:textId="77777777" w:rsidR="00DB3F3D" w:rsidRDefault="000C0F2B">
      <w:pPr>
        <w:pStyle w:val="ListParagraph"/>
        <w:numPr>
          <w:ilvl w:val="0"/>
          <w:numId w:val="40"/>
        </w:numPr>
        <w:jc w:val="both"/>
        <w:rPr>
          <w:rFonts w:ascii="Times New Roman" w:eastAsia="Times New Roman" w:hAnsi="Times New Roman"/>
          <w:sz w:val="24"/>
          <w:szCs w:val="20"/>
        </w:rPr>
      </w:pPr>
      <w:r>
        <w:rPr>
          <w:rFonts w:ascii="Times New Roman" w:hAnsi="Times New Roman"/>
          <w:sz w:val="24"/>
        </w:rPr>
        <w:t>sklic na urad OLAF, kadar je to ustrezno.</w:t>
      </w:r>
    </w:p>
    <w:p w14:paraId="67661A0F" w14:textId="77777777" w:rsidR="00DB3F3D" w:rsidRDefault="00DB3F3D">
      <w:pPr>
        <w:pStyle w:val="ListParagraph"/>
        <w:ind w:left="1405" w:firstLine="0"/>
        <w:jc w:val="both"/>
        <w:rPr>
          <w:rFonts w:ascii="Times New Roman" w:eastAsia="Times New Roman" w:hAnsi="Times New Roman"/>
          <w:sz w:val="24"/>
          <w:szCs w:val="20"/>
        </w:rPr>
      </w:pPr>
    </w:p>
    <w:p w14:paraId="5302AFC7" w14:textId="77777777" w:rsidR="00DB3F3D" w:rsidRDefault="000C0F2B">
      <w:pPr>
        <w:ind w:left="0" w:firstLine="0"/>
      </w:pPr>
      <w:r>
        <w:t xml:space="preserve">Knjigo terjatev je treba redno posodabljati na podlagi informacij, ki jih posredujejo zadevne službe. Knjiga terjatev bi morala biti popolna, točna in veljavna. V ta namen bi bilo treba zagotoviti naslednje postopke: </w:t>
      </w:r>
    </w:p>
    <w:p w14:paraId="291E4893" w14:textId="77777777" w:rsidR="00DB3F3D" w:rsidRDefault="000C0F2B">
      <w:pPr>
        <w:pStyle w:val="ListParagraph"/>
        <w:numPr>
          <w:ilvl w:val="0"/>
          <w:numId w:val="43"/>
        </w:numPr>
        <w:jc w:val="both"/>
        <w:rPr>
          <w:rFonts w:ascii="Times New Roman" w:hAnsi="Times New Roman"/>
          <w:sz w:val="24"/>
          <w:szCs w:val="24"/>
        </w:rPr>
      </w:pPr>
      <w:r>
        <w:rPr>
          <w:rFonts w:ascii="Times New Roman" w:hAnsi="Times New Roman"/>
          <w:sz w:val="24"/>
        </w:rPr>
        <w:t>Popolnost knjige terjatev:</w:t>
      </w:r>
    </w:p>
    <w:p w14:paraId="09D2FCBB" w14:textId="77777777" w:rsidR="00DB3F3D" w:rsidRDefault="000C0F2B">
      <w:pPr>
        <w:pStyle w:val="ListParagraph"/>
        <w:numPr>
          <w:ilvl w:val="0"/>
          <w:numId w:val="40"/>
        </w:numPr>
        <w:jc w:val="both"/>
        <w:rPr>
          <w:rFonts w:ascii="Times New Roman" w:eastAsia="Times New Roman" w:hAnsi="Times New Roman"/>
          <w:sz w:val="24"/>
          <w:szCs w:val="20"/>
        </w:rPr>
      </w:pPr>
      <w:r>
        <w:rPr>
          <w:rFonts w:ascii="Times New Roman" w:hAnsi="Times New Roman"/>
          <w:sz w:val="24"/>
        </w:rPr>
        <w:t>zneske, ki jih je treba izterjati, je treba takoj evidentirati le v eni knjigi terjatev, ki se hrani na sedežu plačilne agencije. Oseba, ki je odgovorna za vzdrževanje te evidence, ne sme biti odgovorna za izplačila ali za obdelavo zahtevka;</w:t>
      </w:r>
    </w:p>
    <w:p w14:paraId="7E3656CA" w14:textId="77777777" w:rsidR="00DB3F3D" w:rsidRDefault="000C0F2B">
      <w:pPr>
        <w:pStyle w:val="ListParagraph"/>
        <w:numPr>
          <w:ilvl w:val="0"/>
          <w:numId w:val="40"/>
        </w:numPr>
        <w:jc w:val="both"/>
        <w:rPr>
          <w:rFonts w:ascii="Times New Roman" w:eastAsia="Times New Roman" w:hAnsi="Times New Roman"/>
          <w:sz w:val="24"/>
          <w:szCs w:val="20"/>
        </w:rPr>
      </w:pPr>
      <w:r>
        <w:rPr>
          <w:rFonts w:ascii="Times New Roman" w:hAnsi="Times New Roman"/>
          <w:sz w:val="24"/>
        </w:rPr>
        <w:t>vodstvo mora razviti sistem, ki zagotavlja, da se vsi dolgovi sporočijo oddelku, ki je odgovoren za knjigo terjatev;</w:t>
      </w:r>
    </w:p>
    <w:p w14:paraId="05AC80D1" w14:textId="77777777" w:rsidR="00DB3F3D" w:rsidRDefault="000C0F2B">
      <w:pPr>
        <w:pStyle w:val="ListParagraph"/>
        <w:numPr>
          <w:ilvl w:val="0"/>
          <w:numId w:val="40"/>
        </w:numPr>
        <w:jc w:val="both"/>
        <w:rPr>
          <w:rFonts w:ascii="Times New Roman" w:eastAsia="Times New Roman" w:hAnsi="Times New Roman"/>
          <w:sz w:val="24"/>
          <w:szCs w:val="20"/>
        </w:rPr>
      </w:pPr>
      <w:r>
        <w:rPr>
          <w:rFonts w:ascii="Times New Roman" w:hAnsi="Times New Roman"/>
          <w:sz w:val="24"/>
        </w:rPr>
        <w:t xml:space="preserve">plačilna agencija mora imeti vzpostavljene sisteme za zagotovitev, da so na voljo vse informacije v zvezi z morebitnimi izterjavami (npr. poročila o pregledu in dopisi o izterjavi) in da se zagotovi pravočasno evidentiranje v knjigi terjatev; </w:t>
      </w:r>
    </w:p>
    <w:p w14:paraId="45D68819" w14:textId="77777777" w:rsidR="00DB3F3D" w:rsidRDefault="000C0F2B">
      <w:pPr>
        <w:pStyle w:val="ListParagraph"/>
        <w:numPr>
          <w:ilvl w:val="0"/>
          <w:numId w:val="40"/>
        </w:numPr>
        <w:jc w:val="both"/>
        <w:rPr>
          <w:rFonts w:ascii="Times New Roman" w:eastAsia="Times New Roman" w:hAnsi="Times New Roman"/>
          <w:sz w:val="24"/>
          <w:szCs w:val="20"/>
        </w:rPr>
      </w:pPr>
      <w:r>
        <w:rPr>
          <w:rFonts w:ascii="Times New Roman" w:hAnsi="Times New Roman"/>
          <w:sz w:val="24"/>
        </w:rPr>
        <w:t>popolnost knjige terjatev je treba redno preverjati.</w:t>
      </w:r>
    </w:p>
    <w:p w14:paraId="52300D6F" w14:textId="77777777" w:rsidR="00DB3F3D" w:rsidRDefault="00DB3F3D">
      <w:pPr>
        <w:spacing w:after="0"/>
      </w:pPr>
    </w:p>
    <w:p w14:paraId="188039D0" w14:textId="77777777" w:rsidR="00DB3F3D" w:rsidRDefault="000C0F2B">
      <w:pPr>
        <w:pStyle w:val="ListParagraph"/>
        <w:numPr>
          <w:ilvl w:val="0"/>
          <w:numId w:val="43"/>
        </w:numPr>
        <w:jc w:val="both"/>
        <w:rPr>
          <w:rFonts w:ascii="Times New Roman" w:hAnsi="Times New Roman"/>
          <w:sz w:val="24"/>
          <w:szCs w:val="24"/>
        </w:rPr>
      </w:pPr>
      <w:r>
        <w:rPr>
          <w:rFonts w:ascii="Times New Roman" w:hAnsi="Times New Roman"/>
          <w:sz w:val="24"/>
        </w:rPr>
        <w:t>Veljavnost in natančnost knjige terjatev:</w:t>
      </w:r>
    </w:p>
    <w:p w14:paraId="0A3695EA" w14:textId="77777777" w:rsidR="00DB3F3D" w:rsidRDefault="000C0F2B">
      <w:pPr>
        <w:pStyle w:val="ListParagraph"/>
        <w:numPr>
          <w:ilvl w:val="0"/>
          <w:numId w:val="40"/>
        </w:numPr>
        <w:jc w:val="both"/>
        <w:rPr>
          <w:rFonts w:ascii="Times New Roman" w:eastAsia="Times New Roman" w:hAnsi="Times New Roman"/>
          <w:sz w:val="24"/>
          <w:szCs w:val="20"/>
        </w:rPr>
      </w:pPr>
      <w:r>
        <w:rPr>
          <w:rFonts w:ascii="Times New Roman" w:hAnsi="Times New Roman"/>
          <w:sz w:val="24"/>
        </w:rPr>
        <w:t xml:space="preserve">finančni oddelek mora knjigo terjatev redno usklajevati s podatki operativnih sistemov; </w:t>
      </w:r>
    </w:p>
    <w:p w14:paraId="6B21F212" w14:textId="77777777" w:rsidR="00DB3F3D" w:rsidRDefault="000C0F2B">
      <w:pPr>
        <w:pStyle w:val="ListParagraph"/>
        <w:numPr>
          <w:ilvl w:val="0"/>
          <w:numId w:val="40"/>
        </w:numPr>
        <w:jc w:val="both"/>
        <w:rPr>
          <w:rFonts w:ascii="Times New Roman" w:eastAsia="Times New Roman" w:hAnsi="Times New Roman"/>
          <w:sz w:val="24"/>
          <w:szCs w:val="20"/>
        </w:rPr>
      </w:pPr>
      <w:r>
        <w:rPr>
          <w:rFonts w:ascii="Times New Roman" w:hAnsi="Times New Roman"/>
          <w:sz w:val="24"/>
        </w:rPr>
        <w:t>znesek, ki ga je treba izterjati, mora biti pravilno izračunan. Vodstvo mora pregledati izračun zneska, ki ga je treba izterjati (vključno z vsemi sankcijami, znižanji, popravki ali obrestmi);</w:t>
      </w:r>
    </w:p>
    <w:p w14:paraId="105081FF" w14:textId="77777777" w:rsidR="00DB3F3D" w:rsidRDefault="000C0F2B">
      <w:pPr>
        <w:pStyle w:val="ListParagraph"/>
        <w:numPr>
          <w:ilvl w:val="0"/>
          <w:numId w:val="40"/>
        </w:numPr>
        <w:jc w:val="both"/>
        <w:rPr>
          <w:rFonts w:ascii="Times New Roman" w:eastAsia="Times New Roman" w:hAnsi="Times New Roman"/>
          <w:sz w:val="24"/>
          <w:szCs w:val="20"/>
        </w:rPr>
      </w:pPr>
      <w:r>
        <w:rPr>
          <w:rFonts w:ascii="Times New Roman" w:hAnsi="Times New Roman"/>
          <w:sz w:val="24"/>
        </w:rPr>
        <w:t xml:space="preserve">prejemke je treba takoj evidentirati in jih zabeležiti poleg neporavnanih dolgov; </w:t>
      </w:r>
    </w:p>
    <w:p w14:paraId="7B97C503" w14:textId="77777777" w:rsidR="00DB3F3D" w:rsidRDefault="000C0F2B">
      <w:pPr>
        <w:pStyle w:val="ListParagraph"/>
        <w:numPr>
          <w:ilvl w:val="0"/>
          <w:numId w:val="40"/>
        </w:numPr>
        <w:jc w:val="both"/>
        <w:rPr>
          <w:rFonts w:ascii="Times New Roman" w:eastAsia="Times New Roman" w:hAnsi="Times New Roman"/>
          <w:sz w:val="24"/>
          <w:szCs w:val="20"/>
        </w:rPr>
      </w:pPr>
      <w:r>
        <w:rPr>
          <w:rFonts w:ascii="Times New Roman" w:hAnsi="Times New Roman"/>
          <w:sz w:val="24"/>
        </w:rPr>
        <w:t>poravnane zneske je treba ustrezno evidentirati in jih zabeležiti poleg neporavnanih dolgov;</w:t>
      </w:r>
    </w:p>
    <w:p w14:paraId="086DF8D5" w14:textId="77777777" w:rsidR="00DB3F3D" w:rsidRDefault="000C0F2B">
      <w:pPr>
        <w:pStyle w:val="ListParagraph"/>
        <w:numPr>
          <w:ilvl w:val="0"/>
          <w:numId w:val="40"/>
        </w:numPr>
        <w:jc w:val="both"/>
        <w:rPr>
          <w:rFonts w:ascii="Times New Roman" w:eastAsia="Times New Roman" w:hAnsi="Times New Roman"/>
          <w:sz w:val="24"/>
          <w:szCs w:val="20"/>
        </w:rPr>
      </w:pPr>
      <w:r>
        <w:rPr>
          <w:rFonts w:ascii="Times New Roman" w:hAnsi="Times New Roman"/>
          <w:sz w:val="24"/>
        </w:rPr>
        <w:t>prejemke je mogoče prejemati le prek bančnega računa ali v osrednjo blagajno. Vzpostaviti je treba ustrezen postopek, da se preprečijo goljufije ali kraja.</w:t>
      </w:r>
    </w:p>
    <w:p w14:paraId="7DEFB6DA" w14:textId="77777777" w:rsidR="00DB3F3D" w:rsidRDefault="00DB3F3D">
      <w:pPr>
        <w:pStyle w:val="ListParagraph"/>
        <w:ind w:left="1405" w:firstLine="0"/>
        <w:rPr>
          <w:rFonts w:ascii="Times New Roman" w:eastAsia="Times New Roman" w:hAnsi="Times New Roman"/>
          <w:sz w:val="24"/>
          <w:szCs w:val="20"/>
        </w:rPr>
      </w:pPr>
    </w:p>
    <w:p w14:paraId="7046C13A" w14:textId="77777777" w:rsidR="00DB3F3D" w:rsidRDefault="000C0F2B">
      <w:pPr>
        <w:pStyle w:val="Heading2"/>
        <w:numPr>
          <w:ilvl w:val="3"/>
          <w:numId w:val="45"/>
        </w:numPr>
      </w:pPr>
      <w:r>
        <w:t xml:space="preserve"> </w:t>
      </w:r>
      <w:bookmarkStart w:id="280" w:name="_Toc134086204"/>
      <w:r>
        <w:t>Postopki spremljanja (inšpekcijski pregled seznama)</w:t>
      </w:r>
      <w:bookmarkEnd w:id="280"/>
    </w:p>
    <w:p w14:paraId="656FCDF9" w14:textId="77777777" w:rsidR="00DB3F3D" w:rsidRDefault="000C0F2B">
      <w:pPr>
        <w:rPr>
          <w:b/>
          <w:szCs w:val="24"/>
        </w:rPr>
      </w:pPr>
      <w:r>
        <w:rPr>
          <w:b/>
        </w:rPr>
        <w:t>Uskladitev s strani finančnega oddelka</w:t>
      </w:r>
    </w:p>
    <w:p w14:paraId="0D3DA5B2" w14:textId="77777777" w:rsidR="00DB3F3D" w:rsidRDefault="000C0F2B">
      <w:pPr>
        <w:spacing w:after="0"/>
        <w:ind w:left="0" w:firstLine="0"/>
      </w:pPr>
      <w:r>
        <w:t>Finančni oddelek mora za zagotovitev popolnosti in pravilnosti seznama redno usklajevati (vsaj vsake tri mesece) podrobnosti s seznama dolžnikov in vse zadevne podatke v operativnih oddelkih.</w:t>
      </w:r>
    </w:p>
    <w:p w14:paraId="110A6825" w14:textId="77777777" w:rsidR="00DB3F3D" w:rsidRDefault="00DB3F3D">
      <w:pPr>
        <w:pStyle w:val="ListParagraph"/>
        <w:ind w:left="0" w:firstLine="0"/>
        <w:rPr>
          <w:rFonts w:ascii="Times New Roman" w:hAnsi="Times New Roman"/>
          <w:sz w:val="24"/>
          <w:szCs w:val="24"/>
        </w:rPr>
      </w:pPr>
    </w:p>
    <w:p w14:paraId="574A1C0C" w14:textId="77777777" w:rsidR="00DB3F3D" w:rsidRDefault="000C0F2B">
      <w:pPr>
        <w:rPr>
          <w:b/>
          <w:szCs w:val="24"/>
        </w:rPr>
      </w:pPr>
      <w:r>
        <w:rPr>
          <w:b/>
        </w:rPr>
        <w:t>Nadzor upravljanja</w:t>
      </w:r>
    </w:p>
    <w:p w14:paraId="5122D293" w14:textId="77777777" w:rsidR="00DB3F3D" w:rsidRDefault="000C0F2B">
      <w:pPr>
        <w:spacing w:after="0"/>
        <w:ind w:left="0" w:firstLine="0"/>
      </w:pPr>
      <w:r>
        <w:t>Vodstvo s to kontrolo preveri, ali odgovorni oddelek sprejema ustrezne in zadostne ukrepe za izterjavo zneskov.</w:t>
      </w:r>
    </w:p>
    <w:p w14:paraId="3FF51F8E" w14:textId="77777777" w:rsidR="00DB3F3D" w:rsidRDefault="00DB3F3D">
      <w:pPr>
        <w:spacing w:after="0"/>
        <w:rPr>
          <w:b/>
        </w:rPr>
      </w:pPr>
    </w:p>
    <w:p w14:paraId="39C84F5F" w14:textId="77777777" w:rsidR="00DB3F3D" w:rsidRDefault="000C0F2B">
      <w:pPr>
        <w:pStyle w:val="Heading2"/>
        <w:numPr>
          <w:ilvl w:val="3"/>
          <w:numId w:val="45"/>
        </w:numPr>
      </w:pPr>
      <w:r>
        <w:t xml:space="preserve"> </w:t>
      </w:r>
      <w:bookmarkStart w:id="281" w:name="_Toc134086205"/>
      <w:r>
        <w:t>Seznam preddolžnikov</w:t>
      </w:r>
      <w:bookmarkEnd w:id="281"/>
      <w:r>
        <w:t xml:space="preserve"> </w:t>
      </w:r>
    </w:p>
    <w:p w14:paraId="5499BF9C" w14:textId="77777777" w:rsidR="00DB3F3D" w:rsidRDefault="000C0F2B">
      <w:pPr>
        <w:ind w:left="0" w:firstLine="0"/>
      </w:pPr>
      <w:r>
        <w:t xml:space="preserve">Za zagotovitev popolnosti in resničnosti knjige terjatev ter dobrega upravljanja dolga bi se morali zgoraj navedeni postopki smiselno uporabljati za seznam preddolžnikov (primeri, pri katerih je bila ugotovljena nepravilnost, vendar še ni bil pripravljen zahtevek za izterjavo). </w:t>
      </w:r>
    </w:p>
    <w:p w14:paraId="2958A42E" w14:textId="77777777" w:rsidR="00DB3F3D" w:rsidRDefault="000C0F2B">
      <w:pPr>
        <w:pStyle w:val="Heading2"/>
        <w:numPr>
          <w:ilvl w:val="2"/>
          <w:numId w:val="45"/>
        </w:numPr>
      </w:pPr>
      <w:bookmarkStart w:id="282" w:name="_Toc134086206"/>
      <w:r>
        <w:t>Izterjava dolgov – Uredba (EU) 2022/128</w:t>
      </w:r>
      <w:bookmarkEnd w:id="282"/>
    </w:p>
    <w:p w14:paraId="489F50C0" w14:textId="77777777" w:rsidR="00DB3F3D" w:rsidRDefault="000C0F2B">
      <w:pPr>
        <w:spacing w:after="0"/>
        <w:ind w:left="0" w:firstLine="0"/>
      </w:pPr>
      <w:r>
        <w:t>V skladu s členoma 30 in 31 Uredbe (EU) 2022/128 države članice za izterjavo neupravičenih plačil zaradi nepravilnosti ali malomarnosti vzpostavijo sistem upravljanja dolga, ki zagotavlja, da:</w:t>
      </w:r>
    </w:p>
    <w:p w14:paraId="22E9C000" w14:textId="77777777" w:rsidR="00DB3F3D" w:rsidRDefault="00DB3F3D">
      <w:pPr>
        <w:spacing w:after="0"/>
        <w:ind w:left="601" w:firstLine="0"/>
      </w:pPr>
    </w:p>
    <w:p w14:paraId="7C778934" w14:textId="77777777" w:rsidR="00DB3F3D" w:rsidRDefault="000C0F2B">
      <w:pPr>
        <w:pStyle w:val="ListParagraph"/>
        <w:numPr>
          <w:ilvl w:val="0"/>
          <w:numId w:val="41"/>
        </w:numPr>
        <w:jc w:val="both"/>
        <w:rPr>
          <w:rFonts w:ascii="Times New Roman" w:hAnsi="Times New Roman"/>
          <w:sz w:val="24"/>
          <w:szCs w:val="24"/>
        </w:rPr>
      </w:pPr>
      <w:r>
        <w:rPr>
          <w:rFonts w:ascii="Times New Roman" w:hAnsi="Times New Roman"/>
          <w:sz w:val="24"/>
          <w:u w:val="single"/>
        </w:rPr>
        <w:t>se zahtevek za izterjavo pošlje upravičencem v razumnem roku</w:t>
      </w:r>
      <w:r>
        <w:rPr>
          <w:rFonts w:ascii="Times New Roman" w:hAnsi="Times New Roman"/>
          <w:sz w:val="24"/>
        </w:rPr>
        <w:t xml:space="preserve"> po tem, ko je plačilna agencija ali organ, pristojen za izterjavo, prejel poročilo o kontroli ali podoben dokument, v katerem je navedeno, da je prišlo do nepravilnosti;</w:t>
      </w:r>
    </w:p>
    <w:p w14:paraId="10D77B7E" w14:textId="77777777" w:rsidR="00DB3F3D" w:rsidRDefault="000C0F2B">
      <w:pPr>
        <w:pStyle w:val="ListParagraph"/>
        <w:numPr>
          <w:ilvl w:val="0"/>
          <w:numId w:val="41"/>
        </w:numPr>
        <w:jc w:val="both"/>
        <w:rPr>
          <w:rFonts w:ascii="Times New Roman" w:hAnsi="Times New Roman"/>
          <w:sz w:val="24"/>
          <w:szCs w:val="24"/>
        </w:rPr>
      </w:pPr>
      <w:r>
        <w:rPr>
          <w:rFonts w:ascii="Times New Roman" w:hAnsi="Times New Roman"/>
          <w:sz w:val="24"/>
        </w:rPr>
        <w:t xml:space="preserve">se ustrezni zneski </w:t>
      </w:r>
      <w:r>
        <w:rPr>
          <w:rFonts w:ascii="Times New Roman" w:hAnsi="Times New Roman"/>
          <w:sz w:val="24"/>
          <w:u w:val="single"/>
        </w:rPr>
        <w:t>evidentirajo v knjigi terjatev</w:t>
      </w:r>
      <w:r>
        <w:rPr>
          <w:rFonts w:ascii="Times New Roman" w:hAnsi="Times New Roman"/>
          <w:sz w:val="24"/>
        </w:rPr>
        <w:t xml:space="preserve"> plačilne agencije </w:t>
      </w:r>
      <w:r>
        <w:rPr>
          <w:rFonts w:ascii="Times New Roman" w:hAnsi="Times New Roman"/>
          <w:sz w:val="24"/>
          <w:u w:val="single"/>
        </w:rPr>
        <w:t>najpozneje ob zahtevku za izterjavo</w:t>
      </w:r>
      <w:r>
        <w:rPr>
          <w:rFonts w:ascii="Times New Roman" w:hAnsi="Times New Roman"/>
          <w:sz w:val="24"/>
        </w:rPr>
        <w:t>;</w:t>
      </w:r>
    </w:p>
    <w:p w14:paraId="35A93DF5" w14:textId="77777777" w:rsidR="00DB3F3D" w:rsidRDefault="000C0F2B">
      <w:pPr>
        <w:pStyle w:val="ListParagraph"/>
        <w:numPr>
          <w:ilvl w:val="0"/>
          <w:numId w:val="41"/>
        </w:numPr>
        <w:jc w:val="both"/>
        <w:rPr>
          <w:rFonts w:ascii="Times New Roman" w:hAnsi="Times New Roman"/>
          <w:sz w:val="24"/>
          <w:szCs w:val="24"/>
        </w:rPr>
      </w:pPr>
      <w:r>
        <w:rPr>
          <w:rFonts w:ascii="Times New Roman" w:hAnsi="Times New Roman"/>
          <w:sz w:val="24"/>
        </w:rPr>
        <w:t xml:space="preserve">postopki izterjave </w:t>
      </w:r>
      <w:r>
        <w:rPr>
          <w:rFonts w:ascii="Times New Roman" w:hAnsi="Times New Roman"/>
          <w:sz w:val="24"/>
          <w:u w:val="single"/>
        </w:rPr>
        <w:t>vključujejo izračun obresti</w:t>
      </w:r>
      <w:r>
        <w:rPr>
          <w:rFonts w:ascii="Times New Roman" w:hAnsi="Times New Roman"/>
          <w:sz w:val="24"/>
        </w:rPr>
        <w:t xml:space="preserve"> v skladu z veljavnimi nacionalnimi zakoni in drugimi predpisi;</w:t>
      </w:r>
    </w:p>
    <w:p w14:paraId="38BAA7C9" w14:textId="77777777" w:rsidR="00DB3F3D" w:rsidRDefault="000C0F2B">
      <w:pPr>
        <w:pStyle w:val="ListParagraph"/>
        <w:numPr>
          <w:ilvl w:val="0"/>
          <w:numId w:val="41"/>
        </w:numPr>
        <w:jc w:val="both"/>
        <w:rPr>
          <w:rFonts w:ascii="Times New Roman" w:hAnsi="Times New Roman"/>
          <w:sz w:val="24"/>
          <w:szCs w:val="24"/>
        </w:rPr>
      </w:pPr>
      <w:r>
        <w:rPr>
          <w:rFonts w:ascii="Times New Roman" w:hAnsi="Times New Roman"/>
          <w:sz w:val="24"/>
        </w:rPr>
        <w:t xml:space="preserve">se </w:t>
      </w:r>
      <w:r>
        <w:rPr>
          <w:rFonts w:ascii="Times New Roman" w:hAnsi="Times New Roman"/>
          <w:sz w:val="24"/>
          <w:u w:val="single"/>
        </w:rPr>
        <w:t>pobot in izvršba neupravičeno izplačanih zneskov</w:t>
      </w:r>
      <w:r>
        <w:rPr>
          <w:rFonts w:ascii="Times New Roman" w:hAnsi="Times New Roman"/>
          <w:sz w:val="24"/>
        </w:rPr>
        <w:t xml:space="preserve"> uvedeta in izvršita pravočasno; </w:t>
      </w:r>
    </w:p>
    <w:p w14:paraId="6BC3A44E" w14:textId="77777777" w:rsidR="00DB3F3D" w:rsidRDefault="000C0F2B">
      <w:pPr>
        <w:pStyle w:val="ListParagraph"/>
        <w:numPr>
          <w:ilvl w:val="0"/>
          <w:numId w:val="41"/>
        </w:numPr>
        <w:jc w:val="both"/>
        <w:rPr>
          <w:rFonts w:ascii="Times New Roman" w:eastAsia="Times New Roman" w:hAnsi="Times New Roman"/>
          <w:sz w:val="24"/>
          <w:szCs w:val="24"/>
        </w:rPr>
      </w:pPr>
      <w:r>
        <w:rPr>
          <w:rFonts w:ascii="Times New Roman" w:hAnsi="Times New Roman"/>
          <w:sz w:val="24"/>
        </w:rPr>
        <w:t>se zagotovi</w:t>
      </w:r>
      <w:r>
        <w:rPr>
          <w:rFonts w:ascii="Times New Roman" w:hAnsi="Times New Roman"/>
          <w:sz w:val="24"/>
          <w:u w:val="single"/>
        </w:rPr>
        <w:t xml:space="preserve"> sledenje dolga</w:t>
      </w:r>
      <w:r>
        <w:rPr>
          <w:rFonts w:ascii="Times New Roman" w:hAnsi="Times New Roman"/>
          <w:sz w:val="24"/>
        </w:rPr>
        <w:t xml:space="preserve"> v skladu z veljavnim nacionalnim postopkom izterjave,</w:t>
      </w:r>
      <w:r>
        <w:rPr>
          <w:rFonts w:ascii="Times New Roman" w:hAnsi="Times New Roman"/>
          <w:sz w:val="24"/>
          <w:u w:val="single"/>
        </w:rPr>
        <w:t xml:space="preserve"> izterjani zneski pa se pravočasno povrnejo v sklada</w:t>
      </w:r>
      <w:r>
        <w:rPr>
          <w:rFonts w:ascii="Times New Roman" w:hAnsi="Times New Roman"/>
          <w:sz w:val="24"/>
        </w:rPr>
        <w:t>;</w:t>
      </w:r>
    </w:p>
    <w:p w14:paraId="4B833FD1" w14:textId="77777777" w:rsidR="00DB3F3D" w:rsidRDefault="000C0F2B">
      <w:pPr>
        <w:pStyle w:val="ListParagraph"/>
        <w:numPr>
          <w:ilvl w:val="0"/>
          <w:numId w:val="41"/>
        </w:numPr>
        <w:jc w:val="both"/>
        <w:rPr>
          <w:rFonts w:ascii="Times New Roman" w:eastAsia="Times New Roman" w:hAnsi="Times New Roman"/>
          <w:sz w:val="24"/>
          <w:szCs w:val="24"/>
        </w:rPr>
      </w:pPr>
      <w:r>
        <w:rPr>
          <w:rFonts w:ascii="Times New Roman" w:hAnsi="Times New Roman"/>
          <w:sz w:val="24"/>
        </w:rPr>
        <w:t>se</w:t>
      </w:r>
      <w:r>
        <w:rPr>
          <w:rFonts w:ascii="Times New Roman" w:hAnsi="Times New Roman"/>
          <w:sz w:val="24"/>
          <w:u w:val="single"/>
        </w:rPr>
        <w:t xml:space="preserve"> popravek dolga (odpis dolga)</w:t>
      </w:r>
      <w:r>
        <w:rPr>
          <w:rFonts w:ascii="Times New Roman" w:hAnsi="Times New Roman"/>
          <w:sz w:val="24"/>
        </w:rPr>
        <w:t xml:space="preserve"> do skladov izvrši samo, če je z dokončnim upravnim ali pravnim instrumentom ugotovljeno, da ni nepravilnosti;</w:t>
      </w:r>
    </w:p>
    <w:p w14:paraId="05341BF5" w14:textId="77777777" w:rsidR="00DB3F3D" w:rsidRDefault="000C0F2B">
      <w:pPr>
        <w:pStyle w:val="ListParagraph"/>
        <w:numPr>
          <w:ilvl w:val="0"/>
          <w:numId w:val="41"/>
        </w:numPr>
        <w:jc w:val="both"/>
        <w:rPr>
          <w:rFonts w:ascii="Times New Roman" w:eastAsia="Times New Roman" w:hAnsi="Times New Roman"/>
          <w:sz w:val="24"/>
          <w:szCs w:val="24"/>
        </w:rPr>
      </w:pPr>
      <w:r>
        <w:rPr>
          <w:rFonts w:ascii="Times New Roman" w:hAnsi="Times New Roman"/>
          <w:sz w:val="24"/>
          <w:u w:val="single"/>
        </w:rPr>
        <w:t>sta odpis dolga</w:t>
      </w:r>
      <w:r>
        <w:rPr>
          <w:rFonts w:ascii="Times New Roman" w:hAnsi="Times New Roman"/>
          <w:sz w:val="24"/>
        </w:rPr>
        <w:t xml:space="preserve"> (odločitev o neizterjavi) in </w:t>
      </w:r>
      <w:r>
        <w:rPr>
          <w:rFonts w:ascii="Times New Roman" w:hAnsi="Times New Roman"/>
          <w:sz w:val="24"/>
          <w:u w:val="single"/>
        </w:rPr>
        <w:t>odločitev, da se izterjava ne izvede</w:t>
      </w:r>
      <w:r>
        <w:rPr>
          <w:rFonts w:ascii="Times New Roman" w:hAnsi="Times New Roman"/>
          <w:sz w:val="24"/>
        </w:rPr>
        <w:t xml:space="preserve"> (npr. za zneske, nižje od določenega zneska), ustrezno utemeljena v skladu z veljavnimi nacionalnimi pravili.</w:t>
      </w:r>
    </w:p>
    <w:p w14:paraId="3B21301D" w14:textId="77777777" w:rsidR="00DB3F3D" w:rsidRDefault="00DB3F3D">
      <w:pPr>
        <w:spacing w:after="0"/>
        <w:ind w:left="0" w:firstLine="0"/>
      </w:pPr>
    </w:p>
    <w:p w14:paraId="033FA586" w14:textId="77777777" w:rsidR="00DB3F3D" w:rsidRDefault="000C0F2B">
      <w:pPr>
        <w:ind w:left="0" w:firstLine="0"/>
        <w:rPr>
          <w:szCs w:val="24"/>
        </w:rPr>
      </w:pPr>
      <w:r>
        <w:t xml:space="preserve">Poleg zgoraj navedenih elementov kontrole se državam članicam priporoča, da izvajajo ustrezne postopke za zagotovitev: </w:t>
      </w:r>
    </w:p>
    <w:p w14:paraId="3BBDC91E" w14:textId="77777777" w:rsidR="00DB3F3D" w:rsidRDefault="000C0F2B">
      <w:pPr>
        <w:pStyle w:val="ListParagraph"/>
        <w:numPr>
          <w:ilvl w:val="0"/>
          <w:numId w:val="41"/>
        </w:numPr>
        <w:jc w:val="both"/>
        <w:rPr>
          <w:rFonts w:ascii="Times New Roman" w:eastAsia="Times New Roman" w:hAnsi="Times New Roman"/>
          <w:sz w:val="24"/>
          <w:szCs w:val="24"/>
        </w:rPr>
      </w:pPr>
      <w:r>
        <w:rPr>
          <w:rFonts w:ascii="Times New Roman" w:hAnsi="Times New Roman"/>
          <w:sz w:val="24"/>
        </w:rPr>
        <w:t>spremljanja izterjave dolga v enem letu po zadnjem dogodku ali ukrepu, ki je relevanten v skladu z veljavnim nacionalnim postopkom izterjave;</w:t>
      </w:r>
    </w:p>
    <w:p w14:paraId="7AD949A8" w14:textId="77777777" w:rsidR="00DB3F3D" w:rsidRDefault="000C0F2B">
      <w:pPr>
        <w:pStyle w:val="ListParagraph"/>
        <w:numPr>
          <w:ilvl w:val="0"/>
          <w:numId w:val="41"/>
        </w:numPr>
        <w:jc w:val="both"/>
        <w:rPr>
          <w:rFonts w:ascii="Times New Roman" w:eastAsia="Times New Roman" w:hAnsi="Times New Roman"/>
          <w:sz w:val="24"/>
          <w:szCs w:val="24"/>
        </w:rPr>
      </w:pPr>
      <w:r>
        <w:rPr>
          <w:rFonts w:ascii="Times New Roman" w:hAnsi="Times New Roman"/>
          <w:sz w:val="24"/>
        </w:rPr>
        <w:t>da je izračun obresti dolga pravilno izveden;</w:t>
      </w:r>
    </w:p>
    <w:p w14:paraId="7CEBA6FE" w14:textId="77777777" w:rsidR="00DB3F3D" w:rsidRDefault="000C0F2B">
      <w:pPr>
        <w:pStyle w:val="ListParagraph"/>
        <w:numPr>
          <w:ilvl w:val="0"/>
          <w:numId w:val="41"/>
        </w:numPr>
        <w:jc w:val="both"/>
        <w:rPr>
          <w:rFonts w:ascii="Times New Roman" w:eastAsia="Times New Roman" w:hAnsi="Times New Roman"/>
          <w:sz w:val="24"/>
          <w:szCs w:val="24"/>
        </w:rPr>
      </w:pPr>
      <w:r>
        <w:rPr>
          <w:rFonts w:ascii="Times New Roman" w:hAnsi="Times New Roman"/>
          <w:sz w:val="24"/>
        </w:rPr>
        <w:t>da je plačilna agencija in/ali pristojni organ, odgovoren za izterjavo dolga, „privzeti“ prejemnik vseh sporočil o nepravilnostih v zvezi s SKP;</w:t>
      </w:r>
    </w:p>
    <w:p w14:paraId="77724CF1" w14:textId="77777777" w:rsidR="00DB3F3D" w:rsidRDefault="000C0F2B">
      <w:pPr>
        <w:pStyle w:val="ListParagraph"/>
        <w:numPr>
          <w:ilvl w:val="0"/>
          <w:numId w:val="41"/>
        </w:numPr>
        <w:jc w:val="both"/>
        <w:rPr>
          <w:rFonts w:ascii="Times New Roman" w:eastAsia="Times New Roman" w:hAnsi="Times New Roman"/>
          <w:sz w:val="24"/>
          <w:szCs w:val="24"/>
        </w:rPr>
      </w:pPr>
      <w:r>
        <w:rPr>
          <w:rFonts w:ascii="Times New Roman" w:hAnsi="Times New Roman"/>
          <w:sz w:val="24"/>
        </w:rPr>
        <w:t>da sta popravek in odpis dolga ter odločitev, da se izterjava ne izvede, ustrezno dokumentirana in na voljo kadar koli;</w:t>
      </w:r>
    </w:p>
    <w:p w14:paraId="76FE9E54" w14:textId="77777777" w:rsidR="00DB3F3D" w:rsidRDefault="000C0F2B">
      <w:pPr>
        <w:pStyle w:val="ListParagraph"/>
        <w:numPr>
          <w:ilvl w:val="0"/>
          <w:numId w:val="41"/>
        </w:numPr>
        <w:jc w:val="both"/>
        <w:rPr>
          <w:rFonts w:ascii="Times New Roman" w:eastAsia="Times New Roman" w:hAnsi="Times New Roman"/>
          <w:sz w:val="24"/>
          <w:szCs w:val="24"/>
        </w:rPr>
      </w:pPr>
      <w:r>
        <w:rPr>
          <w:rFonts w:ascii="Times New Roman" w:hAnsi="Times New Roman"/>
          <w:sz w:val="24"/>
        </w:rPr>
        <w:t>rednega spremljanja knjige terjatev in seznama preddolgov;</w:t>
      </w:r>
    </w:p>
    <w:p w14:paraId="210CE232" w14:textId="77777777" w:rsidR="00DB3F3D" w:rsidRDefault="000C0F2B">
      <w:pPr>
        <w:pStyle w:val="ListParagraph"/>
        <w:numPr>
          <w:ilvl w:val="0"/>
          <w:numId w:val="41"/>
        </w:numPr>
        <w:jc w:val="both"/>
        <w:rPr>
          <w:rFonts w:ascii="Times New Roman" w:eastAsia="Times New Roman" w:hAnsi="Times New Roman"/>
          <w:sz w:val="24"/>
          <w:szCs w:val="24"/>
        </w:rPr>
      </w:pPr>
      <w:r>
        <w:rPr>
          <w:rFonts w:ascii="Times New Roman" w:hAnsi="Times New Roman"/>
          <w:sz w:val="24"/>
        </w:rPr>
        <w:t>da je evidentiranje podatkov v zvezi z registracijo in izterjavo dolgov v knjigi terjatev in Prilogi V k Uredbi (EU) 2022/128 točno in popolno;</w:t>
      </w:r>
    </w:p>
    <w:p w14:paraId="064E5E60" w14:textId="77777777" w:rsidR="00DB3F3D" w:rsidRDefault="000C0F2B">
      <w:pPr>
        <w:pStyle w:val="ListParagraph"/>
        <w:numPr>
          <w:ilvl w:val="0"/>
          <w:numId w:val="41"/>
        </w:numPr>
        <w:jc w:val="both"/>
        <w:rPr>
          <w:rFonts w:ascii="Times New Roman" w:eastAsia="Times New Roman" w:hAnsi="Times New Roman"/>
          <w:sz w:val="24"/>
          <w:szCs w:val="24"/>
        </w:rPr>
      </w:pPr>
      <w:r>
        <w:rPr>
          <w:rFonts w:ascii="Times New Roman" w:hAnsi="Times New Roman"/>
          <w:sz w:val="24"/>
        </w:rPr>
        <w:t>da so registracija, izterjava in poročanje o dolgovih v Prilogi V k Uredbi (EU) 2022/128 ustrezno dokumentirani in na voljo kadar koli.</w:t>
      </w:r>
    </w:p>
    <w:p w14:paraId="078743EC" w14:textId="77777777" w:rsidR="00DB3F3D" w:rsidRDefault="00DB3F3D">
      <w:pPr>
        <w:pStyle w:val="ListParagraph"/>
        <w:ind w:left="961" w:firstLine="0"/>
        <w:jc w:val="both"/>
        <w:rPr>
          <w:rFonts w:ascii="Times New Roman" w:eastAsia="Times New Roman" w:hAnsi="Times New Roman"/>
          <w:sz w:val="24"/>
          <w:szCs w:val="24"/>
        </w:rPr>
      </w:pPr>
    </w:p>
    <w:p w14:paraId="6B456D4E" w14:textId="77777777" w:rsidR="00DB3F3D" w:rsidRDefault="000C0F2B">
      <w:pPr>
        <w:spacing w:after="0"/>
        <w:ind w:left="0" w:firstLine="0"/>
      </w:pPr>
      <w:r>
        <w:t>Čeprav se Uredba (EU) št. 1306/2013 ne uporablja za odhodke, povezane s programskim obdobjem 2023–2027</w:t>
      </w:r>
      <w:r>
        <w:rPr>
          <w:rStyle w:val="FootnoteReference"/>
        </w:rPr>
        <w:footnoteReference w:id="32"/>
      </w:r>
      <w:r>
        <w:t xml:space="preserve">, se državam članicam priporoča, da ohranijo sistem kontrol za upravljanje dolga, vzpostavljen v okviru člena 54 navedene uredbe, zlasti kar zadeva rok za začetek postopkov izterjave (18-mesečni rok za vložitev zahtevka za izterjavo) in razloge za odločitev, da se izterjava ne izvede (na osnovi pravila </w:t>
      </w:r>
      <w:r>
        <w:rPr>
          <w:i/>
          <w:iCs/>
        </w:rPr>
        <w:t>de minimis</w:t>
      </w:r>
      <w:r>
        <w:t xml:space="preserve"> in kadar se izkaže, da izterjava ni mogoča).  </w:t>
      </w:r>
    </w:p>
    <w:p w14:paraId="617F287E" w14:textId="77777777" w:rsidR="00DB3F3D" w:rsidRDefault="00DB3F3D">
      <w:pPr>
        <w:spacing w:after="0"/>
        <w:ind w:left="0" w:firstLine="0"/>
      </w:pPr>
    </w:p>
    <w:p w14:paraId="66415DFC" w14:textId="77777777" w:rsidR="00DB3F3D" w:rsidRDefault="000C0F2B">
      <w:pPr>
        <w:spacing w:after="0"/>
        <w:ind w:left="0" w:firstLine="0"/>
      </w:pPr>
      <w:r>
        <w:t xml:space="preserve">V zvezi z odločitvami o neizterjavi se državam članicam priporoča, da še naprej izvajajo skrbne postopke in pri knjiženju zneskov, prijavljenih kot neizterljivih, v breme sklada, kot je določeno v okviru iz člena 54 Uredbe (EU) št. 1306/2013, upoštevajo samo dokončne nacionalne odločitve. Države članice morajo v vseh tekočih postopkih ustrezno zastopati finančne interese EU, dokler obstaja možnost izterjave neupravičeno izplačane podpore EU. </w:t>
      </w:r>
    </w:p>
    <w:p w14:paraId="74BF822E" w14:textId="77777777" w:rsidR="00DB3F3D" w:rsidRDefault="000C0F2B">
      <w:pPr>
        <w:spacing w:after="0"/>
        <w:ind w:left="0" w:firstLine="0"/>
      </w:pPr>
      <w:r>
        <w:t xml:space="preserve">V zvezi z odpisom dolgov morajo države članice zagotoviti, da vsaka taka odločitev temelji na pravnomočni in veljavni sodni ali upravni odločbi v zvezi z vsebino zadeve. Pozitivne zneske v proračunskih vrsticah z namenskimi prejemki, ki se knjižijo v breme skladov v letnih računovodskih izkazih v zvezi z upravljanjem dolga, morajo plačilne agencije še naprej usklajevati in preverjati, certifikacijski organi pa jih morajo revidirati.   </w:t>
      </w:r>
    </w:p>
    <w:p w14:paraId="71F225A7" w14:textId="77777777" w:rsidR="00DB3F3D" w:rsidRDefault="00DB3F3D">
      <w:pPr>
        <w:spacing w:after="0"/>
        <w:ind w:left="0" w:firstLine="0"/>
      </w:pPr>
    </w:p>
    <w:p w14:paraId="719B7D1D" w14:textId="77777777" w:rsidR="00DB3F3D" w:rsidRDefault="000C0F2B">
      <w:pPr>
        <w:pStyle w:val="Heading2"/>
        <w:numPr>
          <w:ilvl w:val="3"/>
          <w:numId w:val="45"/>
        </w:numPr>
        <w:rPr>
          <w:szCs w:val="24"/>
        </w:rPr>
      </w:pPr>
      <w:r>
        <w:t xml:space="preserve"> </w:t>
      </w:r>
      <w:bookmarkStart w:id="283" w:name="_Toc134086207"/>
      <w:r>
        <w:t>Knjiženje in izjava o izterjavah za EKJS in EKSRP</w:t>
      </w:r>
      <w:bookmarkEnd w:id="283"/>
    </w:p>
    <w:p w14:paraId="751BAEB4" w14:textId="77777777" w:rsidR="00DB3F3D" w:rsidRDefault="000C0F2B">
      <w:pPr>
        <w:ind w:left="0" w:firstLine="0"/>
        <w:rPr>
          <w:i/>
        </w:rPr>
      </w:pPr>
      <w:r>
        <w:t>Trenutno je v pripravi delovni dokument Komisije, ki zajema novo programsko obdobje (2023–2027).</w:t>
      </w:r>
    </w:p>
    <w:p w14:paraId="420A2242" w14:textId="77777777" w:rsidR="00DB3F3D" w:rsidRDefault="000C0F2B">
      <w:pPr>
        <w:pStyle w:val="Caption"/>
        <w:numPr>
          <w:ilvl w:val="1"/>
          <w:numId w:val="45"/>
        </w:numPr>
      </w:pPr>
      <w:r>
        <w:lastRenderedPageBreak/>
        <w:t xml:space="preserve"> Sistem kontrol za upravljanje dolga </w:t>
      </w:r>
    </w:p>
    <w:p w14:paraId="19D102FD" w14:textId="77777777" w:rsidR="00DB3F3D" w:rsidRDefault="000C0F2B">
      <w:pPr>
        <w:ind w:left="0" w:firstLine="0"/>
      </w:pPr>
      <w:r>
        <w:t>Poleg zgoraj navedenih postopkov v zvezi z dolgom bi morale države članice zagotoviti:</w:t>
      </w:r>
    </w:p>
    <w:p w14:paraId="026C628E" w14:textId="77777777" w:rsidR="00DB3F3D" w:rsidRDefault="000C0F2B">
      <w:pPr>
        <w:pStyle w:val="ListParagraph"/>
        <w:numPr>
          <w:ilvl w:val="0"/>
          <w:numId w:val="44"/>
        </w:numPr>
        <w:jc w:val="both"/>
        <w:rPr>
          <w:rFonts w:ascii="Times New Roman" w:hAnsi="Times New Roman"/>
          <w:sz w:val="24"/>
          <w:szCs w:val="24"/>
        </w:rPr>
      </w:pPr>
      <w:r>
        <w:rPr>
          <w:rFonts w:ascii="Times New Roman" w:hAnsi="Times New Roman"/>
          <w:sz w:val="24"/>
        </w:rPr>
        <w:t xml:space="preserve">ustrezno organizacijsko strukturo in dodelitev ustreznih človeških virov funkciji upravljanja dolga – Priloga I, točka 1(A) in (B), k Uredbi (EU) 2022/127; </w:t>
      </w:r>
    </w:p>
    <w:p w14:paraId="130D8F5F" w14:textId="77777777" w:rsidR="00DB3F3D" w:rsidRDefault="000C0F2B">
      <w:pPr>
        <w:pStyle w:val="ListParagraph"/>
        <w:numPr>
          <w:ilvl w:val="0"/>
          <w:numId w:val="44"/>
        </w:numPr>
        <w:jc w:val="both"/>
        <w:rPr>
          <w:rFonts w:ascii="Times New Roman" w:hAnsi="Times New Roman"/>
          <w:sz w:val="24"/>
          <w:szCs w:val="24"/>
        </w:rPr>
      </w:pPr>
      <w:r>
        <w:rPr>
          <w:rFonts w:ascii="Times New Roman" w:hAnsi="Times New Roman"/>
          <w:sz w:val="24"/>
        </w:rPr>
        <w:t>ustrezno ocenjevanje tveganja tekočih dolgov – Priloga I, točka 1(C), k Uredbi (EU) 2022/127;</w:t>
      </w:r>
    </w:p>
    <w:p w14:paraId="0A41E252" w14:textId="77777777" w:rsidR="00DB3F3D" w:rsidRDefault="000C0F2B">
      <w:pPr>
        <w:pStyle w:val="ListParagraph"/>
        <w:numPr>
          <w:ilvl w:val="0"/>
          <w:numId w:val="44"/>
        </w:numPr>
        <w:jc w:val="both"/>
        <w:rPr>
          <w:rFonts w:ascii="Times New Roman" w:hAnsi="Times New Roman"/>
          <w:sz w:val="24"/>
          <w:szCs w:val="24"/>
        </w:rPr>
      </w:pPr>
      <w:r>
        <w:rPr>
          <w:rFonts w:ascii="Times New Roman" w:hAnsi="Times New Roman"/>
          <w:sz w:val="24"/>
        </w:rPr>
        <w:t>ustrezen nadzor nad pooblaščenimi organi, če se katera koli od nalog plačilne agencije, povezanih z upravljanjem dolga, prenese na drug organ – Priloga I, točka 1(D1) in (D2), k Uredbi (EU) 2022/127;</w:t>
      </w:r>
    </w:p>
    <w:p w14:paraId="1C940DC0" w14:textId="77777777" w:rsidR="00DB3F3D" w:rsidRDefault="000C0F2B">
      <w:pPr>
        <w:pStyle w:val="ListParagraph"/>
        <w:numPr>
          <w:ilvl w:val="0"/>
          <w:numId w:val="44"/>
        </w:numPr>
        <w:jc w:val="both"/>
        <w:rPr>
          <w:rFonts w:ascii="Times New Roman" w:hAnsi="Times New Roman"/>
          <w:sz w:val="24"/>
          <w:szCs w:val="24"/>
        </w:rPr>
      </w:pPr>
      <w:r>
        <w:rPr>
          <w:rFonts w:ascii="Times New Roman" w:hAnsi="Times New Roman"/>
          <w:sz w:val="24"/>
        </w:rPr>
        <w:t>ustrezne postopke sporočanja in varnost informacijskih sistemov, ki se izvajajo za funkcijo upravljanja dolga – Priloga I, točka 3, k Uredbi (EU) 2022/127;</w:t>
      </w:r>
    </w:p>
    <w:p w14:paraId="76E04DCC" w14:textId="77777777" w:rsidR="00DB3F3D" w:rsidRDefault="000C0F2B">
      <w:pPr>
        <w:pStyle w:val="ListParagraph"/>
        <w:numPr>
          <w:ilvl w:val="0"/>
          <w:numId w:val="44"/>
        </w:numPr>
        <w:jc w:val="both"/>
        <w:rPr>
          <w:rFonts w:ascii="Times New Roman" w:hAnsi="Times New Roman"/>
          <w:sz w:val="24"/>
          <w:szCs w:val="24"/>
        </w:rPr>
      </w:pPr>
      <w:r>
        <w:rPr>
          <w:rFonts w:ascii="Times New Roman" w:hAnsi="Times New Roman"/>
          <w:sz w:val="24"/>
        </w:rPr>
        <w:t>ustrezne postopke spremljanja – Priloga I, točka 4(A), k Uredbi (EU) 2022/127;</w:t>
      </w:r>
    </w:p>
    <w:p w14:paraId="16157D27" w14:textId="77777777" w:rsidR="00DB3F3D" w:rsidRDefault="000C0F2B">
      <w:pPr>
        <w:pStyle w:val="ListParagraph"/>
        <w:numPr>
          <w:ilvl w:val="0"/>
          <w:numId w:val="44"/>
        </w:numPr>
        <w:jc w:val="both"/>
        <w:rPr>
          <w:rFonts w:ascii="Times New Roman" w:hAnsi="Times New Roman"/>
          <w:sz w:val="24"/>
          <w:szCs w:val="24"/>
        </w:rPr>
      </w:pPr>
      <w:r>
        <w:rPr>
          <w:rFonts w:ascii="Times New Roman" w:hAnsi="Times New Roman"/>
          <w:sz w:val="24"/>
        </w:rPr>
        <w:t>ustrezno revizijsko delo v zvezi s funkcijo upravljanja dolga, ki ga opravi služba za notranjo revizijo plačilne agencije – Priloga I, točka 4(B), k Uredbi (EU) 2022/127.</w:t>
      </w:r>
    </w:p>
    <w:p w14:paraId="516F0653" w14:textId="77777777" w:rsidR="00DB3F3D" w:rsidRDefault="000C0F2B">
      <w:pPr>
        <w:rPr>
          <w:szCs w:val="24"/>
        </w:rPr>
      </w:pPr>
      <w:r>
        <w:t xml:space="preserve"> </w:t>
      </w:r>
    </w:p>
    <w:p w14:paraId="2B529118" w14:textId="77777777" w:rsidR="00DB3F3D" w:rsidRDefault="000C0F2B">
      <w:pPr>
        <w:pStyle w:val="Heading1"/>
        <w:ind w:left="601"/>
      </w:pPr>
      <w:bookmarkStart w:id="284" w:name="_Toc134086208"/>
      <w:r>
        <w:t>DEL 2.  POROČANJE O DOLGU</w:t>
      </w:r>
      <w:bookmarkEnd w:id="284"/>
      <w:r>
        <w:t xml:space="preserve"> </w:t>
      </w:r>
    </w:p>
    <w:p w14:paraId="199511A0" w14:textId="77777777" w:rsidR="00DB3F3D" w:rsidRDefault="000C0F2B">
      <w:pPr>
        <w:pStyle w:val="Text1"/>
        <w:ind w:left="0" w:firstLine="0"/>
      </w:pPr>
      <w:r>
        <w:t xml:space="preserve">V skladu s členom 32(1)(f), prvi del, Uredbe (EU) 2022/128 letni računovodski izkazi iz člena 90(1), prvi pododstavek, točka (c)(iii), Uredbe (EU) 2021/2116 v zvezi z neupravičenimi plačili, ki izhajajo iz programskega obdobja 2023–2027, vključujejo </w:t>
      </w:r>
      <w:r>
        <w:rPr>
          <w:b/>
        </w:rPr>
        <w:t>izvleček primerov nepravilnosti</w:t>
      </w:r>
      <w:r>
        <w:t xml:space="preserve">, vključno s sankcijami, ki jih določajo veljavna področna pravila Unije, in obrestmi na te zneske, v preglednici po </w:t>
      </w:r>
      <w:r>
        <w:rPr>
          <w:b/>
        </w:rPr>
        <w:t>predlogi iz Priloge V</w:t>
      </w:r>
      <w:r>
        <w:t xml:space="preserve"> k Uredbi (EU) 2022/128.</w:t>
      </w:r>
    </w:p>
    <w:p w14:paraId="06D1DAAE" w14:textId="77777777" w:rsidR="00DB3F3D" w:rsidRDefault="000C0F2B">
      <w:pPr>
        <w:pStyle w:val="Text1"/>
        <w:ind w:left="0" w:firstLine="0"/>
      </w:pPr>
      <w:r>
        <w:t>Informacije, ki jih je treba zagotoviti v skladu s predlogo iz Priloge V k Uredbi (EU) 2022/128, bi morale biti izvleček primerov dolga, ki izhajajo iz nepravilnosti, vključenih v knjigo terjatev plačilne agencije</w:t>
      </w:r>
      <w:r>
        <w:rPr>
          <w:rStyle w:val="FootnoteReference"/>
          <w:lang w:eastAsia="en-GB"/>
        </w:rPr>
        <w:footnoteReference w:id="33"/>
      </w:r>
      <w:r>
        <w:t xml:space="preserve">. </w:t>
      </w:r>
    </w:p>
    <w:p w14:paraId="3BBEF77D" w14:textId="77777777" w:rsidR="00DB3F3D" w:rsidRDefault="000C0F2B">
      <w:pPr>
        <w:pStyle w:val="Heading1"/>
        <w:ind w:left="601"/>
      </w:pPr>
      <w:bookmarkStart w:id="285" w:name="_Toc134086209"/>
      <w:r>
        <w:lastRenderedPageBreak/>
        <w:t xml:space="preserve">2.1. </w:t>
      </w:r>
      <w:r>
        <w:rPr>
          <w:smallCaps w:val="0"/>
        </w:rPr>
        <w:t>Priprava in potrditev preglednice iz Priloge V k Uredbi (EU) 2022/128</w:t>
      </w:r>
      <w:bookmarkEnd w:id="285"/>
    </w:p>
    <w:p w14:paraId="28294BAE" w14:textId="77777777" w:rsidR="00DB3F3D" w:rsidRDefault="000C0F2B">
      <w:pPr>
        <w:pStyle w:val="Heading2"/>
        <w:numPr>
          <w:ilvl w:val="0"/>
          <w:numId w:val="0"/>
        </w:numPr>
      </w:pPr>
      <w:bookmarkStart w:id="286" w:name="_Toc134086210"/>
      <w:r>
        <w:t>2.1.1. Primeri, o katerih se poroča</w:t>
      </w:r>
      <w:bookmarkEnd w:id="286"/>
    </w:p>
    <w:p w14:paraId="534920CF" w14:textId="77777777" w:rsidR="00DB3F3D" w:rsidRDefault="000C0F2B">
      <w:pPr>
        <w:ind w:left="0" w:firstLine="0"/>
      </w:pPr>
      <w:r>
        <w:t>Zneske, o katerih se poroča v Prilogi V k Uredbi (EU) 2022/128, je treba navesti ločeno za vsako plačilno agencijo, certifikacijski organ pa jih mora potrditi.</w:t>
      </w:r>
    </w:p>
    <w:p w14:paraId="377C93CB" w14:textId="77777777" w:rsidR="00DB3F3D" w:rsidRDefault="000C0F2B">
      <w:pPr>
        <w:ind w:left="0" w:firstLine="0"/>
      </w:pPr>
      <w:r>
        <w:t xml:space="preserve">Države članice morajo Komisiji za vsako proračunsko leto n do 15. februarja leta n + 1 v elektronski obliki predložiti to preglednico za vsako plačilno agencijo. </w:t>
      </w:r>
    </w:p>
    <w:p w14:paraId="413EB07B" w14:textId="77777777" w:rsidR="00DB3F3D" w:rsidRDefault="000C0F2B">
      <w:pPr>
        <w:spacing w:after="0"/>
        <w:ind w:left="0" w:firstLine="0"/>
      </w:pPr>
      <w:r>
        <w:t>Obveznost poročanja v preglednici velja za vse naslednje primere:</w:t>
      </w:r>
    </w:p>
    <w:p w14:paraId="1D054171" w14:textId="77777777" w:rsidR="00DB3F3D" w:rsidRDefault="00DB3F3D">
      <w:pPr>
        <w:spacing w:after="0"/>
        <w:ind w:left="0" w:firstLine="0"/>
      </w:pPr>
    </w:p>
    <w:p w14:paraId="6DAC4EF6" w14:textId="77777777" w:rsidR="00DB3F3D" w:rsidRDefault="000C0F2B">
      <w:pPr>
        <w:pStyle w:val="ListBullet"/>
      </w:pPr>
      <w:r>
        <w:rPr>
          <w:b/>
        </w:rPr>
        <w:t>primeri nepravilnosti</w:t>
      </w:r>
      <w:r>
        <w:t>, ki so ob koncu proračunskega leta n (15. oktobra) neporavnani. Ta izvleček odraža razmerje med plačilno agencijo in upravičencem;</w:t>
      </w:r>
    </w:p>
    <w:p w14:paraId="065E1514" w14:textId="77777777" w:rsidR="00DB3F3D" w:rsidRDefault="000C0F2B">
      <w:pPr>
        <w:pStyle w:val="ListBullet"/>
      </w:pPr>
      <w:r>
        <w:rPr>
          <w:b/>
        </w:rPr>
        <w:t>primeri nepravilnosti</w:t>
      </w:r>
      <w:r>
        <w:t>, ki so bili ob koncu proračunskega leta n – 1 (15. oktobra) neporavnani, vendar so bili v celoti popravljeni, izterjani ali prijavljeni kot neizterljivi v proračunskem letu n;</w:t>
      </w:r>
    </w:p>
    <w:p w14:paraId="625B4E58" w14:textId="77777777" w:rsidR="00DB3F3D" w:rsidRDefault="000C0F2B">
      <w:pPr>
        <w:pStyle w:val="ListBullet"/>
      </w:pPr>
      <w:r>
        <w:rPr>
          <w:b/>
        </w:rPr>
        <w:t>primeri nepravilnosti</w:t>
      </w:r>
      <w:r>
        <w:t>, ki so bili odkriti v proračunskem letu n in so bili v celoti izterjani (vključno s primeri, ki so bili poravnani s poznejšimi plačili), popravljeni ali prijavljeni kot neizterljivi v istem proračunskem letu.</w:t>
      </w:r>
    </w:p>
    <w:p w14:paraId="63D97B01" w14:textId="77777777" w:rsidR="00DB3F3D" w:rsidRDefault="000C0F2B">
      <w:pPr>
        <w:ind w:left="0" w:firstLine="0"/>
      </w:pPr>
      <w:r>
        <w:t xml:space="preserve">Nobenega novega dolga, ki se odpusti v skladu s pravilom </w:t>
      </w:r>
      <w:r>
        <w:rPr>
          <w:i/>
        </w:rPr>
        <w:t>de minimis</w:t>
      </w:r>
      <w:r>
        <w:t xml:space="preserve">, ni treba navesti v preglednici iz Priloge V. Enako načelo velja za dolgove, odpuščene v skladu s tem pravilom. Vendar je treba v preglednici poročati o dolgovih, ki ne dosegajo pravila </w:t>
      </w:r>
      <w:r>
        <w:rPr>
          <w:i/>
        </w:rPr>
        <w:t>de minimis</w:t>
      </w:r>
      <w:r>
        <w:t xml:space="preserve">, za katere so se postopki izterjave že začeli. </w:t>
      </w:r>
    </w:p>
    <w:p w14:paraId="2950CAED" w14:textId="77777777" w:rsidR="00DB3F3D" w:rsidRDefault="000C0F2B">
      <w:pPr>
        <w:ind w:left="0" w:firstLine="0"/>
      </w:pPr>
      <w:r>
        <w:t xml:space="preserve">Države članice bi morale voditi evidenco primerov, v katerih izterjava ni bila izvedena v skladu s pravilom </w:t>
      </w:r>
      <w:r>
        <w:rPr>
          <w:i/>
        </w:rPr>
        <w:t>de minimis</w:t>
      </w:r>
      <w:r>
        <w:t xml:space="preserve">. </w:t>
      </w:r>
    </w:p>
    <w:p w14:paraId="1B85BFB7" w14:textId="77777777" w:rsidR="00DB3F3D" w:rsidRDefault="000C0F2B">
      <w:pPr>
        <w:pStyle w:val="Heading2"/>
        <w:numPr>
          <w:ilvl w:val="0"/>
          <w:numId w:val="0"/>
        </w:numPr>
      </w:pPr>
      <w:bookmarkStart w:id="287" w:name="_Toc134086211"/>
      <w:r>
        <w:t>2.1.2. Vsebina stolpcev</w:t>
      </w:r>
      <w:bookmarkEnd w:id="287"/>
    </w:p>
    <w:p w14:paraId="75188C3F" w14:textId="77777777" w:rsidR="00DB3F3D" w:rsidRDefault="000C0F2B">
      <w:pPr>
        <w:pStyle w:val="Heading2"/>
        <w:numPr>
          <w:ilvl w:val="3"/>
          <w:numId w:val="50"/>
        </w:numPr>
      </w:pPr>
      <w:r>
        <w:t xml:space="preserve"> </w:t>
      </w:r>
      <w:bookmarkStart w:id="288" w:name="_Toc134086212"/>
      <w:r>
        <w:t>Stolpec (a) – Plačilna agencija</w:t>
      </w:r>
      <w:bookmarkEnd w:id="288"/>
    </w:p>
    <w:p w14:paraId="49C932A4" w14:textId="77777777" w:rsidR="00DB3F3D" w:rsidRDefault="000C0F2B">
      <w:pPr>
        <w:ind w:left="0" w:firstLine="0"/>
      </w:pPr>
      <w:r>
        <w:t>Koda plačilne agencije, ki je odgovorna za izterjavo nepravilno izplačanega zneska.</w:t>
      </w:r>
    </w:p>
    <w:p w14:paraId="46A88AD4" w14:textId="77777777" w:rsidR="00DB3F3D" w:rsidRDefault="000C0F2B">
      <w:pPr>
        <w:ind w:left="0" w:firstLine="0"/>
        <w:rPr>
          <w:szCs w:val="24"/>
        </w:rPr>
      </w:pPr>
      <w:r>
        <w:rPr>
          <w:snapToGrid w:val="0"/>
          <w:u w:val="single"/>
        </w:rPr>
        <w:lastRenderedPageBreak/>
        <w:t>Zahtevana oblika</w:t>
      </w:r>
      <w:r>
        <w:rPr>
          <w:snapToGrid w:val="0"/>
        </w:rPr>
        <w:t>:</w:t>
      </w:r>
      <w:r>
        <w:t xml:space="preserve"> DČ99, pri čemer DČ pomeni dvočrkovno kodo države članice po ISO, 9 pa pomeni števko od 0 do 9.</w:t>
      </w:r>
    </w:p>
    <w:p w14:paraId="4AE2CB45" w14:textId="77777777" w:rsidR="00DB3F3D" w:rsidRDefault="000C0F2B">
      <w:pPr>
        <w:pStyle w:val="Heading2"/>
        <w:numPr>
          <w:ilvl w:val="3"/>
          <w:numId w:val="50"/>
        </w:numPr>
      </w:pPr>
      <w:r>
        <w:t xml:space="preserve"> </w:t>
      </w:r>
      <w:bookmarkStart w:id="289" w:name="_Toc134086213"/>
      <w:r>
        <w:t>Stolpec (b) – Sklad</w:t>
      </w:r>
      <w:bookmarkEnd w:id="289"/>
    </w:p>
    <w:p w14:paraId="799CF140" w14:textId="77777777" w:rsidR="00DB3F3D" w:rsidRDefault="000C0F2B">
      <w:pPr>
        <w:pStyle w:val="Text2"/>
        <w:ind w:left="0" w:firstLine="0"/>
      </w:pPr>
      <w:r>
        <w:t xml:space="preserve">Na tem mestu se navede sklad, iz katerega je bil nepravilno izplačan znesek. </w:t>
      </w:r>
    </w:p>
    <w:p w14:paraId="14E026A1" w14:textId="77777777" w:rsidR="00DB3F3D" w:rsidRDefault="000C0F2B">
      <w:pPr>
        <w:ind w:left="0" w:firstLine="0"/>
        <w:rPr>
          <w:snapToGrid w:val="0"/>
        </w:rPr>
      </w:pPr>
      <w:r>
        <w:rPr>
          <w:snapToGrid w:val="0"/>
          <w:u w:val="single"/>
        </w:rPr>
        <w:t>Zahtevana oblika</w:t>
      </w:r>
      <w:r>
        <w:rPr>
          <w:snapToGrid w:val="0"/>
        </w:rPr>
        <w:t>: označi se z enoznakovno kodo v skladu z naslednjim seznamom kod:</w:t>
      </w:r>
    </w:p>
    <w:tbl>
      <w:tblPr>
        <w:tblW w:w="8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51"/>
      </w:tblGrid>
      <w:tr w:rsidR="00DB3F3D" w14:paraId="3649A7E6" w14:textId="77777777">
        <w:tc>
          <w:tcPr>
            <w:tcW w:w="1275" w:type="dxa"/>
          </w:tcPr>
          <w:p w14:paraId="7636A40F" w14:textId="77777777" w:rsidR="00DB3F3D" w:rsidRDefault="000C0F2B">
            <w:pPr>
              <w:pStyle w:val="Text2"/>
              <w:spacing w:after="0"/>
              <w:ind w:left="0" w:firstLine="0"/>
              <w:jc w:val="center"/>
              <w:rPr>
                <w:snapToGrid w:val="0"/>
              </w:rPr>
            </w:pPr>
            <w:r>
              <w:rPr>
                <w:snapToGrid w:val="0"/>
              </w:rPr>
              <w:t>Koda</w:t>
            </w:r>
          </w:p>
        </w:tc>
        <w:tc>
          <w:tcPr>
            <w:tcW w:w="7451" w:type="dxa"/>
          </w:tcPr>
          <w:p w14:paraId="2940CEC8" w14:textId="77777777" w:rsidR="00DB3F3D" w:rsidRDefault="000C0F2B">
            <w:pPr>
              <w:pStyle w:val="Text2"/>
              <w:spacing w:after="0"/>
              <w:ind w:left="0" w:firstLine="0"/>
              <w:jc w:val="left"/>
              <w:rPr>
                <w:snapToGrid w:val="0"/>
              </w:rPr>
            </w:pPr>
            <w:r>
              <w:rPr>
                <w:snapToGrid w:val="0"/>
              </w:rPr>
              <w:t>Pomen</w:t>
            </w:r>
          </w:p>
        </w:tc>
      </w:tr>
      <w:tr w:rsidR="00DB3F3D" w14:paraId="2B8B3C76" w14:textId="77777777">
        <w:tc>
          <w:tcPr>
            <w:tcW w:w="1275" w:type="dxa"/>
            <w:vAlign w:val="center"/>
          </w:tcPr>
          <w:p w14:paraId="42BAE2D8" w14:textId="77777777" w:rsidR="00DB3F3D" w:rsidRDefault="000C0F2B">
            <w:pPr>
              <w:pStyle w:val="Text2"/>
              <w:spacing w:after="0"/>
              <w:ind w:left="0" w:firstLine="0"/>
              <w:jc w:val="center"/>
              <w:rPr>
                <w:snapToGrid w:val="0"/>
              </w:rPr>
            </w:pPr>
            <w:r>
              <w:rPr>
                <w:snapToGrid w:val="0"/>
              </w:rPr>
              <w:t>7</w:t>
            </w:r>
          </w:p>
        </w:tc>
        <w:tc>
          <w:tcPr>
            <w:tcW w:w="7451" w:type="dxa"/>
          </w:tcPr>
          <w:p w14:paraId="169D4C77" w14:textId="77777777" w:rsidR="00DB3F3D" w:rsidRDefault="000C0F2B">
            <w:pPr>
              <w:pStyle w:val="Text2"/>
              <w:spacing w:after="0"/>
              <w:ind w:left="0" w:firstLine="0"/>
              <w:jc w:val="left"/>
              <w:rPr>
                <w:snapToGrid w:val="0"/>
              </w:rPr>
            </w:pPr>
            <w:r>
              <w:rPr>
                <w:snapToGrid w:val="0"/>
              </w:rPr>
              <w:t xml:space="preserve">EKJS </w:t>
            </w:r>
          </w:p>
        </w:tc>
      </w:tr>
      <w:tr w:rsidR="00DB3F3D" w14:paraId="3740AB6A" w14:textId="77777777">
        <w:tc>
          <w:tcPr>
            <w:tcW w:w="1275" w:type="dxa"/>
            <w:vAlign w:val="center"/>
          </w:tcPr>
          <w:p w14:paraId="179B3C6F" w14:textId="77777777" w:rsidR="00DB3F3D" w:rsidRDefault="000C0F2B">
            <w:pPr>
              <w:pStyle w:val="Text2"/>
              <w:spacing w:after="0"/>
              <w:ind w:left="0" w:firstLine="0"/>
              <w:jc w:val="center"/>
              <w:rPr>
                <w:snapToGrid w:val="0"/>
              </w:rPr>
            </w:pPr>
            <w:r>
              <w:rPr>
                <w:snapToGrid w:val="0"/>
              </w:rPr>
              <w:t>8</w:t>
            </w:r>
          </w:p>
        </w:tc>
        <w:tc>
          <w:tcPr>
            <w:tcW w:w="7451" w:type="dxa"/>
          </w:tcPr>
          <w:p w14:paraId="396A1F54" w14:textId="77777777" w:rsidR="00DB3F3D" w:rsidRDefault="000C0F2B">
            <w:pPr>
              <w:pStyle w:val="Text2"/>
              <w:spacing w:after="0"/>
              <w:ind w:left="0" w:firstLine="0"/>
              <w:jc w:val="left"/>
              <w:rPr>
                <w:snapToGrid w:val="0"/>
              </w:rPr>
            </w:pPr>
            <w:r>
              <w:rPr>
                <w:snapToGrid w:val="0"/>
              </w:rPr>
              <w:t>EKSRP</w:t>
            </w:r>
          </w:p>
        </w:tc>
      </w:tr>
    </w:tbl>
    <w:p w14:paraId="46FCC970" w14:textId="77777777" w:rsidR="00DB3F3D" w:rsidRDefault="00DB3F3D">
      <w:pPr>
        <w:ind w:left="0" w:firstLine="0"/>
        <w:rPr>
          <w:snapToGrid w:val="0"/>
          <w:u w:val="single"/>
        </w:rPr>
      </w:pPr>
    </w:p>
    <w:p w14:paraId="6AC8B5E9" w14:textId="77777777" w:rsidR="00DB3F3D" w:rsidRDefault="000C0F2B">
      <w:pPr>
        <w:pStyle w:val="Heading2"/>
        <w:numPr>
          <w:ilvl w:val="3"/>
          <w:numId w:val="50"/>
        </w:numPr>
      </w:pPr>
      <w:r>
        <w:t xml:space="preserve"> </w:t>
      </w:r>
      <w:bookmarkStart w:id="290" w:name="_Toc134086214"/>
      <w:r>
        <w:t>Stolpec (c) – Denarna enota</w:t>
      </w:r>
      <w:bookmarkEnd w:id="290"/>
    </w:p>
    <w:p w14:paraId="30F79EE3" w14:textId="77777777" w:rsidR="00DB3F3D" w:rsidRDefault="000C0F2B">
      <w:pPr>
        <w:ind w:left="0" w:firstLine="0"/>
      </w:pPr>
      <w:r>
        <w:t xml:space="preserve">Tukaj se navede denarna enota, v kateri se v preglednici navedejo zneski. V preglednici se zneski navedejo v nacionalni valuti. </w:t>
      </w:r>
    </w:p>
    <w:p w14:paraId="26972C07" w14:textId="77777777" w:rsidR="00DB3F3D" w:rsidRDefault="000C0F2B">
      <w:pPr>
        <w:ind w:left="0" w:firstLine="0"/>
        <w:rPr>
          <w:snapToGrid w:val="0"/>
        </w:rPr>
      </w:pPr>
      <w:r>
        <w:rPr>
          <w:u w:val="single"/>
        </w:rPr>
        <w:t>Zahtevana oblika</w:t>
      </w:r>
      <w:r>
        <w:t>: koda ISO 4217: npr. DKK, EUR, GBP, HUF itd.</w:t>
      </w:r>
    </w:p>
    <w:p w14:paraId="1080DFEA" w14:textId="77777777" w:rsidR="00DB3F3D" w:rsidRDefault="000C0F2B">
      <w:pPr>
        <w:pStyle w:val="Heading2"/>
        <w:numPr>
          <w:ilvl w:val="3"/>
          <w:numId w:val="50"/>
        </w:numPr>
      </w:pPr>
      <w:r>
        <w:t xml:space="preserve"> </w:t>
      </w:r>
      <w:bookmarkStart w:id="291" w:name="_Toc134086215"/>
      <w:r>
        <w:t>Stolpec (d) – Stanje na dan 15. oktobra n – 1</w:t>
      </w:r>
      <w:bookmarkEnd w:id="291"/>
    </w:p>
    <w:p w14:paraId="3B1ABF8B" w14:textId="77777777" w:rsidR="00DB3F3D" w:rsidRDefault="000C0F2B">
      <w:pPr>
        <w:ind w:left="0" w:firstLine="0"/>
      </w:pPr>
      <w:r>
        <w:t>Ta vsota označuje začetno stanje teh primerov dolga (primeri nepravilnosti), dolgovanih EKJS (koda 7) in EKSRP (koda 8) za proračunsko leto n. Prikazuje stanje na dan 15. 10. n – 1. V tem stolpcu je naveden celoten znesek (glavnica + obresti).</w:t>
      </w:r>
    </w:p>
    <w:p w14:paraId="0C32FF6E" w14:textId="77777777" w:rsidR="00DB3F3D" w:rsidRDefault="000C0F2B">
      <w:pPr>
        <w:ind w:left="0" w:firstLine="0"/>
        <w:rPr>
          <w:snapToGrid w:val="0"/>
        </w:rPr>
      </w:pPr>
      <w:r>
        <w:rPr>
          <w:snapToGrid w:val="0"/>
          <w:u w:val="single"/>
        </w:rPr>
        <w:t>Zahtevana oblika</w:t>
      </w:r>
      <w:r>
        <w:rPr>
          <w:snapToGrid w:val="0"/>
        </w:rPr>
        <w:t xml:space="preserve">: </w:t>
      </w:r>
      <w:r>
        <w:rPr>
          <w:b/>
          <w:snapToGrid w:val="0"/>
        </w:rPr>
        <w:t>+</w:t>
      </w:r>
      <w:r>
        <w:rPr>
          <w:snapToGrid w:val="0"/>
        </w:rPr>
        <w:t>99…99.99, kjer 9 pomeni števko od 0 do 9.</w:t>
      </w:r>
    </w:p>
    <w:p w14:paraId="1B7DE0D3" w14:textId="77777777" w:rsidR="00DB3F3D" w:rsidRDefault="000C0F2B">
      <w:pPr>
        <w:pStyle w:val="Heading2"/>
        <w:numPr>
          <w:ilvl w:val="3"/>
          <w:numId w:val="50"/>
        </w:numPr>
      </w:pPr>
      <w:r>
        <w:t xml:space="preserve"> </w:t>
      </w:r>
      <w:bookmarkStart w:id="292" w:name="_Toc134086216"/>
      <w:r>
        <w:t>Stolpec (e) – Skupaj novi primeri (leto n)</w:t>
      </w:r>
      <w:bookmarkEnd w:id="292"/>
    </w:p>
    <w:p w14:paraId="4726CB87" w14:textId="77777777" w:rsidR="00DB3F3D" w:rsidRDefault="000C0F2B">
      <w:pPr>
        <w:ind w:left="0" w:firstLine="0"/>
      </w:pPr>
      <w:r>
        <w:t>Tukaj se navedejo zneski za izterjavo (nepravilnosti), zabeleženi v proračunskem letu n. V stolpcu je naveden skupni nepravilni znesek glavnice in obračunane obresti v prejšnjih proračunskih letih.</w:t>
      </w:r>
    </w:p>
    <w:p w14:paraId="365AE1D2" w14:textId="77777777" w:rsidR="00DB3F3D" w:rsidRDefault="000C0F2B">
      <w:pPr>
        <w:ind w:left="0" w:firstLine="0"/>
      </w:pPr>
      <w:r>
        <w:rPr>
          <w:snapToGrid w:val="0"/>
          <w:u w:val="single"/>
        </w:rPr>
        <w:t>Zahtevana oblika</w:t>
      </w:r>
      <w:r>
        <w:rPr>
          <w:snapToGrid w:val="0"/>
        </w:rPr>
        <w:t xml:space="preserve">: </w:t>
      </w:r>
      <w:r>
        <w:rPr>
          <w:b/>
          <w:snapToGrid w:val="0"/>
        </w:rPr>
        <w:t>+</w:t>
      </w:r>
      <w:r>
        <w:rPr>
          <w:snapToGrid w:val="0"/>
        </w:rPr>
        <w:t>99…99.99, kjer 9 pomeni števko od 0 do 9.</w:t>
      </w:r>
    </w:p>
    <w:p w14:paraId="5795FEB8" w14:textId="77777777" w:rsidR="00DB3F3D" w:rsidRDefault="000C0F2B">
      <w:pPr>
        <w:pStyle w:val="Heading2"/>
        <w:numPr>
          <w:ilvl w:val="3"/>
          <w:numId w:val="50"/>
        </w:numPr>
      </w:pPr>
      <w:r>
        <w:lastRenderedPageBreak/>
        <w:t xml:space="preserve"> </w:t>
      </w:r>
      <w:bookmarkStart w:id="293" w:name="_Toc134086217"/>
      <w:r>
        <w:t>Stolpec (f) – Skupaj popravki (leto n)</w:t>
      </w:r>
      <w:bookmarkEnd w:id="293"/>
    </w:p>
    <w:p w14:paraId="3059B2FC" w14:textId="77777777" w:rsidR="00DB3F3D" w:rsidRDefault="000C0F2B">
      <w:pPr>
        <w:ind w:left="0" w:firstLine="0"/>
        <w:rPr>
          <w:snapToGrid w:val="0"/>
        </w:rPr>
      </w:pPr>
      <w:r>
        <w:t xml:space="preserve">Ta stolpec vključuje vse popravke (+ ali –), ki izhajajo iz popravka zneska (glavnice in/ali vsakršnega popravka predhodno sporočenega zneska obresti), ki ga je treba izterjati v proračunskem letu n – 1. To so popravki, opravljeni v proračunskem letu n. </w:t>
      </w:r>
      <w:r>
        <w:rPr>
          <w:snapToGrid w:val="0"/>
        </w:rPr>
        <w:t>Znesek je lahko pozitiven ali negativen</w:t>
      </w:r>
      <w:r>
        <w:rPr>
          <w:rStyle w:val="FootnoteReference"/>
          <w:snapToGrid w:val="0"/>
        </w:rPr>
        <w:footnoteReference w:id="34"/>
      </w:r>
      <w:r>
        <w:t>.</w:t>
      </w:r>
    </w:p>
    <w:p w14:paraId="7C3434BA" w14:textId="77777777" w:rsidR="00DB3F3D" w:rsidRDefault="000C0F2B">
      <w:pPr>
        <w:ind w:left="0" w:firstLine="0"/>
      </w:pPr>
      <w:r>
        <w:t>Ta stolpec se uporablja tudi za zneske, ki so bili predmet nekaterih finančnih popravkov Evropske komisije, vendar še niso bili izterjani.</w:t>
      </w:r>
    </w:p>
    <w:p w14:paraId="79D7B2D6" w14:textId="77777777" w:rsidR="00DB3F3D" w:rsidRDefault="000C0F2B">
      <w:pPr>
        <w:ind w:left="0" w:firstLine="0"/>
        <w:rPr>
          <w:snapToGrid w:val="0"/>
        </w:rPr>
      </w:pPr>
      <w:r>
        <w:rPr>
          <w:snapToGrid w:val="0"/>
          <w:u w:val="single"/>
        </w:rPr>
        <w:t>Zahtevana oblika</w:t>
      </w:r>
      <w:r>
        <w:rPr>
          <w:snapToGrid w:val="0"/>
        </w:rPr>
        <w:t xml:space="preserve">: </w:t>
      </w:r>
      <w:r>
        <w:rPr>
          <w:b/>
          <w:snapToGrid w:val="0"/>
        </w:rPr>
        <w:t>+</w:t>
      </w:r>
      <w:r>
        <w:rPr>
          <w:snapToGrid w:val="0"/>
        </w:rPr>
        <w:t xml:space="preserve">99…99.99 ali </w:t>
      </w:r>
      <w:r>
        <w:rPr>
          <w:b/>
          <w:snapToGrid w:val="0"/>
        </w:rPr>
        <w:t>–</w:t>
      </w:r>
      <w:r>
        <w:rPr>
          <w:snapToGrid w:val="0"/>
        </w:rPr>
        <w:t>99…99.99, kjer 9 pomeni števko od 0 do 9.</w:t>
      </w:r>
    </w:p>
    <w:p w14:paraId="62F4B1E7" w14:textId="77777777" w:rsidR="00DB3F3D" w:rsidRDefault="000C0F2B">
      <w:pPr>
        <w:pStyle w:val="Heading2"/>
        <w:numPr>
          <w:ilvl w:val="3"/>
          <w:numId w:val="50"/>
        </w:numPr>
      </w:pPr>
      <w:r>
        <w:t xml:space="preserve"> </w:t>
      </w:r>
      <w:bookmarkStart w:id="294" w:name="_Toc134086218"/>
      <w:r>
        <w:t>Stolpec (g) – Skupaj obresti (leto n)</w:t>
      </w:r>
      <w:bookmarkEnd w:id="294"/>
    </w:p>
    <w:p w14:paraId="6059D5FD" w14:textId="77777777" w:rsidR="00DB3F3D" w:rsidRDefault="000C0F2B">
      <w:pPr>
        <w:ind w:left="0" w:firstLine="0"/>
      </w:pPr>
      <w:r>
        <w:rPr>
          <w:snapToGrid w:val="0"/>
        </w:rPr>
        <w:t xml:space="preserve">Ta stolpec vsebuje obresti, ki se uporabljajo za neupravičena plačila, ki jih je treba izterjati. Uporablja se za </w:t>
      </w:r>
      <w:r>
        <w:rPr>
          <w:snapToGrid w:val="0"/>
          <w:u w:val="single"/>
        </w:rPr>
        <w:t>obresti, ki se natečejo v proračunskem letu n</w:t>
      </w:r>
      <w:r>
        <w:rPr>
          <w:snapToGrid w:val="0"/>
        </w:rPr>
        <w:t xml:space="preserve"> na podlagi zneska preostale glavnice, ki ga je treba izterjati, čeprav še ni bil dejansko zaračunan upravičencu, npr. kadar znesek glavnice še ni bil v celoti izterjan.</w:t>
      </w:r>
      <w:r>
        <w:t xml:space="preserve"> </w:t>
      </w:r>
    </w:p>
    <w:p w14:paraId="71733A67" w14:textId="77777777" w:rsidR="00DB3F3D" w:rsidRDefault="000C0F2B">
      <w:pPr>
        <w:ind w:left="0" w:firstLine="0"/>
        <w:rPr>
          <w:snapToGrid w:val="0"/>
        </w:rPr>
      </w:pPr>
      <w:r>
        <w:rPr>
          <w:snapToGrid w:val="0"/>
        </w:rPr>
        <w:t>Zneski se morajo navesti kot pozitivna vrednost.</w:t>
      </w:r>
    </w:p>
    <w:p w14:paraId="6C94660B" w14:textId="77777777" w:rsidR="00DB3F3D" w:rsidRDefault="000C0F2B">
      <w:pPr>
        <w:ind w:left="0" w:firstLine="0"/>
        <w:rPr>
          <w:snapToGrid w:val="0"/>
        </w:rPr>
      </w:pPr>
      <w:r>
        <w:rPr>
          <w:snapToGrid w:val="0"/>
          <w:u w:val="single"/>
        </w:rPr>
        <w:t>Zahtevana oblika:</w:t>
      </w:r>
      <w:r>
        <w:rPr>
          <w:snapToGrid w:val="0"/>
        </w:rPr>
        <w:t xml:space="preserve"> </w:t>
      </w:r>
      <w:r>
        <w:rPr>
          <w:b/>
          <w:snapToGrid w:val="0"/>
        </w:rPr>
        <w:t>+</w:t>
      </w:r>
      <w:r>
        <w:rPr>
          <w:snapToGrid w:val="0"/>
        </w:rPr>
        <w:t>99…99.99, kjer 9 pomeni števko od 0 do 9.</w:t>
      </w:r>
    </w:p>
    <w:p w14:paraId="141BB21A" w14:textId="77777777" w:rsidR="00DB3F3D" w:rsidRDefault="000C0F2B">
      <w:pPr>
        <w:pStyle w:val="Heading2"/>
        <w:numPr>
          <w:ilvl w:val="3"/>
          <w:numId w:val="50"/>
        </w:numPr>
      </w:pPr>
      <w:r>
        <w:t xml:space="preserve"> </w:t>
      </w:r>
      <w:bookmarkStart w:id="295" w:name="_Toc134086219"/>
      <w:r>
        <w:t>Stolpec (h) – Skupaj izterjave (leto n)</w:t>
      </w:r>
      <w:bookmarkEnd w:id="295"/>
    </w:p>
    <w:p w14:paraId="058C5DE6" w14:textId="77777777" w:rsidR="00DB3F3D" w:rsidRDefault="000C0F2B">
      <w:pPr>
        <w:ind w:left="0" w:firstLine="0"/>
        <w:rPr>
          <w:snapToGrid w:val="0"/>
        </w:rPr>
      </w:pPr>
      <w:r>
        <w:rPr>
          <w:snapToGrid w:val="0"/>
        </w:rPr>
        <w:t>To so zneski, ki jih država članica izterja od upravičencev v proračunskem letu n. Odbitek 20 % zneska, sporočenega v preglednici iz Priloge V, v skladu s členom 56</w:t>
      </w:r>
      <w:r>
        <w:t xml:space="preserve"> Uredbe (EU) 2021/2116 se ne uporabi</w:t>
      </w:r>
      <w:r>
        <w:rPr>
          <w:snapToGrid w:val="0"/>
        </w:rPr>
        <w:t xml:space="preserve">. </w:t>
      </w:r>
    </w:p>
    <w:p w14:paraId="74FAFAD9" w14:textId="77777777" w:rsidR="00DB3F3D" w:rsidRDefault="000C0F2B">
      <w:pPr>
        <w:ind w:left="0" w:firstLine="0"/>
        <w:rPr>
          <w:snapToGrid w:val="0"/>
        </w:rPr>
      </w:pPr>
      <w:r>
        <w:rPr>
          <w:snapToGrid w:val="0"/>
        </w:rPr>
        <w:t>Ti zneski morajo biti usklajeni z izterjavami, prijavljenimi v vmesnih izjavah (v letu n), ob upoštevanju 20 % odbitka.</w:t>
      </w:r>
    </w:p>
    <w:p w14:paraId="5B763CCF" w14:textId="77777777" w:rsidR="00DB3F3D" w:rsidRDefault="000C0F2B">
      <w:pPr>
        <w:ind w:left="0" w:firstLine="0"/>
        <w:rPr>
          <w:snapToGrid w:val="0"/>
        </w:rPr>
      </w:pPr>
      <w:r>
        <w:rPr>
          <w:snapToGrid w:val="0"/>
        </w:rPr>
        <w:t>Zneski se morajo navesti kot negativna vrednost.</w:t>
      </w:r>
    </w:p>
    <w:p w14:paraId="6207B347" w14:textId="77777777" w:rsidR="00DB3F3D" w:rsidRDefault="000C0F2B">
      <w:pPr>
        <w:ind w:left="0" w:firstLine="0"/>
        <w:rPr>
          <w:snapToGrid w:val="0"/>
        </w:rPr>
      </w:pPr>
      <w:r>
        <w:rPr>
          <w:snapToGrid w:val="0"/>
          <w:u w:val="single"/>
        </w:rPr>
        <w:t>Zahtevana oblika</w:t>
      </w:r>
      <w:r>
        <w:rPr>
          <w:snapToGrid w:val="0"/>
        </w:rPr>
        <w:t>: –99…99.99, kjer 9 pomeni števko od 0 do 9.</w:t>
      </w:r>
    </w:p>
    <w:p w14:paraId="5C75A214" w14:textId="77777777" w:rsidR="00DB3F3D" w:rsidRDefault="000C0F2B">
      <w:pPr>
        <w:pStyle w:val="Heading2"/>
        <w:numPr>
          <w:ilvl w:val="3"/>
          <w:numId w:val="50"/>
        </w:numPr>
      </w:pPr>
      <w:r>
        <w:lastRenderedPageBreak/>
        <w:t xml:space="preserve"> </w:t>
      </w:r>
      <w:bookmarkStart w:id="296" w:name="_Toc134086220"/>
      <w:r>
        <w:t>Stolpec (i) – Skupaj neizterljivi zneski (leto n)</w:t>
      </w:r>
      <w:bookmarkEnd w:id="296"/>
      <w:r>
        <w:t xml:space="preserve"> </w:t>
      </w:r>
    </w:p>
    <w:p w14:paraId="27D7B9B3" w14:textId="77777777" w:rsidR="00DB3F3D" w:rsidRDefault="000C0F2B">
      <w:pPr>
        <w:pStyle w:val="Text2"/>
        <w:ind w:left="0" w:firstLine="0"/>
      </w:pPr>
      <w:r>
        <w:t>To je znesek, ki ga plačilna agencija šteje za neizterljivega v proračunskem letu n. Znesek se lahko razglasi za neizterljivega le, če je to ustrezno utemeljeno.</w:t>
      </w:r>
    </w:p>
    <w:p w14:paraId="19FBD91A" w14:textId="77777777" w:rsidR="00DB3F3D" w:rsidRDefault="000C0F2B">
      <w:pPr>
        <w:pStyle w:val="Text2"/>
        <w:ind w:left="0" w:firstLine="0"/>
      </w:pPr>
      <w:r>
        <w:t>Neizterljivi znesek se navede z negativnim predznakom.</w:t>
      </w:r>
    </w:p>
    <w:p w14:paraId="6DC48273" w14:textId="77777777" w:rsidR="00DB3F3D" w:rsidRDefault="000C0F2B">
      <w:pPr>
        <w:pStyle w:val="Text2"/>
        <w:ind w:left="0" w:firstLine="0"/>
      </w:pPr>
      <w:r>
        <w:t>Zahtevana oblika: –99…99.99, kjer 9 pomeni števko od 0 do 9.</w:t>
      </w:r>
    </w:p>
    <w:p w14:paraId="26CD64F9" w14:textId="77777777" w:rsidR="00DB3F3D" w:rsidRDefault="000C0F2B">
      <w:pPr>
        <w:pStyle w:val="Heading2"/>
        <w:numPr>
          <w:ilvl w:val="3"/>
          <w:numId w:val="50"/>
        </w:numPr>
      </w:pPr>
      <w:bookmarkStart w:id="297" w:name="_Toc134086221"/>
      <w:r>
        <w:t>Stolpec (j) – Znesek, ki ga je treba izterjati na dan 15. oktobra leta n</w:t>
      </w:r>
      <w:bookmarkEnd w:id="297"/>
    </w:p>
    <w:p w14:paraId="30A76D37" w14:textId="77777777" w:rsidR="00DB3F3D" w:rsidRDefault="000C0F2B">
      <w:pPr>
        <w:ind w:left="0" w:firstLine="0"/>
      </w:pPr>
      <w:r>
        <w:t xml:space="preserve">To je znesek, ki ga je na dan 15. oktobra leta n še treba izterjati. Stolpec (j) je vsota stolpcev (d), (e), (f), (g), (h) in (i). </w:t>
      </w:r>
    </w:p>
    <w:p w14:paraId="221598C5" w14:textId="77777777" w:rsidR="00DB3F3D" w:rsidRDefault="000C0F2B">
      <w:pPr>
        <w:ind w:left="0" w:firstLine="0"/>
        <w:rPr>
          <w:snapToGrid w:val="0"/>
        </w:rPr>
      </w:pPr>
      <w:r>
        <w:rPr>
          <w:snapToGrid w:val="0"/>
          <w:u w:val="single"/>
        </w:rPr>
        <w:t>Zahtevana oblika</w:t>
      </w:r>
      <w:r>
        <w:rPr>
          <w:snapToGrid w:val="0"/>
        </w:rPr>
        <w:t>: +99…99.99, kjer 9 pomeni števko od 0 do 9.</w:t>
      </w:r>
    </w:p>
    <w:p w14:paraId="3192837A" w14:textId="77777777" w:rsidR="00DB3F3D" w:rsidRDefault="000C0F2B">
      <w:pPr>
        <w:pStyle w:val="Heading2"/>
        <w:numPr>
          <w:ilvl w:val="0"/>
          <w:numId w:val="0"/>
        </w:numPr>
      </w:pPr>
      <w:bookmarkStart w:id="298" w:name="_Toc134086222"/>
      <w:r>
        <w:t>2.1.3. Potrditev preglednice iz Priloge V</w:t>
      </w:r>
      <w:bookmarkEnd w:id="298"/>
      <w:r>
        <w:t xml:space="preserve"> </w:t>
      </w:r>
    </w:p>
    <w:p w14:paraId="5CCAA4DA" w14:textId="77777777" w:rsidR="00DB3F3D" w:rsidRDefault="000C0F2B">
      <w:pPr>
        <w:ind w:left="0" w:firstLine="0"/>
      </w:pPr>
      <w:r>
        <w:t xml:space="preserve">Certifikacijski organi morajo potrditi zneske, razkrite v preglednici iz Priloge V, ter preveriti popolnost, veljavnost in točnost knjige terjatev in zneskov, razkritih v preglednici iz Priloge V. </w:t>
      </w:r>
    </w:p>
    <w:p w14:paraId="65232E9D" w14:textId="77777777" w:rsidR="00DB3F3D" w:rsidRDefault="000C0F2B">
      <w:pPr>
        <w:ind w:left="0" w:firstLine="0"/>
      </w:pPr>
      <w:r>
        <w:t>Komisija bo preverila točnost teh zneskov na osnovi informacij, ki so jih predložile države članice, med potrjevanjem pa lahko zahteva dodatne informacije.</w:t>
      </w:r>
    </w:p>
    <w:p w14:paraId="11C01AB3" w14:textId="77777777" w:rsidR="00DB3F3D" w:rsidRDefault="000C0F2B">
      <w:pPr>
        <w:pStyle w:val="Heading2"/>
        <w:numPr>
          <w:ilvl w:val="2"/>
          <w:numId w:val="52"/>
        </w:numPr>
        <w:ind w:left="567" w:hanging="567"/>
      </w:pPr>
      <w:bookmarkStart w:id="299" w:name="_Toc134086223"/>
      <w:r>
        <w:t>Primer</w:t>
      </w:r>
      <w:bookmarkEnd w:id="299"/>
      <w:r>
        <w:t xml:space="preserve"> </w:t>
      </w:r>
    </w:p>
    <w:p w14:paraId="11CCFA74" w14:textId="77777777" w:rsidR="00DB3F3D" w:rsidRDefault="000C0F2B">
      <w:pPr>
        <w:pStyle w:val="Text2"/>
        <w:ind w:left="0" w:firstLine="0"/>
      </w:pPr>
      <w:r>
        <w:t xml:space="preserve">Priloga 7 k tem smernicam vsebuje primer. </w:t>
      </w:r>
    </w:p>
    <w:p w14:paraId="7FB0FB2B" w14:textId="77777777" w:rsidR="00DB3F3D" w:rsidRDefault="000C0F2B">
      <w:pPr>
        <w:pStyle w:val="Heading2"/>
        <w:numPr>
          <w:ilvl w:val="2"/>
          <w:numId w:val="52"/>
        </w:numPr>
        <w:ind w:left="567" w:hanging="567"/>
      </w:pPr>
      <w:bookmarkStart w:id="300" w:name="_Toc134086224"/>
      <w:r>
        <w:t>Prenos</w:t>
      </w:r>
      <w:bookmarkEnd w:id="300"/>
      <w:r>
        <w:t xml:space="preserve"> </w:t>
      </w:r>
    </w:p>
    <w:p w14:paraId="43A0A851" w14:textId="77777777" w:rsidR="00DB3F3D" w:rsidRDefault="000C0F2B">
      <w:pPr>
        <w:ind w:left="0" w:firstLine="0"/>
      </w:pPr>
      <w:r>
        <w:t xml:space="preserve">Tehnične podrobnosti o pošiljanju preglednice iz Priloge V bodo navedene v pojasnilu k potrditvi letnih računovodskih izkazov za proračunsko leto 2023.  </w:t>
      </w:r>
      <w:r>
        <w:br w:type="page"/>
      </w:r>
    </w:p>
    <w:p w14:paraId="05660378" w14:textId="77777777" w:rsidR="00DB3F3D" w:rsidRDefault="000C0F2B">
      <w:pPr>
        <w:pStyle w:val="Heading2"/>
        <w:numPr>
          <w:ilvl w:val="0"/>
          <w:numId w:val="0"/>
        </w:numPr>
        <w:spacing w:before="240"/>
      </w:pPr>
      <w:bookmarkStart w:id="301" w:name="_Toc134086225"/>
      <w:r>
        <w:lastRenderedPageBreak/>
        <w:t>Priloga 7: Vzorčna preglednica iz člena 32(1), točka (f), Uredbe (EU) 2022/128</w:t>
      </w:r>
      <w:bookmarkEnd w:id="301"/>
    </w:p>
    <w:p w14:paraId="359FD67B" w14:textId="77777777" w:rsidR="00DB3F3D" w:rsidRDefault="00DB3F3D">
      <w:pPr>
        <w:pStyle w:val="Text1"/>
        <w:ind w:left="0" w:firstLine="0"/>
      </w:pPr>
    </w:p>
    <w:p w14:paraId="4FF3F5E3" w14:textId="50FD04D8" w:rsidR="00DB3F3D" w:rsidRDefault="00CC094E">
      <w:pPr>
        <w:pStyle w:val="Text1"/>
        <w:ind w:left="0" w:firstLine="0"/>
        <w:jc w:val="center"/>
      </w:pPr>
      <w:r w:rsidRPr="00CC094E">
        <w:drawing>
          <wp:inline distT="0" distB="0" distL="0" distR="0" wp14:anchorId="462BE779" wp14:editId="68BA99C3">
            <wp:extent cx="5857875" cy="157162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57875" cy="1571625"/>
                    </a:xfrm>
                    <a:prstGeom prst="rect">
                      <a:avLst/>
                    </a:prstGeom>
                    <a:noFill/>
                    <a:ln>
                      <a:noFill/>
                    </a:ln>
                  </pic:spPr>
                </pic:pic>
              </a:graphicData>
            </a:graphic>
          </wp:inline>
        </w:drawing>
      </w:r>
    </w:p>
    <w:p w14:paraId="5D2CF10F" w14:textId="77777777" w:rsidR="00DB3F3D" w:rsidRDefault="00DB3F3D">
      <w:pPr>
        <w:pStyle w:val="Text1"/>
        <w:ind w:left="0" w:firstLine="0"/>
      </w:pPr>
    </w:p>
    <w:p w14:paraId="2028C65C" w14:textId="77777777" w:rsidR="00DB3F3D" w:rsidRDefault="00DB3F3D">
      <w:pPr>
        <w:pStyle w:val="Text1"/>
        <w:ind w:left="0" w:firstLine="0"/>
      </w:pPr>
    </w:p>
    <w:p w14:paraId="574E7F34" w14:textId="77777777" w:rsidR="00DB3F3D" w:rsidRDefault="00DB3F3D">
      <w:pPr>
        <w:pStyle w:val="Text1"/>
        <w:ind w:left="0" w:firstLine="0"/>
        <w:rPr>
          <w:highlight w:val="yellow"/>
        </w:rPr>
      </w:pPr>
    </w:p>
    <w:p w14:paraId="7972C82D" w14:textId="77777777" w:rsidR="00DB3F3D" w:rsidRDefault="00DB3F3D">
      <w:pPr>
        <w:pStyle w:val="Text1"/>
        <w:ind w:left="0" w:firstLine="0"/>
        <w:rPr>
          <w:highlight w:val="yellow"/>
        </w:rPr>
      </w:pPr>
    </w:p>
    <w:p w14:paraId="437661D4" w14:textId="77777777" w:rsidR="00DB3F3D" w:rsidRDefault="00DB3F3D">
      <w:pPr>
        <w:pStyle w:val="Text1"/>
        <w:ind w:left="0" w:firstLine="0"/>
        <w:rPr>
          <w:highlight w:val="yellow"/>
        </w:rPr>
      </w:pPr>
    </w:p>
    <w:p w14:paraId="2F93E90B" w14:textId="77777777" w:rsidR="00DB3F3D" w:rsidRDefault="00DB3F3D">
      <w:pPr>
        <w:pStyle w:val="Text1"/>
        <w:ind w:left="0" w:firstLine="0"/>
        <w:rPr>
          <w:highlight w:val="yellow"/>
        </w:rPr>
      </w:pPr>
    </w:p>
    <w:p w14:paraId="58601B78" w14:textId="77777777" w:rsidR="00DB3F3D" w:rsidRDefault="00DB3F3D">
      <w:pPr>
        <w:pStyle w:val="Text1"/>
        <w:ind w:left="0" w:firstLine="0"/>
        <w:rPr>
          <w:highlight w:val="yellow"/>
        </w:rPr>
      </w:pPr>
    </w:p>
    <w:p w14:paraId="7A0AA794" w14:textId="77777777" w:rsidR="00DB3F3D" w:rsidRDefault="00DB3F3D">
      <w:pPr>
        <w:tabs>
          <w:tab w:val="left" w:pos="3516"/>
        </w:tabs>
        <w:ind w:left="0" w:firstLine="0"/>
        <w:rPr>
          <w:highlight w:val="yellow"/>
        </w:rPr>
      </w:pPr>
    </w:p>
    <w:sectPr w:rsidR="00DB3F3D" w:rsidSect="00D313CA">
      <w:pgSz w:w="11906" w:h="16838"/>
      <w:pgMar w:top="1021" w:right="1701" w:bottom="1021" w:left="1588"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92600" w14:textId="77777777" w:rsidR="00DB3F3D" w:rsidRDefault="000C0F2B">
      <w:r>
        <w:separator/>
      </w:r>
    </w:p>
  </w:endnote>
  <w:endnote w:type="continuationSeparator" w:id="0">
    <w:p w14:paraId="77CDF1D1" w14:textId="77777777" w:rsidR="00DB3F3D" w:rsidRDefault="000C0F2B">
      <w:r>
        <w:continuationSeparator/>
      </w:r>
    </w:p>
  </w:endnote>
  <w:endnote w:id="1">
    <w:p w14:paraId="0A2A4769" w14:textId="77777777" w:rsidR="00DB3F3D" w:rsidRDefault="00DB3F3D">
      <w:pPr>
        <w:ind w:left="0" w:firstLine="0"/>
      </w:pPr>
    </w:p>
    <w:p w14:paraId="130231EF" w14:textId="77777777" w:rsidR="00DB3F3D" w:rsidRDefault="00DB3F3D">
      <w:pPr>
        <w:ind w:left="0" w:firstLine="0"/>
      </w:pPr>
    </w:p>
    <w:p w14:paraId="5642466F" w14:textId="77777777" w:rsidR="00DB3F3D" w:rsidRDefault="00DB3F3D">
      <w:pPr>
        <w:pStyle w:val="EndnoteText"/>
        <w:spacing w:after="120"/>
        <w:ind w:left="0" w:firstLine="0"/>
        <w:rPr>
          <w:lang w:val="it-IT"/>
        </w:rPr>
      </w:pPr>
    </w:p>
  </w:endnote>
  <w:endnote w:id="2">
    <w:p w14:paraId="4794FB66" w14:textId="77777777" w:rsidR="00DB3F3D" w:rsidRDefault="00DB3F3D">
      <w:pPr>
        <w:ind w:left="0"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24EDB" w14:textId="77777777" w:rsidR="00DB3F3D" w:rsidRDefault="00DB3F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6413" w14:textId="77777777" w:rsidR="00DB3F3D" w:rsidRDefault="000C0F2B">
    <w:pPr>
      <w:pStyle w:val="Footer"/>
      <w:ind w:left="601"/>
      <w:jc w:val="center"/>
    </w:pPr>
    <w:r>
      <w:fldChar w:fldCharType="begin"/>
    </w:r>
    <w:r>
      <w:instrText xml:space="preserve"> PAGE   \* MERGEFORMAT </w:instrText>
    </w:r>
    <w:r>
      <w:fldChar w:fldCharType="separate"/>
    </w:r>
    <w:r>
      <w:t>65</w:t>
    </w:r>
    <w:r>
      <w:fldChar w:fldCharType="end"/>
    </w:r>
  </w:p>
  <w:p w14:paraId="0EEED37E" w14:textId="77777777" w:rsidR="00DB3F3D" w:rsidRDefault="00DB3F3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B14B" w14:textId="77777777" w:rsidR="00DB3F3D" w:rsidRDefault="00DB3F3D">
    <w:pPr>
      <w:pStyle w:val="Footer"/>
      <w:rPr>
        <w:sz w:val="24"/>
        <w:szCs w:val="24"/>
      </w:rPr>
    </w:pPr>
  </w:p>
  <w:p w14:paraId="09C860CB" w14:textId="77777777" w:rsidR="00DB3F3D" w:rsidRDefault="000C0F2B">
    <w:pPr>
      <w:pStyle w:val="Footer"/>
      <w:ind w:left="567"/>
    </w:pPr>
    <w:r>
      <w:t>Evropska komisija, B-1049 Bruselj – Belgija. Telefon: +32 22991111.</w:t>
    </w:r>
  </w:p>
  <w:p w14:paraId="6735F75A" w14:textId="77777777" w:rsidR="00DB3F3D" w:rsidRDefault="00DB3F3D">
    <w:pPr>
      <w:pStyle w:val="Footer"/>
      <w:rPr>
        <w:lang w:val="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1E81" w14:textId="77777777" w:rsidR="00DB3F3D" w:rsidRDefault="000C0F2B">
    <w:pPr>
      <w:pStyle w:val="Footer"/>
      <w:jc w:val="center"/>
      <w:rPr>
        <w:sz w:val="24"/>
        <w:szCs w:val="24"/>
      </w:rPr>
    </w:pPr>
    <w:r>
      <w:rPr>
        <w:rStyle w:val="PageNumber"/>
      </w:rPr>
      <w:fldChar w:fldCharType="begin"/>
    </w:r>
    <w:r>
      <w:rPr>
        <w:rStyle w:val="PageNumber"/>
      </w:rPr>
      <w:instrText xml:space="preserve"> PAGE </w:instrText>
    </w:r>
    <w:r>
      <w:rPr>
        <w:rStyle w:val="PageNumber"/>
      </w:rPr>
      <w:fldChar w:fldCharType="separate"/>
    </w:r>
    <w:r>
      <w:rPr>
        <w:rStyle w:val="PageNumber"/>
      </w:rPr>
      <w:t>56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2AB11" w14:textId="77777777" w:rsidR="00DB3F3D" w:rsidRDefault="000C0F2B">
      <w:r>
        <w:separator/>
      </w:r>
    </w:p>
  </w:footnote>
  <w:footnote w:type="continuationSeparator" w:id="0">
    <w:p w14:paraId="34CFB4B7" w14:textId="77777777" w:rsidR="00DB3F3D" w:rsidRDefault="000C0F2B">
      <w:r>
        <w:continuationSeparator/>
      </w:r>
    </w:p>
  </w:footnote>
  <w:footnote w:id="1">
    <w:p w14:paraId="7D949B0E" w14:textId="77777777" w:rsidR="00DB3F3D" w:rsidRDefault="000C0F2B">
      <w:pPr>
        <w:pStyle w:val="FootnoteText"/>
        <w:spacing w:after="0"/>
      </w:pPr>
      <w:r>
        <w:rPr>
          <w:rStyle w:val="FootnoteReference"/>
        </w:rPr>
        <w:footnoteRef/>
      </w:r>
      <w:r>
        <w:t xml:space="preserve"> Rok za začetek postopka izterjave in pogoji za odločitev, da se izterjava ne izvede.</w:t>
      </w:r>
    </w:p>
  </w:footnote>
  <w:footnote w:id="2">
    <w:p w14:paraId="490D652E" w14:textId="77777777" w:rsidR="00DB3F3D" w:rsidRDefault="000C0F2B">
      <w:pPr>
        <w:pStyle w:val="FootnoteText"/>
        <w:spacing w:after="0"/>
      </w:pPr>
      <w:r>
        <w:rPr>
          <w:rStyle w:val="FootnoteReference"/>
        </w:rPr>
        <w:footnoteRef/>
      </w:r>
      <w:r>
        <w:t xml:space="preserve"> </w:t>
      </w:r>
      <w:r>
        <w:t>Člen 104 Uredbe (EU) 2021/2116.</w:t>
      </w:r>
    </w:p>
  </w:footnote>
  <w:footnote w:id="3">
    <w:p w14:paraId="21EF65F6" w14:textId="77777777" w:rsidR="00DB3F3D" w:rsidRDefault="000C0F2B">
      <w:pPr>
        <w:pStyle w:val="FootnoteText"/>
        <w:spacing w:after="0"/>
      </w:pPr>
      <w:r>
        <w:rPr>
          <w:rStyle w:val="FootnoteReference"/>
        </w:rPr>
        <w:footnoteRef/>
      </w:r>
      <w:r>
        <w:t xml:space="preserve"> </w:t>
      </w:r>
      <w:r>
        <w:t xml:space="preserve">Člen 106 Uredbe (EU) 2021/2116.  </w:t>
      </w:r>
    </w:p>
  </w:footnote>
  <w:footnote w:id="4">
    <w:p w14:paraId="78275672" w14:textId="77777777" w:rsidR="00DB3F3D" w:rsidRDefault="000C0F2B">
      <w:pPr>
        <w:pStyle w:val="FootnoteText"/>
        <w:spacing w:after="0"/>
      </w:pPr>
      <w:r>
        <w:rPr>
          <w:rStyle w:val="FootnoteReference"/>
        </w:rPr>
        <w:footnoteRef/>
      </w:r>
      <w:r>
        <w:t xml:space="preserve"> </w:t>
      </w:r>
      <w:r>
        <w:t>Člen 29(e), (f), (g) ter prilogi II in III (Uredbe (EU) št. 908/2014).</w:t>
      </w:r>
    </w:p>
  </w:footnote>
  <w:footnote w:id="5">
    <w:p w14:paraId="182C4994" w14:textId="77777777" w:rsidR="00DB3F3D" w:rsidRDefault="000C0F2B">
      <w:pPr>
        <w:pStyle w:val="FootnoteText"/>
        <w:spacing w:after="0"/>
      </w:pPr>
      <w:r>
        <w:rPr>
          <w:rStyle w:val="FootnoteReference"/>
        </w:rPr>
        <w:footnoteRef/>
      </w:r>
      <w:r>
        <w:t xml:space="preserve"> </w:t>
      </w:r>
      <w:r>
        <w:t>Člen 32(e) Uredbe (EU) 2022/128.</w:t>
      </w:r>
    </w:p>
  </w:footnote>
  <w:footnote w:id="6">
    <w:p w14:paraId="760F7779" w14:textId="77777777" w:rsidR="00DB3F3D" w:rsidRDefault="000C0F2B">
      <w:pPr>
        <w:pStyle w:val="FootnoteText"/>
        <w:spacing w:after="0"/>
      </w:pPr>
      <w:r>
        <w:rPr>
          <w:rStyle w:val="FootnoteReference"/>
        </w:rPr>
        <w:footnoteRef/>
      </w:r>
      <w:r>
        <w:t xml:space="preserve"> </w:t>
      </w:r>
      <w:r>
        <w:t>Člen 32(1)(f) Uredbe (EU) 2022/128.</w:t>
      </w:r>
    </w:p>
  </w:footnote>
  <w:footnote w:id="7">
    <w:p w14:paraId="4A674C73" w14:textId="77777777" w:rsidR="00DB3F3D" w:rsidRDefault="000C0F2B">
      <w:pPr>
        <w:pStyle w:val="FootnoteText"/>
        <w:ind w:left="0" w:firstLine="0"/>
      </w:pPr>
      <w:r>
        <w:rPr>
          <w:rStyle w:val="FootnoteReference"/>
        </w:rPr>
        <w:footnoteRef/>
      </w:r>
      <w:r>
        <w:t xml:space="preserve"> </w:t>
      </w:r>
      <w:r>
        <w:t xml:space="preserve">V skladu s členom 35 Uredbe (ES) št. 1290/2005 z dne 21. junija 2005 je prva upravna ali sodna ugotovitev </w:t>
      </w:r>
      <w:r>
        <w:rPr>
          <w:i/>
          <w:iCs/>
        </w:rPr>
        <w:t>prva pisna ocena, ki jo poda pristojni upravni ali sodni organ in v kateri na osnovi konkretnih dejstev ugotavlja obstoj nepravilnosti, ne glede na možnost, da bo ta ugotovitev kasneje spremenjena ali umaknjena zaradi poteka upravnega ali sodnega postopka</w:t>
      </w:r>
      <w:r>
        <w:t>.</w:t>
      </w:r>
    </w:p>
  </w:footnote>
  <w:footnote w:id="8">
    <w:p w14:paraId="77ECBC67" w14:textId="77777777" w:rsidR="00DB3F3D" w:rsidRDefault="000C0F2B">
      <w:pPr>
        <w:pStyle w:val="FootnoteText"/>
      </w:pPr>
      <w:r>
        <w:rPr>
          <w:rStyle w:val="FootnoteReference"/>
        </w:rPr>
        <w:footnoteRef/>
      </w:r>
      <w:r>
        <w:t xml:space="preserve"> </w:t>
      </w:r>
      <w:r>
        <w:t xml:space="preserve">Ares(2015)4978316 z dne 10. novembra 2015, https://circabc.europa.eu/ui/group/d9d57ada-2d34-4c85-9e3c-7ce690099d5d/library/1a04cfdd-a296-441d-8588-96008302a5e4?p=3&amp;n=10&amp;sort=modified_DESC.  </w:t>
      </w:r>
    </w:p>
    <w:p w14:paraId="5004B972" w14:textId="77777777" w:rsidR="00DB3F3D" w:rsidRDefault="00DB3F3D">
      <w:pPr>
        <w:pStyle w:val="FootnoteText"/>
      </w:pPr>
    </w:p>
  </w:footnote>
  <w:footnote w:id="9">
    <w:p w14:paraId="604B3855" w14:textId="77777777" w:rsidR="00DB3F3D" w:rsidRDefault="000C0F2B">
      <w:pPr>
        <w:pStyle w:val="FootnoteText"/>
        <w:spacing w:after="120"/>
        <w:ind w:left="120" w:hanging="120"/>
      </w:pPr>
      <w:r>
        <w:rPr>
          <w:rStyle w:val="FootnoteReference"/>
        </w:rPr>
        <w:footnoteRef/>
      </w:r>
      <w:r>
        <w:t xml:space="preserve"> </w:t>
      </w:r>
      <w:r>
        <w:t>Uredba (EU) št. 1306/2013 Evropskega parlamenta in Sveta z dne 17. decembra 2013, objavljena v Uradnem listu L347/549, 20.12.2013.</w:t>
      </w:r>
    </w:p>
  </w:footnote>
  <w:footnote w:id="10">
    <w:p w14:paraId="40BD00A0" w14:textId="77777777" w:rsidR="00DB3F3D" w:rsidRDefault="000C0F2B">
      <w:pPr>
        <w:pStyle w:val="FootnoteText"/>
        <w:spacing w:after="120"/>
        <w:ind w:left="120" w:hanging="120"/>
      </w:pPr>
      <w:r>
        <w:rPr>
          <w:rStyle w:val="FootnoteReference"/>
        </w:rPr>
        <w:footnoteRef/>
      </w:r>
      <w:r>
        <w:t xml:space="preserve"> </w:t>
      </w:r>
      <w:r>
        <w:t>Pod 100 EUR ali od 100 EUR do 250 EUR, kadar je to pravilo skladno s podobnimi pragi na podlagi nacionalnega prava za neizterjavo javnih dolgov.</w:t>
      </w:r>
    </w:p>
  </w:footnote>
  <w:footnote w:id="11">
    <w:p w14:paraId="2DCDDB9C" w14:textId="77777777" w:rsidR="00DB3F3D" w:rsidRDefault="000C0F2B">
      <w:pPr>
        <w:pStyle w:val="FootnoteText"/>
        <w:spacing w:after="120"/>
      </w:pPr>
      <w:r>
        <w:rPr>
          <w:rStyle w:val="FootnoteReference"/>
        </w:rPr>
        <w:footnoteRef/>
      </w:r>
      <w:r>
        <w:t xml:space="preserve"> </w:t>
      </w:r>
      <w:r>
        <w:t>Uradni list L 255, 28.8.2014, str. 18.</w:t>
      </w:r>
    </w:p>
  </w:footnote>
  <w:footnote w:id="12">
    <w:p w14:paraId="4D6EAF36" w14:textId="77777777" w:rsidR="00DB3F3D" w:rsidRDefault="000C0F2B">
      <w:pPr>
        <w:pStyle w:val="FootnoteText"/>
        <w:spacing w:after="0"/>
        <w:ind w:left="120" w:hanging="120"/>
      </w:pPr>
      <w:r>
        <w:rPr>
          <w:rStyle w:val="FootnoteReference"/>
        </w:rPr>
        <w:footnoteRef/>
      </w:r>
      <w:r>
        <w:t xml:space="preserve"> </w:t>
      </w:r>
      <w:r>
        <w:t xml:space="preserve">Kratica v francoskem jeziku za prvo upravno ali sodno ugotovitev („le </w:t>
      </w:r>
      <w:r>
        <w:rPr>
          <w:u w:val="single"/>
        </w:rPr>
        <w:t>p</w:t>
      </w:r>
      <w:r>
        <w:t xml:space="preserve">remier </w:t>
      </w:r>
      <w:r>
        <w:rPr>
          <w:u w:val="single"/>
        </w:rPr>
        <w:t>a</w:t>
      </w:r>
      <w:r>
        <w:t xml:space="preserve">cte de </w:t>
      </w:r>
      <w:r>
        <w:rPr>
          <w:u w:val="single"/>
        </w:rPr>
        <w:t>c</w:t>
      </w:r>
      <w:r>
        <w:t xml:space="preserve">onstat </w:t>
      </w:r>
      <w:r>
        <w:rPr>
          <w:u w:val="single"/>
        </w:rPr>
        <w:t>a</w:t>
      </w:r>
      <w:r>
        <w:t>dministratif ou judiciaire“).</w:t>
      </w:r>
    </w:p>
  </w:footnote>
  <w:footnote w:id="13">
    <w:p w14:paraId="2A4485A8" w14:textId="77777777" w:rsidR="00DB3F3D" w:rsidRDefault="000C0F2B">
      <w:pPr>
        <w:pStyle w:val="FootnoteText"/>
        <w:spacing w:after="120"/>
        <w:ind w:left="142" w:hanging="142"/>
      </w:pPr>
      <w:r>
        <w:rPr>
          <w:rStyle w:val="FootnoteReference"/>
        </w:rPr>
        <w:footnoteRef/>
      </w:r>
      <w:r>
        <w:t xml:space="preserve"> </w:t>
      </w:r>
      <w:r>
        <w:t>Če nepravilnost zadeva odhodek EKSRP za programsko obdobje 2007–2013, je prvih osem števk „05040501“; za programsko obdobje 2014–2020 je prvih osem števk „05046001“. Sklic na Prilogo IV k uredbi o tabeli X (najnovejša objavljena različica: Izvedbena uredba Komisije (EU) št. 1067/2014 z dne 3. oktobra 2014).</w:t>
      </w:r>
    </w:p>
  </w:footnote>
  <w:footnote w:id="14">
    <w:p w14:paraId="21C84C1C" w14:textId="77777777" w:rsidR="00DB3F3D" w:rsidRDefault="000C0F2B">
      <w:pPr>
        <w:pStyle w:val="FootnoteText"/>
        <w:spacing w:after="120"/>
        <w:ind w:left="142" w:hanging="142"/>
      </w:pPr>
      <w:r>
        <w:rPr>
          <w:rStyle w:val="FootnoteReference"/>
        </w:rPr>
        <w:footnoteRef/>
      </w:r>
      <w:r>
        <w:t xml:space="preserve"> </w:t>
      </w:r>
      <w:r>
        <w:t>Primer: pogozdovanje (pri čemer mora upravičenec ohranjati naložbo 20 let), ki se je najprej financiralo v okviru odhodkov nekdanjega Jamstvenega oddelka EKUJS in pozneje v okviru EKJS.</w:t>
      </w:r>
    </w:p>
  </w:footnote>
  <w:footnote w:id="15">
    <w:p w14:paraId="1C1C8BFE" w14:textId="77777777" w:rsidR="00DB3F3D" w:rsidRDefault="000C0F2B">
      <w:pPr>
        <w:pStyle w:val="FootnoteText"/>
        <w:spacing w:after="120"/>
        <w:ind w:left="142" w:hanging="142"/>
      </w:pPr>
      <w:r>
        <w:rPr>
          <w:rStyle w:val="FootnoteReference"/>
        </w:rPr>
        <w:footnoteRef/>
      </w:r>
      <w:r>
        <w:t xml:space="preserve"> </w:t>
      </w:r>
      <w:r>
        <w:t xml:space="preserve">Z vidika </w:t>
      </w:r>
      <w:r>
        <w:rPr>
          <w:rStyle w:val="FootnoteReference"/>
        </w:rPr>
        <w:t>prispevka</w:t>
      </w:r>
      <w:r>
        <w:t xml:space="preserve"> EU. </w:t>
      </w:r>
    </w:p>
  </w:footnote>
  <w:footnote w:id="16">
    <w:p w14:paraId="0E333D22" w14:textId="77777777" w:rsidR="00DB3F3D" w:rsidRDefault="000C0F2B">
      <w:pPr>
        <w:pStyle w:val="FootnoteText"/>
        <w:spacing w:after="120"/>
        <w:ind w:left="240" w:hanging="240"/>
      </w:pPr>
      <w:r>
        <w:rPr>
          <w:rStyle w:val="FootnoteReference"/>
        </w:rPr>
        <w:footnoteRef/>
      </w:r>
      <w:r>
        <w:t xml:space="preserve"> </w:t>
      </w:r>
      <w:r>
        <w:t>Prag je določen z Uredbo Komisije (EU) št. 2015/1971 z dne 8. julija 2015 (Uradni list L 293, 10.11.2015, str. 6).</w:t>
      </w:r>
    </w:p>
  </w:footnote>
  <w:footnote w:id="17">
    <w:p w14:paraId="5EBCFB1F" w14:textId="77777777" w:rsidR="00DB3F3D" w:rsidRDefault="000C0F2B">
      <w:pPr>
        <w:pStyle w:val="FootnoteText"/>
        <w:spacing w:after="120"/>
        <w:ind w:left="240" w:hanging="240"/>
      </w:pPr>
      <w:r>
        <w:rPr>
          <w:rStyle w:val="FootnoteReference"/>
        </w:rPr>
        <w:footnoteRef/>
      </w:r>
      <w:r>
        <w:t xml:space="preserve"> </w:t>
      </w:r>
      <w:r>
        <w:t>Terjatev je opredeljena kot pravica do prihodkov na podlagi preteklih dogodkov, ki naj bi jih kaka organizacija prejela od tretje strani. Posledično mora dolžnik organizaciji plačati zadevni znesek v določenem roku v skladu s pogoji, opredeljenimi v zadevni zakonodaji.</w:t>
      </w:r>
    </w:p>
  </w:footnote>
  <w:footnote w:id="18">
    <w:p w14:paraId="12FAAFD4" w14:textId="77777777" w:rsidR="00DB3F3D" w:rsidRDefault="000C0F2B">
      <w:pPr>
        <w:pStyle w:val="FootnoteText"/>
        <w:spacing w:after="120"/>
      </w:pPr>
      <w:r>
        <w:rPr>
          <w:rStyle w:val="FootnoteReference"/>
        </w:rPr>
        <w:footnoteRef/>
      </w:r>
      <w:r>
        <w:t xml:space="preserve"> </w:t>
      </w:r>
      <w:r>
        <w:t>Za Češko, Madžarsko in Slovenijo.</w:t>
      </w:r>
    </w:p>
  </w:footnote>
  <w:footnote w:id="19">
    <w:p w14:paraId="36380A25" w14:textId="77777777" w:rsidR="00DB3F3D" w:rsidRDefault="000C0F2B">
      <w:pPr>
        <w:pStyle w:val="FootnoteText"/>
        <w:spacing w:after="120"/>
      </w:pPr>
      <w:r>
        <w:rPr>
          <w:rStyle w:val="FootnoteReference"/>
        </w:rPr>
        <w:footnoteRef/>
      </w:r>
      <w:r>
        <w:t xml:space="preserve"> </w:t>
      </w:r>
      <w:r>
        <w:t>Za Estonijo, Ciper, Latvijo, Litvo, Malto, Poljsko in Slovaško.</w:t>
      </w:r>
    </w:p>
  </w:footnote>
  <w:footnote w:id="20">
    <w:p w14:paraId="1EE9F4C7" w14:textId="77777777" w:rsidR="00DB3F3D" w:rsidRDefault="000C0F2B">
      <w:pPr>
        <w:pStyle w:val="FootnoteText"/>
        <w:spacing w:after="0"/>
        <w:ind w:left="0" w:firstLine="0"/>
      </w:pPr>
      <w:r>
        <w:rPr>
          <w:rStyle w:val="FootnoteReference"/>
        </w:rPr>
        <w:footnoteRef/>
      </w:r>
      <w:r>
        <w:t xml:space="preserve"> </w:t>
      </w:r>
      <w:r>
        <w:t>Vendar lahko država članica preklicana ali izterjana sredstva Unije v celoti ponovno uporabi le za operacijo razvoja podeželja, predvideno v njenem strateškem načrtu SKP, in teh sredstev ne sme prerazporediti za operacije za razvoj podeželja, ki so bile predmet finančnega popravka.</w:t>
      </w:r>
    </w:p>
  </w:footnote>
  <w:footnote w:id="21">
    <w:p w14:paraId="106026C6" w14:textId="77777777" w:rsidR="00DB3F3D" w:rsidRDefault="000C0F2B">
      <w:pPr>
        <w:pStyle w:val="FootnoteText"/>
        <w:spacing w:after="0"/>
      </w:pPr>
      <w:r>
        <w:rPr>
          <w:rStyle w:val="FootnoteReference"/>
        </w:rPr>
        <w:footnoteRef/>
      </w:r>
      <w:r>
        <w:t xml:space="preserve"> </w:t>
      </w:r>
      <w:r>
        <w:t>V preglednicah iz Priloge III k Uredbi (ES) št. 885/2006.</w:t>
      </w:r>
    </w:p>
  </w:footnote>
  <w:footnote w:id="22">
    <w:p w14:paraId="53BC4169" w14:textId="77777777" w:rsidR="00DB3F3D" w:rsidRDefault="000C0F2B">
      <w:pPr>
        <w:pStyle w:val="FootnoteText"/>
        <w:spacing w:after="0"/>
      </w:pPr>
      <w:r>
        <w:rPr>
          <w:rStyle w:val="FootnoteReference"/>
        </w:rPr>
        <w:footnoteRef/>
      </w:r>
      <w:r>
        <w:t xml:space="preserve"> </w:t>
      </w:r>
      <w:r>
        <w:t>Člen 55 Uredbe (EU) št. 1306/2013.</w:t>
      </w:r>
    </w:p>
  </w:footnote>
  <w:footnote w:id="23">
    <w:p w14:paraId="78263DEC" w14:textId="77777777" w:rsidR="00DB3F3D" w:rsidRDefault="000C0F2B">
      <w:pPr>
        <w:pStyle w:val="FootnoteText"/>
        <w:spacing w:after="0"/>
      </w:pPr>
      <w:r>
        <w:rPr>
          <w:rStyle w:val="FootnoteReference"/>
        </w:rPr>
        <w:footnoteRef/>
      </w:r>
      <w:r>
        <w:t xml:space="preserve"> </w:t>
      </w:r>
      <w:r>
        <w:t>Pri tej enačbi so upoštevana le polja, povezana s „starimi“ primeri.</w:t>
      </w:r>
    </w:p>
  </w:footnote>
  <w:footnote w:id="24">
    <w:p w14:paraId="6E226C56" w14:textId="77777777" w:rsidR="00DB3F3D" w:rsidRDefault="000C0F2B">
      <w:pPr>
        <w:pStyle w:val="FootnoteText"/>
        <w:spacing w:after="0"/>
      </w:pPr>
      <w:r>
        <w:rPr>
          <w:rStyle w:val="FootnoteReference"/>
        </w:rPr>
        <w:footnoteRef/>
      </w:r>
      <w:r>
        <w:t xml:space="preserve"> </w:t>
      </w:r>
      <w:r>
        <w:t>Pri tej enačbi so upoštevana le polja, povezana z „novimi“ primeri.</w:t>
      </w:r>
    </w:p>
  </w:footnote>
  <w:footnote w:id="25">
    <w:p w14:paraId="39A304C5" w14:textId="77777777" w:rsidR="00DB3F3D" w:rsidRDefault="000C0F2B">
      <w:pPr>
        <w:pStyle w:val="FootnoteText"/>
      </w:pPr>
      <w:r>
        <w:rPr>
          <w:rStyle w:val="FootnoteReference"/>
        </w:rPr>
        <w:footnoteRef/>
      </w:r>
      <w:r>
        <w:t xml:space="preserve"> </w:t>
      </w:r>
      <w:r>
        <w:t>Glej točko 2.1.2.25.</w:t>
      </w:r>
    </w:p>
  </w:footnote>
  <w:footnote w:id="26">
    <w:p w14:paraId="3DFAD834" w14:textId="77777777" w:rsidR="00DB3F3D" w:rsidRDefault="000C0F2B">
      <w:pPr>
        <w:pStyle w:val="FootnoteText"/>
        <w:tabs>
          <w:tab w:val="right" w:pos="8618"/>
        </w:tabs>
        <w:spacing w:after="120"/>
        <w:ind w:left="240" w:hanging="240"/>
      </w:pPr>
      <w:r>
        <w:rPr>
          <w:rStyle w:val="FootnoteReference"/>
        </w:rPr>
        <w:footnoteRef/>
      </w:r>
      <w:r>
        <w:t xml:space="preserve"> </w:t>
      </w:r>
      <w:r>
        <w:t>100 % se knjiži v breme proračuna EU le v primeru, da se neizterljivost prijavi v 4 oziroma 8 letih od datuma prve upravne ali sodne ugotovitve za „stare“ primere in od datuma zahtevka za izterjavo za „nove“ primere, kot je določeno v točki 2.1.4. (POTRDITEV PRIMEROV NEPRAVILNOSTI).</w:t>
      </w:r>
    </w:p>
  </w:footnote>
  <w:footnote w:id="27">
    <w:p w14:paraId="5B45062D" w14:textId="77777777" w:rsidR="00DB3F3D" w:rsidRDefault="000C0F2B">
      <w:pPr>
        <w:pStyle w:val="FootnoteText"/>
        <w:spacing w:after="0"/>
        <w:ind w:left="240" w:hanging="240"/>
      </w:pPr>
      <w:r>
        <w:rPr>
          <w:rStyle w:val="FootnoteReference"/>
        </w:rPr>
        <w:footnoteRef/>
      </w:r>
      <w:r>
        <w:t xml:space="preserve"> </w:t>
      </w:r>
      <w:r>
        <w:t>V zvezi z dajatvijo na mleko od obdobja 2003/2004 naprej ni nobenih neporavnanih obveznosti do proračuna EU.</w:t>
      </w:r>
    </w:p>
  </w:footnote>
  <w:footnote w:id="28">
    <w:p w14:paraId="020ACA89" w14:textId="77777777" w:rsidR="00DB3F3D" w:rsidRDefault="000C0F2B">
      <w:pPr>
        <w:pStyle w:val="FootnoteText"/>
        <w:spacing w:after="0"/>
        <w:ind w:left="0" w:firstLine="0"/>
      </w:pPr>
      <w:r>
        <w:rPr>
          <w:rStyle w:val="FootnoteReference"/>
        </w:rPr>
        <w:footnoteRef/>
      </w:r>
      <w:r>
        <w:t xml:space="preserve"> </w:t>
      </w:r>
      <w:r>
        <w:t>V skladu s členom 22(1)(e) Izvedbene uredbe Komisije (EU) 2022/128 se lahko zneski, izterjani v tekočem obdobju, povezani s programi razvoja podeželja EKSRP od leta 2007 dalje, za katere države članice niso več dolžne pošiljati vmesnih izjav o odhodkih, prijavijo le v izjavi za strateški načrt SKP.</w:t>
      </w:r>
    </w:p>
    <w:p w14:paraId="7308A99B" w14:textId="77777777" w:rsidR="00DB3F3D" w:rsidRDefault="000C0F2B">
      <w:pPr>
        <w:pStyle w:val="FootnoteText"/>
        <w:spacing w:after="0"/>
        <w:ind w:left="0" w:firstLine="0"/>
        <w:rPr>
          <w:sz w:val="10"/>
          <w:szCs w:val="10"/>
        </w:rPr>
      </w:pPr>
      <w:r>
        <w:rPr>
          <w:sz w:val="10"/>
        </w:rPr>
        <w:t xml:space="preserve"> </w:t>
      </w:r>
    </w:p>
    <w:p w14:paraId="2E5F9639" w14:textId="77777777" w:rsidR="00DB3F3D" w:rsidRDefault="000C0F2B">
      <w:pPr>
        <w:pStyle w:val="FootnoteText"/>
        <w:spacing w:after="0"/>
        <w:ind w:left="0" w:firstLine="0"/>
      </w:pPr>
      <w:r>
        <w:t xml:space="preserve">Sedanji programi razvoja podeželja za obdobje 2014–2022 se bodo še naprej izvajali do konca leta 2025 (konec obdobja upravičenosti); za te programe je treba izjave o odhodkih predložiti do navedenega datuma. Zato je treba v teh izjavah navesti izterjane zneske za programe razvoja podeželja za obdobje 2014–2022. Od leta 2025 se lahko izterjani zneski sporočijo v izjavi za strateški načrt SKP. Če plačilna agencija ne predloži izjave za strateški načrt SKP v proračunskem letu 2023, bodo izterjani zneski vrnjeni v proračun EU prek naloga za izterjavo. Poudariti je treba naslednje: </w:t>
      </w:r>
    </w:p>
    <w:p w14:paraId="2412DD4E" w14:textId="77777777" w:rsidR="00DB3F3D" w:rsidRDefault="00DB3F3D">
      <w:pPr>
        <w:pStyle w:val="FootnoteText"/>
        <w:spacing w:after="0"/>
        <w:ind w:left="0" w:firstLine="0"/>
        <w:rPr>
          <w:sz w:val="10"/>
          <w:szCs w:val="10"/>
        </w:rPr>
      </w:pPr>
    </w:p>
    <w:p w14:paraId="02C0AF97" w14:textId="77777777" w:rsidR="00DB3F3D" w:rsidRDefault="000C0F2B">
      <w:pPr>
        <w:pStyle w:val="FootnoteText"/>
        <w:numPr>
          <w:ilvl w:val="0"/>
          <w:numId w:val="51"/>
        </w:numPr>
        <w:spacing w:after="0"/>
      </w:pPr>
      <w:r>
        <w:t>Od 1. januarja 2023 naprej mora plačilni zastopnik predložiti četrtletne izjave o odhodkih za strateški načrt SKP, tudi če ni odhodkov za strateški načrt SKP. Izjave morajo vključevati vse izterjane zneske za pretekla obdobja (npr. za obdobje 2007–2013).</w:t>
      </w:r>
    </w:p>
    <w:p w14:paraId="351CD473" w14:textId="77777777" w:rsidR="00DB3F3D" w:rsidRDefault="000C0F2B">
      <w:pPr>
        <w:pStyle w:val="FootnoteText"/>
        <w:numPr>
          <w:ilvl w:val="0"/>
          <w:numId w:val="51"/>
        </w:numPr>
        <w:spacing w:after="0"/>
      </w:pPr>
      <w:r>
        <w:t>Za obdobje od 16. oktobra 2022 do 31. decembra 2022 bodo ti zneski pred začetkom izvajanja strateškega načrta SKP izterjani z nalogom za izterjavo kot prej.</w:t>
      </w:r>
    </w:p>
  </w:footnote>
  <w:footnote w:id="29">
    <w:p w14:paraId="2E0F1A25" w14:textId="77777777" w:rsidR="00DB3F3D" w:rsidRDefault="000C0F2B">
      <w:pPr>
        <w:pStyle w:val="FootnoteText"/>
        <w:spacing w:after="0"/>
      </w:pPr>
      <w:r>
        <w:rPr>
          <w:rStyle w:val="FootnoteReference"/>
        </w:rPr>
        <w:footnoteRef/>
      </w:r>
      <w:r>
        <w:t xml:space="preserve"> </w:t>
      </w:r>
      <w:r>
        <w:t>Kot so navedeni v stolpcu (a) in ustrezajo zneskom v stolpcu (g) preglednice s povzetkom iz Priloge II k Izvedbeni uredbi Komisije (EU) št. 908/2014 za proračunsko leto n.</w:t>
      </w:r>
    </w:p>
  </w:footnote>
  <w:footnote w:id="30">
    <w:p w14:paraId="146ACA2C" w14:textId="77777777" w:rsidR="00DB3F3D" w:rsidRDefault="000C0F2B">
      <w:pPr>
        <w:pStyle w:val="FootnoteText"/>
        <w:spacing w:after="0"/>
      </w:pPr>
      <w:r>
        <w:rPr>
          <w:rStyle w:val="FootnoteReference"/>
        </w:rPr>
        <w:footnoteRef/>
      </w:r>
      <w:r>
        <w:t xml:space="preserve"> </w:t>
      </w:r>
      <w:r>
        <w:t>Znesek v stolpcu g preglednice s povzetkom iz Priloge II k Uredbi (EU) št. 908/2014 za proračunsko leto n.</w:t>
      </w:r>
    </w:p>
  </w:footnote>
  <w:footnote w:id="31">
    <w:p w14:paraId="5FDAAD75" w14:textId="77777777" w:rsidR="00DB3F3D" w:rsidRDefault="000C0F2B">
      <w:pPr>
        <w:pStyle w:val="FootnoteText"/>
        <w:spacing w:after="0"/>
        <w:rPr>
          <w:i/>
        </w:rPr>
      </w:pPr>
      <w:r>
        <w:rPr>
          <w:rStyle w:val="FootnoteReference"/>
        </w:rPr>
        <w:footnoteRef/>
      </w:r>
      <w:r>
        <w:t xml:space="preserve"> </w:t>
      </w:r>
      <w:r>
        <w:t xml:space="preserve">Člen 37 </w:t>
      </w:r>
      <w:r>
        <w:rPr>
          <w:i/>
        </w:rPr>
        <w:t xml:space="preserve">– Upravičenost odhodkov plačilnih agencij </w:t>
      </w:r>
    </w:p>
    <w:p w14:paraId="633D598A" w14:textId="77777777" w:rsidR="00DB3F3D" w:rsidRDefault="000C0F2B">
      <w:pPr>
        <w:pStyle w:val="FootnoteText"/>
        <w:spacing w:after="0"/>
        <w:ind w:left="0" w:firstLine="0"/>
        <w:rPr>
          <w:i/>
        </w:rPr>
      </w:pPr>
      <w:r>
        <w:rPr>
          <w:i/>
        </w:rPr>
        <w:t>1. Unija lahko odhodke iz člena 5(2) in člena 6 financira samo, če so jih izvršile akreditirane plačilne agencije in če:</w:t>
      </w:r>
    </w:p>
    <w:p w14:paraId="43A0DC86" w14:textId="77777777" w:rsidR="00DB3F3D" w:rsidRDefault="000C0F2B">
      <w:pPr>
        <w:pStyle w:val="FootnoteText"/>
        <w:spacing w:after="0"/>
        <w:rPr>
          <w:i/>
        </w:rPr>
      </w:pPr>
      <w:r>
        <w:rPr>
          <w:i/>
        </w:rPr>
        <w:t>(a) so bili izvršeni v skladu z veljavnimi pravili Unije ali</w:t>
      </w:r>
    </w:p>
    <w:p w14:paraId="0D38CEE9" w14:textId="77777777" w:rsidR="00DB3F3D" w:rsidRDefault="000C0F2B">
      <w:pPr>
        <w:pStyle w:val="FootnoteText"/>
        <w:spacing w:after="0"/>
        <w:rPr>
          <w:i/>
        </w:rPr>
      </w:pPr>
      <w:r>
        <w:rPr>
          <w:i/>
        </w:rPr>
        <w:t>(b) kar zadeva posamezne vrste intervencij iz Uredbe (EU) 2021/2115:</w:t>
      </w:r>
    </w:p>
    <w:p w14:paraId="57666608" w14:textId="77777777" w:rsidR="00DB3F3D" w:rsidRDefault="000C0F2B">
      <w:pPr>
        <w:pStyle w:val="FootnoteText"/>
        <w:spacing w:after="0"/>
        <w:ind w:left="714"/>
        <w:rPr>
          <w:i/>
        </w:rPr>
      </w:pPr>
      <w:r>
        <w:rPr>
          <w:i/>
        </w:rPr>
        <w:t>(i) ustrezajo sporočenemu učinku in</w:t>
      </w:r>
    </w:p>
    <w:p w14:paraId="0E653340" w14:textId="77777777" w:rsidR="00DB3F3D" w:rsidRDefault="000C0F2B">
      <w:pPr>
        <w:pStyle w:val="FootnoteText"/>
        <w:spacing w:after="0"/>
        <w:ind w:left="714"/>
        <w:rPr>
          <w:i/>
        </w:rPr>
      </w:pPr>
      <w:r>
        <w:rPr>
          <w:i/>
        </w:rPr>
        <w:t>(ii) so bili izvršeni v skladu z veljavnimi sistemi upravljanja, ki ne zajemajo pogojev za upravičenost posameznih upravičencev, določenih v zadevnem strateškem načrtu SKP.</w:t>
      </w:r>
    </w:p>
    <w:p w14:paraId="5B6BD8C5" w14:textId="77777777" w:rsidR="00DB3F3D" w:rsidRDefault="000C0F2B">
      <w:pPr>
        <w:pStyle w:val="FootnoteText"/>
        <w:spacing w:after="0"/>
      </w:pPr>
      <w:r>
        <w:rPr>
          <w:i/>
        </w:rPr>
        <w:t>2. Odstavek 1, točka (b)(i), se ne uporablja za predplačila, plačana upravičencem v okviru vrst intervencij iz Uredbe (EU) 2021/2115</w:t>
      </w:r>
      <w:r>
        <w:t>.</w:t>
      </w:r>
    </w:p>
  </w:footnote>
  <w:footnote w:id="32">
    <w:p w14:paraId="5367D216" w14:textId="77777777" w:rsidR="00DB3F3D" w:rsidRDefault="000C0F2B">
      <w:pPr>
        <w:pStyle w:val="FootnoteText"/>
        <w:spacing w:after="0"/>
      </w:pPr>
      <w:r>
        <w:rPr>
          <w:rStyle w:val="FootnoteReference"/>
        </w:rPr>
        <w:footnoteRef/>
      </w:r>
      <w:r>
        <w:t xml:space="preserve"> </w:t>
      </w:r>
      <w:r>
        <w:t>Glej uvod teh smernic.</w:t>
      </w:r>
    </w:p>
  </w:footnote>
  <w:footnote w:id="33">
    <w:p w14:paraId="50F36BA2" w14:textId="77777777" w:rsidR="00DB3F3D" w:rsidRDefault="000C0F2B">
      <w:pPr>
        <w:pStyle w:val="FootnoteText"/>
      </w:pPr>
      <w:r>
        <w:rPr>
          <w:rStyle w:val="FootnoteReference"/>
        </w:rPr>
        <w:footnoteRef/>
      </w:r>
      <w:r>
        <w:t xml:space="preserve"> </w:t>
      </w:r>
      <w:r>
        <w:t>•</w:t>
      </w:r>
      <w:r>
        <w:tab/>
        <w:t>Dolžnik je identificiran, znesek dolga je znan, pristojni organ pa pripravi zahtevek za izterjavo in ga posreduje dolžniku.</w:t>
      </w:r>
    </w:p>
  </w:footnote>
  <w:footnote w:id="34">
    <w:p w14:paraId="2575174C" w14:textId="77777777" w:rsidR="00DB3F3D" w:rsidRDefault="000C0F2B">
      <w:pPr>
        <w:pStyle w:val="FootnoteText"/>
      </w:pPr>
      <w:r>
        <w:rPr>
          <w:rStyle w:val="FootnoteReference"/>
        </w:rPr>
        <w:footnoteRef/>
      </w:r>
      <w:r>
        <w:t xml:space="preserve"> </w:t>
      </w:r>
      <w:r>
        <w:t>Obresti, ki se natečejo v proračunskem letu n, se ne vključijo v ta stolpec. Navesti jih je treba v stolpcu (g) – Skupne obresti (leto 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9B2A" w14:textId="77777777" w:rsidR="00DB3F3D" w:rsidRDefault="00DB3F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D4919" w14:textId="77777777" w:rsidR="00DB3F3D" w:rsidRDefault="00DB3F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A30D8" w14:textId="77777777" w:rsidR="00DB3F3D" w:rsidRDefault="00DB3F3D">
    <w:pPr>
      <w:pStyle w:val="Header"/>
      <w:spacing w:after="0"/>
      <w:jc w:val="right"/>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C971D" w14:textId="77777777" w:rsidR="00DB3F3D" w:rsidRDefault="00DB3F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457D" w14:textId="77777777" w:rsidR="00DB3F3D" w:rsidRDefault="00DB3F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7499" w14:textId="77777777" w:rsidR="00DB3F3D" w:rsidRDefault="00DB3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23793F"/>
    <w:multiLevelType w:val="hybridMultilevel"/>
    <w:tmpl w:val="91E47D4E"/>
    <w:lvl w:ilvl="0" w:tplc="9CFA8EBC">
      <w:start w:val="1"/>
      <w:numFmt w:val="lowerLetter"/>
      <w:lvlText w:val="%1)"/>
      <w:lvlJc w:val="left"/>
      <w:pPr>
        <w:ind w:left="96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445C38"/>
    <w:multiLevelType w:val="hybridMultilevel"/>
    <w:tmpl w:val="28A4A43E"/>
    <w:lvl w:ilvl="0" w:tplc="7A5A5EF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262AD0"/>
    <w:multiLevelType w:val="multilevel"/>
    <w:tmpl w:val="2D2C4CB4"/>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12901B2"/>
    <w:multiLevelType w:val="hybridMultilevel"/>
    <w:tmpl w:val="FBCED0B0"/>
    <w:lvl w:ilvl="0" w:tplc="E63ACC60">
      <w:start w:val="1"/>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7"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8"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9" w15:restartNumberingAfterBreak="0">
    <w:nsid w:val="14A654A0"/>
    <w:multiLevelType w:val="hybridMultilevel"/>
    <w:tmpl w:val="8A36D3F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19547242"/>
    <w:multiLevelType w:val="hybridMultilevel"/>
    <w:tmpl w:val="AD8EC68A"/>
    <w:lvl w:ilvl="0" w:tplc="49C8FC40">
      <w:start w:val="1"/>
      <w:numFmt w:val="lowerLetter"/>
      <w:lvlText w:val="%1)"/>
      <w:lvlJc w:val="left"/>
      <w:pPr>
        <w:ind w:left="1800" w:hanging="360"/>
      </w:pPr>
      <w:rPr>
        <w:rFonts w:hint="default"/>
        <w:b/>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B182018"/>
    <w:multiLevelType w:val="multilevel"/>
    <w:tmpl w:val="CC580558"/>
    <w:lvl w:ilvl="0">
      <w:start w:val="2"/>
      <w:numFmt w:val="decimal"/>
      <w:lvlText w:val="%1."/>
      <w:lvlJc w:val="left"/>
      <w:pPr>
        <w:ind w:left="720" w:hanging="720"/>
      </w:pPr>
      <w:rPr>
        <w:rFonts w:hint="default"/>
      </w:rPr>
    </w:lvl>
    <w:lvl w:ilvl="1">
      <w:start w:val="1"/>
      <w:numFmt w:val="decimal"/>
      <w:lvlText w:val="%1.%2."/>
      <w:lvlJc w:val="left"/>
      <w:pPr>
        <w:ind w:left="909" w:hanging="720"/>
      </w:pPr>
      <w:rPr>
        <w:rFonts w:hint="default"/>
      </w:rPr>
    </w:lvl>
    <w:lvl w:ilvl="2">
      <w:start w:val="3"/>
      <w:numFmt w:val="decimal"/>
      <w:lvlText w:val="%1.%2.5.1.."/>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b/>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2" w15:restartNumberingAfterBreak="0">
    <w:nsid w:val="1D503FC4"/>
    <w:multiLevelType w:val="multilevel"/>
    <w:tmpl w:val="FAB220D4"/>
    <w:lvl w:ilvl="0">
      <w:start w:val="2"/>
      <w:numFmt w:val="decimal"/>
      <w:lvlText w:val="%1."/>
      <w:lvlJc w:val="left"/>
      <w:pPr>
        <w:ind w:left="720" w:hanging="720"/>
      </w:pPr>
      <w:rPr>
        <w:rFonts w:hint="default"/>
      </w:rPr>
    </w:lvl>
    <w:lvl w:ilvl="1">
      <w:start w:val="2"/>
      <w:numFmt w:val="decimal"/>
      <w:lvlText w:val="%1.%2."/>
      <w:lvlJc w:val="left"/>
      <w:pPr>
        <w:ind w:left="849" w:hanging="720"/>
      </w:pPr>
      <w:rPr>
        <w:rFonts w:hint="default"/>
      </w:rPr>
    </w:lvl>
    <w:lvl w:ilvl="2">
      <w:start w:val="2"/>
      <w:numFmt w:val="decimal"/>
      <w:lvlText w:val="%1.%2.%3."/>
      <w:lvlJc w:val="left"/>
      <w:pPr>
        <w:ind w:left="978" w:hanging="720"/>
      </w:pPr>
      <w:rPr>
        <w:rFonts w:hint="default"/>
      </w:rPr>
    </w:lvl>
    <w:lvl w:ilvl="3">
      <w:start w:val="1"/>
      <w:numFmt w:val="decimal"/>
      <w:lvlText w:val="%1.%2.%3.%4."/>
      <w:lvlJc w:val="left"/>
      <w:pPr>
        <w:ind w:left="1107" w:hanging="720"/>
      </w:pPr>
      <w:rPr>
        <w:rFonts w:hint="default"/>
      </w:rPr>
    </w:lvl>
    <w:lvl w:ilvl="4">
      <w:start w:val="1"/>
      <w:numFmt w:val="decimal"/>
      <w:lvlText w:val="%1.%2.%3.%4.%5."/>
      <w:lvlJc w:val="left"/>
      <w:pPr>
        <w:ind w:left="1596" w:hanging="1080"/>
      </w:pPr>
      <w:rPr>
        <w:rFonts w:hint="default"/>
      </w:rPr>
    </w:lvl>
    <w:lvl w:ilvl="5">
      <w:start w:val="1"/>
      <w:numFmt w:val="decimal"/>
      <w:lvlText w:val="%1.%2.%3.%4.%5.%6."/>
      <w:lvlJc w:val="left"/>
      <w:pPr>
        <w:ind w:left="1725" w:hanging="1080"/>
      </w:pPr>
      <w:rPr>
        <w:rFonts w:hint="default"/>
      </w:rPr>
    </w:lvl>
    <w:lvl w:ilvl="6">
      <w:start w:val="1"/>
      <w:numFmt w:val="decimal"/>
      <w:lvlText w:val="%1.%2.%3.%4.%5.%6.%7."/>
      <w:lvlJc w:val="left"/>
      <w:pPr>
        <w:ind w:left="2214" w:hanging="1440"/>
      </w:pPr>
      <w:rPr>
        <w:rFonts w:hint="default"/>
      </w:rPr>
    </w:lvl>
    <w:lvl w:ilvl="7">
      <w:start w:val="1"/>
      <w:numFmt w:val="decimal"/>
      <w:lvlText w:val="%1.%2.%3.%4.%5.%6.%7.%8."/>
      <w:lvlJc w:val="left"/>
      <w:pPr>
        <w:ind w:left="2343" w:hanging="1440"/>
      </w:pPr>
      <w:rPr>
        <w:rFonts w:hint="default"/>
      </w:rPr>
    </w:lvl>
    <w:lvl w:ilvl="8">
      <w:start w:val="1"/>
      <w:numFmt w:val="decimal"/>
      <w:lvlText w:val="%1.%2.%3.%4.%5.%6.%7.%8.%9."/>
      <w:lvlJc w:val="left"/>
      <w:pPr>
        <w:ind w:left="2832" w:hanging="1800"/>
      </w:pPr>
      <w:rPr>
        <w:rFonts w:hint="default"/>
      </w:rPr>
    </w:lvl>
  </w:abstractNum>
  <w:abstractNum w:abstractNumId="13"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4" w15:restartNumberingAfterBreak="0">
    <w:nsid w:val="26082AC6"/>
    <w:multiLevelType w:val="hybridMultilevel"/>
    <w:tmpl w:val="521A3986"/>
    <w:lvl w:ilvl="0" w:tplc="7A5A5EF0">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1103CC"/>
    <w:multiLevelType w:val="hybridMultilevel"/>
    <w:tmpl w:val="910288F4"/>
    <w:lvl w:ilvl="0" w:tplc="04090001">
      <w:start w:val="1"/>
      <w:numFmt w:val="bullet"/>
      <w:lvlText w:val=""/>
      <w:lvlJc w:val="left"/>
      <w:pPr>
        <w:ind w:left="1405" w:hanging="360"/>
      </w:pPr>
      <w:rPr>
        <w:rFonts w:ascii="Symbol" w:hAnsi="Symbol" w:hint="default"/>
      </w:rPr>
    </w:lvl>
    <w:lvl w:ilvl="1" w:tplc="04090003" w:tentative="1">
      <w:start w:val="1"/>
      <w:numFmt w:val="bullet"/>
      <w:lvlText w:val="o"/>
      <w:lvlJc w:val="left"/>
      <w:pPr>
        <w:ind w:left="2125" w:hanging="360"/>
      </w:pPr>
      <w:rPr>
        <w:rFonts w:ascii="Courier New" w:hAnsi="Courier New" w:cs="Courier New" w:hint="default"/>
      </w:rPr>
    </w:lvl>
    <w:lvl w:ilvl="2" w:tplc="04090005" w:tentative="1">
      <w:start w:val="1"/>
      <w:numFmt w:val="bullet"/>
      <w:lvlText w:val=""/>
      <w:lvlJc w:val="left"/>
      <w:pPr>
        <w:ind w:left="2845" w:hanging="360"/>
      </w:pPr>
      <w:rPr>
        <w:rFonts w:ascii="Wingdings" w:hAnsi="Wingdings" w:hint="default"/>
      </w:rPr>
    </w:lvl>
    <w:lvl w:ilvl="3" w:tplc="04090001" w:tentative="1">
      <w:start w:val="1"/>
      <w:numFmt w:val="bullet"/>
      <w:lvlText w:val=""/>
      <w:lvlJc w:val="left"/>
      <w:pPr>
        <w:ind w:left="3565" w:hanging="360"/>
      </w:pPr>
      <w:rPr>
        <w:rFonts w:ascii="Symbol" w:hAnsi="Symbol" w:hint="default"/>
      </w:rPr>
    </w:lvl>
    <w:lvl w:ilvl="4" w:tplc="04090003" w:tentative="1">
      <w:start w:val="1"/>
      <w:numFmt w:val="bullet"/>
      <w:lvlText w:val="o"/>
      <w:lvlJc w:val="left"/>
      <w:pPr>
        <w:ind w:left="4285" w:hanging="360"/>
      </w:pPr>
      <w:rPr>
        <w:rFonts w:ascii="Courier New" w:hAnsi="Courier New" w:cs="Courier New" w:hint="default"/>
      </w:rPr>
    </w:lvl>
    <w:lvl w:ilvl="5" w:tplc="04090005" w:tentative="1">
      <w:start w:val="1"/>
      <w:numFmt w:val="bullet"/>
      <w:lvlText w:val=""/>
      <w:lvlJc w:val="left"/>
      <w:pPr>
        <w:ind w:left="5005" w:hanging="360"/>
      </w:pPr>
      <w:rPr>
        <w:rFonts w:ascii="Wingdings" w:hAnsi="Wingdings" w:hint="default"/>
      </w:rPr>
    </w:lvl>
    <w:lvl w:ilvl="6" w:tplc="04090001" w:tentative="1">
      <w:start w:val="1"/>
      <w:numFmt w:val="bullet"/>
      <w:lvlText w:val=""/>
      <w:lvlJc w:val="left"/>
      <w:pPr>
        <w:ind w:left="5725" w:hanging="360"/>
      </w:pPr>
      <w:rPr>
        <w:rFonts w:ascii="Symbol" w:hAnsi="Symbol" w:hint="default"/>
      </w:rPr>
    </w:lvl>
    <w:lvl w:ilvl="7" w:tplc="04090003" w:tentative="1">
      <w:start w:val="1"/>
      <w:numFmt w:val="bullet"/>
      <w:lvlText w:val="o"/>
      <w:lvlJc w:val="left"/>
      <w:pPr>
        <w:ind w:left="6445" w:hanging="360"/>
      </w:pPr>
      <w:rPr>
        <w:rFonts w:ascii="Courier New" w:hAnsi="Courier New" w:cs="Courier New" w:hint="default"/>
      </w:rPr>
    </w:lvl>
    <w:lvl w:ilvl="8" w:tplc="04090005" w:tentative="1">
      <w:start w:val="1"/>
      <w:numFmt w:val="bullet"/>
      <w:lvlText w:val=""/>
      <w:lvlJc w:val="left"/>
      <w:pPr>
        <w:ind w:left="7165" w:hanging="360"/>
      </w:pPr>
      <w:rPr>
        <w:rFonts w:ascii="Wingdings" w:hAnsi="Wingdings" w:hint="default"/>
      </w:rPr>
    </w:lvl>
  </w:abstractNum>
  <w:abstractNum w:abstractNumId="16" w15:restartNumberingAfterBreak="0">
    <w:nsid w:val="27371620"/>
    <w:multiLevelType w:val="multilevel"/>
    <w:tmpl w:val="22AEB9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8" w15:restartNumberingAfterBreak="0">
    <w:nsid w:val="31DE4ACD"/>
    <w:multiLevelType w:val="hybridMultilevel"/>
    <w:tmpl w:val="D854AE78"/>
    <w:lvl w:ilvl="0" w:tplc="0840CE6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6952B54"/>
    <w:multiLevelType w:val="hybridMultilevel"/>
    <w:tmpl w:val="C07C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3C73BC"/>
    <w:multiLevelType w:val="multilevel"/>
    <w:tmpl w:val="90D6C3B0"/>
    <w:lvl w:ilvl="0">
      <w:start w:val="2"/>
      <w:numFmt w:val="decimal"/>
      <w:lvlText w:val="%1."/>
      <w:lvlJc w:val="left"/>
      <w:pPr>
        <w:ind w:left="900" w:hanging="900"/>
      </w:pPr>
      <w:rPr>
        <w:rFonts w:hint="default"/>
      </w:rPr>
    </w:lvl>
    <w:lvl w:ilvl="1">
      <w:start w:val="3"/>
      <w:numFmt w:val="decimal"/>
      <w:lvlText w:val="%1.%2."/>
      <w:lvlJc w:val="left"/>
      <w:pPr>
        <w:ind w:left="1359" w:hanging="900"/>
      </w:pPr>
      <w:rPr>
        <w:rFonts w:hint="default"/>
      </w:rPr>
    </w:lvl>
    <w:lvl w:ilvl="2">
      <w:start w:val="1"/>
      <w:numFmt w:val="decimal"/>
      <w:lvlText w:val="%1.%2.%3."/>
      <w:lvlJc w:val="left"/>
      <w:pPr>
        <w:ind w:left="1818" w:hanging="900"/>
      </w:pPr>
      <w:rPr>
        <w:rFonts w:hint="default"/>
      </w:rPr>
    </w:lvl>
    <w:lvl w:ilvl="3">
      <w:start w:val="5"/>
      <w:numFmt w:val="decimal"/>
      <w:lvlText w:val="%1.%2.%3.%4."/>
      <w:lvlJc w:val="left"/>
      <w:pPr>
        <w:ind w:left="2277" w:hanging="900"/>
      </w:pPr>
      <w:rPr>
        <w:rFonts w:hint="default"/>
      </w:rPr>
    </w:lvl>
    <w:lvl w:ilvl="4">
      <w:start w:val="6"/>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472" w:hanging="1800"/>
      </w:pPr>
      <w:rPr>
        <w:rFonts w:hint="default"/>
      </w:rPr>
    </w:lvl>
  </w:abstractNum>
  <w:abstractNum w:abstractNumId="21" w15:restartNumberingAfterBreak="0">
    <w:nsid w:val="396170C1"/>
    <w:multiLevelType w:val="multilevel"/>
    <w:tmpl w:val="78D88E06"/>
    <w:lvl w:ilvl="0">
      <w:start w:val="1"/>
      <w:numFmt w:val="decimal"/>
      <w:lvlText w:val="%1."/>
      <w:lvlJc w:val="left"/>
      <w:pPr>
        <w:ind w:left="1080" w:hanging="360"/>
      </w:pPr>
      <w:rPr>
        <w:rFonts w:hint="default"/>
      </w:rPr>
    </w:lvl>
    <w:lvl w:ilvl="1">
      <w:start w:val="1"/>
      <w:numFmt w:val="decimal"/>
      <w:isLgl/>
      <w:lvlText w:val="%1.%2."/>
      <w:lvlJc w:val="left"/>
      <w:pPr>
        <w:ind w:left="1528" w:hanging="360"/>
      </w:pPr>
      <w:rPr>
        <w:rFonts w:hint="default"/>
      </w:rPr>
    </w:lvl>
    <w:lvl w:ilvl="2">
      <w:start w:val="1"/>
      <w:numFmt w:val="decimal"/>
      <w:isLgl/>
      <w:lvlText w:val="%1.%2.%3."/>
      <w:lvlJc w:val="left"/>
      <w:pPr>
        <w:ind w:left="2336" w:hanging="720"/>
      </w:pPr>
      <w:rPr>
        <w:rFonts w:hint="default"/>
      </w:rPr>
    </w:lvl>
    <w:lvl w:ilvl="3">
      <w:start w:val="1"/>
      <w:numFmt w:val="decimal"/>
      <w:isLgl/>
      <w:lvlText w:val="%1.%2.%3.%4."/>
      <w:lvlJc w:val="left"/>
      <w:pPr>
        <w:ind w:left="2784" w:hanging="720"/>
      </w:pPr>
      <w:rPr>
        <w:rFonts w:hint="default"/>
      </w:rPr>
    </w:lvl>
    <w:lvl w:ilvl="4">
      <w:start w:val="1"/>
      <w:numFmt w:val="decimal"/>
      <w:isLgl/>
      <w:lvlText w:val="%1.%2.%3.%4.%5."/>
      <w:lvlJc w:val="left"/>
      <w:pPr>
        <w:ind w:left="3592" w:hanging="1080"/>
      </w:pPr>
      <w:rPr>
        <w:rFonts w:hint="default"/>
      </w:rPr>
    </w:lvl>
    <w:lvl w:ilvl="5">
      <w:start w:val="1"/>
      <w:numFmt w:val="decimal"/>
      <w:isLgl/>
      <w:lvlText w:val="%1.%2.%3.%4.%5.%6."/>
      <w:lvlJc w:val="left"/>
      <w:pPr>
        <w:ind w:left="404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296" w:hanging="1440"/>
      </w:pPr>
      <w:rPr>
        <w:rFonts w:hint="default"/>
      </w:rPr>
    </w:lvl>
    <w:lvl w:ilvl="8">
      <w:start w:val="1"/>
      <w:numFmt w:val="decimal"/>
      <w:isLgl/>
      <w:lvlText w:val="%1.%2.%3.%4.%5.%6.%7.%8.%9."/>
      <w:lvlJc w:val="left"/>
      <w:pPr>
        <w:ind w:left="6104" w:hanging="1800"/>
      </w:pPr>
      <w:rPr>
        <w:rFonts w:hint="default"/>
      </w:rPr>
    </w:lvl>
  </w:abstractNum>
  <w:abstractNum w:abstractNumId="22" w15:restartNumberingAfterBreak="0">
    <w:nsid w:val="39BB7338"/>
    <w:multiLevelType w:val="hybridMultilevel"/>
    <w:tmpl w:val="15D4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4" w15:restartNumberingAfterBreak="0">
    <w:nsid w:val="3C0F5868"/>
    <w:multiLevelType w:val="multilevel"/>
    <w:tmpl w:val="42784C32"/>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A432656"/>
    <w:multiLevelType w:val="multilevel"/>
    <w:tmpl w:val="2C7C02FA"/>
    <w:lvl w:ilvl="0">
      <w:start w:val="2"/>
      <w:numFmt w:val="decimal"/>
      <w:lvlText w:val="%1."/>
      <w:lvlJc w:val="left"/>
      <w:pPr>
        <w:tabs>
          <w:tab w:val="num" w:pos="480"/>
        </w:tabs>
        <w:ind w:left="480" w:hanging="480"/>
      </w:pPr>
      <w:rPr>
        <w:rFonts w:hint="default"/>
      </w:rPr>
    </w:lvl>
    <w:lvl w:ilvl="1">
      <w:start w:val="1"/>
      <w:numFmt w:val="decimal"/>
      <w:pStyle w:val="Heading2"/>
      <w:lvlText w:val="%1.%2."/>
      <w:lvlJc w:val="left"/>
      <w:pPr>
        <w:tabs>
          <w:tab w:val="num" w:pos="1168"/>
        </w:tabs>
        <w:ind w:left="1168" w:hanging="60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550"/>
        </w:tabs>
        <w:ind w:left="1550" w:hanging="840"/>
      </w:pPr>
      <w:rPr>
        <w:rFonts w:hint="default"/>
        <w:b/>
      </w:rPr>
    </w:lvl>
    <w:lvl w:ilvl="3">
      <w:start w:val="1"/>
      <w:numFmt w:val="decimal"/>
      <w:pStyle w:val="Heading4"/>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C4D72D0"/>
    <w:multiLevelType w:val="hybridMultilevel"/>
    <w:tmpl w:val="EE9ED7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B051F5"/>
    <w:multiLevelType w:val="hybridMultilevel"/>
    <w:tmpl w:val="F8544D3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134086F"/>
    <w:multiLevelType w:val="multilevel"/>
    <w:tmpl w:val="56EE3FDA"/>
    <w:lvl w:ilvl="0">
      <w:start w:val="2"/>
      <w:numFmt w:val="decimal"/>
      <w:lvlText w:val="%1."/>
      <w:lvlJc w:val="left"/>
      <w:pPr>
        <w:ind w:left="720" w:hanging="720"/>
      </w:pPr>
      <w:rPr>
        <w:rFonts w:hint="default"/>
      </w:rPr>
    </w:lvl>
    <w:lvl w:ilvl="1">
      <w:start w:val="1"/>
      <w:numFmt w:val="decimal"/>
      <w:lvlText w:val="%1.%2."/>
      <w:lvlJc w:val="left"/>
      <w:pPr>
        <w:ind w:left="849" w:hanging="720"/>
      </w:pPr>
      <w:rPr>
        <w:rFonts w:hint="default"/>
      </w:rPr>
    </w:lvl>
    <w:lvl w:ilvl="2">
      <w:start w:val="2"/>
      <w:numFmt w:val="decimal"/>
      <w:lvlText w:val="%1.%2.%3."/>
      <w:lvlJc w:val="left"/>
      <w:pPr>
        <w:ind w:left="978" w:hanging="720"/>
      </w:pPr>
      <w:rPr>
        <w:rFonts w:hint="default"/>
      </w:rPr>
    </w:lvl>
    <w:lvl w:ilvl="3">
      <w:start w:val="1"/>
      <w:numFmt w:val="decimal"/>
      <w:lvlText w:val="%1.%2.%3.%4."/>
      <w:lvlJc w:val="left"/>
      <w:pPr>
        <w:ind w:left="1107" w:hanging="720"/>
      </w:pPr>
      <w:rPr>
        <w:rFonts w:hint="default"/>
      </w:rPr>
    </w:lvl>
    <w:lvl w:ilvl="4">
      <w:start w:val="1"/>
      <w:numFmt w:val="decimal"/>
      <w:lvlText w:val="%1.%2.%3.%4.%5."/>
      <w:lvlJc w:val="left"/>
      <w:pPr>
        <w:ind w:left="1596" w:hanging="1080"/>
      </w:pPr>
      <w:rPr>
        <w:rFonts w:hint="default"/>
      </w:rPr>
    </w:lvl>
    <w:lvl w:ilvl="5">
      <w:start w:val="1"/>
      <w:numFmt w:val="decimal"/>
      <w:lvlText w:val="%1.%2.%3.%4.%5.%6."/>
      <w:lvlJc w:val="left"/>
      <w:pPr>
        <w:ind w:left="1725" w:hanging="1080"/>
      </w:pPr>
      <w:rPr>
        <w:rFonts w:hint="default"/>
      </w:rPr>
    </w:lvl>
    <w:lvl w:ilvl="6">
      <w:start w:val="1"/>
      <w:numFmt w:val="decimal"/>
      <w:lvlText w:val="%1.%2.%3.%4.%5.%6.%7."/>
      <w:lvlJc w:val="left"/>
      <w:pPr>
        <w:ind w:left="2214" w:hanging="1440"/>
      </w:pPr>
      <w:rPr>
        <w:rFonts w:hint="default"/>
      </w:rPr>
    </w:lvl>
    <w:lvl w:ilvl="7">
      <w:start w:val="1"/>
      <w:numFmt w:val="decimal"/>
      <w:lvlText w:val="%1.%2.%3.%4.%5.%6.%7.%8."/>
      <w:lvlJc w:val="left"/>
      <w:pPr>
        <w:ind w:left="2343" w:hanging="1440"/>
      </w:pPr>
      <w:rPr>
        <w:rFonts w:hint="default"/>
      </w:rPr>
    </w:lvl>
    <w:lvl w:ilvl="8">
      <w:start w:val="1"/>
      <w:numFmt w:val="decimal"/>
      <w:lvlText w:val="%1.%2.%3.%4.%5.%6.%7.%8.%9."/>
      <w:lvlJc w:val="left"/>
      <w:pPr>
        <w:ind w:left="2832" w:hanging="1800"/>
      </w:pPr>
      <w:rPr>
        <w:rFonts w:hint="default"/>
      </w:rPr>
    </w:lvl>
  </w:abstractNum>
  <w:abstractNum w:abstractNumId="33" w15:restartNumberingAfterBreak="0">
    <w:nsid w:val="521B1A29"/>
    <w:multiLevelType w:val="hybridMultilevel"/>
    <w:tmpl w:val="9C8C213A"/>
    <w:lvl w:ilvl="0" w:tplc="FB4C2F90">
      <w:start w:val="1"/>
      <w:numFmt w:val="lowerLetter"/>
      <w:lvlText w:val="%1)"/>
      <w:lvlJc w:val="left"/>
      <w:pPr>
        <w:ind w:left="720" w:hanging="360"/>
      </w:pPr>
      <w:rPr>
        <w:rFonts w:hint="default"/>
        <w:u w:color="31849B"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316B24"/>
    <w:multiLevelType w:val="hybridMultilevel"/>
    <w:tmpl w:val="FFB21366"/>
    <w:lvl w:ilvl="0" w:tplc="08090017">
      <w:start w:val="1"/>
      <w:numFmt w:val="lowerLetter"/>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35" w15:restartNumberingAfterBreak="0">
    <w:nsid w:val="52B355A8"/>
    <w:multiLevelType w:val="multilevel"/>
    <w:tmpl w:val="69D6A976"/>
    <w:lvl w:ilvl="0">
      <w:start w:val="2"/>
      <w:numFmt w:val="decimal"/>
      <w:lvlText w:val="%1."/>
      <w:lvlJc w:val="left"/>
      <w:pPr>
        <w:ind w:left="720" w:hanging="720"/>
      </w:pPr>
      <w:rPr>
        <w:rFonts w:hint="default"/>
      </w:rPr>
    </w:lvl>
    <w:lvl w:ilvl="1">
      <w:start w:val="1"/>
      <w:numFmt w:val="decimal"/>
      <w:lvlText w:val="%1.%2."/>
      <w:lvlJc w:val="left"/>
      <w:pPr>
        <w:ind w:left="1109" w:hanging="720"/>
      </w:pPr>
      <w:rPr>
        <w:rFonts w:hint="default"/>
      </w:rPr>
    </w:lvl>
    <w:lvl w:ilvl="2">
      <w:start w:val="2"/>
      <w:numFmt w:val="decimal"/>
      <w:lvlText w:val="%1.%2.%3."/>
      <w:lvlJc w:val="left"/>
      <w:pPr>
        <w:ind w:left="1498" w:hanging="720"/>
      </w:pPr>
      <w:rPr>
        <w:rFonts w:hint="default"/>
      </w:rPr>
    </w:lvl>
    <w:lvl w:ilvl="3">
      <w:start w:val="1"/>
      <w:numFmt w:val="decimal"/>
      <w:lvlText w:val="%1.%2.%3.%4."/>
      <w:lvlJc w:val="left"/>
      <w:pPr>
        <w:ind w:left="1887" w:hanging="720"/>
      </w:pPr>
      <w:rPr>
        <w:rFonts w:hint="default"/>
      </w:rPr>
    </w:lvl>
    <w:lvl w:ilvl="4">
      <w:start w:val="1"/>
      <w:numFmt w:val="decimal"/>
      <w:lvlText w:val="%1.%2.%3.%4.%5."/>
      <w:lvlJc w:val="left"/>
      <w:pPr>
        <w:ind w:left="2636" w:hanging="1080"/>
      </w:pPr>
      <w:rPr>
        <w:rFonts w:hint="default"/>
        <w:b w:val="0"/>
        <w:i w:val="0"/>
      </w:rPr>
    </w:lvl>
    <w:lvl w:ilvl="5">
      <w:start w:val="1"/>
      <w:numFmt w:val="decimal"/>
      <w:lvlText w:val="%1.%2.%3.%4.%5.%6."/>
      <w:lvlJc w:val="left"/>
      <w:pPr>
        <w:ind w:left="3025" w:hanging="1080"/>
      </w:pPr>
      <w:rPr>
        <w:rFonts w:hint="default"/>
      </w:rPr>
    </w:lvl>
    <w:lvl w:ilvl="6">
      <w:start w:val="1"/>
      <w:numFmt w:val="decimal"/>
      <w:lvlText w:val="%1.%2.%3.%4.%5.%6.%7."/>
      <w:lvlJc w:val="left"/>
      <w:pPr>
        <w:ind w:left="3774" w:hanging="1440"/>
      </w:pPr>
      <w:rPr>
        <w:rFonts w:hint="default"/>
      </w:rPr>
    </w:lvl>
    <w:lvl w:ilvl="7">
      <w:start w:val="1"/>
      <w:numFmt w:val="decimal"/>
      <w:lvlText w:val="%1.%2.%3.%4.%5.%6.%7.%8."/>
      <w:lvlJc w:val="left"/>
      <w:pPr>
        <w:ind w:left="4163" w:hanging="1440"/>
      </w:pPr>
      <w:rPr>
        <w:rFonts w:hint="default"/>
      </w:rPr>
    </w:lvl>
    <w:lvl w:ilvl="8">
      <w:start w:val="1"/>
      <w:numFmt w:val="decimal"/>
      <w:lvlText w:val="%1.%2.%3.%4.%5.%6.%7.%8.%9."/>
      <w:lvlJc w:val="left"/>
      <w:pPr>
        <w:ind w:left="4912" w:hanging="1800"/>
      </w:pPr>
      <w:rPr>
        <w:rFonts w:hint="default"/>
      </w:rPr>
    </w:lvl>
  </w:abstractNum>
  <w:abstractNum w:abstractNumId="36" w15:restartNumberingAfterBreak="0">
    <w:nsid w:val="545058EB"/>
    <w:multiLevelType w:val="hybridMultilevel"/>
    <w:tmpl w:val="D26859C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8" w15:restartNumberingAfterBreak="0">
    <w:nsid w:val="5BA74E06"/>
    <w:multiLevelType w:val="hybridMultilevel"/>
    <w:tmpl w:val="0B16C33E"/>
    <w:lvl w:ilvl="0" w:tplc="04090001">
      <w:start w:val="1"/>
      <w:numFmt w:val="bullet"/>
      <w:lvlText w:val=""/>
      <w:lvlJc w:val="left"/>
      <w:pPr>
        <w:ind w:left="1080" w:hanging="72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0B2392"/>
    <w:multiLevelType w:val="multilevel"/>
    <w:tmpl w:val="B862F584"/>
    <w:lvl w:ilvl="0">
      <w:start w:val="2"/>
      <w:numFmt w:val="decimal"/>
      <w:lvlText w:val="%1"/>
      <w:lvlJc w:val="left"/>
      <w:pPr>
        <w:ind w:left="480" w:hanging="480"/>
      </w:pPr>
      <w:rPr>
        <w:rFonts w:hint="default"/>
      </w:rPr>
    </w:lvl>
    <w:lvl w:ilvl="1">
      <w:start w:val="1"/>
      <w:numFmt w:val="decimal"/>
      <w:lvlText w:val="%1.%2"/>
      <w:lvlJc w:val="left"/>
      <w:pPr>
        <w:ind w:left="609" w:hanging="480"/>
      </w:pPr>
      <w:rPr>
        <w:rFonts w:hint="default"/>
      </w:rPr>
    </w:lvl>
    <w:lvl w:ilvl="2">
      <w:start w:val="4"/>
      <w:numFmt w:val="decimal"/>
      <w:lvlText w:val="%1.%2.%3"/>
      <w:lvlJc w:val="left"/>
      <w:pPr>
        <w:ind w:left="978" w:hanging="720"/>
      </w:pPr>
      <w:rPr>
        <w:rFonts w:hint="default"/>
      </w:rPr>
    </w:lvl>
    <w:lvl w:ilvl="3">
      <w:start w:val="1"/>
      <w:numFmt w:val="decimal"/>
      <w:lvlText w:val="%1.%2.%3.%4"/>
      <w:lvlJc w:val="left"/>
      <w:pPr>
        <w:ind w:left="1107" w:hanging="720"/>
      </w:pPr>
      <w:rPr>
        <w:rFonts w:hint="default"/>
      </w:rPr>
    </w:lvl>
    <w:lvl w:ilvl="4">
      <w:start w:val="1"/>
      <w:numFmt w:val="decimal"/>
      <w:lvlText w:val="%1.%2.%3.%4.%5"/>
      <w:lvlJc w:val="left"/>
      <w:pPr>
        <w:ind w:left="1596" w:hanging="1080"/>
      </w:pPr>
      <w:rPr>
        <w:rFonts w:hint="default"/>
      </w:rPr>
    </w:lvl>
    <w:lvl w:ilvl="5">
      <w:start w:val="1"/>
      <w:numFmt w:val="decimal"/>
      <w:lvlText w:val="%1.%2.%3.%4.%5.%6"/>
      <w:lvlJc w:val="left"/>
      <w:pPr>
        <w:ind w:left="1725" w:hanging="1080"/>
      </w:pPr>
      <w:rPr>
        <w:rFonts w:hint="default"/>
      </w:rPr>
    </w:lvl>
    <w:lvl w:ilvl="6">
      <w:start w:val="1"/>
      <w:numFmt w:val="decimal"/>
      <w:lvlText w:val="%1.%2.%3.%4.%5.%6.%7"/>
      <w:lvlJc w:val="left"/>
      <w:pPr>
        <w:ind w:left="2214" w:hanging="1440"/>
      </w:pPr>
      <w:rPr>
        <w:rFonts w:hint="default"/>
      </w:rPr>
    </w:lvl>
    <w:lvl w:ilvl="7">
      <w:start w:val="1"/>
      <w:numFmt w:val="decimal"/>
      <w:lvlText w:val="%1.%2.%3.%4.%5.%6.%7.%8"/>
      <w:lvlJc w:val="left"/>
      <w:pPr>
        <w:ind w:left="2343" w:hanging="1440"/>
      </w:pPr>
      <w:rPr>
        <w:rFonts w:hint="default"/>
      </w:rPr>
    </w:lvl>
    <w:lvl w:ilvl="8">
      <w:start w:val="1"/>
      <w:numFmt w:val="decimal"/>
      <w:lvlText w:val="%1.%2.%3.%4.%5.%6.%7.%8.%9"/>
      <w:lvlJc w:val="left"/>
      <w:pPr>
        <w:ind w:left="2832" w:hanging="1800"/>
      </w:pPr>
      <w:rPr>
        <w:rFonts w:hint="default"/>
      </w:rPr>
    </w:lvl>
  </w:abstractNum>
  <w:abstractNum w:abstractNumId="40" w15:restartNumberingAfterBreak="0">
    <w:nsid w:val="62AE6677"/>
    <w:multiLevelType w:val="hybridMultilevel"/>
    <w:tmpl w:val="409E6B50"/>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4" w15:restartNumberingAfterBreak="0">
    <w:nsid w:val="6A4C3AD2"/>
    <w:multiLevelType w:val="hybridMultilevel"/>
    <w:tmpl w:val="8328FB6E"/>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2F41C9"/>
    <w:multiLevelType w:val="hybridMultilevel"/>
    <w:tmpl w:val="145C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7" w15:restartNumberingAfterBreak="0">
    <w:nsid w:val="7622477F"/>
    <w:multiLevelType w:val="hybridMultilevel"/>
    <w:tmpl w:val="79E2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833B8F"/>
    <w:multiLevelType w:val="multilevel"/>
    <w:tmpl w:val="5052D7CC"/>
    <w:lvl w:ilvl="0">
      <w:start w:val="2"/>
      <w:numFmt w:val="decimal"/>
      <w:lvlText w:val="%1."/>
      <w:lvlJc w:val="left"/>
      <w:pPr>
        <w:ind w:left="900" w:hanging="900"/>
      </w:pPr>
      <w:rPr>
        <w:rFonts w:hint="default"/>
      </w:rPr>
    </w:lvl>
    <w:lvl w:ilvl="1">
      <w:start w:val="1"/>
      <w:numFmt w:val="decimal"/>
      <w:lvlText w:val="%1.%2."/>
      <w:lvlJc w:val="left"/>
      <w:pPr>
        <w:ind w:left="1359" w:hanging="900"/>
      </w:pPr>
      <w:rPr>
        <w:rFonts w:hint="default"/>
      </w:rPr>
    </w:lvl>
    <w:lvl w:ilvl="2">
      <w:start w:val="3"/>
      <w:numFmt w:val="decimal"/>
      <w:lvlText w:val="%1.%2.%3."/>
      <w:lvlJc w:val="left"/>
      <w:pPr>
        <w:ind w:left="1818" w:hanging="900"/>
      </w:pPr>
      <w:rPr>
        <w:rFonts w:hint="default"/>
      </w:rPr>
    </w:lvl>
    <w:lvl w:ilvl="3">
      <w:start w:val="5"/>
      <w:numFmt w:val="decimal"/>
      <w:lvlText w:val="%1.%2.%3.%4."/>
      <w:lvlJc w:val="left"/>
      <w:pPr>
        <w:ind w:left="2277" w:hanging="900"/>
      </w:pPr>
      <w:rPr>
        <w:rFonts w:hint="default"/>
      </w:rPr>
    </w:lvl>
    <w:lvl w:ilvl="4">
      <w:start w:val="1"/>
      <w:numFmt w:val="decimal"/>
      <w:lvlText w:val="%1.%2.%3.%4.%5."/>
      <w:lvlJc w:val="left"/>
      <w:pPr>
        <w:ind w:left="2916" w:hanging="1080"/>
      </w:pPr>
      <w:rPr>
        <w:rFonts w:hint="default"/>
        <w:b w:val="0"/>
      </w:rPr>
    </w:lvl>
    <w:lvl w:ilvl="5">
      <w:start w:val="1"/>
      <w:numFmt w:val="decimal"/>
      <w:lvlText w:val="%1.%2.%3.%4.%5.%6."/>
      <w:lvlJc w:val="left"/>
      <w:pPr>
        <w:ind w:left="3375" w:hanging="108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472" w:hanging="1800"/>
      </w:pPr>
      <w:rPr>
        <w:rFonts w:hint="default"/>
      </w:rPr>
    </w:lvl>
  </w:abstractNum>
  <w:abstractNum w:abstractNumId="49" w15:restartNumberingAfterBreak="0">
    <w:nsid w:val="79B61572"/>
    <w:multiLevelType w:val="hybridMultilevel"/>
    <w:tmpl w:val="D07A735A"/>
    <w:lvl w:ilvl="0" w:tplc="FB4C2F90">
      <w:start w:val="1"/>
      <w:numFmt w:val="lowerLetter"/>
      <w:lvlText w:val="%1)"/>
      <w:lvlJc w:val="left"/>
      <w:pPr>
        <w:ind w:left="1080" w:hanging="360"/>
      </w:pPr>
      <w:rPr>
        <w:rFonts w:hint="default"/>
        <w:u w:color="31849B" w:themeColor="accent5"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A474F7F"/>
    <w:multiLevelType w:val="multilevel"/>
    <w:tmpl w:val="3A123E2E"/>
    <w:lvl w:ilvl="0">
      <w:start w:val="2"/>
      <w:numFmt w:val="decimal"/>
      <w:lvlText w:val="%1."/>
      <w:lvlJc w:val="left"/>
      <w:pPr>
        <w:ind w:left="720" w:hanging="720"/>
      </w:pPr>
      <w:rPr>
        <w:rFonts w:hint="default"/>
      </w:rPr>
    </w:lvl>
    <w:lvl w:ilvl="1">
      <w:start w:val="2"/>
      <w:numFmt w:val="decimal"/>
      <w:lvlText w:val="%1.%2."/>
      <w:lvlJc w:val="left"/>
      <w:pPr>
        <w:ind w:left="849" w:hanging="720"/>
      </w:pPr>
      <w:rPr>
        <w:rFonts w:hint="default"/>
      </w:rPr>
    </w:lvl>
    <w:lvl w:ilvl="2">
      <w:start w:val="2"/>
      <w:numFmt w:val="decimal"/>
      <w:lvlText w:val="%1.%2.%3."/>
      <w:lvlJc w:val="left"/>
      <w:pPr>
        <w:ind w:left="978" w:hanging="720"/>
      </w:pPr>
      <w:rPr>
        <w:rFonts w:hint="default"/>
        <w:i w:val="0"/>
      </w:rPr>
    </w:lvl>
    <w:lvl w:ilvl="3">
      <w:start w:val="2"/>
      <w:numFmt w:val="decimal"/>
      <w:lvlText w:val="%1.%2.%3.%4."/>
      <w:lvlJc w:val="left"/>
      <w:pPr>
        <w:ind w:left="1107" w:hanging="720"/>
      </w:pPr>
      <w:rPr>
        <w:rFonts w:hint="default"/>
      </w:rPr>
    </w:lvl>
    <w:lvl w:ilvl="4">
      <w:start w:val="1"/>
      <w:numFmt w:val="decimal"/>
      <w:lvlText w:val="%1.%2.%3.%4.%5."/>
      <w:lvlJc w:val="left"/>
      <w:pPr>
        <w:ind w:left="1596" w:hanging="1080"/>
      </w:pPr>
      <w:rPr>
        <w:rFonts w:hint="default"/>
      </w:rPr>
    </w:lvl>
    <w:lvl w:ilvl="5">
      <w:start w:val="1"/>
      <w:numFmt w:val="decimal"/>
      <w:lvlText w:val="%1.%2.%3.%4.%5.%6."/>
      <w:lvlJc w:val="left"/>
      <w:pPr>
        <w:ind w:left="1725" w:hanging="1080"/>
      </w:pPr>
      <w:rPr>
        <w:rFonts w:hint="default"/>
      </w:rPr>
    </w:lvl>
    <w:lvl w:ilvl="6">
      <w:start w:val="1"/>
      <w:numFmt w:val="decimal"/>
      <w:lvlText w:val="%1.%2.%3.%4.%5.%6.%7."/>
      <w:lvlJc w:val="left"/>
      <w:pPr>
        <w:ind w:left="2214" w:hanging="1440"/>
      </w:pPr>
      <w:rPr>
        <w:rFonts w:hint="default"/>
      </w:rPr>
    </w:lvl>
    <w:lvl w:ilvl="7">
      <w:start w:val="1"/>
      <w:numFmt w:val="decimal"/>
      <w:lvlText w:val="%1.%2.%3.%4.%5.%6.%7.%8."/>
      <w:lvlJc w:val="left"/>
      <w:pPr>
        <w:ind w:left="2343" w:hanging="1440"/>
      </w:pPr>
      <w:rPr>
        <w:rFonts w:hint="default"/>
      </w:rPr>
    </w:lvl>
    <w:lvl w:ilvl="8">
      <w:start w:val="1"/>
      <w:numFmt w:val="decimal"/>
      <w:lvlText w:val="%1.%2.%3.%4.%5.%6.%7.%8.%9."/>
      <w:lvlJc w:val="left"/>
      <w:pPr>
        <w:ind w:left="2832" w:hanging="1800"/>
      </w:pPr>
      <w:rPr>
        <w:rFonts w:hint="default"/>
      </w:rPr>
    </w:lvl>
  </w:abstractNum>
  <w:abstractNum w:abstractNumId="51" w15:restartNumberingAfterBreak="0">
    <w:nsid w:val="7C046BEA"/>
    <w:multiLevelType w:val="hybridMultilevel"/>
    <w:tmpl w:val="ADCC13F8"/>
    <w:lvl w:ilvl="0" w:tplc="AC50170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99489632">
    <w:abstractNumId w:val="1"/>
  </w:num>
  <w:num w:numId="2" w16cid:durableId="80373086">
    <w:abstractNumId w:val="0"/>
  </w:num>
  <w:num w:numId="3" w16cid:durableId="436678587">
    <w:abstractNumId w:val="37"/>
  </w:num>
  <w:num w:numId="4" w16cid:durableId="1859267806">
    <w:abstractNumId w:val="23"/>
  </w:num>
  <w:num w:numId="5" w16cid:durableId="1485853497">
    <w:abstractNumId w:val="17"/>
  </w:num>
  <w:num w:numId="6" w16cid:durableId="1298759483">
    <w:abstractNumId w:val="8"/>
  </w:num>
  <w:num w:numId="7" w16cid:durableId="805776293">
    <w:abstractNumId w:val="7"/>
  </w:num>
  <w:num w:numId="8" w16cid:durableId="21058481">
    <w:abstractNumId w:val="41"/>
  </w:num>
  <w:num w:numId="9" w16cid:durableId="214776022">
    <w:abstractNumId w:val="43"/>
  </w:num>
  <w:num w:numId="10" w16cid:durableId="58016152">
    <w:abstractNumId w:val="42"/>
  </w:num>
  <w:num w:numId="11" w16cid:durableId="1641112309">
    <w:abstractNumId w:val="46"/>
  </w:num>
  <w:num w:numId="12" w16cid:durableId="1140264115">
    <w:abstractNumId w:val="13"/>
  </w:num>
  <w:num w:numId="13" w16cid:durableId="141777613">
    <w:abstractNumId w:val="27"/>
  </w:num>
  <w:num w:numId="14" w16cid:durableId="904678762">
    <w:abstractNumId w:val="26"/>
  </w:num>
  <w:num w:numId="15" w16cid:durableId="866480506">
    <w:abstractNumId w:val="5"/>
  </w:num>
  <w:num w:numId="16" w16cid:durableId="350911281">
    <w:abstractNumId w:val="28"/>
  </w:num>
  <w:num w:numId="17" w16cid:durableId="1931503893">
    <w:abstractNumId w:val="14"/>
  </w:num>
  <w:num w:numId="18" w16cid:durableId="1762336860">
    <w:abstractNumId w:val="3"/>
  </w:num>
  <w:num w:numId="19" w16cid:durableId="796147478">
    <w:abstractNumId w:val="36"/>
  </w:num>
  <w:num w:numId="20" w16cid:durableId="808519143">
    <w:abstractNumId w:val="25"/>
  </w:num>
  <w:num w:numId="21" w16cid:durableId="1475247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0672378">
    <w:abstractNumId w:val="29"/>
  </w:num>
  <w:num w:numId="23" w16cid:durableId="763457956">
    <w:abstractNumId w:val="34"/>
  </w:num>
  <w:num w:numId="24" w16cid:durableId="1984239132">
    <w:abstractNumId w:val="33"/>
  </w:num>
  <w:num w:numId="25" w16cid:durableId="1513642417">
    <w:abstractNumId w:val="44"/>
  </w:num>
  <w:num w:numId="26" w16cid:durableId="1277952849">
    <w:abstractNumId w:val="21"/>
  </w:num>
  <w:num w:numId="27" w16cid:durableId="199822719">
    <w:abstractNumId w:val="30"/>
  </w:num>
  <w:num w:numId="28" w16cid:durableId="450978378">
    <w:abstractNumId w:val="45"/>
  </w:num>
  <w:num w:numId="29" w16cid:durableId="1946690281">
    <w:abstractNumId w:val="19"/>
  </w:num>
  <w:num w:numId="30" w16cid:durableId="1082483977">
    <w:abstractNumId w:val="47"/>
  </w:num>
  <w:num w:numId="31" w16cid:durableId="539242634">
    <w:abstractNumId w:val="10"/>
  </w:num>
  <w:num w:numId="32" w16cid:durableId="370152558">
    <w:abstractNumId w:val="40"/>
  </w:num>
  <w:num w:numId="33" w16cid:durableId="645355529">
    <w:abstractNumId w:val="38"/>
  </w:num>
  <w:num w:numId="34" w16cid:durableId="1116830126">
    <w:abstractNumId w:val="22"/>
  </w:num>
  <w:num w:numId="35" w16cid:durableId="1137992893">
    <w:abstractNumId w:val="35"/>
  </w:num>
  <w:num w:numId="36" w16cid:durableId="1067267260">
    <w:abstractNumId w:val="11"/>
  </w:num>
  <w:num w:numId="37" w16cid:durableId="1806846372">
    <w:abstractNumId w:val="50"/>
  </w:num>
  <w:num w:numId="38" w16cid:durableId="1773207714">
    <w:abstractNumId w:val="18"/>
  </w:num>
  <w:num w:numId="39" w16cid:durableId="452139556">
    <w:abstractNumId w:val="9"/>
  </w:num>
  <w:num w:numId="40" w16cid:durableId="1035273119">
    <w:abstractNumId w:val="15"/>
  </w:num>
  <w:num w:numId="41" w16cid:durableId="166674857">
    <w:abstractNumId w:val="2"/>
  </w:num>
  <w:num w:numId="42" w16cid:durableId="1959023301">
    <w:abstractNumId w:val="31"/>
  </w:num>
  <w:num w:numId="43" w16cid:durableId="646739540">
    <w:abstractNumId w:val="6"/>
  </w:num>
  <w:num w:numId="44" w16cid:durableId="180901600">
    <w:abstractNumId w:val="49"/>
  </w:num>
  <w:num w:numId="45" w16cid:durableId="1239366626">
    <w:abstractNumId w:val="4"/>
  </w:num>
  <w:num w:numId="46" w16cid:durableId="466243634">
    <w:abstractNumId w:val="48"/>
  </w:num>
  <w:num w:numId="47" w16cid:durableId="1335573571">
    <w:abstractNumId w:val="20"/>
  </w:num>
  <w:num w:numId="48" w16cid:durableId="660157345">
    <w:abstractNumId w:val="24"/>
  </w:num>
  <w:num w:numId="49" w16cid:durableId="116726884">
    <w:abstractNumId w:val="12"/>
  </w:num>
  <w:num w:numId="50" w16cid:durableId="441416182">
    <w:abstractNumId w:val="32"/>
  </w:num>
  <w:num w:numId="51" w16cid:durableId="1723551871">
    <w:abstractNumId w:val="51"/>
  </w:num>
  <w:num w:numId="52" w16cid:durableId="1584220640">
    <w:abstractNumId w:val="39"/>
  </w:num>
  <w:num w:numId="53" w16cid:durableId="1181163228">
    <w:abstractNumId w:val="16"/>
  </w:num>
  <w:num w:numId="54" w16cid:durableId="5052489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267532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316426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159838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323240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384159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287074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837844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080661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643359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968822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421060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676997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835494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460541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344879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451371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853654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148851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188231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615701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933113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065727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20587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496373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739410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703299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9680497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GB" w:vendorID="64" w:dllVersion="6" w:nlCheck="1" w:checkStyle="1"/>
  <w:activeWritingStyle w:appName="MSWord" w:lang="fr-BE" w:vendorID="64" w:dllVersion="6" w:nlCheck="1" w:checkStyle="0"/>
  <w:activeWritingStyle w:appName="MSWord" w:lang="pt-PT" w:vendorID="64" w:dllVersion="6" w:nlCheck="1" w:checkStyle="0"/>
  <w:activeWritingStyle w:appName="MSWord" w:lang="fr-FR" w:vendorID="64" w:dllVersion="6" w:nlCheck="1" w:checkStyle="0"/>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fr-BE" w:vendorID="64" w:dllVersion="0" w:nlCheck="1" w:checkStyle="0"/>
  <w:activeWritingStyle w:appName="MSWord" w:lang="en-IE" w:vendorID="64" w:dllVersion="0" w:nlCheck="1" w:checkStyle="0"/>
  <w:activeWritingStyle w:appName="MSWord" w:lang="pt-PT"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T"/>
  </w:docVars>
  <w:rsids>
    <w:rsidRoot w:val="00DB3F3D"/>
    <w:rsid w:val="000504CE"/>
    <w:rsid w:val="000C0F2B"/>
    <w:rsid w:val="00355F12"/>
    <w:rsid w:val="00392CB3"/>
    <w:rsid w:val="003D244E"/>
    <w:rsid w:val="00BF49A7"/>
    <w:rsid w:val="00CC094E"/>
    <w:rsid w:val="00D313CA"/>
    <w:rsid w:val="00DB3F3D"/>
    <w:rsid w:val="00FD4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34AD10"/>
  <w15:docId w15:val="{13C9C6A1-6562-4701-B059-CDD3D659B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en-GB" w:bidi="ar-SA"/>
      </w:rPr>
    </w:rPrDefault>
    <w:pPrDefault>
      <w:pPr>
        <w:spacing w:after="240"/>
        <w:ind w:left="1202" w:hanging="601"/>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Text1"/>
    <w:link w:val="Heading1Char"/>
    <w:qFormat/>
    <w:pPr>
      <w:keepNext/>
      <w:spacing w:before="240"/>
      <w:outlineLvl w:val="0"/>
    </w:pPr>
    <w:rPr>
      <w:b/>
      <w:smallCaps/>
    </w:rPr>
  </w:style>
  <w:style w:type="paragraph" w:styleId="Heading2">
    <w:name w:val="heading 2"/>
    <w:basedOn w:val="Normal"/>
    <w:next w:val="Text2"/>
    <w:qFormat/>
    <w:pPr>
      <w:keepNext/>
      <w:numPr>
        <w:ilvl w:val="1"/>
        <w:numId w:val="22"/>
      </w:numPr>
      <w:outlineLvl w:val="1"/>
    </w:pPr>
    <w:rPr>
      <w:b/>
    </w:rPr>
  </w:style>
  <w:style w:type="paragraph" w:styleId="Heading3">
    <w:name w:val="heading 3"/>
    <w:basedOn w:val="Normal"/>
    <w:next w:val="Text3"/>
    <w:uiPriority w:val="9"/>
    <w:qFormat/>
    <w:pPr>
      <w:keepNext/>
      <w:numPr>
        <w:ilvl w:val="2"/>
        <w:numId w:val="22"/>
      </w:numPr>
      <w:outlineLvl w:val="2"/>
    </w:pPr>
    <w:rPr>
      <w:i/>
    </w:rPr>
  </w:style>
  <w:style w:type="paragraph" w:styleId="Heading4">
    <w:name w:val="heading 4"/>
    <w:basedOn w:val="Normal"/>
    <w:next w:val="Text4"/>
    <w:uiPriority w:val="9"/>
    <w:qFormat/>
    <w:pPr>
      <w:keepNext/>
      <w:numPr>
        <w:ilvl w:val="3"/>
        <w:numId w:val="22"/>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link w:val="ClosingChar"/>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Text2"/>
    <w:pPr>
      <w:numPr>
        <w:numId w:val="5"/>
      </w:numPr>
      <w:tabs>
        <w:tab w:val="clear" w:pos="2160"/>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Text2"/>
    <w:pPr>
      <w:numPr>
        <w:numId w:val="14"/>
      </w:numPr>
      <w:tabs>
        <w:tab w:val="clear" w:pos="2160"/>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160"/>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pPr>
  </w:style>
  <w:style w:type="paragraph" w:customStyle="1" w:styleId="ListNumberLevel2">
    <w:name w:val="List Number (Level 2)"/>
    <w:basedOn w:val="Normal"/>
    <w:pPr>
      <w:numPr>
        <w:ilvl w:val="1"/>
        <w:numId w:val="20"/>
      </w:numPr>
    </w:pPr>
  </w:style>
  <w:style w:type="paragraph" w:customStyle="1" w:styleId="ListNumberLevel3">
    <w:name w:val="List Number (Level 3)"/>
    <w:basedOn w:val="Normal"/>
    <w:pPr>
      <w:numPr>
        <w:ilvl w:val="2"/>
        <w:numId w:val="20"/>
      </w:numPr>
    </w:pPr>
  </w:style>
  <w:style w:type="paragraph" w:customStyle="1" w:styleId="ListNumberLevel4">
    <w:name w:val="List Number (Level 4)"/>
    <w:basedOn w:val="Normal"/>
    <w:pPr>
      <w:numPr>
        <w:ilvl w:val="3"/>
        <w:numId w:val="20"/>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160"/>
      </w:tabs>
    </w:pPr>
  </w:style>
  <w:style w:type="paragraph" w:customStyle="1" w:styleId="ListNumber2Level3">
    <w:name w:val="List Number 2 (Level 3)"/>
    <w:basedOn w:val="Text2"/>
    <w:pPr>
      <w:numPr>
        <w:ilvl w:val="2"/>
        <w:numId w:val="14"/>
      </w:numPr>
      <w:tabs>
        <w:tab w:val="clear" w:pos="2160"/>
      </w:tabs>
    </w:pPr>
  </w:style>
  <w:style w:type="paragraph" w:customStyle="1" w:styleId="ListNumber2Level4">
    <w:name w:val="List Number 2 (Level 4)"/>
    <w:basedOn w:val="Text2"/>
    <w:pPr>
      <w:numPr>
        <w:ilvl w:val="3"/>
        <w:numId w:val="14"/>
      </w:numPr>
      <w:tabs>
        <w:tab w:val="clear" w:pos="2160"/>
      </w:tabs>
      <w:ind w:left="3901" w:hanging="703"/>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pPr>
  </w:style>
  <w:style w:type="paragraph" w:customStyle="1" w:styleId="ListNumber4Level3">
    <w:name w:val="List Number 4 (Level 3)"/>
    <w:basedOn w:val="Text4"/>
    <w:pPr>
      <w:numPr>
        <w:ilvl w:val="2"/>
        <w:numId w:val="16"/>
      </w:numPr>
    </w:pPr>
  </w:style>
  <w:style w:type="paragraph" w:customStyle="1" w:styleId="ListNumber4Level4">
    <w:name w:val="List Number 4 (Level 4)"/>
    <w:basedOn w:val="Text4"/>
    <w:pPr>
      <w:numPr>
        <w:ilvl w:val="3"/>
        <w:numId w:val="16"/>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ZCom">
    <w:name w:val="Z_Com"/>
    <w:basedOn w:val="Normal"/>
    <w:next w:val="ZDGNam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lang w:eastAsia="en-GB"/>
    </w:rPr>
  </w:style>
  <w:style w:type="character" w:styleId="FootnoteReference">
    <w:name w:val="footnote reference"/>
    <w:uiPriority w:val="99"/>
    <w:semiHidden/>
    <w:rPr>
      <w:vertAlign w:val="superscript"/>
    </w:rPr>
  </w:style>
  <w:style w:type="character" w:styleId="Hyperlink">
    <w:name w:val="Hyperlink"/>
    <w:uiPriority w:val="99"/>
    <w:rPr>
      <w:color w:val="0000FF"/>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character" w:customStyle="1" w:styleId="FooterChar">
    <w:name w:val="Footer Char"/>
    <w:link w:val="Footer"/>
    <w:uiPriority w:val="99"/>
    <w:rPr>
      <w:rFonts w:ascii="Arial" w:hAnsi="Arial"/>
      <w:sz w:val="16"/>
      <w:lang w:eastAsia="en-US"/>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lang w:eastAsia="en-US"/>
    </w:rPr>
  </w:style>
  <w:style w:type="character" w:customStyle="1" w:styleId="CommentSubjectChar">
    <w:name w:val="Comment Subject Char"/>
    <w:link w:val="CommentSubject"/>
    <w:rPr>
      <w:b/>
      <w:bCs/>
      <w:lang w:eastAsia="en-US"/>
    </w:rPr>
  </w:style>
  <w:style w:type="paragraph" w:styleId="Revision">
    <w:name w:val="Revision"/>
    <w:hidden/>
    <w:uiPriority w:val="99"/>
    <w:semiHidden/>
    <w:rPr>
      <w:sz w:val="24"/>
      <w:lang w:eastAsia="en-US"/>
    </w:rPr>
  </w:style>
  <w:style w:type="paragraph" w:styleId="ListParagraph">
    <w:name w:val="List Paragraph"/>
    <w:basedOn w:val="Normal"/>
    <w:uiPriority w:val="34"/>
    <w:qFormat/>
    <w:pPr>
      <w:spacing w:after="0"/>
      <w:ind w:left="720"/>
      <w:jc w:val="left"/>
    </w:pPr>
    <w:rPr>
      <w:rFonts w:ascii="Calibri" w:eastAsia="Calibri" w:hAnsi="Calibri"/>
      <w:sz w:val="22"/>
      <w:szCs w:val="22"/>
    </w:rPr>
  </w:style>
  <w:style w:type="character" w:styleId="EndnoteReference">
    <w:name w:val="endnote reference"/>
    <w:rPr>
      <w:vertAlign w:val="superscript"/>
    </w:rPr>
  </w:style>
  <w:style w:type="character" w:customStyle="1" w:styleId="ClosingChar">
    <w:name w:val="Closing Char"/>
    <w:link w:val="Closing"/>
    <w:rPr>
      <w:sz w:val="24"/>
      <w:lang w:eastAsia="en-US"/>
    </w:rPr>
  </w:style>
  <w:style w:type="character" w:customStyle="1" w:styleId="FootnoteTextChar">
    <w:name w:val="Footnote Text Char"/>
    <w:basedOn w:val="DefaultParagraphFont"/>
    <w:link w:val="FootnoteText"/>
    <w:uiPriority w:val="99"/>
    <w:semiHidden/>
    <w:rPr>
      <w:lang w:eastAsia="en-US"/>
    </w:rPr>
  </w:style>
  <w:style w:type="character" w:customStyle="1" w:styleId="Heading1Char">
    <w:name w:val="Heading 1 Char"/>
    <w:basedOn w:val="DefaultParagraphFont"/>
    <w:link w:val="Heading1"/>
    <w:rPr>
      <w:b/>
      <w:smallCaps/>
      <w:sz w:val="24"/>
      <w:lang w:eastAsia="en-US"/>
    </w:rPr>
  </w:style>
  <w:style w:type="paragraph" w:customStyle="1" w:styleId="P68B1DB1-Default2">
    <w:name w:val="P68B1DB1-Default2"/>
    <w:basedOn w:val="Normal"/>
    <w:pPr>
      <w:autoSpaceDE w:val="0"/>
      <w:autoSpaceDN w:val="0"/>
      <w:adjustRightInd w:val="0"/>
      <w:spacing w:after="0"/>
      <w:ind w:left="0" w:firstLine="0"/>
      <w:jc w:val="left"/>
    </w:pPr>
    <w:rPr>
      <w:rFonts w:ascii="Arial" w:eastAsiaTheme="minorHAnsi" w:hAnsi="Arial" w:cs="Arial"/>
      <w:color w:val="000000"/>
    </w:rPr>
  </w:style>
  <w:style w:type="paragraph" w:customStyle="1" w:styleId="Default">
    <w:name w:val="Default"/>
    <w:pPr>
      <w:autoSpaceDE w:val="0"/>
      <w:autoSpaceDN w:val="0"/>
      <w:adjustRightInd w:val="0"/>
      <w:spacing w:after="0"/>
      <w:ind w:left="0" w:firstLine="0"/>
      <w:jc w:val="left"/>
    </w:pPr>
    <w:rPr>
      <w:rFonts w:eastAsiaTheme="minorHAnsi"/>
      <w:color w:val="000000"/>
      <w:sz w:val="24"/>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Emphasis">
    <w:name w:val="Emphasis"/>
    <w:basedOn w:val="DefaultParagraphFont"/>
    <w:qFormat/>
    <w:rPr>
      <w:i/>
      <w:iCs/>
    </w:rPr>
  </w:style>
  <w:style w:type="character" w:styleId="UnresolvedMention">
    <w:name w:val="Unresolved Mention"/>
    <w:basedOn w:val="DefaultParagraphFont"/>
    <w:uiPriority w:val="99"/>
    <w:semiHidden/>
    <w:unhideWhenUsed/>
    <w:rsid w:val="00FD4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5271">
      <w:bodyDiv w:val="1"/>
      <w:marLeft w:val="0"/>
      <w:marRight w:val="0"/>
      <w:marTop w:val="0"/>
      <w:marBottom w:val="0"/>
      <w:divBdr>
        <w:top w:val="none" w:sz="0" w:space="0" w:color="auto"/>
        <w:left w:val="none" w:sz="0" w:space="0" w:color="auto"/>
        <w:bottom w:val="none" w:sz="0" w:space="0" w:color="auto"/>
        <w:right w:val="none" w:sz="0" w:space="0" w:color="auto"/>
      </w:divBdr>
    </w:div>
    <w:div w:id="43600863">
      <w:bodyDiv w:val="1"/>
      <w:marLeft w:val="0"/>
      <w:marRight w:val="0"/>
      <w:marTop w:val="0"/>
      <w:marBottom w:val="0"/>
      <w:divBdr>
        <w:top w:val="none" w:sz="0" w:space="0" w:color="auto"/>
        <w:left w:val="none" w:sz="0" w:space="0" w:color="auto"/>
        <w:bottom w:val="none" w:sz="0" w:space="0" w:color="auto"/>
        <w:right w:val="none" w:sz="0" w:space="0" w:color="auto"/>
      </w:divBdr>
    </w:div>
    <w:div w:id="66465848">
      <w:bodyDiv w:val="1"/>
      <w:marLeft w:val="0"/>
      <w:marRight w:val="0"/>
      <w:marTop w:val="0"/>
      <w:marBottom w:val="0"/>
      <w:divBdr>
        <w:top w:val="none" w:sz="0" w:space="0" w:color="auto"/>
        <w:left w:val="none" w:sz="0" w:space="0" w:color="auto"/>
        <w:bottom w:val="none" w:sz="0" w:space="0" w:color="auto"/>
        <w:right w:val="none" w:sz="0" w:space="0" w:color="auto"/>
      </w:divBdr>
    </w:div>
    <w:div w:id="126051049">
      <w:bodyDiv w:val="1"/>
      <w:marLeft w:val="0"/>
      <w:marRight w:val="0"/>
      <w:marTop w:val="0"/>
      <w:marBottom w:val="0"/>
      <w:divBdr>
        <w:top w:val="none" w:sz="0" w:space="0" w:color="auto"/>
        <w:left w:val="none" w:sz="0" w:space="0" w:color="auto"/>
        <w:bottom w:val="none" w:sz="0" w:space="0" w:color="auto"/>
        <w:right w:val="none" w:sz="0" w:space="0" w:color="auto"/>
      </w:divBdr>
    </w:div>
    <w:div w:id="282656985">
      <w:bodyDiv w:val="1"/>
      <w:marLeft w:val="0"/>
      <w:marRight w:val="0"/>
      <w:marTop w:val="0"/>
      <w:marBottom w:val="0"/>
      <w:divBdr>
        <w:top w:val="none" w:sz="0" w:space="0" w:color="auto"/>
        <w:left w:val="none" w:sz="0" w:space="0" w:color="auto"/>
        <w:bottom w:val="none" w:sz="0" w:space="0" w:color="auto"/>
        <w:right w:val="none" w:sz="0" w:space="0" w:color="auto"/>
      </w:divBdr>
    </w:div>
    <w:div w:id="324213506">
      <w:bodyDiv w:val="1"/>
      <w:marLeft w:val="0"/>
      <w:marRight w:val="0"/>
      <w:marTop w:val="0"/>
      <w:marBottom w:val="0"/>
      <w:divBdr>
        <w:top w:val="none" w:sz="0" w:space="0" w:color="auto"/>
        <w:left w:val="none" w:sz="0" w:space="0" w:color="auto"/>
        <w:bottom w:val="none" w:sz="0" w:space="0" w:color="auto"/>
        <w:right w:val="none" w:sz="0" w:space="0" w:color="auto"/>
      </w:divBdr>
    </w:div>
    <w:div w:id="370348262">
      <w:bodyDiv w:val="1"/>
      <w:marLeft w:val="0"/>
      <w:marRight w:val="0"/>
      <w:marTop w:val="0"/>
      <w:marBottom w:val="0"/>
      <w:divBdr>
        <w:top w:val="none" w:sz="0" w:space="0" w:color="auto"/>
        <w:left w:val="none" w:sz="0" w:space="0" w:color="auto"/>
        <w:bottom w:val="none" w:sz="0" w:space="0" w:color="auto"/>
        <w:right w:val="none" w:sz="0" w:space="0" w:color="auto"/>
      </w:divBdr>
    </w:div>
    <w:div w:id="439375540">
      <w:bodyDiv w:val="1"/>
      <w:marLeft w:val="0"/>
      <w:marRight w:val="0"/>
      <w:marTop w:val="0"/>
      <w:marBottom w:val="0"/>
      <w:divBdr>
        <w:top w:val="none" w:sz="0" w:space="0" w:color="auto"/>
        <w:left w:val="none" w:sz="0" w:space="0" w:color="auto"/>
        <w:bottom w:val="none" w:sz="0" w:space="0" w:color="auto"/>
        <w:right w:val="none" w:sz="0" w:space="0" w:color="auto"/>
      </w:divBdr>
    </w:div>
    <w:div w:id="483006689">
      <w:bodyDiv w:val="1"/>
      <w:marLeft w:val="0"/>
      <w:marRight w:val="0"/>
      <w:marTop w:val="0"/>
      <w:marBottom w:val="0"/>
      <w:divBdr>
        <w:top w:val="none" w:sz="0" w:space="0" w:color="auto"/>
        <w:left w:val="none" w:sz="0" w:space="0" w:color="auto"/>
        <w:bottom w:val="none" w:sz="0" w:space="0" w:color="auto"/>
        <w:right w:val="none" w:sz="0" w:space="0" w:color="auto"/>
      </w:divBdr>
    </w:div>
    <w:div w:id="605432516">
      <w:bodyDiv w:val="1"/>
      <w:marLeft w:val="0"/>
      <w:marRight w:val="0"/>
      <w:marTop w:val="0"/>
      <w:marBottom w:val="0"/>
      <w:divBdr>
        <w:top w:val="none" w:sz="0" w:space="0" w:color="auto"/>
        <w:left w:val="none" w:sz="0" w:space="0" w:color="auto"/>
        <w:bottom w:val="none" w:sz="0" w:space="0" w:color="auto"/>
        <w:right w:val="none" w:sz="0" w:space="0" w:color="auto"/>
      </w:divBdr>
    </w:div>
    <w:div w:id="611858937">
      <w:bodyDiv w:val="1"/>
      <w:marLeft w:val="0"/>
      <w:marRight w:val="0"/>
      <w:marTop w:val="0"/>
      <w:marBottom w:val="0"/>
      <w:divBdr>
        <w:top w:val="none" w:sz="0" w:space="0" w:color="auto"/>
        <w:left w:val="none" w:sz="0" w:space="0" w:color="auto"/>
        <w:bottom w:val="none" w:sz="0" w:space="0" w:color="auto"/>
        <w:right w:val="none" w:sz="0" w:space="0" w:color="auto"/>
      </w:divBdr>
    </w:div>
    <w:div w:id="615140589">
      <w:bodyDiv w:val="1"/>
      <w:marLeft w:val="0"/>
      <w:marRight w:val="0"/>
      <w:marTop w:val="0"/>
      <w:marBottom w:val="0"/>
      <w:divBdr>
        <w:top w:val="none" w:sz="0" w:space="0" w:color="auto"/>
        <w:left w:val="none" w:sz="0" w:space="0" w:color="auto"/>
        <w:bottom w:val="none" w:sz="0" w:space="0" w:color="auto"/>
        <w:right w:val="none" w:sz="0" w:space="0" w:color="auto"/>
      </w:divBdr>
    </w:div>
    <w:div w:id="695077246">
      <w:bodyDiv w:val="1"/>
      <w:marLeft w:val="0"/>
      <w:marRight w:val="0"/>
      <w:marTop w:val="0"/>
      <w:marBottom w:val="0"/>
      <w:divBdr>
        <w:top w:val="none" w:sz="0" w:space="0" w:color="auto"/>
        <w:left w:val="none" w:sz="0" w:space="0" w:color="auto"/>
        <w:bottom w:val="none" w:sz="0" w:space="0" w:color="auto"/>
        <w:right w:val="none" w:sz="0" w:space="0" w:color="auto"/>
      </w:divBdr>
    </w:div>
    <w:div w:id="741029216">
      <w:bodyDiv w:val="1"/>
      <w:marLeft w:val="0"/>
      <w:marRight w:val="0"/>
      <w:marTop w:val="0"/>
      <w:marBottom w:val="0"/>
      <w:divBdr>
        <w:top w:val="none" w:sz="0" w:space="0" w:color="auto"/>
        <w:left w:val="none" w:sz="0" w:space="0" w:color="auto"/>
        <w:bottom w:val="none" w:sz="0" w:space="0" w:color="auto"/>
        <w:right w:val="none" w:sz="0" w:space="0" w:color="auto"/>
      </w:divBdr>
    </w:div>
    <w:div w:id="767652260">
      <w:bodyDiv w:val="1"/>
      <w:marLeft w:val="0"/>
      <w:marRight w:val="0"/>
      <w:marTop w:val="0"/>
      <w:marBottom w:val="0"/>
      <w:divBdr>
        <w:top w:val="none" w:sz="0" w:space="0" w:color="auto"/>
        <w:left w:val="none" w:sz="0" w:space="0" w:color="auto"/>
        <w:bottom w:val="none" w:sz="0" w:space="0" w:color="auto"/>
        <w:right w:val="none" w:sz="0" w:space="0" w:color="auto"/>
      </w:divBdr>
    </w:div>
    <w:div w:id="781806599">
      <w:bodyDiv w:val="1"/>
      <w:marLeft w:val="0"/>
      <w:marRight w:val="0"/>
      <w:marTop w:val="0"/>
      <w:marBottom w:val="0"/>
      <w:divBdr>
        <w:top w:val="none" w:sz="0" w:space="0" w:color="auto"/>
        <w:left w:val="none" w:sz="0" w:space="0" w:color="auto"/>
        <w:bottom w:val="none" w:sz="0" w:space="0" w:color="auto"/>
        <w:right w:val="none" w:sz="0" w:space="0" w:color="auto"/>
      </w:divBdr>
    </w:div>
    <w:div w:id="813256473">
      <w:bodyDiv w:val="1"/>
      <w:marLeft w:val="0"/>
      <w:marRight w:val="0"/>
      <w:marTop w:val="0"/>
      <w:marBottom w:val="0"/>
      <w:divBdr>
        <w:top w:val="none" w:sz="0" w:space="0" w:color="auto"/>
        <w:left w:val="none" w:sz="0" w:space="0" w:color="auto"/>
        <w:bottom w:val="none" w:sz="0" w:space="0" w:color="auto"/>
        <w:right w:val="none" w:sz="0" w:space="0" w:color="auto"/>
      </w:divBdr>
    </w:div>
    <w:div w:id="921793072">
      <w:bodyDiv w:val="1"/>
      <w:marLeft w:val="0"/>
      <w:marRight w:val="0"/>
      <w:marTop w:val="0"/>
      <w:marBottom w:val="0"/>
      <w:divBdr>
        <w:top w:val="none" w:sz="0" w:space="0" w:color="auto"/>
        <w:left w:val="none" w:sz="0" w:space="0" w:color="auto"/>
        <w:bottom w:val="none" w:sz="0" w:space="0" w:color="auto"/>
        <w:right w:val="none" w:sz="0" w:space="0" w:color="auto"/>
      </w:divBdr>
    </w:div>
    <w:div w:id="934871977">
      <w:bodyDiv w:val="1"/>
      <w:marLeft w:val="0"/>
      <w:marRight w:val="0"/>
      <w:marTop w:val="0"/>
      <w:marBottom w:val="0"/>
      <w:divBdr>
        <w:top w:val="none" w:sz="0" w:space="0" w:color="auto"/>
        <w:left w:val="none" w:sz="0" w:space="0" w:color="auto"/>
        <w:bottom w:val="none" w:sz="0" w:space="0" w:color="auto"/>
        <w:right w:val="none" w:sz="0" w:space="0" w:color="auto"/>
      </w:divBdr>
    </w:div>
    <w:div w:id="949775119">
      <w:bodyDiv w:val="1"/>
      <w:marLeft w:val="0"/>
      <w:marRight w:val="0"/>
      <w:marTop w:val="0"/>
      <w:marBottom w:val="0"/>
      <w:divBdr>
        <w:top w:val="none" w:sz="0" w:space="0" w:color="auto"/>
        <w:left w:val="none" w:sz="0" w:space="0" w:color="auto"/>
        <w:bottom w:val="none" w:sz="0" w:space="0" w:color="auto"/>
        <w:right w:val="none" w:sz="0" w:space="0" w:color="auto"/>
      </w:divBdr>
    </w:div>
    <w:div w:id="961964067">
      <w:bodyDiv w:val="1"/>
      <w:marLeft w:val="0"/>
      <w:marRight w:val="0"/>
      <w:marTop w:val="0"/>
      <w:marBottom w:val="0"/>
      <w:divBdr>
        <w:top w:val="none" w:sz="0" w:space="0" w:color="auto"/>
        <w:left w:val="none" w:sz="0" w:space="0" w:color="auto"/>
        <w:bottom w:val="none" w:sz="0" w:space="0" w:color="auto"/>
        <w:right w:val="none" w:sz="0" w:space="0" w:color="auto"/>
      </w:divBdr>
    </w:div>
    <w:div w:id="965085028">
      <w:bodyDiv w:val="1"/>
      <w:marLeft w:val="0"/>
      <w:marRight w:val="0"/>
      <w:marTop w:val="0"/>
      <w:marBottom w:val="0"/>
      <w:divBdr>
        <w:top w:val="none" w:sz="0" w:space="0" w:color="auto"/>
        <w:left w:val="none" w:sz="0" w:space="0" w:color="auto"/>
        <w:bottom w:val="none" w:sz="0" w:space="0" w:color="auto"/>
        <w:right w:val="none" w:sz="0" w:space="0" w:color="auto"/>
      </w:divBdr>
    </w:div>
    <w:div w:id="972979215">
      <w:bodyDiv w:val="1"/>
      <w:marLeft w:val="0"/>
      <w:marRight w:val="0"/>
      <w:marTop w:val="0"/>
      <w:marBottom w:val="0"/>
      <w:divBdr>
        <w:top w:val="none" w:sz="0" w:space="0" w:color="auto"/>
        <w:left w:val="none" w:sz="0" w:space="0" w:color="auto"/>
        <w:bottom w:val="none" w:sz="0" w:space="0" w:color="auto"/>
        <w:right w:val="none" w:sz="0" w:space="0" w:color="auto"/>
      </w:divBdr>
    </w:div>
    <w:div w:id="980695275">
      <w:bodyDiv w:val="1"/>
      <w:marLeft w:val="0"/>
      <w:marRight w:val="0"/>
      <w:marTop w:val="0"/>
      <w:marBottom w:val="0"/>
      <w:divBdr>
        <w:top w:val="none" w:sz="0" w:space="0" w:color="auto"/>
        <w:left w:val="none" w:sz="0" w:space="0" w:color="auto"/>
        <w:bottom w:val="none" w:sz="0" w:space="0" w:color="auto"/>
        <w:right w:val="none" w:sz="0" w:space="0" w:color="auto"/>
      </w:divBdr>
    </w:div>
    <w:div w:id="986468797">
      <w:bodyDiv w:val="1"/>
      <w:marLeft w:val="0"/>
      <w:marRight w:val="0"/>
      <w:marTop w:val="0"/>
      <w:marBottom w:val="0"/>
      <w:divBdr>
        <w:top w:val="none" w:sz="0" w:space="0" w:color="auto"/>
        <w:left w:val="none" w:sz="0" w:space="0" w:color="auto"/>
        <w:bottom w:val="none" w:sz="0" w:space="0" w:color="auto"/>
        <w:right w:val="none" w:sz="0" w:space="0" w:color="auto"/>
      </w:divBdr>
    </w:div>
    <w:div w:id="1083531476">
      <w:bodyDiv w:val="1"/>
      <w:marLeft w:val="0"/>
      <w:marRight w:val="0"/>
      <w:marTop w:val="0"/>
      <w:marBottom w:val="0"/>
      <w:divBdr>
        <w:top w:val="none" w:sz="0" w:space="0" w:color="auto"/>
        <w:left w:val="none" w:sz="0" w:space="0" w:color="auto"/>
        <w:bottom w:val="none" w:sz="0" w:space="0" w:color="auto"/>
        <w:right w:val="none" w:sz="0" w:space="0" w:color="auto"/>
      </w:divBdr>
    </w:div>
    <w:div w:id="1245528591">
      <w:bodyDiv w:val="1"/>
      <w:marLeft w:val="0"/>
      <w:marRight w:val="0"/>
      <w:marTop w:val="0"/>
      <w:marBottom w:val="0"/>
      <w:divBdr>
        <w:top w:val="none" w:sz="0" w:space="0" w:color="auto"/>
        <w:left w:val="none" w:sz="0" w:space="0" w:color="auto"/>
        <w:bottom w:val="none" w:sz="0" w:space="0" w:color="auto"/>
        <w:right w:val="none" w:sz="0" w:space="0" w:color="auto"/>
      </w:divBdr>
    </w:div>
    <w:div w:id="1283881521">
      <w:bodyDiv w:val="1"/>
      <w:marLeft w:val="0"/>
      <w:marRight w:val="0"/>
      <w:marTop w:val="0"/>
      <w:marBottom w:val="0"/>
      <w:divBdr>
        <w:top w:val="none" w:sz="0" w:space="0" w:color="auto"/>
        <w:left w:val="none" w:sz="0" w:space="0" w:color="auto"/>
        <w:bottom w:val="none" w:sz="0" w:space="0" w:color="auto"/>
        <w:right w:val="none" w:sz="0" w:space="0" w:color="auto"/>
      </w:divBdr>
    </w:div>
    <w:div w:id="1285192863">
      <w:bodyDiv w:val="1"/>
      <w:marLeft w:val="0"/>
      <w:marRight w:val="0"/>
      <w:marTop w:val="0"/>
      <w:marBottom w:val="0"/>
      <w:divBdr>
        <w:top w:val="none" w:sz="0" w:space="0" w:color="auto"/>
        <w:left w:val="none" w:sz="0" w:space="0" w:color="auto"/>
        <w:bottom w:val="none" w:sz="0" w:space="0" w:color="auto"/>
        <w:right w:val="none" w:sz="0" w:space="0" w:color="auto"/>
      </w:divBdr>
    </w:div>
    <w:div w:id="1322850906">
      <w:bodyDiv w:val="1"/>
      <w:marLeft w:val="0"/>
      <w:marRight w:val="0"/>
      <w:marTop w:val="0"/>
      <w:marBottom w:val="0"/>
      <w:divBdr>
        <w:top w:val="none" w:sz="0" w:space="0" w:color="auto"/>
        <w:left w:val="none" w:sz="0" w:space="0" w:color="auto"/>
        <w:bottom w:val="none" w:sz="0" w:space="0" w:color="auto"/>
        <w:right w:val="none" w:sz="0" w:space="0" w:color="auto"/>
      </w:divBdr>
    </w:div>
    <w:div w:id="1390347586">
      <w:bodyDiv w:val="1"/>
      <w:marLeft w:val="0"/>
      <w:marRight w:val="0"/>
      <w:marTop w:val="0"/>
      <w:marBottom w:val="0"/>
      <w:divBdr>
        <w:top w:val="none" w:sz="0" w:space="0" w:color="auto"/>
        <w:left w:val="none" w:sz="0" w:space="0" w:color="auto"/>
        <w:bottom w:val="none" w:sz="0" w:space="0" w:color="auto"/>
        <w:right w:val="none" w:sz="0" w:space="0" w:color="auto"/>
      </w:divBdr>
    </w:div>
    <w:div w:id="1418946007">
      <w:bodyDiv w:val="1"/>
      <w:marLeft w:val="0"/>
      <w:marRight w:val="0"/>
      <w:marTop w:val="0"/>
      <w:marBottom w:val="0"/>
      <w:divBdr>
        <w:top w:val="none" w:sz="0" w:space="0" w:color="auto"/>
        <w:left w:val="none" w:sz="0" w:space="0" w:color="auto"/>
        <w:bottom w:val="none" w:sz="0" w:space="0" w:color="auto"/>
        <w:right w:val="none" w:sz="0" w:space="0" w:color="auto"/>
      </w:divBdr>
    </w:div>
    <w:div w:id="1453089655">
      <w:bodyDiv w:val="1"/>
      <w:marLeft w:val="0"/>
      <w:marRight w:val="0"/>
      <w:marTop w:val="0"/>
      <w:marBottom w:val="0"/>
      <w:divBdr>
        <w:top w:val="none" w:sz="0" w:space="0" w:color="auto"/>
        <w:left w:val="none" w:sz="0" w:space="0" w:color="auto"/>
        <w:bottom w:val="none" w:sz="0" w:space="0" w:color="auto"/>
        <w:right w:val="none" w:sz="0" w:space="0" w:color="auto"/>
      </w:divBdr>
    </w:div>
    <w:div w:id="1566916999">
      <w:bodyDiv w:val="1"/>
      <w:marLeft w:val="0"/>
      <w:marRight w:val="0"/>
      <w:marTop w:val="0"/>
      <w:marBottom w:val="0"/>
      <w:divBdr>
        <w:top w:val="none" w:sz="0" w:space="0" w:color="auto"/>
        <w:left w:val="none" w:sz="0" w:space="0" w:color="auto"/>
        <w:bottom w:val="none" w:sz="0" w:space="0" w:color="auto"/>
        <w:right w:val="none" w:sz="0" w:space="0" w:color="auto"/>
      </w:divBdr>
    </w:div>
    <w:div w:id="1567375735">
      <w:bodyDiv w:val="1"/>
      <w:marLeft w:val="0"/>
      <w:marRight w:val="0"/>
      <w:marTop w:val="0"/>
      <w:marBottom w:val="0"/>
      <w:divBdr>
        <w:top w:val="none" w:sz="0" w:space="0" w:color="auto"/>
        <w:left w:val="none" w:sz="0" w:space="0" w:color="auto"/>
        <w:bottom w:val="none" w:sz="0" w:space="0" w:color="auto"/>
        <w:right w:val="none" w:sz="0" w:space="0" w:color="auto"/>
      </w:divBdr>
    </w:div>
    <w:div w:id="1579753834">
      <w:bodyDiv w:val="1"/>
      <w:marLeft w:val="0"/>
      <w:marRight w:val="0"/>
      <w:marTop w:val="0"/>
      <w:marBottom w:val="0"/>
      <w:divBdr>
        <w:top w:val="none" w:sz="0" w:space="0" w:color="auto"/>
        <w:left w:val="none" w:sz="0" w:space="0" w:color="auto"/>
        <w:bottom w:val="none" w:sz="0" w:space="0" w:color="auto"/>
        <w:right w:val="none" w:sz="0" w:space="0" w:color="auto"/>
      </w:divBdr>
    </w:div>
    <w:div w:id="1677684516">
      <w:bodyDiv w:val="1"/>
      <w:marLeft w:val="0"/>
      <w:marRight w:val="0"/>
      <w:marTop w:val="0"/>
      <w:marBottom w:val="0"/>
      <w:divBdr>
        <w:top w:val="none" w:sz="0" w:space="0" w:color="auto"/>
        <w:left w:val="none" w:sz="0" w:space="0" w:color="auto"/>
        <w:bottom w:val="none" w:sz="0" w:space="0" w:color="auto"/>
        <w:right w:val="none" w:sz="0" w:space="0" w:color="auto"/>
      </w:divBdr>
    </w:div>
    <w:div w:id="1743142460">
      <w:bodyDiv w:val="1"/>
      <w:marLeft w:val="0"/>
      <w:marRight w:val="0"/>
      <w:marTop w:val="0"/>
      <w:marBottom w:val="0"/>
      <w:divBdr>
        <w:top w:val="none" w:sz="0" w:space="0" w:color="auto"/>
        <w:left w:val="none" w:sz="0" w:space="0" w:color="auto"/>
        <w:bottom w:val="none" w:sz="0" w:space="0" w:color="auto"/>
        <w:right w:val="none" w:sz="0" w:space="0" w:color="auto"/>
      </w:divBdr>
    </w:div>
    <w:div w:id="1762293928">
      <w:bodyDiv w:val="1"/>
      <w:marLeft w:val="0"/>
      <w:marRight w:val="0"/>
      <w:marTop w:val="0"/>
      <w:marBottom w:val="0"/>
      <w:divBdr>
        <w:top w:val="none" w:sz="0" w:space="0" w:color="auto"/>
        <w:left w:val="none" w:sz="0" w:space="0" w:color="auto"/>
        <w:bottom w:val="none" w:sz="0" w:space="0" w:color="auto"/>
        <w:right w:val="none" w:sz="0" w:space="0" w:color="auto"/>
      </w:divBdr>
    </w:div>
    <w:div w:id="1853567638">
      <w:bodyDiv w:val="1"/>
      <w:marLeft w:val="0"/>
      <w:marRight w:val="0"/>
      <w:marTop w:val="0"/>
      <w:marBottom w:val="0"/>
      <w:divBdr>
        <w:top w:val="none" w:sz="0" w:space="0" w:color="auto"/>
        <w:left w:val="none" w:sz="0" w:space="0" w:color="auto"/>
        <w:bottom w:val="none" w:sz="0" w:space="0" w:color="auto"/>
        <w:right w:val="none" w:sz="0" w:space="0" w:color="auto"/>
      </w:divBdr>
    </w:div>
    <w:div w:id="1863736228">
      <w:bodyDiv w:val="1"/>
      <w:marLeft w:val="0"/>
      <w:marRight w:val="0"/>
      <w:marTop w:val="0"/>
      <w:marBottom w:val="0"/>
      <w:divBdr>
        <w:top w:val="none" w:sz="0" w:space="0" w:color="auto"/>
        <w:left w:val="none" w:sz="0" w:space="0" w:color="auto"/>
        <w:bottom w:val="none" w:sz="0" w:space="0" w:color="auto"/>
        <w:right w:val="none" w:sz="0" w:space="0" w:color="auto"/>
      </w:divBdr>
      <w:divsChild>
        <w:div w:id="169177324">
          <w:marLeft w:val="0"/>
          <w:marRight w:val="0"/>
          <w:marTop w:val="0"/>
          <w:marBottom w:val="0"/>
          <w:divBdr>
            <w:top w:val="none" w:sz="0" w:space="0" w:color="auto"/>
            <w:left w:val="none" w:sz="0" w:space="0" w:color="auto"/>
            <w:bottom w:val="none" w:sz="0" w:space="0" w:color="auto"/>
            <w:right w:val="none" w:sz="0" w:space="0" w:color="auto"/>
          </w:divBdr>
          <w:divsChild>
            <w:div w:id="364719962">
              <w:marLeft w:val="0"/>
              <w:marRight w:val="0"/>
              <w:marTop w:val="120"/>
              <w:marBottom w:val="0"/>
              <w:divBdr>
                <w:top w:val="none" w:sz="0" w:space="0" w:color="auto"/>
                <w:left w:val="none" w:sz="0" w:space="0" w:color="auto"/>
                <w:bottom w:val="none" w:sz="0" w:space="0" w:color="auto"/>
                <w:right w:val="none" w:sz="0" w:space="0" w:color="auto"/>
              </w:divBdr>
            </w:div>
            <w:div w:id="421413302">
              <w:marLeft w:val="0"/>
              <w:marRight w:val="0"/>
              <w:marTop w:val="0"/>
              <w:marBottom w:val="0"/>
              <w:divBdr>
                <w:top w:val="none" w:sz="0" w:space="0" w:color="auto"/>
                <w:left w:val="none" w:sz="0" w:space="0" w:color="auto"/>
                <w:bottom w:val="none" w:sz="0" w:space="0" w:color="auto"/>
                <w:right w:val="none" w:sz="0" w:space="0" w:color="auto"/>
              </w:divBdr>
            </w:div>
          </w:divsChild>
        </w:div>
        <w:div w:id="855073792">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120"/>
              <w:marBottom w:val="0"/>
              <w:divBdr>
                <w:top w:val="none" w:sz="0" w:space="0" w:color="auto"/>
                <w:left w:val="none" w:sz="0" w:space="0" w:color="auto"/>
                <w:bottom w:val="none" w:sz="0" w:space="0" w:color="auto"/>
                <w:right w:val="none" w:sz="0" w:space="0" w:color="auto"/>
              </w:divBdr>
            </w:div>
            <w:div w:id="6430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59567">
      <w:bodyDiv w:val="1"/>
      <w:marLeft w:val="0"/>
      <w:marRight w:val="0"/>
      <w:marTop w:val="0"/>
      <w:marBottom w:val="0"/>
      <w:divBdr>
        <w:top w:val="none" w:sz="0" w:space="0" w:color="auto"/>
        <w:left w:val="none" w:sz="0" w:space="0" w:color="auto"/>
        <w:bottom w:val="none" w:sz="0" w:space="0" w:color="auto"/>
        <w:right w:val="none" w:sz="0" w:space="0" w:color="auto"/>
      </w:divBdr>
    </w:div>
    <w:div w:id="1892761658">
      <w:bodyDiv w:val="1"/>
      <w:marLeft w:val="0"/>
      <w:marRight w:val="0"/>
      <w:marTop w:val="0"/>
      <w:marBottom w:val="0"/>
      <w:divBdr>
        <w:top w:val="none" w:sz="0" w:space="0" w:color="auto"/>
        <w:left w:val="none" w:sz="0" w:space="0" w:color="auto"/>
        <w:bottom w:val="none" w:sz="0" w:space="0" w:color="auto"/>
        <w:right w:val="none" w:sz="0" w:space="0" w:color="auto"/>
      </w:divBdr>
    </w:div>
    <w:div w:id="2031294994">
      <w:bodyDiv w:val="1"/>
      <w:marLeft w:val="0"/>
      <w:marRight w:val="0"/>
      <w:marTop w:val="0"/>
      <w:marBottom w:val="0"/>
      <w:divBdr>
        <w:top w:val="none" w:sz="0" w:space="0" w:color="auto"/>
        <w:left w:val="none" w:sz="0" w:space="0" w:color="auto"/>
        <w:bottom w:val="none" w:sz="0" w:space="0" w:color="auto"/>
        <w:right w:val="none" w:sz="0" w:space="0" w:color="auto"/>
      </w:divBdr>
    </w:div>
    <w:div w:id="2041202803">
      <w:bodyDiv w:val="1"/>
      <w:marLeft w:val="0"/>
      <w:marRight w:val="0"/>
      <w:marTop w:val="0"/>
      <w:marBottom w:val="0"/>
      <w:divBdr>
        <w:top w:val="none" w:sz="0" w:space="0" w:color="auto"/>
        <w:left w:val="none" w:sz="0" w:space="0" w:color="auto"/>
        <w:bottom w:val="none" w:sz="0" w:space="0" w:color="auto"/>
        <w:right w:val="none" w:sz="0" w:space="0" w:color="auto"/>
      </w:divBdr>
    </w:div>
    <w:div w:id="2127695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emf"/><Relationship Id="rId27"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7b4f7530-3dc8-49c8-84b3-b8891865af30</Id>
  <Names>
    <Latin>
      <FirstName>Katia</FirstName>
      <LastName>PHILANIOTOU</LastName>
    </Latin>
    <Greek>
      <FirstName/>
      <LastName/>
    </Greek>
    <Cyrillic>
      <FirstName/>
      <LastName/>
    </Cyrillic>
    <DocumentScript>
      <FirstName>Katia</FirstName>
      <LastName>PHILANIOTOU</LastName>
      <FullName>Katia PHILANIOTOU</FullName>
    </DocumentScript>
  </Names>
  <Initials>KP</Initials>
  <Gender>f</Gender>
  <Email>Ekaterini.PHILANIOTOU@ec.europa.eu</Email>
  <Service>AGRI.DDG3.H.5</Service>
  <Function/>
  <WebAddress/>
  <InheritedWebAddress>WebAddress</InheritedWebAddress>
  <OrgaEntity1>
    <Id>470cbc82-089a-40a5-a69c-f5abfd74f289</Id>
    <LogicalLevel>1</LogicalLevel>
    <Name>AGRI</Name>
    <HeadLine1>DIRECTORATE-GENERAL FOR AGRICULTURE AND RURAL DEVELOPMENT</HeadLine1>
    <HeadLine2/>
    <PrimaryAddressId>f03b5801-04c9-4931-aa17-c6d6c70bc579</PrimaryAddressId>
    <SecondaryAddressId/>
    <WebAddress>WebAddress</WebAddress>
    <InheritedWebAddress>WebAddress</InheritedWebAddress>
    <ShowInHeader>true</ShowInHeader>
  </OrgaEntity1>
  <OrgaEntity2>
    <Id>e1be2115-331d-411d-8aa7-cc8751fad1e8</Id>
    <LogicalLevel>2</LogicalLevel>
    <Name>AGRI.H</Name>
    <HeadLine1>Directorate H. Assurance and Audit</HeadLine1>
    <HeadLine2/>
    <PrimaryAddressId>f03b5801-04c9-4931-aa17-c6d6c70bc579</PrimaryAddressId>
    <SecondaryAddressId/>
    <WebAddress/>
    <InheritedWebAddress>WebAddress</InheritedWebAddress>
    <ShowInHeader>true</ShowInHeader>
  </OrgaEntity2>
  <OrgaEntity3>
    <Id>82f5ef33-a19a-4ba9-8dcf-d1b02770e3d7</Id>
    <LogicalLevel>3</LogicalLevel>
    <Name>AGRI.DDG3.H.5</Name>
    <HeadLine1>H.5. Assurance and financial audit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+32 229 57825</Phone>
    <Office>L130 03/200</Office>
  </MainWorkplace>
  <Workplaces>
    <Workplace IsMain="false">
      <AddressId>1264fb81-f6bb-475e-9f9d-a937d3be6ee2</AddressId>
      <Fax/>
      <Phone/>
      <Office/>
    </Workplace>
    <Workplace IsMain="true">
      <AddressId>f03b5801-04c9-4931-aa17-c6d6c70bc579</AddressId>
      <Fax/>
      <Phone>+32 229 57825</Phone>
      <Office>L130 03/200</Office>
    </Workplace>
  </Workplaces>
</Author>
</file>

<file path=customXml/item4.xml><?xml version="1.0" encoding="utf-8"?>
<EurolookProperties>
  <ProductCustomizationId/>
  <Created>
    <Version>4.1</Version>
    <Date>2018-09-06T10:10:12</Date>
    <Language>EN</Language>
    <Note/>
  </Created>
  <Edited>
    <Version>10.0.42447.0</Version>
    <Date>2021-07-05T09:54:16</Date>
  </Edited>
  <DocumentModel>
    <Id>0b054141-88b1-4efb-8c91-2905cb0bed6c</Id>
    <Name>Note</Name>
  </DocumentModel>
  <DocumentDate/>
  <DocumentVersion/>
  <CompatibilityMode>Eurolook4X</CompatibilityMode>
</EurolookProperties>
</file>

<file path=customXml/itemProps1.xml><?xml version="1.0" encoding="utf-8"?>
<ds:datastoreItem xmlns:ds="http://schemas.openxmlformats.org/officeDocument/2006/customXml" ds:itemID="{E6FFEFC0-FB90-4401-AE20-2D9A325A2739}">
  <ds:schemaRefs>
    <ds:schemaRef ds:uri="http://schemas.openxmlformats.org/officeDocument/2006/bibliography"/>
  </ds:schemaRefs>
</ds:datastoreItem>
</file>

<file path=customXml/itemProps2.xml><?xml version="1.0" encoding="utf-8"?>
<ds:datastoreItem xmlns:ds="http://schemas.openxmlformats.org/officeDocument/2006/customXml" ds:itemID="{F445F3A9-4B8E-4FFF-81F4-BC882E540F92}">
  <ds:schemaRefs/>
</ds:datastoreItem>
</file>

<file path=customXml/itemProps3.xml><?xml version="1.0" encoding="utf-8"?>
<ds:datastoreItem xmlns:ds="http://schemas.openxmlformats.org/officeDocument/2006/customXml" ds:itemID="{3950F277-842B-416B-9F8A-80AD7D272454}">
  <ds:schemaRefs/>
</ds:datastoreItem>
</file>

<file path=customXml/itemProps4.xml><?xml version="1.0" encoding="utf-8"?>
<ds:datastoreItem xmlns:ds="http://schemas.openxmlformats.org/officeDocument/2006/customXml" ds:itemID="{895B79C8-57C0-4A81-93C8-6DDAE9A40EC7}">
  <ds:schemaRefs/>
</ds:datastoreItem>
</file>

<file path=docProps/app.xml><?xml version="1.0" encoding="utf-8"?>
<Properties xmlns="http://schemas.openxmlformats.org/officeDocument/2006/extended-properties" xmlns:vt="http://schemas.openxmlformats.org/officeDocument/2006/docPropsVTypes">
  <Template>Eurolook.dotm</Template>
  <TotalTime>980</TotalTime>
  <Pages>63</Pages>
  <Words>17547</Words>
  <Characters>100022</Characters>
  <Application>Microsoft Office Word</Application>
  <DocSecurity>0</DocSecurity>
  <PresentationFormat>Microsoft Word 11.0</PresentationFormat>
  <Lines>833</Lines>
  <Paragraphs>234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Guideline No 5 on the submission of the Annex II and III tables of Regulation (EU) No 908/2014</vt:lpstr>
      <vt:lpstr>Guideline No 5 on the submission of the Annex II and III tables of Regulation (EU) No 908/2014</vt:lpstr>
    </vt:vector>
  </TitlesOfParts>
  <Company>European Commission</Company>
  <LinksUpToDate>false</LinksUpToDate>
  <CharactersWithSpaces>117335</CharactersWithSpaces>
  <SharedDoc>false</SharedDoc>
  <HLinks>
    <vt:vector size="372" baseType="variant">
      <vt:variant>
        <vt:i4>4784210</vt:i4>
      </vt:variant>
      <vt:variant>
        <vt:i4>363</vt:i4>
      </vt:variant>
      <vt:variant>
        <vt:i4>0</vt:i4>
      </vt:variant>
      <vt:variant>
        <vt:i4>5</vt:i4>
      </vt:variant>
      <vt:variant>
        <vt:lpwstr>https://webgate.ec.europa.eu/agriportal/</vt:lpwstr>
      </vt:variant>
      <vt:variant>
        <vt:lpwstr/>
      </vt:variant>
      <vt:variant>
        <vt:i4>4784210</vt:i4>
      </vt:variant>
      <vt:variant>
        <vt:i4>360</vt:i4>
      </vt:variant>
      <vt:variant>
        <vt:i4>0</vt:i4>
      </vt:variant>
      <vt:variant>
        <vt:i4>5</vt:i4>
      </vt:variant>
      <vt:variant>
        <vt:lpwstr>https://webgate.ec.europa.eu/agriportal/</vt:lpwstr>
      </vt:variant>
      <vt:variant>
        <vt:lpwstr/>
      </vt:variant>
      <vt:variant>
        <vt:i4>4784210</vt:i4>
      </vt:variant>
      <vt:variant>
        <vt:i4>357</vt:i4>
      </vt:variant>
      <vt:variant>
        <vt:i4>0</vt:i4>
      </vt:variant>
      <vt:variant>
        <vt:i4>5</vt:i4>
      </vt:variant>
      <vt:variant>
        <vt:lpwstr>https://webgate.ec.europa.eu/agriportal/</vt:lpwstr>
      </vt:variant>
      <vt:variant>
        <vt:lpwstr/>
      </vt:variant>
      <vt:variant>
        <vt:i4>1048627</vt:i4>
      </vt:variant>
      <vt:variant>
        <vt:i4>350</vt:i4>
      </vt:variant>
      <vt:variant>
        <vt:i4>0</vt:i4>
      </vt:variant>
      <vt:variant>
        <vt:i4>5</vt:i4>
      </vt:variant>
      <vt:variant>
        <vt:lpwstr/>
      </vt:variant>
      <vt:variant>
        <vt:lpwstr>_Toc461701671</vt:lpwstr>
      </vt:variant>
      <vt:variant>
        <vt:i4>1048627</vt:i4>
      </vt:variant>
      <vt:variant>
        <vt:i4>344</vt:i4>
      </vt:variant>
      <vt:variant>
        <vt:i4>0</vt:i4>
      </vt:variant>
      <vt:variant>
        <vt:i4>5</vt:i4>
      </vt:variant>
      <vt:variant>
        <vt:lpwstr/>
      </vt:variant>
      <vt:variant>
        <vt:lpwstr>_Toc461701670</vt:lpwstr>
      </vt:variant>
      <vt:variant>
        <vt:i4>1114163</vt:i4>
      </vt:variant>
      <vt:variant>
        <vt:i4>338</vt:i4>
      </vt:variant>
      <vt:variant>
        <vt:i4>0</vt:i4>
      </vt:variant>
      <vt:variant>
        <vt:i4>5</vt:i4>
      </vt:variant>
      <vt:variant>
        <vt:lpwstr/>
      </vt:variant>
      <vt:variant>
        <vt:lpwstr>_Toc461701669</vt:lpwstr>
      </vt:variant>
      <vt:variant>
        <vt:i4>1114163</vt:i4>
      </vt:variant>
      <vt:variant>
        <vt:i4>332</vt:i4>
      </vt:variant>
      <vt:variant>
        <vt:i4>0</vt:i4>
      </vt:variant>
      <vt:variant>
        <vt:i4>5</vt:i4>
      </vt:variant>
      <vt:variant>
        <vt:lpwstr/>
      </vt:variant>
      <vt:variant>
        <vt:lpwstr>_Toc461701668</vt:lpwstr>
      </vt:variant>
      <vt:variant>
        <vt:i4>1114163</vt:i4>
      </vt:variant>
      <vt:variant>
        <vt:i4>326</vt:i4>
      </vt:variant>
      <vt:variant>
        <vt:i4>0</vt:i4>
      </vt:variant>
      <vt:variant>
        <vt:i4>5</vt:i4>
      </vt:variant>
      <vt:variant>
        <vt:lpwstr/>
      </vt:variant>
      <vt:variant>
        <vt:lpwstr>_Toc461701667</vt:lpwstr>
      </vt:variant>
      <vt:variant>
        <vt:i4>1114163</vt:i4>
      </vt:variant>
      <vt:variant>
        <vt:i4>320</vt:i4>
      </vt:variant>
      <vt:variant>
        <vt:i4>0</vt:i4>
      </vt:variant>
      <vt:variant>
        <vt:i4>5</vt:i4>
      </vt:variant>
      <vt:variant>
        <vt:lpwstr/>
      </vt:variant>
      <vt:variant>
        <vt:lpwstr>_Toc461701666</vt:lpwstr>
      </vt:variant>
      <vt:variant>
        <vt:i4>1114163</vt:i4>
      </vt:variant>
      <vt:variant>
        <vt:i4>314</vt:i4>
      </vt:variant>
      <vt:variant>
        <vt:i4>0</vt:i4>
      </vt:variant>
      <vt:variant>
        <vt:i4>5</vt:i4>
      </vt:variant>
      <vt:variant>
        <vt:lpwstr/>
      </vt:variant>
      <vt:variant>
        <vt:lpwstr>_Toc461701665</vt:lpwstr>
      </vt:variant>
      <vt:variant>
        <vt:i4>1114163</vt:i4>
      </vt:variant>
      <vt:variant>
        <vt:i4>308</vt:i4>
      </vt:variant>
      <vt:variant>
        <vt:i4>0</vt:i4>
      </vt:variant>
      <vt:variant>
        <vt:i4>5</vt:i4>
      </vt:variant>
      <vt:variant>
        <vt:lpwstr/>
      </vt:variant>
      <vt:variant>
        <vt:lpwstr>_Toc461701664</vt:lpwstr>
      </vt:variant>
      <vt:variant>
        <vt:i4>1114163</vt:i4>
      </vt:variant>
      <vt:variant>
        <vt:i4>302</vt:i4>
      </vt:variant>
      <vt:variant>
        <vt:i4>0</vt:i4>
      </vt:variant>
      <vt:variant>
        <vt:i4>5</vt:i4>
      </vt:variant>
      <vt:variant>
        <vt:lpwstr/>
      </vt:variant>
      <vt:variant>
        <vt:lpwstr>_Toc461701663</vt:lpwstr>
      </vt:variant>
      <vt:variant>
        <vt:i4>1114163</vt:i4>
      </vt:variant>
      <vt:variant>
        <vt:i4>296</vt:i4>
      </vt:variant>
      <vt:variant>
        <vt:i4>0</vt:i4>
      </vt:variant>
      <vt:variant>
        <vt:i4>5</vt:i4>
      </vt:variant>
      <vt:variant>
        <vt:lpwstr/>
      </vt:variant>
      <vt:variant>
        <vt:lpwstr>_Toc461701662</vt:lpwstr>
      </vt:variant>
      <vt:variant>
        <vt:i4>1114163</vt:i4>
      </vt:variant>
      <vt:variant>
        <vt:i4>290</vt:i4>
      </vt:variant>
      <vt:variant>
        <vt:i4>0</vt:i4>
      </vt:variant>
      <vt:variant>
        <vt:i4>5</vt:i4>
      </vt:variant>
      <vt:variant>
        <vt:lpwstr/>
      </vt:variant>
      <vt:variant>
        <vt:lpwstr>_Toc461701661</vt:lpwstr>
      </vt:variant>
      <vt:variant>
        <vt:i4>1114163</vt:i4>
      </vt:variant>
      <vt:variant>
        <vt:i4>284</vt:i4>
      </vt:variant>
      <vt:variant>
        <vt:i4>0</vt:i4>
      </vt:variant>
      <vt:variant>
        <vt:i4>5</vt:i4>
      </vt:variant>
      <vt:variant>
        <vt:lpwstr/>
      </vt:variant>
      <vt:variant>
        <vt:lpwstr>_Toc461701660</vt:lpwstr>
      </vt:variant>
      <vt:variant>
        <vt:i4>1179699</vt:i4>
      </vt:variant>
      <vt:variant>
        <vt:i4>278</vt:i4>
      </vt:variant>
      <vt:variant>
        <vt:i4>0</vt:i4>
      </vt:variant>
      <vt:variant>
        <vt:i4>5</vt:i4>
      </vt:variant>
      <vt:variant>
        <vt:lpwstr/>
      </vt:variant>
      <vt:variant>
        <vt:lpwstr>_Toc461701659</vt:lpwstr>
      </vt:variant>
      <vt:variant>
        <vt:i4>1179699</vt:i4>
      </vt:variant>
      <vt:variant>
        <vt:i4>272</vt:i4>
      </vt:variant>
      <vt:variant>
        <vt:i4>0</vt:i4>
      </vt:variant>
      <vt:variant>
        <vt:i4>5</vt:i4>
      </vt:variant>
      <vt:variant>
        <vt:lpwstr/>
      </vt:variant>
      <vt:variant>
        <vt:lpwstr>_Toc461701658</vt:lpwstr>
      </vt:variant>
      <vt:variant>
        <vt:i4>1179699</vt:i4>
      </vt:variant>
      <vt:variant>
        <vt:i4>266</vt:i4>
      </vt:variant>
      <vt:variant>
        <vt:i4>0</vt:i4>
      </vt:variant>
      <vt:variant>
        <vt:i4>5</vt:i4>
      </vt:variant>
      <vt:variant>
        <vt:lpwstr/>
      </vt:variant>
      <vt:variant>
        <vt:lpwstr>_Toc461701657</vt:lpwstr>
      </vt:variant>
      <vt:variant>
        <vt:i4>1179699</vt:i4>
      </vt:variant>
      <vt:variant>
        <vt:i4>260</vt:i4>
      </vt:variant>
      <vt:variant>
        <vt:i4>0</vt:i4>
      </vt:variant>
      <vt:variant>
        <vt:i4>5</vt:i4>
      </vt:variant>
      <vt:variant>
        <vt:lpwstr/>
      </vt:variant>
      <vt:variant>
        <vt:lpwstr>_Toc461701656</vt:lpwstr>
      </vt:variant>
      <vt:variant>
        <vt:i4>1179699</vt:i4>
      </vt:variant>
      <vt:variant>
        <vt:i4>254</vt:i4>
      </vt:variant>
      <vt:variant>
        <vt:i4>0</vt:i4>
      </vt:variant>
      <vt:variant>
        <vt:i4>5</vt:i4>
      </vt:variant>
      <vt:variant>
        <vt:lpwstr/>
      </vt:variant>
      <vt:variant>
        <vt:lpwstr>_Toc461701655</vt:lpwstr>
      </vt:variant>
      <vt:variant>
        <vt:i4>1179699</vt:i4>
      </vt:variant>
      <vt:variant>
        <vt:i4>248</vt:i4>
      </vt:variant>
      <vt:variant>
        <vt:i4>0</vt:i4>
      </vt:variant>
      <vt:variant>
        <vt:i4>5</vt:i4>
      </vt:variant>
      <vt:variant>
        <vt:lpwstr/>
      </vt:variant>
      <vt:variant>
        <vt:lpwstr>_Toc461701654</vt:lpwstr>
      </vt:variant>
      <vt:variant>
        <vt:i4>1179699</vt:i4>
      </vt:variant>
      <vt:variant>
        <vt:i4>242</vt:i4>
      </vt:variant>
      <vt:variant>
        <vt:i4>0</vt:i4>
      </vt:variant>
      <vt:variant>
        <vt:i4>5</vt:i4>
      </vt:variant>
      <vt:variant>
        <vt:lpwstr/>
      </vt:variant>
      <vt:variant>
        <vt:lpwstr>_Toc461701653</vt:lpwstr>
      </vt:variant>
      <vt:variant>
        <vt:i4>1179699</vt:i4>
      </vt:variant>
      <vt:variant>
        <vt:i4>236</vt:i4>
      </vt:variant>
      <vt:variant>
        <vt:i4>0</vt:i4>
      </vt:variant>
      <vt:variant>
        <vt:i4>5</vt:i4>
      </vt:variant>
      <vt:variant>
        <vt:lpwstr/>
      </vt:variant>
      <vt:variant>
        <vt:lpwstr>_Toc461701652</vt:lpwstr>
      </vt:variant>
      <vt:variant>
        <vt:i4>1179699</vt:i4>
      </vt:variant>
      <vt:variant>
        <vt:i4>230</vt:i4>
      </vt:variant>
      <vt:variant>
        <vt:i4>0</vt:i4>
      </vt:variant>
      <vt:variant>
        <vt:i4>5</vt:i4>
      </vt:variant>
      <vt:variant>
        <vt:lpwstr/>
      </vt:variant>
      <vt:variant>
        <vt:lpwstr>_Toc461701651</vt:lpwstr>
      </vt:variant>
      <vt:variant>
        <vt:i4>1179699</vt:i4>
      </vt:variant>
      <vt:variant>
        <vt:i4>224</vt:i4>
      </vt:variant>
      <vt:variant>
        <vt:i4>0</vt:i4>
      </vt:variant>
      <vt:variant>
        <vt:i4>5</vt:i4>
      </vt:variant>
      <vt:variant>
        <vt:lpwstr/>
      </vt:variant>
      <vt:variant>
        <vt:lpwstr>_Toc461701650</vt:lpwstr>
      </vt:variant>
      <vt:variant>
        <vt:i4>1245235</vt:i4>
      </vt:variant>
      <vt:variant>
        <vt:i4>218</vt:i4>
      </vt:variant>
      <vt:variant>
        <vt:i4>0</vt:i4>
      </vt:variant>
      <vt:variant>
        <vt:i4>5</vt:i4>
      </vt:variant>
      <vt:variant>
        <vt:lpwstr/>
      </vt:variant>
      <vt:variant>
        <vt:lpwstr>_Toc461701649</vt:lpwstr>
      </vt:variant>
      <vt:variant>
        <vt:i4>1245235</vt:i4>
      </vt:variant>
      <vt:variant>
        <vt:i4>212</vt:i4>
      </vt:variant>
      <vt:variant>
        <vt:i4>0</vt:i4>
      </vt:variant>
      <vt:variant>
        <vt:i4>5</vt:i4>
      </vt:variant>
      <vt:variant>
        <vt:lpwstr/>
      </vt:variant>
      <vt:variant>
        <vt:lpwstr>_Toc461701648</vt:lpwstr>
      </vt:variant>
      <vt:variant>
        <vt:i4>1245235</vt:i4>
      </vt:variant>
      <vt:variant>
        <vt:i4>206</vt:i4>
      </vt:variant>
      <vt:variant>
        <vt:i4>0</vt:i4>
      </vt:variant>
      <vt:variant>
        <vt:i4>5</vt:i4>
      </vt:variant>
      <vt:variant>
        <vt:lpwstr/>
      </vt:variant>
      <vt:variant>
        <vt:lpwstr>_Toc461701647</vt:lpwstr>
      </vt:variant>
      <vt:variant>
        <vt:i4>1245235</vt:i4>
      </vt:variant>
      <vt:variant>
        <vt:i4>200</vt:i4>
      </vt:variant>
      <vt:variant>
        <vt:i4>0</vt:i4>
      </vt:variant>
      <vt:variant>
        <vt:i4>5</vt:i4>
      </vt:variant>
      <vt:variant>
        <vt:lpwstr/>
      </vt:variant>
      <vt:variant>
        <vt:lpwstr>_Toc461701646</vt:lpwstr>
      </vt:variant>
      <vt:variant>
        <vt:i4>1245235</vt:i4>
      </vt:variant>
      <vt:variant>
        <vt:i4>194</vt:i4>
      </vt:variant>
      <vt:variant>
        <vt:i4>0</vt:i4>
      </vt:variant>
      <vt:variant>
        <vt:i4>5</vt:i4>
      </vt:variant>
      <vt:variant>
        <vt:lpwstr/>
      </vt:variant>
      <vt:variant>
        <vt:lpwstr>_Toc461701645</vt:lpwstr>
      </vt:variant>
      <vt:variant>
        <vt:i4>1245235</vt:i4>
      </vt:variant>
      <vt:variant>
        <vt:i4>188</vt:i4>
      </vt:variant>
      <vt:variant>
        <vt:i4>0</vt:i4>
      </vt:variant>
      <vt:variant>
        <vt:i4>5</vt:i4>
      </vt:variant>
      <vt:variant>
        <vt:lpwstr/>
      </vt:variant>
      <vt:variant>
        <vt:lpwstr>_Toc461701644</vt:lpwstr>
      </vt:variant>
      <vt:variant>
        <vt:i4>1245235</vt:i4>
      </vt:variant>
      <vt:variant>
        <vt:i4>182</vt:i4>
      </vt:variant>
      <vt:variant>
        <vt:i4>0</vt:i4>
      </vt:variant>
      <vt:variant>
        <vt:i4>5</vt:i4>
      </vt:variant>
      <vt:variant>
        <vt:lpwstr/>
      </vt:variant>
      <vt:variant>
        <vt:lpwstr>_Toc461701643</vt:lpwstr>
      </vt:variant>
      <vt:variant>
        <vt:i4>1245235</vt:i4>
      </vt:variant>
      <vt:variant>
        <vt:i4>176</vt:i4>
      </vt:variant>
      <vt:variant>
        <vt:i4>0</vt:i4>
      </vt:variant>
      <vt:variant>
        <vt:i4>5</vt:i4>
      </vt:variant>
      <vt:variant>
        <vt:lpwstr/>
      </vt:variant>
      <vt:variant>
        <vt:lpwstr>_Toc461701642</vt:lpwstr>
      </vt:variant>
      <vt:variant>
        <vt:i4>1245235</vt:i4>
      </vt:variant>
      <vt:variant>
        <vt:i4>170</vt:i4>
      </vt:variant>
      <vt:variant>
        <vt:i4>0</vt:i4>
      </vt:variant>
      <vt:variant>
        <vt:i4>5</vt:i4>
      </vt:variant>
      <vt:variant>
        <vt:lpwstr/>
      </vt:variant>
      <vt:variant>
        <vt:lpwstr>_Toc461701641</vt:lpwstr>
      </vt:variant>
      <vt:variant>
        <vt:i4>1245235</vt:i4>
      </vt:variant>
      <vt:variant>
        <vt:i4>164</vt:i4>
      </vt:variant>
      <vt:variant>
        <vt:i4>0</vt:i4>
      </vt:variant>
      <vt:variant>
        <vt:i4>5</vt:i4>
      </vt:variant>
      <vt:variant>
        <vt:lpwstr/>
      </vt:variant>
      <vt:variant>
        <vt:lpwstr>_Toc461701640</vt:lpwstr>
      </vt:variant>
      <vt:variant>
        <vt:i4>1310771</vt:i4>
      </vt:variant>
      <vt:variant>
        <vt:i4>158</vt:i4>
      </vt:variant>
      <vt:variant>
        <vt:i4>0</vt:i4>
      </vt:variant>
      <vt:variant>
        <vt:i4>5</vt:i4>
      </vt:variant>
      <vt:variant>
        <vt:lpwstr/>
      </vt:variant>
      <vt:variant>
        <vt:lpwstr>_Toc461701639</vt:lpwstr>
      </vt:variant>
      <vt:variant>
        <vt:i4>1310771</vt:i4>
      </vt:variant>
      <vt:variant>
        <vt:i4>152</vt:i4>
      </vt:variant>
      <vt:variant>
        <vt:i4>0</vt:i4>
      </vt:variant>
      <vt:variant>
        <vt:i4>5</vt:i4>
      </vt:variant>
      <vt:variant>
        <vt:lpwstr/>
      </vt:variant>
      <vt:variant>
        <vt:lpwstr>_Toc461701638</vt:lpwstr>
      </vt:variant>
      <vt:variant>
        <vt:i4>1310771</vt:i4>
      </vt:variant>
      <vt:variant>
        <vt:i4>146</vt:i4>
      </vt:variant>
      <vt:variant>
        <vt:i4>0</vt:i4>
      </vt:variant>
      <vt:variant>
        <vt:i4>5</vt:i4>
      </vt:variant>
      <vt:variant>
        <vt:lpwstr/>
      </vt:variant>
      <vt:variant>
        <vt:lpwstr>_Toc461701637</vt:lpwstr>
      </vt:variant>
      <vt:variant>
        <vt:i4>1310771</vt:i4>
      </vt:variant>
      <vt:variant>
        <vt:i4>140</vt:i4>
      </vt:variant>
      <vt:variant>
        <vt:i4>0</vt:i4>
      </vt:variant>
      <vt:variant>
        <vt:i4>5</vt:i4>
      </vt:variant>
      <vt:variant>
        <vt:lpwstr/>
      </vt:variant>
      <vt:variant>
        <vt:lpwstr>_Toc461701636</vt:lpwstr>
      </vt:variant>
      <vt:variant>
        <vt:i4>1310771</vt:i4>
      </vt:variant>
      <vt:variant>
        <vt:i4>134</vt:i4>
      </vt:variant>
      <vt:variant>
        <vt:i4>0</vt:i4>
      </vt:variant>
      <vt:variant>
        <vt:i4>5</vt:i4>
      </vt:variant>
      <vt:variant>
        <vt:lpwstr/>
      </vt:variant>
      <vt:variant>
        <vt:lpwstr>_Toc461701635</vt:lpwstr>
      </vt:variant>
      <vt:variant>
        <vt:i4>1310771</vt:i4>
      </vt:variant>
      <vt:variant>
        <vt:i4>128</vt:i4>
      </vt:variant>
      <vt:variant>
        <vt:i4>0</vt:i4>
      </vt:variant>
      <vt:variant>
        <vt:i4>5</vt:i4>
      </vt:variant>
      <vt:variant>
        <vt:lpwstr/>
      </vt:variant>
      <vt:variant>
        <vt:lpwstr>_Toc461701634</vt:lpwstr>
      </vt:variant>
      <vt:variant>
        <vt:i4>1310771</vt:i4>
      </vt:variant>
      <vt:variant>
        <vt:i4>122</vt:i4>
      </vt:variant>
      <vt:variant>
        <vt:i4>0</vt:i4>
      </vt:variant>
      <vt:variant>
        <vt:i4>5</vt:i4>
      </vt:variant>
      <vt:variant>
        <vt:lpwstr/>
      </vt:variant>
      <vt:variant>
        <vt:lpwstr>_Toc461701633</vt:lpwstr>
      </vt:variant>
      <vt:variant>
        <vt:i4>1310771</vt:i4>
      </vt:variant>
      <vt:variant>
        <vt:i4>116</vt:i4>
      </vt:variant>
      <vt:variant>
        <vt:i4>0</vt:i4>
      </vt:variant>
      <vt:variant>
        <vt:i4>5</vt:i4>
      </vt:variant>
      <vt:variant>
        <vt:lpwstr/>
      </vt:variant>
      <vt:variant>
        <vt:lpwstr>_Toc461701632</vt:lpwstr>
      </vt:variant>
      <vt:variant>
        <vt:i4>1310771</vt:i4>
      </vt:variant>
      <vt:variant>
        <vt:i4>110</vt:i4>
      </vt:variant>
      <vt:variant>
        <vt:i4>0</vt:i4>
      </vt:variant>
      <vt:variant>
        <vt:i4>5</vt:i4>
      </vt:variant>
      <vt:variant>
        <vt:lpwstr/>
      </vt:variant>
      <vt:variant>
        <vt:lpwstr>_Toc461701631</vt:lpwstr>
      </vt:variant>
      <vt:variant>
        <vt:i4>1310771</vt:i4>
      </vt:variant>
      <vt:variant>
        <vt:i4>104</vt:i4>
      </vt:variant>
      <vt:variant>
        <vt:i4>0</vt:i4>
      </vt:variant>
      <vt:variant>
        <vt:i4>5</vt:i4>
      </vt:variant>
      <vt:variant>
        <vt:lpwstr/>
      </vt:variant>
      <vt:variant>
        <vt:lpwstr>_Toc461701630</vt:lpwstr>
      </vt:variant>
      <vt:variant>
        <vt:i4>1376307</vt:i4>
      </vt:variant>
      <vt:variant>
        <vt:i4>98</vt:i4>
      </vt:variant>
      <vt:variant>
        <vt:i4>0</vt:i4>
      </vt:variant>
      <vt:variant>
        <vt:i4>5</vt:i4>
      </vt:variant>
      <vt:variant>
        <vt:lpwstr/>
      </vt:variant>
      <vt:variant>
        <vt:lpwstr>_Toc461701629</vt:lpwstr>
      </vt:variant>
      <vt:variant>
        <vt:i4>1376307</vt:i4>
      </vt:variant>
      <vt:variant>
        <vt:i4>92</vt:i4>
      </vt:variant>
      <vt:variant>
        <vt:i4>0</vt:i4>
      </vt:variant>
      <vt:variant>
        <vt:i4>5</vt:i4>
      </vt:variant>
      <vt:variant>
        <vt:lpwstr/>
      </vt:variant>
      <vt:variant>
        <vt:lpwstr>_Toc461701628</vt:lpwstr>
      </vt:variant>
      <vt:variant>
        <vt:i4>1376307</vt:i4>
      </vt:variant>
      <vt:variant>
        <vt:i4>86</vt:i4>
      </vt:variant>
      <vt:variant>
        <vt:i4>0</vt:i4>
      </vt:variant>
      <vt:variant>
        <vt:i4>5</vt:i4>
      </vt:variant>
      <vt:variant>
        <vt:lpwstr/>
      </vt:variant>
      <vt:variant>
        <vt:lpwstr>_Toc461701627</vt:lpwstr>
      </vt:variant>
      <vt:variant>
        <vt:i4>1376307</vt:i4>
      </vt:variant>
      <vt:variant>
        <vt:i4>80</vt:i4>
      </vt:variant>
      <vt:variant>
        <vt:i4>0</vt:i4>
      </vt:variant>
      <vt:variant>
        <vt:i4>5</vt:i4>
      </vt:variant>
      <vt:variant>
        <vt:lpwstr/>
      </vt:variant>
      <vt:variant>
        <vt:lpwstr>_Toc461701626</vt:lpwstr>
      </vt:variant>
      <vt:variant>
        <vt:i4>1376307</vt:i4>
      </vt:variant>
      <vt:variant>
        <vt:i4>74</vt:i4>
      </vt:variant>
      <vt:variant>
        <vt:i4>0</vt:i4>
      </vt:variant>
      <vt:variant>
        <vt:i4>5</vt:i4>
      </vt:variant>
      <vt:variant>
        <vt:lpwstr/>
      </vt:variant>
      <vt:variant>
        <vt:lpwstr>_Toc461701625</vt:lpwstr>
      </vt:variant>
      <vt:variant>
        <vt:i4>1376307</vt:i4>
      </vt:variant>
      <vt:variant>
        <vt:i4>68</vt:i4>
      </vt:variant>
      <vt:variant>
        <vt:i4>0</vt:i4>
      </vt:variant>
      <vt:variant>
        <vt:i4>5</vt:i4>
      </vt:variant>
      <vt:variant>
        <vt:lpwstr/>
      </vt:variant>
      <vt:variant>
        <vt:lpwstr>_Toc461701624</vt:lpwstr>
      </vt:variant>
      <vt:variant>
        <vt:i4>1376307</vt:i4>
      </vt:variant>
      <vt:variant>
        <vt:i4>62</vt:i4>
      </vt:variant>
      <vt:variant>
        <vt:i4>0</vt:i4>
      </vt:variant>
      <vt:variant>
        <vt:i4>5</vt:i4>
      </vt:variant>
      <vt:variant>
        <vt:lpwstr/>
      </vt:variant>
      <vt:variant>
        <vt:lpwstr>_Toc461701623</vt:lpwstr>
      </vt:variant>
      <vt:variant>
        <vt:i4>1376307</vt:i4>
      </vt:variant>
      <vt:variant>
        <vt:i4>56</vt:i4>
      </vt:variant>
      <vt:variant>
        <vt:i4>0</vt:i4>
      </vt:variant>
      <vt:variant>
        <vt:i4>5</vt:i4>
      </vt:variant>
      <vt:variant>
        <vt:lpwstr/>
      </vt:variant>
      <vt:variant>
        <vt:lpwstr>_Toc461701622</vt:lpwstr>
      </vt:variant>
      <vt:variant>
        <vt:i4>1376307</vt:i4>
      </vt:variant>
      <vt:variant>
        <vt:i4>50</vt:i4>
      </vt:variant>
      <vt:variant>
        <vt:i4>0</vt:i4>
      </vt:variant>
      <vt:variant>
        <vt:i4>5</vt:i4>
      </vt:variant>
      <vt:variant>
        <vt:lpwstr/>
      </vt:variant>
      <vt:variant>
        <vt:lpwstr>_Toc461701621</vt:lpwstr>
      </vt:variant>
      <vt:variant>
        <vt:i4>1376307</vt:i4>
      </vt:variant>
      <vt:variant>
        <vt:i4>44</vt:i4>
      </vt:variant>
      <vt:variant>
        <vt:i4>0</vt:i4>
      </vt:variant>
      <vt:variant>
        <vt:i4>5</vt:i4>
      </vt:variant>
      <vt:variant>
        <vt:lpwstr/>
      </vt:variant>
      <vt:variant>
        <vt:lpwstr>_Toc461701620</vt:lpwstr>
      </vt:variant>
      <vt:variant>
        <vt:i4>1441843</vt:i4>
      </vt:variant>
      <vt:variant>
        <vt:i4>38</vt:i4>
      </vt:variant>
      <vt:variant>
        <vt:i4>0</vt:i4>
      </vt:variant>
      <vt:variant>
        <vt:i4>5</vt:i4>
      </vt:variant>
      <vt:variant>
        <vt:lpwstr/>
      </vt:variant>
      <vt:variant>
        <vt:lpwstr>_Toc461701619</vt:lpwstr>
      </vt:variant>
      <vt:variant>
        <vt:i4>1441843</vt:i4>
      </vt:variant>
      <vt:variant>
        <vt:i4>32</vt:i4>
      </vt:variant>
      <vt:variant>
        <vt:i4>0</vt:i4>
      </vt:variant>
      <vt:variant>
        <vt:i4>5</vt:i4>
      </vt:variant>
      <vt:variant>
        <vt:lpwstr/>
      </vt:variant>
      <vt:variant>
        <vt:lpwstr>_Toc461701618</vt:lpwstr>
      </vt:variant>
      <vt:variant>
        <vt:i4>1441843</vt:i4>
      </vt:variant>
      <vt:variant>
        <vt:i4>26</vt:i4>
      </vt:variant>
      <vt:variant>
        <vt:i4>0</vt:i4>
      </vt:variant>
      <vt:variant>
        <vt:i4>5</vt:i4>
      </vt:variant>
      <vt:variant>
        <vt:lpwstr/>
      </vt:variant>
      <vt:variant>
        <vt:lpwstr>_Toc461701617</vt:lpwstr>
      </vt:variant>
      <vt:variant>
        <vt:i4>1441843</vt:i4>
      </vt:variant>
      <vt:variant>
        <vt:i4>20</vt:i4>
      </vt:variant>
      <vt:variant>
        <vt:i4>0</vt:i4>
      </vt:variant>
      <vt:variant>
        <vt:i4>5</vt:i4>
      </vt:variant>
      <vt:variant>
        <vt:lpwstr/>
      </vt:variant>
      <vt:variant>
        <vt:lpwstr>_Toc461701616</vt:lpwstr>
      </vt:variant>
      <vt:variant>
        <vt:i4>1441843</vt:i4>
      </vt:variant>
      <vt:variant>
        <vt:i4>14</vt:i4>
      </vt:variant>
      <vt:variant>
        <vt:i4>0</vt:i4>
      </vt:variant>
      <vt:variant>
        <vt:i4>5</vt:i4>
      </vt:variant>
      <vt:variant>
        <vt:lpwstr/>
      </vt:variant>
      <vt:variant>
        <vt:lpwstr>_Toc461701615</vt:lpwstr>
      </vt:variant>
      <vt:variant>
        <vt:i4>1441843</vt:i4>
      </vt:variant>
      <vt:variant>
        <vt:i4>8</vt:i4>
      </vt:variant>
      <vt:variant>
        <vt:i4>0</vt:i4>
      </vt:variant>
      <vt:variant>
        <vt:i4>5</vt:i4>
      </vt:variant>
      <vt:variant>
        <vt:lpwstr/>
      </vt:variant>
      <vt:variant>
        <vt:lpwstr>_Toc461701614</vt:lpwstr>
      </vt:variant>
      <vt:variant>
        <vt:i4>1441843</vt:i4>
      </vt:variant>
      <vt:variant>
        <vt:i4>2</vt:i4>
      </vt:variant>
      <vt:variant>
        <vt:i4>0</vt:i4>
      </vt:variant>
      <vt:variant>
        <vt:i4>5</vt:i4>
      </vt:variant>
      <vt:variant>
        <vt:lpwstr/>
      </vt:variant>
      <vt:variant>
        <vt:lpwstr>_Toc461701613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No 5 on the submission of the Annex II and III tables of Regulation (EU) No 908/2014</dc:title>
  <dc:subject>reporting of recovery cases to the COM</dc:subject>
  <dc:creator>Charles.MORGAN@ec.europa.eu;Nikoletta.PAPADOPOULOU@ec.europa.eu;Nicolaos.THEODORIDIS@ec.europa.eu</dc:creator>
  <cp:keywords>FY2015</cp:keywords>
  <dc:description/>
  <cp:lastModifiedBy>MARC Anita (DGT)</cp:lastModifiedBy>
  <cp:revision>68</cp:revision>
  <cp:lastPrinted>2021-06-30T10:33:00Z</cp:lastPrinted>
  <dcterms:created xsi:type="dcterms:W3CDTF">2023-01-16T09:48:00Z</dcterms:created>
  <dcterms:modified xsi:type="dcterms:W3CDTF">2023-05-05T12:22:00Z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4.1.6.3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Mate Tas</vt:lpwstr>
  </property>
  <property fmtid="{D5CDD505-2E9C-101B-9397-08002B2CF9AE}" pid="9" name="Type">
    <vt:lpwstr>Eurolook Note &amp; Letter</vt:lpwstr>
  </property>
  <property fmtid="{D5CDD505-2E9C-101B-9397-08002B2CF9AE}" pid="10" name="Language">
    <vt:lpwstr>EN</vt:lpwstr>
  </property>
  <property fmtid="{D5CDD505-2E9C-101B-9397-08002B2CF9AE}" pid="11" name="EL_Language">
    <vt:lpwstr>EN</vt:lpwstr>
  </property>
  <property fmtid="{D5CDD505-2E9C-101B-9397-08002B2CF9AE}" pid="12" name="_NewReviewCycle">
    <vt:lpwstr/>
  </property>
  <property fmtid="{D5CDD505-2E9C-101B-9397-08002B2CF9AE}" pid="13" name="ELDocType">
    <vt:lpwstr>not.dot</vt:lpwstr>
  </property>
  <property fmtid="{D5CDD505-2E9C-101B-9397-08002B2CF9AE}" pid="14" name="MSIP_Label_6bd9ddd1-4d20-43f6-abfa-fc3c07406f94_Enabled">
    <vt:lpwstr>true</vt:lpwstr>
  </property>
  <property fmtid="{D5CDD505-2E9C-101B-9397-08002B2CF9AE}" pid="15" name="MSIP_Label_6bd9ddd1-4d20-43f6-abfa-fc3c07406f94_SetDate">
    <vt:lpwstr>2023-02-07T15:42:55Z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9e1ac8c6-7185-4024-8136-9d52ecb0e16e</vt:lpwstr>
  </property>
  <property fmtid="{D5CDD505-2E9C-101B-9397-08002B2CF9AE}" pid="20" name="MSIP_Label_6bd9ddd1-4d20-43f6-abfa-fc3c07406f94_ContentBits">
    <vt:lpwstr>0</vt:lpwstr>
  </property>
</Properties>
</file>