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434CE" w14:textId="795F78A6" w:rsidR="00980F4D" w:rsidRPr="00E87F33" w:rsidRDefault="00E87F33" w:rsidP="00E87F33">
      <w:pPr>
        <w:jc w:val="both"/>
        <w:rPr>
          <w:rFonts w:ascii="Republika" w:hAnsi="Republika"/>
          <w:b/>
          <w:bCs/>
          <w:sz w:val="32"/>
          <w:szCs w:val="32"/>
        </w:rPr>
      </w:pPr>
      <w:r w:rsidRPr="00E87F33">
        <w:rPr>
          <w:rFonts w:ascii="Republika" w:hAnsi="Republika"/>
          <w:b/>
          <w:bCs/>
          <w:sz w:val="32"/>
          <w:szCs w:val="32"/>
        </w:rPr>
        <w:t>Izvajanje izobraževanj za osebe na prestajanju zaporne kazni</w:t>
      </w:r>
    </w:p>
    <w:p w14:paraId="6F22076F"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 xml:space="preserve">Sklad: </w:t>
      </w:r>
      <w:r w:rsidRPr="00E87F33">
        <w:rPr>
          <w:rFonts w:ascii="Republika" w:hAnsi="Republika"/>
          <w:sz w:val="22"/>
          <w:szCs w:val="22"/>
        </w:rPr>
        <w:t>ESS+</w:t>
      </w:r>
    </w:p>
    <w:p w14:paraId="0784236A"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Cilj politike:</w:t>
      </w:r>
      <w:r w:rsidRPr="00E87F33">
        <w:rPr>
          <w:rFonts w:ascii="Republika" w:hAnsi="Republika"/>
          <w:sz w:val="22"/>
          <w:szCs w:val="22"/>
        </w:rPr>
        <w:t xml:space="preserve"> CP4: Bolj socialna in vključujoča Evropa za izvajanje evropskega stebra socialnih pravic</w:t>
      </w:r>
    </w:p>
    <w:p w14:paraId="734F572C"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Prednostna naloga:</w:t>
      </w:r>
      <w:r w:rsidRPr="00E87F33">
        <w:rPr>
          <w:rFonts w:ascii="Republika" w:hAnsi="Republika"/>
          <w:sz w:val="22"/>
          <w:szCs w:val="22"/>
        </w:rPr>
        <w:t xml:space="preserve"> PN7: Dolgotrajna oskrba in zdravje ter socialna vključenost </w:t>
      </w:r>
    </w:p>
    <w:p w14:paraId="45D01FA1"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Specifični cilj:</w:t>
      </w:r>
      <w:r w:rsidRPr="00E87F33">
        <w:rPr>
          <w:rFonts w:ascii="Republika" w:hAnsi="Republika"/>
          <w:sz w:val="22"/>
          <w:szCs w:val="22"/>
        </w:rPr>
        <w:t xml:space="preserve"> ESO4.8: Pospeševanje dejavnega vključevanja za spodbujanje enakih možnosti, nediskriminacije in aktivne udeležbe ter povečevanje zaposljivosti, zlasti za prikrajšane skupine (ESS+)</w:t>
      </w:r>
    </w:p>
    <w:p w14:paraId="5C5A4C03"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Predvideno trajanje projekta:</w:t>
      </w:r>
      <w:r w:rsidRPr="00E87F33">
        <w:rPr>
          <w:rFonts w:ascii="Republika" w:hAnsi="Republika"/>
          <w:sz w:val="22"/>
          <w:szCs w:val="22"/>
        </w:rPr>
        <w:t xml:space="preserve"> 28. 3. 2024 - 31. 12. 2029</w:t>
      </w:r>
    </w:p>
    <w:p w14:paraId="0F22F7D8"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Vrednost projekta:</w:t>
      </w:r>
      <w:r w:rsidRPr="00E87F33">
        <w:rPr>
          <w:rFonts w:ascii="Republika" w:hAnsi="Republika"/>
          <w:sz w:val="22"/>
          <w:szCs w:val="22"/>
        </w:rPr>
        <w:t xml:space="preserve"> 2.000.000,00 EUR (od tega podpora Evropske unije 1.428.830,00 EUR in nacionalni javni prispevek iz državnega proračuna 571.170,00 EUR)</w:t>
      </w:r>
    </w:p>
    <w:p w14:paraId="4B8ACA66"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 xml:space="preserve">Opis upravičenca: </w:t>
      </w:r>
    </w:p>
    <w:p w14:paraId="268375FC" w14:textId="77777777" w:rsidR="00E87F33" w:rsidRPr="00E87F33" w:rsidRDefault="00E87F33" w:rsidP="00E87F33">
      <w:pPr>
        <w:pStyle w:val="Navadensplet"/>
        <w:jc w:val="both"/>
        <w:rPr>
          <w:rFonts w:ascii="Republika" w:hAnsi="Republika"/>
          <w:sz w:val="22"/>
          <w:szCs w:val="22"/>
        </w:rPr>
      </w:pPr>
      <w:r w:rsidRPr="00E87F33">
        <w:rPr>
          <w:rFonts w:ascii="Republika" w:hAnsi="Republika"/>
          <w:sz w:val="22"/>
          <w:szCs w:val="22"/>
        </w:rPr>
        <w:t>Osnovno poslanstvo URSIKS je zagotavljanje izvrševanja kazenskih sankcij, prestajanja pripora, kazni zapora, nadomestnega zapora in vzgojnega ukrepa oddaje mladoletnika v prevzgojni dom. Ob tem se omogoča možnost resocializacije zaprtih oseb v družbo. URSIKS deluje na 15 lokacijah po vsej državi, njeno delo vodi generalni direktor. Pristojnosti in delo URSIKS so razdeljeni med osem notranjih organizacijskih enot: Generalni urad, šest zavodov za prestajanje kazni zapora (nekateri imajo tudi dislocirane oddelke) in prevzgojni dom. V zavodih so vzpostavljeni odprti, polodprti in zaprti oddelki, ki se med seboj razlikujejo po stopnji varovanja in omejevanja svobode gibanja.</w:t>
      </w:r>
    </w:p>
    <w:p w14:paraId="1C52109A" w14:textId="77777777" w:rsidR="00E87F33" w:rsidRPr="00E87F33" w:rsidRDefault="00E87F33" w:rsidP="00E87F33">
      <w:pPr>
        <w:pStyle w:val="Navadensplet"/>
        <w:jc w:val="both"/>
        <w:rPr>
          <w:rFonts w:ascii="Republika" w:hAnsi="Republika"/>
          <w:sz w:val="22"/>
          <w:szCs w:val="22"/>
        </w:rPr>
      </w:pPr>
      <w:r w:rsidRPr="00E87F33">
        <w:rPr>
          <w:rFonts w:ascii="Republika" w:hAnsi="Republika"/>
          <w:sz w:val="22"/>
          <w:szCs w:val="22"/>
        </w:rPr>
        <w:t>URSIKS že na temelju zakona izvaja naloge na področju izobraževanja oseb na prestajanju zaporne kazni. Strokovna obravnava v zavodih pokriva pedagoško, socialno in psihološko področje ter področje zdravstvenega varstva. Navedena področja predstavljajo okvir za poglobljeno multidisciplinarno strokovno delo in kakovostno obravnavo oseb na prestajanju zaporne kazni. Strokovna obravnava poteka po individualnih, skupinskih in skupnostnih programih, njen cilj pa je usposabljanje oseb na prestajanju zaporne kazni za življenje po odpustu in reintegracijo v družbo.</w:t>
      </w:r>
    </w:p>
    <w:p w14:paraId="1353A570" w14:textId="77777777" w:rsidR="00E87F33" w:rsidRPr="00E87F33" w:rsidRDefault="00E87F33" w:rsidP="00E87F33">
      <w:pPr>
        <w:pStyle w:val="Navadensplet"/>
        <w:jc w:val="both"/>
        <w:rPr>
          <w:rFonts w:ascii="Republika" w:hAnsi="Republika"/>
          <w:sz w:val="22"/>
          <w:szCs w:val="22"/>
        </w:rPr>
      </w:pPr>
      <w:r w:rsidRPr="00E87F33">
        <w:rPr>
          <w:rStyle w:val="Krepko"/>
          <w:rFonts w:ascii="Republika" w:hAnsi="Republika"/>
          <w:sz w:val="22"/>
          <w:szCs w:val="22"/>
        </w:rPr>
        <w:t>Opis projekta:</w:t>
      </w:r>
    </w:p>
    <w:p w14:paraId="0AFE63BA" w14:textId="77777777" w:rsidR="00E87F33" w:rsidRPr="00E87F33" w:rsidRDefault="00E87F33" w:rsidP="00E87F33">
      <w:pPr>
        <w:pStyle w:val="Navadensplet"/>
        <w:jc w:val="both"/>
        <w:rPr>
          <w:rFonts w:ascii="Republika" w:hAnsi="Republika"/>
          <w:sz w:val="22"/>
          <w:szCs w:val="22"/>
        </w:rPr>
      </w:pPr>
      <w:r w:rsidRPr="00E87F33">
        <w:rPr>
          <w:rFonts w:ascii="Republika" w:hAnsi="Republika"/>
          <w:sz w:val="22"/>
          <w:szCs w:val="22"/>
        </w:rPr>
        <w:t xml:space="preserve">Namen projekta »Izvajanje izobraževanj za osebe na prestajanju zaporne kazni« je omogočiti osebam, ki prestajajo zaporno kazen, pridobitev izobrazbe in kvalifikacij, kar bo olajšalo njihovo tranzicijsko obdobje po končanem prestajanju kazni ter pospešilo proces resocializacije, prilagojen njihovim specifičnim potrebam. Cilj je pridobitev srednješolske izobrazbe, kvalifikacij, prekvalifikacije in nadaljnje poklicno usposabljanje, kar se bo doseglo z izvedbo izobraževanj (osebam na prestajanju zaporne kazni bo omogočeno pridobivanje formalne izobrazbe na različnih ravneh, vključno z nižjo poklicno šolo, srednjo poklicno šolo, srednjim strokovnim </w:t>
      </w:r>
      <w:r w:rsidRPr="00E87F33">
        <w:rPr>
          <w:rFonts w:ascii="Republika" w:hAnsi="Republika"/>
          <w:sz w:val="22"/>
          <w:szCs w:val="22"/>
        </w:rPr>
        <w:lastRenderedPageBreak/>
        <w:t>izobraževanjem in višjo strokovno šolo), izvedbo programov za pridobitev nacionalne poklicne kvalifikacije (NPK), izvedbo jezikovnih tečajev za tuje zapornike (zaradi naraščajočega števila tujcev med zaprtimi se bodo izvajali tečaji slovenskega in angleškega jezika, kar bo olajšalo komunikacijo in spodbujalo resocializacijo), izvedbo izobraževalnih programov za integracijo tujih zapornikov (programi bodo naslovili specifične težave, s katerimi se tujci srečujejo zaradi jezikovnih, kulturnih in drugih razlik), ter izvedbo programov za dvig funkcionalne pismenosti (težave pri funkcionalni pismenosti otežujejo spoprijemanje z osnovnimi opravili, zato bodo razviti programi za izboljšanje teh veščin). Projekt predstavlja pomemben korak k večji socialni vključenosti in izboljšanju zaposljivosti oseb, ki prestajajo zaporno kazen.</w:t>
      </w:r>
    </w:p>
    <w:p w14:paraId="254C890A" w14:textId="77777777" w:rsidR="00E87F33" w:rsidRPr="00E87F33" w:rsidRDefault="00E87F33" w:rsidP="00E87F33">
      <w:pPr>
        <w:jc w:val="both"/>
        <w:rPr>
          <w:rFonts w:ascii="Republika" w:hAnsi="Republika"/>
        </w:rPr>
      </w:pPr>
    </w:p>
    <w:sectPr w:rsidR="00E87F33" w:rsidRPr="00E87F33">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3F6B8" w14:textId="77777777" w:rsidR="00141085" w:rsidRDefault="00141085" w:rsidP="00141085">
      <w:pPr>
        <w:spacing w:after="0" w:line="240" w:lineRule="auto"/>
      </w:pPr>
      <w:r>
        <w:separator/>
      </w:r>
    </w:p>
  </w:endnote>
  <w:endnote w:type="continuationSeparator" w:id="0">
    <w:p w14:paraId="29697F9E" w14:textId="77777777" w:rsidR="00141085" w:rsidRDefault="00141085" w:rsidP="00141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epublika">
    <w:altName w:val="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B1BA" w14:textId="77777777" w:rsidR="00141085" w:rsidRDefault="00141085" w:rsidP="00141085">
      <w:pPr>
        <w:spacing w:after="0" w:line="240" w:lineRule="auto"/>
      </w:pPr>
      <w:r>
        <w:separator/>
      </w:r>
    </w:p>
  </w:footnote>
  <w:footnote w:type="continuationSeparator" w:id="0">
    <w:p w14:paraId="0D7D96BC" w14:textId="77777777" w:rsidR="00141085" w:rsidRDefault="00141085" w:rsidP="001410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CC90C" w14:textId="5E5A18D2" w:rsidR="00716A8E" w:rsidRDefault="00716A8E" w:rsidP="00716A8E">
    <w:pPr>
      <w:pStyle w:val="Navadensplet"/>
    </w:pPr>
    <w:r>
      <w:rPr>
        <w:noProof/>
      </w:rPr>
      <w:drawing>
        <wp:inline distT="0" distB="0" distL="0" distR="0" wp14:anchorId="65FDF8C0" wp14:editId="6C7E945E">
          <wp:extent cx="6429375" cy="1304925"/>
          <wp:effectExtent l="0" t="0" r="9525" b="9525"/>
          <wp:docPr id="1391043560"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29375" cy="1304925"/>
                  </a:xfrm>
                  <a:prstGeom prst="rect">
                    <a:avLst/>
                  </a:prstGeom>
                  <a:noFill/>
                  <a:ln>
                    <a:noFill/>
                  </a:ln>
                </pic:spPr>
              </pic:pic>
            </a:graphicData>
          </a:graphic>
        </wp:inline>
      </w:drawing>
    </w:r>
  </w:p>
  <w:p w14:paraId="752E4898" w14:textId="0C3DACC9" w:rsidR="00141085" w:rsidRPr="00716A8E" w:rsidRDefault="00141085" w:rsidP="00716A8E">
    <w:pPr>
      <w:pStyle w:val="Glav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67"/>
    <w:rsid w:val="00141085"/>
    <w:rsid w:val="00716A8E"/>
    <w:rsid w:val="00980F4D"/>
    <w:rsid w:val="009C56FA"/>
    <w:rsid w:val="00E87F33"/>
    <w:rsid w:val="00E94E6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6809F"/>
  <w15:chartTrackingRefBased/>
  <w15:docId w15:val="{70A0F52E-3985-4DE2-816F-645E3CF5A0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41085"/>
    <w:pPr>
      <w:tabs>
        <w:tab w:val="center" w:pos="4536"/>
        <w:tab w:val="right" w:pos="9072"/>
      </w:tabs>
      <w:spacing w:after="0" w:line="240" w:lineRule="auto"/>
    </w:pPr>
  </w:style>
  <w:style w:type="character" w:customStyle="1" w:styleId="GlavaZnak">
    <w:name w:val="Glava Znak"/>
    <w:basedOn w:val="Privzetapisavaodstavka"/>
    <w:link w:val="Glava"/>
    <w:uiPriority w:val="99"/>
    <w:rsid w:val="00141085"/>
  </w:style>
  <w:style w:type="paragraph" w:styleId="Noga">
    <w:name w:val="footer"/>
    <w:basedOn w:val="Navaden"/>
    <w:link w:val="NogaZnak"/>
    <w:uiPriority w:val="99"/>
    <w:unhideWhenUsed/>
    <w:rsid w:val="00141085"/>
    <w:pPr>
      <w:tabs>
        <w:tab w:val="center" w:pos="4536"/>
        <w:tab w:val="right" w:pos="9072"/>
      </w:tabs>
      <w:spacing w:after="0" w:line="240" w:lineRule="auto"/>
    </w:pPr>
  </w:style>
  <w:style w:type="character" w:customStyle="1" w:styleId="NogaZnak">
    <w:name w:val="Noga Znak"/>
    <w:basedOn w:val="Privzetapisavaodstavka"/>
    <w:link w:val="Noga"/>
    <w:uiPriority w:val="99"/>
    <w:rsid w:val="00141085"/>
  </w:style>
  <w:style w:type="paragraph" w:styleId="Navadensplet">
    <w:name w:val="Normal (Web)"/>
    <w:basedOn w:val="Navaden"/>
    <w:uiPriority w:val="99"/>
    <w:unhideWhenUsed/>
    <w:rsid w:val="00141085"/>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character" w:styleId="Krepko">
    <w:name w:val="Strong"/>
    <w:basedOn w:val="Privzetapisavaodstavka"/>
    <w:uiPriority w:val="22"/>
    <w:qFormat/>
    <w:rsid w:val="001410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220630">
      <w:bodyDiv w:val="1"/>
      <w:marLeft w:val="0"/>
      <w:marRight w:val="0"/>
      <w:marTop w:val="0"/>
      <w:marBottom w:val="0"/>
      <w:divBdr>
        <w:top w:val="none" w:sz="0" w:space="0" w:color="auto"/>
        <w:left w:val="none" w:sz="0" w:space="0" w:color="auto"/>
        <w:bottom w:val="none" w:sz="0" w:space="0" w:color="auto"/>
        <w:right w:val="none" w:sz="0" w:space="0" w:color="auto"/>
      </w:divBdr>
    </w:div>
    <w:div w:id="1486047303">
      <w:bodyDiv w:val="1"/>
      <w:marLeft w:val="0"/>
      <w:marRight w:val="0"/>
      <w:marTop w:val="0"/>
      <w:marBottom w:val="0"/>
      <w:divBdr>
        <w:top w:val="none" w:sz="0" w:space="0" w:color="auto"/>
        <w:left w:val="none" w:sz="0" w:space="0" w:color="auto"/>
        <w:bottom w:val="none" w:sz="0" w:space="0" w:color="auto"/>
        <w:right w:val="none" w:sz="0" w:space="0" w:color="auto"/>
      </w:divBdr>
    </w:div>
    <w:div w:id="1928151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2919</Characters>
  <Application>Microsoft Office Word</Application>
  <DocSecurity>4</DocSecurity>
  <Lines>24</Lines>
  <Paragraphs>6</Paragraphs>
  <ScaleCrop>false</ScaleCrop>
  <Company>MJU</Company>
  <LinksUpToDate>false</LinksUpToDate>
  <CharactersWithSpaces>3424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Kovačič (MP)</dc:creator>
  <cp:keywords/>
  <dc:description/>
  <cp:lastModifiedBy>Ksenja Lampe</cp:lastModifiedBy>
  <cp:revision>2</cp:revision>
  <dcterms:created xsi:type="dcterms:W3CDTF">2024-11-29T10:10:00Z</dcterms:created>
  <dcterms:modified xsi:type="dcterms:W3CDTF">2024-11-29T10:10:00Z</dcterms:modified>
</cp:coreProperties>
</file>