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D2142" w14:textId="3EE1D1BE" w:rsidR="00E70CA0" w:rsidRDefault="00E70CA0" w:rsidP="00E70CA0">
      <w:pPr>
        <w:spacing w:after="0" w:line="240" w:lineRule="auto"/>
        <w:rPr>
          <w:rFonts w:ascii="Republika" w:hAnsi="Republika" w:cs="Arial"/>
          <w:b/>
          <w:bCs/>
          <w:lang w:val="en-GB"/>
        </w:rPr>
      </w:pPr>
    </w:p>
    <w:p w14:paraId="2FFBA78C" w14:textId="77777777" w:rsidR="00ED0D3F" w:rsidRPr="00D757BE" w:rsidRDefault="00ED0D3F" w:rsidP="00ED0D3F">
      <w:pPr>
        <w:spacing w:after="0" w:line="240" w:lineRule="auto"/>
        <w:rPr>
          <w:rFonts w:ascii="Republika" w:eastAsia="Arial" w:hAnsi="Republika" w:cs="Arial"/>
          <w:b/>
          <w:sz w:val="20"/>
        </w:rPr>
      </w:pPr>
    </w:p>
    <w:p w14:paraId="64576A1E" w14:textId="5A7F73A4" w:rsidR="00ED0D3F" w:rsidRDefault="00ED0D3F" w:rsidP="00ED0D3F">
      <w:pPr>
        <w:spacing w:after="0" w:line="240" w:lineRule="auto"/>
        <w:rPr>
          <w:rFonts w:ascii="Republika" w:eastAsia="Arial" w:hAnsi="Republika" w:cs="Arial"/>
          <w:b/>
          <w:bCs/>
          <w:lang w:val="en-GB"/>
        </w:rPr>
      </w:pPr>
      <w:r>
        <w:rPr>
          <w:rFonts w:ascii="Republika" w:eastAsia="Arial" w:hAnsi="Republika" w:cs="Arial"/>
          <w:b/>
          <w:bCs/>
          <w:lang w:val="en-GB"/>
        </w:rPr>
        <w:t xml:space="preserve">Instructions from the Market Inspectorate </w:t>
      </w:r>
    </w:p>
    <w:p w14:paraId="6684517D" w14:textId="7D370C5C" w:rsidR="00ED0D3F" w:rsidRDefault="00ED0D3F" w:rsidP="00ED0D3F">
      <w:pPr>
        <w:spacing w:after="0" w:line="240" w:lineRule="auto"/>
        <w:rPr>
          <w:rFonts w:ascii="Republika" w:eastAsia="Arial" w:hAnsi="Republika" w:cs="Arial"/>
          <w:b/>
          <w:bCs/>
          <w:lang w:val="en-GB"/>
        </w:rPr>
      </w:pPr>
    </w:p>
    <w:p w14:paraId="43E23177" w14:textId="77777777" w:rsidR="00ED0D3F" w:rsidRPr="00D757BE" w:rsidRDefault="00ED0D3F" w:rsidP="00ED0D3F">
      <w:pPr>
        <w:spacing w:after="0" w:line="240" w:lineRule="auto"/>
        <w:rPr>
          <w:rFonts w:ascii="Republika" w:hAnsi="Republika"/>
        </w:rPr>
      </w:pPr>
    </w:p>
    <w:p w14:paraId="088EECF3" w14:textId="77777777" w:rsidR="00ED0D3F" w:rsidRDefault="00ED0D3F" w:rsidP="00ED0D3F">
      <w:pPr>
        <w:spacing w:after="0" w:line="240" w:lineRule="auto"/>
        <w:ind w:left="62" w:hanging="10"/>
        <w:jc w:val="both"/>
        <w:rPr>
          <w:rFonts w:ascii="Republika" w:eastAsia="Arial" w:hAnsi="Republika" w:cs="Arial"/>
        </w:rPr>
      </w:pPr>
      <w:r>
        <w:rPr>
          <w:rFonts w:ascii="Republika" w:eastAsia="Arial" w:hAnsi="Republika" w:cs="Arial"/>
          <w:lang w:val="en-GB"/>
        </w:rPr>
        <w:t xml:space="preserve">In the event of a suspected infringement of Articles 4, 7, 8, 9, 10, 11, 12, 13, 14, 16, 17, 18, 19, 22, 23 and 24 of Regulation (EU) No 1177/2010 concerning the rights of passengers when travelling by sea and inland waterway:  </w:t>
      </w:r>
    </w:p>
    <w:p w14:paraId="6E24D6E7" w14:textId="77777777" w:rsidR="00ED0D3F" w:rsidRDefault="00ED0D3F" w:rsidP="00ED0D3F">
      <w:pPr>
        <w:spacing w:after="0" w:line="240" w:lineRule="auto"/>
        <w:ind w:left="62" w:hanging="10"/>
        <w:jc w:val="both"/>
        <w:rPr>
          <w:rFonts w:ascii="Republika" w:hAnsi="Republika"/>
        </w:rPr>
      </w:pPr>
    </w:p>
    <w:p w14:paraId="165557B4" w14:textId="77777777" w:rsidR="00ED0D3F" w:rsidRPr="00807692" w:rsidRDefault="00ED0D3F" w:rsidP="00ED0D3F">
      <w:pPr>
        <w:spacing w:after="0" w:line="240" w:lineRule="auto"/>
        <w:ind w:left="62" w:hanging="10"/>
        <w:jc w:val="both"/>
        <w:rPr>
          <w:rFonts w:ascii="Republika" w:hAnsi="Republika"/>
          <w:lang w:val="en-GB"/>
        </w:rPr>
      </w:pPr>
    </w:p>
    <w:p w14:paraId="63124A90" w14:textId="77777777" w:rsidR="00ED0D3F" w:rsidRPr="00D757BE" w:rsidRDefault="00ED0D3F" w:rsidP="00ED0D3F">
      <w:pPr>
        <w:numPr>
          <w:ilvl w:val="0"/>
          <w:numId w:val="2"/>
        </w:numPr>
        <w:spacing w:after="0" w:line="240" w:lineRule="auto"/>
        <w:ind w:hanging="360"/>
        <w:jc w:val="both"/>
        <w:rPr>
          <w:rFonts w:ascii="Republika" w:hAnsi="Republika"/>
        </w:rPr>
      </w:pPr>
      <w:r>
        <w:rPr>
          <w:rFonts w:ascii="Republika" w:eastAsia="Arial" w:hAnsi="Republika" w:cs="Arial"/>
          <w:lang w:val="en-GB"/>
        </w:rPr>
        <w:t xml:space="preserve">If you wish to lodge a complaint with the carrier or terminal manager, you shall submit it within two months from the day the service was provided or should have been provided.   </w:t>
      </w:r>
    </w:p>
    <w:p w14:paraId="4FC35CAA" w14:textId="77777777" w:rsidR="00ED0D3F" w:rsidRPr="00807692" w:rsidRDefault="00ED0D3F" w:rsidP="00ED0D3F">
      <w:pPr>
        <w:spacing w:after="0" w:line="240" w:lineRule="auto"/>
        <w:ind w:left="60"/>
        <w:jc w:val="both"/>
        <w:rPr>
          <w:rFonts w:ascii="Republika" w:hAnsi="Republika"/>
          <w:lang w:val="en-GB"/>
        </w:rPr>
      </w:pPr>
    </w:p>
    <w:p w14:paraId="14C6C43F" w14:textId="77777777" w:rsidR="00ED0D3F" w:rsidRPr="00771618" w:rsidRDefault="00ED0D3F" w:rsidP="00ED0D3F">
      <w:pPr>
        <w:numPr>
          <w:ilvl w:val="0"/>
          <w:numId w:val="2"/>
        </w:numPr>
        <w:spacing w:after="0" w:line="240" w:lineRule="auto"/>
        <w:ind w:hanging="360"/>
        <w:jc w:val="both"/>
        <w:rPr>
          <w:rFonts w:ascii="Republika" w:hAnsi="Republika"/>
        </w:rPr>
      </w:pPr>
      <w:r>
        <w:rPr>
          <w:rFonts w:ascii="Republika" w:eastAsia="Arial" w:hAnsi="Republika" w:cs="Arial"/>
          <w:lang w:val="en-GB"/>
        </w:rPr>
        <w:t xml:space="preserve">The carrier or terminal manager shall inform you within one month of receiving the complaint that complaint has been substantiated, rejected or is still being considered. The time for submitting the final answer is no longer than two months from the receipt of the complaint. </w:t>
      </w:r>
    </w:p>
    <w:p w14:paraId="28635A3D" w14:textId="77777777" w:rsidR="00ED0D3F" w:rsidRPr="00771618" w:rsidRDefault="00ED0D3F" w:rsidP="00ED0D3F">
      <w:pPr>
        <w:pStyle w:val="Odstavekseznama"/>
        <w:spacing w:after="0" w:line="240" w:lineRule="auto"/>
        <w:rPr>
          <w:rFonts w:ascii="Republika" w:eastAsia="Arial" w:hAnsi="Republika" w:cs="Arial"/>
        </w:rPr>
      </w:pPr>
    </w:p>
    <w:p w14:paraId="0689963A" w14:textId="77777777" w:rsidR="00ED0D3F" w:rsidRPr="00B86024" w:rsidRDefault="00ED0D3F" w:rsidP="00ED0D3F">
      <w:pPr>
        <w:numPr>
          <w:ilvl w:val="0"/>
          <w:numId w:val="2"/>
        </w:numPr>
        <w:spacing w:after="0" w:line="240" w:lineRule="auto"/>
        <w:ind w:hanging="360"/>
        <w:jc w:val="both"/>
        <w:rPr>
          <w:rFonts w:ascii="Republika" w:hAnsi="Republika"/>
        </w:rPr>
      </w:pPr>
      <w:r>
        <w:rPr>
          <w:rFonts w:ascii="Republika" w:eastAsia="Arial" w:hAnsi="Republika" w:cs="Arial"/>
          <w:lang w:val="en-GB"/>
        </w:rPr>
        <w:t xml:space="preserve">If the complaint has not been resolved with a carrier or the terminal operator, you can lodge a complaint to the Market Inspectorate of the Republic of Slovenia, </w:t>
      </w:r>
      <w:proofErr w:type="spellStart"/>
      <w:r>
        <w:rPr>
          <w:rFonts w:ascii="Republika" w:eastAsia="Arial" w:hAnsi="Republika" w:cs="Arial"/>
          <w:lang w:val="en-GB"/>
        </w:rPr>
        <w:t>Dunajska</w:t>
      </w:r>
      <w:proofErr w:type="spellEnd"/>
      <w:r>
        <w:rPr>
          <w:rFonts w:ascii="Republika" w:eastAsia="Arial" w:hAnsi="Republika" w:cs="Arial"/>
          <w:lang w:val="en-GB"/>
        </w:rPr>
        <w:t xml:space="preserve"> 160, 1000 Ljubljana or at </w:t>
      </w:r>
      <w:hyperlink r:id="rId7" w:history="1">
        <w:r w:rsidRPr="00AE3CB8">
          <w:rPr>
            <w:rStyle w:val="Hiperpovezava"/>
            <w:rFonts w:ascii="Republika" w:eastAsia="Arial" w:hAnsi="Republika" w:cs="Arial"/>
            <w:lang w:val="en-GB"/>
          </w:rPr>
          <w:t>gp.tirs@gov.si</w:t>
        </w:r>
      </w:hyperlink>
      <w:r>
        <w:rPr>
          <w:rFonts w:ascii="Republika" w:eastAsia="Arial" w:hAnsi="Republika" w:cs="Arial"/>
          <w:lang w:val="en-GB"/>
        </w:rPr>
        <w:t xml:space="preserve"> and attach the documentation relating to the complaint in question:</w:t>
      </w:r>
    </w:p>
    <w:p w14:paraId="6754EE28" w14:textId="77777777" w:rsidR="00ED0D3F" w:rsidRPr="00771618" w:rsidRDefault="00ED0D3F" w:rsidP="00ED0D3F">
      <w:pPr>
        <w:spacing w:after="0" w:line="240" w:lineRule="auto"/>
        <w:jc w:val="both"/>
        <w:rPr>
          <w:rFonts w:ascii="Republika" w:hAnsi="Republika"/>
        </w:rPr>
      </w:pPr>
    </w:p>
    <w:p w14:paraId="4041727C" w14:textId="77777777" w:rsidR="00ED0D3F" w:rsidRPr="00D757BE" w:rsidRDefault="00ED0D3F" w:rsidP="00ED0D3F">
      <w:pPr>
        <w:numPr>
          <w:ilvl w:val="1"/>
          <w:numId w:val="2"/>
        </w:numPr>
        <w:spacing w:after="0" w:line="240" w:lineRule="auto"/>
        <w:ind w:hanging="259"/>
        <w:jc w:val="both"/>
        <w:rPr>
          <w:rFonts w:ascii="Republika" w:hAnsi="Republika"/>
        </w:rPr>
      </w:pPr>
      <w:r>
        <w:rPr>
          <w:rFonts w:ascii="Republika" w:eastAsia="Arial" w:hAnsi="Republika" w:cs="Arial"/>
          <w:lang w:val="en-GB"/>
        </w:rPr>
        <w:t xml:space="preserve">your details (name, surname and contact details: address, telephone, email), </w:t>
      </w:r>
    </w:p>
    <w:p w14:paraId="29D1E5DA" w14:textId="77777777" w:rsidR="00ED0D3F" w:rsidRPr="00D757BE" w:rsidRDefault="00ED0D3F" w:rsidP="00ED0D3F">
      <w:pPr>
        <w:numPr>
          <w:ilvl w:val="1"/>
          <w:numId w:val="2"/>
        </w:numPr>
        <w:spacing w:after="0" w:line="240" w:lineRule="auto"/>
        <w:ind w:hanging="259"/>
        <w:jc w:val="both"/>
        <w:rPr>
          <w:rFonts w:ascii="Republika" w:hAnsi="Republika"/>
        </w:rPr>
      </w:pPr>
      <w:r>
        <w:rPr>
          <w:rFonts w:ascii="Republika" w:eastAsia="Arial" w:hAnsi="Republika" w:cs="Arial"/>
          <w:lang w:val="en-GB"/>
        </w:rPr>
        <w:t xml:space="preserve">details of the carrier or terminal operator, </w:t>
      </w:r>
    </w:p>
    <w:p w14:paraId="746B97C3" w14:textId="77777777" w:rsidR="00ED0D3F" w:rsidRPr="00D757BE" w:rsidRDefault="00ED0D3F" w:rsidP="00ED0D3F">
      <w:pPr>
        <w:numPr>
          <w:ilvl w:val="1"/>
          <w:numId w:val="2"/>
        </w:numPr>
        <w:spacing w:after="0" w:line="240" w:lineRule="auto"/>
        <w:ind w:hanging="259"/>
        <w:jc w:val="both"/>
        <w:rPr>
          <w:rFonts w:ascii="Republika" w:hAnsi="Republika"/>
        </w:rPr>
      </w:pPr>
      <w:r>
        <w:rPr>
          <w:rFonts w:ascii="Republika" w:eastAsia="Arial" w:hAnsi="Republika" w:cs="Arial"/>
          <w:lang w:val="en-GB"/>
        </w:rPr>
        <w:t xml:space="preserve">the date, place and a description of the infringement referred to in the complaint, </w:t>
      </w:r>
    </w:p>
    <w:p w14:paraId="5EA9FD30" w14:textId="77777777" w:rsidR="00ED0D3F" w:rsidRPr="00D757BE" w:rsidRDefault="00ED0D3F" w:rsidP="00ED0D3F">
      <w:pPr>
        <w:numPr>
          <w:ilvl w:val="1"/>
          <w:numId w:val="2"/>
        </w:numPr>
        <w:spacing w:after="0" w:line="240" w:lineRule="auto"/>
        <w:ind w:hanging="259"/>
        <w:jc w:val="both"/>
        <w:rPr>
          <w:rFonts w:ascii="Republika" w:hAnsi="Republika"/>
        </w:rPr>
      </w:pPr>
      <w:r>
        <w:rPr>
          <w:rFonts w:ascii="Republika" w:eastAsia="Arial" w:hAnsi="Republika" w:cs="Arial"/>
          <w:lang w:val="en-GB"/>
        </w:rPr>
        <w:t xml:space="preserve">a copy of the complaint lodged with the carrier or terminal operator with proof of service, </w:t>
      </w:r>
    </w:p>
    <w:p w14:paraId="3A630343" w14:textId="77777777" w:rsidR="00ED0D3F" w:rsidRPr="00D757BE" w:rsidRDefault="00ED0D3F" w:rsidP="00ED0D3F">
      <w:pPr>
        <w:numPr>
          <w:ilvl w:val="1"/>
          <w:numId w:val="2"/>
        </w:numPr>
        <w:spacing w:after="0" w:line="240" w:lineRule="auto"/>
        <w:ind w:hanging="259"/>
        <w:jc w:val="both"/>
        <w:rPr>
          <w:rFonts w:ascii="Republika" w:hAnsi="Republika"/>
        </w:rPr>
      </w:pPr>
      <w:r>
        <w:rPr>
          <w:rFonts w:ascii="Republika" w:eastAsia="Arial" w:hAnsi="Republika" w:cs="Arial"/>
          <w:lang w:val="en-GB"/>
        </w:rPr>
        <w:t xml:space="preserve">the reply, if any, from the carrier or terminal operator or the date by when no final reply has been received. </w:t>
      </w:r>
    </w:p>
    <w:p w14:paraId="0380FF9B" w14:textId="77777777" w:rsidR="00ED0D3F" w:rsidRPr="00D757BE" w:rsidRDefault="00ED0D3F" w:rsidP="00ED0D3F">
      <w:pPr>
        <w:spacing w:after="0" w:line="240" w:lineRule="auto"/>
        <w:ind w:left="671"/>
        <w:jc w:val="both"/>
        <w:rPr>
          <w:rFonts w:ascii="Republika" w:hAnsi="Republika"/>
        </w:rPr>
      </w:pPr>
    </w:p>
    <w:p w14:paraId="06DA7DC2" w14:textId="77777777" w:rsidR="00ED0D3F" w:rsidRPr="00DB70F6" w:rsidRDefault="00ED0D3F" w:rsidP="00ED0D3F">
      <w:pPr>
        <w:numPr>
          <w:ilvl w:val="0"/>
          <w:numId w:val="2"/>
        </w:numPr>
        <w:spacing w:after="0" w:line="240" w:lineRule="auto"/>
        <w:ind w:left="360" w:hanging="360"/>
        <w:jc w:val="both"/>
        <w:rPr>
          <w:rFonts w:ascii="Republika" w:eastAsia="Arial" w:hAnsi="Republika" w:cs="Arial"/>
          <w:bCs/>
          <w:lang w:val="en-GB"/>
        </w:rPr>
      </w:pPr>
      <w:r w:rsidRPr="00DB70F6">
        <w:rPr>
          <w:rFonts w:ascii="Republika" w:eastAsia="Arial" w:hAnsi="Republika" w:cs="Arial"/>
          <w:lang w:val="en-GB"/>
        </w:rPr>
        <w:t xml:space="preserve">The Market Inspectorate will initiate an inspection procedure </w:t>
      </w:r>
      <w:proofErr w:type="gramStart"/>
      <w:r w:rsidRPr="00DB70F6">
        <w:rPr>
          <w:rFonts w:ascii="Republika" w:eastAsia="Arial" w:hAnsi="Republika" w:cs="Arial"/>
          <w:lang w:val="en-GB"/>
        </w:rPr>
        <w:t>on the basis of</w:t>
      </w:r>
      <w:proofErr w:type="gramEnd"/>
      <w:r w:rsidRPr="00DB70F6">
        <w:rPr>
          <w:rFonts w:ascii="Republika" w:eastAsia="Arial" w:hAnsi="Republika" w:cs="Arial"/>
          <w:lang w:val="en-GB"/>
        </w:rPr>
        <w:t xml:space="preserve"> the information and documentation received and, at </w:t>
      </w:r>
      <w:r>
        <w:rPr>
          <w:rFonts w:ascii="Republika" w:eastAsia="Arial" w:hAnsi="Republika" w:cs="Arial"/>
          <w:lang w:val="en-GB"/>
        </w:rPr>
        <w:t>your</w:t>
      </w:r>
      <w:r w:rsidRPr="00DB70F6">
        <w:rPr>
          <w:rFonts w:ascii="Republika" w:eastAsia="Arial" w:hAnsi="Republika" w:cs="Arial"/>
          <w:lang w:val="en-GB"/>
        </w:rPr>
        <w:t xml:space="preserve"> request, will inform </w:t>
      </w:r>
      <w:r>
        <w:rPr>
          <w:rFonts w:ascii="Republika" w:eastAsia="Arial" w:hAnsi="Republika" w:cs="Arial"/>
          <w:lang w:val="en-GB"/>
        </w:rPr>
        <w:t>you</w:t>
      </w:r>
      <w:r w:rsidRPr="00DB70F6">
        <w:rPr>
          <w:rFonts w:ascii="Republika" w:eastAsia="Arial" w:hAnsi="Republika" w:cs="Arial"/>
          <w:lang w:val="en-GB"/>
        </w:rPr>
        <w:t xml:space="preserve"> of its measures no later than after the inspection has been carried out and the last measure has been taken or the procedure has been discontinued. </w:t>
      </w:r>
    </w:p>
    <w:p w14:paraId="78384E05" w14:textId="23161A84" w:rsidR="00E70CA0" w:rsidRDefault="00E70CA0" w:rsidP="00E70CA0">
      <w:pPr>
        <w:spacing w:after="0" w:line="240" w:lineRule="auto"/>
        <w:rPr>
          <w:rFonts w:ascii="Republika" w:hAnsi="Republika" w:cs="Arial"/>
          <w:b/>
          <w:bCs/>
          <w:lang w:val="en-GB"/>
        </w:rPr>
      </w:pPr>
    </w:p>
    <w:sectPr w:rsidR="00E70CA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18391" w14:textId="77777777" w:rsidR="007B6BA4" w:rsidRDefault="007B6BA4" w:rsidP="007B6BA4">
      <w:pPr>
        <w:spacing w:after="0" w:line="240" w:lineRule="auto"/>
      </w:pPr>
      <w:r>
        <w:separator/>
      </w:r>
    </w:p>
  </w:endnote>
  <w:endnote w:type="continuationSeparator" w:id="0">
    <w:p w14:paraId="7F935B2F" w14:textId="77777777" w:rsidR="007B6BA4" w:rsidRDefault="007B6BA4" w:rsidP="007B6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5B8A" w14:textId="73A0D901" w:rsidR="00612484" w:rsidRDefault="00612484">
    <w:pPr>
      <w:pStyle w:val="Noga"/>
    </w:pPr>
    <w:r>
      <w:rPr>
        <w:rFonts w:ascii="Republika" w:hAnsi="Republika"/>
        <w:noProof/>
        <w:szCs w:val="20"/>
        <w:lang w:eastAsia="sl-SI"/>
      </w:rPr>
      <w:drawing>
        <wp:inline distT="0" distB="0" distL="0" distR="0" wp14:anchorId="37F48E1E" wp14:editId="3BFCE167">
          <wp:extent cx="981777" cy="451866"/>
          <wp:effectExtent l="0" t="0" r="0" b="571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_Certification_ISO_9001_B&amp;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3087" cy="452469"/>
                  </a:xfrm>
                  <a:prstGeom prst="rect">
                    <a:avLst/>
                  </a:prstGeom>
                </pic:spPr>
              </pic:pic>
            </a:graphicData>
          </a:graphic>
        </wp:inline>
      </w:drawing>
    </w:r>
  </w:p>
  <w:p w14:paraId="73368F46" w14:textId="77777777" w:rsidR="007B6BA4" w:rsidRDefault="007B6BA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42D44" w14:textId="77777777" w:rsidR="007B6BA4" w:rsidRDefault="007B6BA4" w:rsidP="007B6BA4">
      <w:pPr>
        <w:spacing w:after="0" w:line="240" w:lineRule="auto"/>
      </w:pPr>
      <w:r>
        <w:separator/>
      </w:r>
    </w:p>
  </w:footnote>
  <w:footnote w:type="continuationSeparator" w:id="0">
    <w:p w14:paraId="0364F6AA" w14:textId="77777777" w:rsidR="007B6BA4" w:rsidRDefault="007B6BA4" w:rsidP="007B6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04630" w14:textId="5EABCBD9" w:rsidR="007B6BA4" w:rsidRPr="007B6BA4" w:rsidRDefault="009003EF">
    <w:pPr>
      <w:pStyle w:val="Glava"/>
      <w:rPr>
        <w:lang w:val="it-IT"/>
      </w:rPr>
    </w:pPr>
    <w:r>
      <w:rPr>
        <w:noProof/>
      </w:rPr>
      <w:drawing>
        <wp:inline distT="0" distB="0" distL="0" distR="0" wp14:anchorId="7FB82396" wp14:editId="563A36F0">
          <wp:extent cx="5724525" cy="162877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4525" cy="1628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6E2918"/>
    <w:multiLevelType w:val="hybridMultilevel"/>
    <w:tmpl w:val="829E5C1C"/>
    <w:lvl w:ilvl="0" w:tplc="1390E62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7E67E6">
      <w:start w:val="1"/>
      <w:numFmt w:val="lowerLetter"/>
      <w:lvlText w:val="%2)"/>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4E2E940">
      <w:start w:val="1"/>
      <w:numFmt w:val="lowerRoman"/>
      <w:lvlText w:val="%3"/>
      <w:lvlJc w:val="left"/>
      <w:pPr>
        <w:ind w:left="26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0AA768">
      <w:start w:val="1"/>
      <w:numFmt w:val="decimal"/>
      <w:lvlText w:val="%4"/>
      <w:lvlJc w:val="left"/>
      <w:pPr>
        <w:ind w:left="33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C02734">
      <w:start w:val="1"/>
      <w:numFmt w:val="lowerLetter"/>
      <w:lvlText w:val="%5"/>
      <w:lvlJc w:val="left"/>
      <w:pPr>
        <w:ind w:left="40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4E7950">
      <w:start w:val="1"/>
      <w:numFmt w:val="lowerRoman"/>
      <w:lvlText w:val="%6"/>
      <w:lvlJc w:val="left"/>
      <w:pPr>
        <w:ind w:left="47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01CE886">
      <w:start w:val="1"/>
      <w:numFmt w:val="decimal"/>
      <w:lvlText w:val="%7"/>
      <w:lvlJc w:val="left"/>
      <w:pPr>
        <w:ind w:left="5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EC3E2E">
      <w:start w:val="1"/>
      <w:numFmt w:val="lowerLetter"/>
      <w:lvlText w:val="%8"/>
      <w:lvlJc w:val="left"/>
      <w:pPr>
        <w:ind w:left="62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645F18">
      <w:start w:val="1"/>
      <w:numFmt w:val="lowerRoman"/>
      <w:lvlText w:val="%9"/>
      <w:lvlJc w:val="left"/>
      <w:pPr>
        <w:ind w:left="6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3C1785D"/>
    <w:multiLevelType w:val="hybridMultilevel"/>
    <w:tmpl w:val="BE706BDE"/>
    <w:lvl w:ilvl="0" w:tplc="C1FA3BEA">
      <w:start w:val="1"/>
      <w:numFmt w:val="decimal"/>
      <w:lvlText w:val="%1."/>
      <w:lvlJc w:val="left"/>
      <w:pPr>
        <w:ind w:left="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DE084C">
      <w:start w:val="1"/>
      <w:numFmt w:val="lowerLetter"/>
      <w:lvlText w:val="%2)"/>
      <w:lvlJc w:val="left"/>
      <w:pPr>
        <w:ind w:left="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BA5DFC">
      <w:start w:val="1"/>
      <w:numFmt w:val="lowerRoman"/>
      <w:lvlText w:val="%3"/>
      <w:lvlJc w:val="left"/>
      <w:pPr>
        <w:ind w:left="2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B69AD4">
      <w:start w:val="1"/>
      <w:numFmt w:val="decimal"/>
      <w:lvlText w:val="%4"/>
      <w:lvlJc w:val="left"/>
      <w:pPr>
        <w:ind w:left="28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64CCC2">
      <w:start w:val="1"/>
      <w:numFmt w:val="lowerLetter"/>
      <w:lvlText w:val="%5"/>
      <w:lvlJc w:val="left"/>
      <w:pPr>
        <w:ind w:left="3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9E6634">
      <w:start w:val="1"/>
      <w:numFmt w:val="lowerRoman"/>
      <w:lvlText w:val="%6"/>
      <w:lvlJc w:val="left"/>
      <w:pPr>
        <w:ind w:left="43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3E6DDC">
      <w:start w:val="1"/>
      <w:numFmt w:val="decimal"/>
      <w:lvlText w:val="%7"/>
      <w:lvlJc w:val="left"/>
      <w:pPr>
        <w:ind w:left="50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6C1B0A">
      <w:start w:val="1"/>
      <w:numFmt w:val="lowerLetter"/>
      <w:lvlText w:val="%8"/>
      <w:lvlJc w:val="left"/>
      <w:pPr>
        <w:ind w:left="5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A6648C">
      <w:start w:val="1"/>
      <w:numFmt w:val="lowerRoman"/>
      <w:lvlText w:val="%9"/>
      <w:lvlJc w:val="left"/>
      <w:pPr>
        <w:ind w:left="6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576427218">
    <w:abstractNumId w:val="0"/>
  </w:num>
  <w:num w:numId="2" w16cid:durableId="1226532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BA4"/>
    <w:rsid w:val="00293CD0"/>
    <w:rsid w:val="00612484"/>
    <w:rsid w:val="007B6BA4"/>
    <w:rsid w:val="009003EF"/>
    <w:rsid w:val="00E70CA0"/>
    <w:rsid w:val="00ED0D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246BE"/>
  <w15:chartTrackingRefBased/>
  <w15:docId w15:val="{438CC8D2-A422-4552-89EF-E9991378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D0D3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PR"/>
    <w:basedOn w:val="Navaden"/>
    <w:link w:val="GlavaZnak"/>
    <w:uiPriority w:val="99"/>
    <w:rsid w:val="007B6BA4"/>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GlavaZnak">
    <w:name w:val="Glava Znak"/>
    <w:aliases w:val="Header-PR Znak"/>
    <w:basedOn w:val="Privzetapisavaodstavka"/>
    <w:link w:val="Glava"/>
    <w:uiPriority w:val="99"/>
    <w:rsid w:val="007B6BA4"/>
    <w:rPr>
      <w:rFonts w:ascii="Arial" w:eastAsia="Times New Roman" w:hAnsi="Arial" w:cs="Times New Roman"/>
      <w:sz w:val="20"/>
      <w:szCs w:val="24"/>
      <w:lang w:val="en-US"/>
    </w:rPr>
  </w:style>
  <w:style w:type="paragraph" w:styleId="Noga">
    <w:name w:val="footer"/>
    <w:basedOn w:val="Navaden"/>
    <w:link w:val="NogaZnak"/>
    <w:uiPriority w:val="99"/>
    <w:unhideWhenUsed/>
    <w:rsid w:val="007B6BA4"/>
    <w:pPr>
      <w:tabs>
        <w:tab w:val="center" w:pos="4536"/>
        <w:tab w:val="right" w:pos="9072"/>
      </w:tabs>
      <w:spacing w:after="0" w:line="240" w:lineRule="auto"/>
    </w:pPr>
  </w:style>
  <w:style w:type="character" w:customStyle="1" w:styleId="NogaZnak">
    <w:name w:val="Noga Znak"/>
    <w:basedOn w:val="Privzetapisavaodstavka"/>
    <w:link w:val="Noga"/>
    <w:uiPriority w:val="99"/>
    <w:rsid w:val="007B6BA4"/>
  </w:style>
  <w:style w:type="character" w:styleId="Hiperpovezava">
    <w:name w:val="Hyperlink"/>
    <w:basedOn w:val="Privzetapisavaodstavka"/>
    <w:uiPriority w:val="99"/>
    <w:unhideWhenUsed/>
    <w:rsid w:val="00ED0D3F"/>
    <w:rPr>
      <w:color w:val="0000FF"/>
      <w:u w:val="single"/>
    </w:rPr>
  </w:style>
  <w:style w:type="paragraph" w:styleId="Odstavekseznama">
    <w:name w:val="List Paragraph"/>
    <w:basedOn w:val="Navaden"/>
    <w:uiPriority w:val="34"/>
    <w:qFormat/>
    <w:rsid w:val="00ED0D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tirs@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Borut Maraž (URSP)</dc:creator>
  <cp:keywords/>
  <dc:description/>
  <cp:lastModifiedBy>Borut Maraž (URSP)</cp:lastModifiedBy>
  <cp:revision>5</cp:revision>
  <dcterms:created xsi:type="dcterms:W3CDTF">2023-08-23T07:51:00Z</dcterms:created>
  <dcterms:modified xsi:type="dcterms:W3CDTF">2023-08-23T11:14:00Z</dcterms:modified>
</cp:coreProperties>
</file>