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Letterhead"/>
        <w:tblW w:w="9480" w:type="dxa"/>
        <w:tblLook w:val="04A0" w:firstRow="1" w:lastRow="0" w:firstColumn="1" w:lastColumn="0" w:noHBand="0" w:noVBand="1"/>
      </w:tblPr>
      <w:tblGrid>
        <w:gridCol w:w="2400"/>
        <w:gridCol w:w="7080"/>
      </w:tblGrid>
      <w:sdt>
        <w:sdtPr>
          <w:rPr>
            <w:sz w:val="16"/>
          </w:rPr>
          <w:alias w:val="EC Headers - Header"/>
          <w:tag w:val="A4pCgmOjXaoPaysOY21Ij7-5QkCVxYFQ4ANGFaoRKN4I2"/>
          <w:id w:val="1595290517"/>
        </w:sdtPr>
        <w:sdtEndPr/>
        <w:sdtContent>
          <w:tr w:rsidRPr="001775C1" w:rsidR="00081266" w:rsidTr="00356CC6" w14:paraId="64386DE3" w14:textId="77777777">
            <w:tc>
              <w:tcPr>
                <w:tcW w:w="2400" w:type="dxa"/>
              </w:tcPr>
              <w:p w:rsidRPr="00800028" w:rsidR="00081266" w:rsidP="00356CC6" w:rsidRDefault="00081266" w14:paraId="167CF33F" w14:textId="77777777">
                <w:pPr>
                  <w:pStyle w:val="ZFlag"/>
                </w:pPr>
                <w:r w:rsidRPr="001775C1">
                  <w:rPr>
                    <w:noProof/>
                    <w:color w:val="2B579A"/>
                    <w:shd w:val="clear" w:color="auto" w:fill="E6E6E6"/>
                    <w:lang w:val="en-US" w:eastAsia="en-US"/>
                  </w:rPr>
                  <w:drawing>
                    <wp:inline distT="0" distB="0" distL="0" distR="0" wp14:anchorId="63DC8B28" wp14:editId="1ED37ABD">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Pr="00E34EB0" w:rsidR="00081266" w:rsidP="00356CC6" w:rsidRDefault="001402AC" w14:paraId="528C85F6" w14:textId="33094577">
                <w:pPr>
                  <w:pStyle w:val="ZCom"/>
                  <w:rPr>
                    <w:rFonts w:asciiTheme="minorHAnsi" w:hAnsiTheme="minorHAnsi" w:cstheme="minorHAnsi"/>
                  </w:rPr>
                </w:pPr>
                <w:sdt>
                  <w:sdtPr>
                    <w:id w:val="-1650587366"/>
                    <w:dataBinding w:xpath="/Texts/OrgaRoot" w:storeItemID="{4EF90DE6-88B6-4264-9629-4D8DFDFE87D2}"/>
                    <w:text w:multiLine="1"/>
                  </w:sdtPr>
                  <w:sdtEndPr/>
                  <w:sdtContent>
                    <w:r w:rsidRPr="00E34EB0" w:rsidDel="00E7283E" w:rsidR="00081266">
                      <w:t>EUROPEAN COMMISSION</w:t>
                    </w:r>
                  </w:sdtContent>
                </w:sdt>
              </w:p>
              <w:p w:rsidRPr="00800028" w:rsidR="00081266" w:rsidP="00356CC6" w:rsidRDefault="001402AC" w14:paraId="73FC128B" w14:textId="26DBC376">
                <w:pPr>
                  <w:pStyle w:val="ZDGName"/>
                  <w:rPr>
                    <w:rFonts w:asciiTheme="minorHAnsi" w:hAnsiTheme="minorHAnsi" w:cstheme="minorHAnsi"/>
                  </w:rPr>
                </w:pPr>
                <w:sdt>
                  <w:sdtPr>
                    <w:id w:val="-2043819384"/>
                    <w:dataBinding w:xpath="/Author/OrgaEntity1/HeadLine1" w:storeItemID="{EE044946-5330-43F7-8D16-AA78684F2938}"/>
                    <w:text w:multiLine="1"/>
                  </w:sdtPr>
                  <w:sdtEndPr/>
                  <w:sdtContent>
                    <w:r w:rsidRPr="00E34EB0" w:rsidDel="00E7283E" w:rsidR="00081266">
                      <w:t>DIRECTORATE-GENERAL FOR MOBILITY AND TRANSPORT</w:t>
                    </w:r>
                  </w:sdtContent>
                </w:sdt>
              </w:p>
              <w:p w:rsidRPr="00800028" w:rsidR="00551486" w:rsidP="00551486" w:rsidRDefault="001402AC" w14:paraId="0B1FA717" w14:textId="77777777">
                <w:pPr>
                  <w:pStyle w:val="ZDGName"/>
                </w:pPr>
                <w:sdt>
                  <w:sdtPr>
                    <w:id w:val="-2116585556"/>
                    <w:dataBinding w:xpath="/Author/OrgaEntity2/HeadLine1" w:storeItemID="{D36D7119-F159-4DD0-ACA8-8C2EC3319411}"/>
                    <w:text w:multiLine="1"/>
                  </w:sdtPr>
                  <w:sdtEndPr/>
                  <w:sdtContent>
                    <w:r w:rsidRPr="001775C1" w:rsidR="00E7283E">
                      <w:t>Directorate D – Waterborne</w:t>
                    </w:r>
                  </w:sdtContent>
                </w:sdt>
              </w:p>
              <w:p w:rsidRPr="00800028" w:rsidR="00081266" w:rsidP="00CB46A4" w:rsidRDefault="001402AC" w14:paraId="0755089F" w14:textId="5ACD8553">
                <w:pPr>
                  <w:pStyle w:val="ZDGName"/>
                </w:pPr>
                <w:sdt>
                  <w:sdtPr>
                    <w:id w:val="1352986740"/>
                    <w:dataBinding w:xpath="/Author/OrgaEntity3/HeadLine1" w:storeItemID="{D36D7119-F159-4DD0-ACA8-8C2EC3319411}"/>
                    <w:text w:multiLine="1"/>
                  </w:sdtPr>
                  <w:sdtEndPr/>
                  <w:sdtContent>
                    <w:r w:rsidRPr="001775C1" w:rsidR="00E7283E">
                      <w:t>D.1 – Maritime Transport and Logistics</w:t>
                    </w:r>
                  </w:sdtContent>
                </w:sdt>
              </w:p>
            </w:tc>
          </w:tr>
        </w:sdtContent>
      </w:sdt>
    </w:tbl>
    <w:p w:rsidRPr="002E1829" w:rsidR="00081266" w:rsidRDefault="00081266" w14:paraId="52DF2694" w14:textId="77777777">
      <w:pPr>
        <w:pStyle w:val="TOCHeading"/>
        <w:rPr>
          <w:rFonts w:eastAsiaTheme="minorHAnsi"/>
        </w:rPr>
      </w:pPr>
    </w:p>
    <w:sdt>
      <w:sdtPr>
        <w:rPr>
          <w:color w:val="2B579A"/>
          <w:shd w:val="clear" w:color="auto" w:fill="E6E6E6"/>
        </w:rPr>
        <w:alias w:val="Titles - Title and Subtitle"/>
        <w:tag w:val="Ppyc7FjJog1LOR8q5Gy3v8-KWz8EPdyPrAZ9AmbxwqTv1"/>
        <w:id w:val="-1215583452"/>
        <w:placeholder>
          <w:docPart w:val="DefaultPlaceholder_1081868574"/>
        </w:placeholder>
      </w:sdtPr>
      <w:sdtEndPr>
        <w:rPr>
          <w:color w:val="2B579A"/>
        </w:rPr>
      </w:sdtEndPr>
      <w:sdtContent>
        <w:p w:rsidRPr="00800028" w:rsidR="00081266" w:rsidP="00196583" w:rsidRDefault="00081266" w14:paraId="592864A8" w14:textId="77777777">
          <w:pPr>
            <w:pStyle w:val="Title"/>
          </w:pPr>
          <w:r w:rsidRPr="00800028">
            <w:t>European Maritime Single Window environment</w:t>
          </w:r>
        </w:p>
        <w:p w:rsidRPr="00800028" w:rsidR="00081266" w:rsidP="00196583" w:rsidRDefault="00081266" w14:paraId="7DAA710C" w14:textId="45B507B9">
          <w:pPr>
            <w:pStyle w:val="Title"/>
          </w:pPr>
          <w:r w:rsidRPr="00800028">
            <w:t>EMSWe Overall Functional Architectur</w:t>
          </w:r>
          <w:r w:rsidRPr="00800028" w:rsidR="00DB37CB">
            <w:t>al Document</w:t>
          </w:r>
        </w:p>
      </w:sdtContent>
    </w:sdt>
    <w:p w:rsidRPr="002E1829" w:rsidR="00B351C3" w:rsidRDefault="00B351C3" w14:paraId="70FC1E33" w14:textId="492A0DAE">
      <w:pPr>
        <w:pStyle w:val="TOCHeading"/>
        <w:rPr>
          <w:rFonts w:eastAsiaTheme="minorHAnsi"/>
        </w:rPr>
      </w:pPr>
    </w:p>
    <w:p w:rsidRPr="002E1829" w:rsidR="00B351C3" w:rsidP="00B351C3" w:rsidRDefault="00B351C3" w14:paraId="3AC0C669" w14:textId="77777777">
      <w:r w:rsidRPr="002E1829">
        <w:br w:type="page"/>
      </w:r>
    </w:p>
    <w:p w:rsidRPr="002E1829" w:rsidR="001004C9" w:rsidP="001004C9" w:rsidRDefault="001004C9" w14:paraId="661E56A0" w14:textId="77777777">
      <w:pPr>
        <w:pStyle w:val="EMSWeBody"/>
      </w:pPr>
      <w:r w:rsidRPr="002E1829">
        <w:t>Summary of changes:</w:t>
      </w:r>
    </w:p>
    <w:tbl>
      <w:tblPr>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851"/>
        <w:gridCol w:w="1417"/>
        <w:gridCol w:w="1985"/>
        <w:gridCol w:w="4536"/>
      </w:tblGrid>
      <w:tr w:rsidRPr="001775C1" w:rsidR="001004C9" w:rsidTr="004E0667" w14:paraId="781F3B6C" w14:textId="77777777">
        <w:tc>
          <w:tcPr>
            <w:tcW w:w="851" w:type="dxa"/>
            <w:shd w:val="clear" w:color="auto" w:fill="BDD6EE" w:themeFill="accent1" w:themeFillTint="66"/>
            <w:vAlign w:val="center"/>
          </w:tcPr>
          <w:p w:rsidRPr="002E1829" w:rsidR="001004C9" w:rsidP="00196583" w:rsidRDefault="001004C9" w14:paraId="34EE303C" w14:textId="77777777">
            <w:r w:rsidRPr="002E1829">
              <w:t>Version</w:t>
            </w:r>
          </w:p>
        </w:tc>
        <w:tc>
          <w:tcPr>
            <w:tcW w:w="1417" w:type="dxa"/>
            <w:shd w:val="clear" w:color="auto" w:fill="BDD6EE" w:themeFill="accent1" w:themeFillTint="66"/>
            <w:vAlign w:val="center"/>
          </w:tcPr>
          <w:p w:rsidRPr="002E1829" w:rsidR="001004C9" w:rsidP="00196583" w:rsidRDefault="001004C9" w14:paraId="30BD4E28" w14:textId="77777777">
            <w:r w:rsidRPr="002E1829">
              <w:t>Date</w:t>
            </w:r>
          </w:p>
        </w:tc>
        <w:tc>
          <w:tcPr>
            <w:tcW w:w="1985" w:type="dxa"/>
            <w:shd w:val="clear" w:color="auto" w:fill="BDD6EE" w:themeFill="accent1" w:themeFillTint="66"/>
            <w:vAlign w:val="center"/>
          </w:tcPr>
          <w:p w:rsidRPr="002E1829" w:rsidR="001004C9" w:rsidP="00196583" w:rsidRDefault="001004C9" w14:paraId="696C1EA2" w14:textId="77777777">
            <w:r w:rsidRPr="002E1829">
              <w:t>Created by</w:t>
            </w:r>
          </w:p>
        </w:tc>
        <w:tc>
          <w:tcPr>
            <w:tcW w:w="4536" w:type="dxa"/>
            <w:shd w:val="clear" w:color="auto" w:fill="BDD6EE" w:themeFill="accent1" w:themeFillTint="66"/>
            <w:vAlign w:val="center"/>
          </w:tcPr>
          <w:p w:rsidRPr="002E1829" w:rsidR="001004C9" w:rsidP="00196583" w:rsidRDefault="001004C9" w14:paraId="73E01F57" w14:textId="77777777">
            <w:r w:rsidRPr="002E1829">
              <w:t>Short Description of Changes</w:t>
            </w:r>
          </w:p>
        </w:tc>
      </w:tr>
      <w:tr w:rsidRPr="001775C1" w:rsidR="001004C9" w:rsidTr="004E0667" w14:paraId="3FB099EB" w14:textId="77777777">
        <w:tc>
          <w:tcPr>
            <w:tcW w:w="851" w:type="dxa"/>
            <w:vAlign w:val="center"/>
          </w:tcPr>
          <w:p w:rsidRPr="002E1829" w:rsidR="001004C9" w:rsidP="00196583" w:rsidRDefault="001004C9" w14:paraId="613790F3" w14:textId="028CA2DC">
            <w:pPr>
              <w:rPr>
                <w:rFonts w:eastAsiaTheme="minorEastAsia"/>
              </w:rPr>
            </w:pPr>
            <w:r w:rsidRPr="002E1829">
              <w:rPr>
                <w:rFonts w:eastAsiaTheme="minorEastAsia"/>
              </w:rPr>
              <w:t>0.3</w:t>
            </w:r>
          </w:p>
        </w:tc>
        <w:tc>
          <w:tcPr>
            <w:tcW w:w="1417" w:type="dxa"/>
            <w:vAlign w:val="center"/>
          </w:tcPr>
          <w:p w:rsidRPr="002E1829" w:rsidR="001004C9" w:rsidP="00196583" w:rsidRDefault="001004C9" w14:paraId="2BC097B7" w14:textId="19DF7409">
            <w:pPr>
              <w:rPr>
                <w:rFonts w:eastAsiaTheme="minorEastAsia"/>
              </w:rPr>
            </w:pPr>
            <w:r w:rsidRPr="002E1829">
              <w:rPr>
                <w:rFonts w:eastAsiaTheme="minorEastAsia"/>
              </w:rPr>
              <w:t>21/05/2021</w:t>
            </w:r>
          </w:p>
        </w:tc>
        <w:tc>
          <w:tcPr>
            <w:tcW w:w="1985" w:type="dxa"/>
            <w:vAlign w:val="center"/>
          </w:tcPr>
          <w:p w:rsidRPr="002E1829" w:rsidR="001004C9" w:rsidP="00196583" w:rsidRDefault="001004C9" w14:paraId="16890E5E" w14:textId="287F1FA7">
            <w:pPr>
              <w:rPr>
                <w:rFonts w:eastAsiaTheme="minorEastAsia"/>
              </w:rPr>
            </w:pPr>
            <w:r w:rsidRPr="002E1829">
              <w:rPr>
                <w:rFonts w:eastAsiaTheme="minorEastAsia"/>
              </w:rPr>
              <w:t>DG MOVE</w:t>
            </w:r>
          </w:p>
        </w:tc>
        <w:tc>
          <w:tcPr>
            <w:tcW w:w="4536" w:type="dxa"/>
            <w:vAlign w:val="center"/>
          </w:tcPr>
          <w:p w:rsidRPr="002E1829" w:rsidR="001004C9" w:rsidP="00196583" w:rsidRDefault="001004C9" w14:paraId="22F8D92F" w14:textId="725795A6">
            <w:pPr>
              <w:rPr>
                <w:rFonts w:eastAsiaTheme="minorEastAsia"/>
              </w:rPr>
            </w:pPr>
            <w:r w:rsidRPr="002E1829">
              <w:rPr>
                <w:rFonts w:eastAsiaTheme="minorEastAsia"/>
              </w:rPr>
              <w:t>1</w:t>
            </w:r>
            <w:r w:rsidRPr="002E1829">
              <w:rPr>
                <w:rFonts w:eastAsiaTheme="minorEastAsia"/>
                <w:vertAlign w:val="superscript"/>
              </w:rPr>
              <w:t>St</w:t>
            </w:r>
            <w:r w:rsidRPr="002E1829">
              <w:rPr>
                <w:rFonts w:eastAsiaTheme="minorEastAsia"/>
              </w:rPr>
              <w:t xml:space="preserve"> Draft version of the document</w:t>
            </w:r>
          </w:p>
        </w:tc>
      </w:tr>
      <w:tr w:rsidRPr="001775C1" w:rsidR="001004C9" w:rsidTr="004E0667" w14:paraId="7D87255D" w14:textId="77777777">
        <w:tc>
          <w:tcPr>
            <w:tcW w:w="851" w:type="dxa"/>
            <w:vAlign w:val="center"/>
          </w:tcPr>
          <w:p w:rsidRPr="002E1829" w:rsidR="001004C9" w:rsidP="00196583" w:rsidRDefault="001004C9" w14:paraId="750DAEE6" w14:textId="71F8444C">
            <w:pPr>
              <w:rPr>
                <w:rFonts w:eastAsiaTheme="minorEastAsia"/>
              </w:rPr>
            </w:pPr>
            <w:r w:rsidRPr="002E1829">
              <w:rPr>
                <w:rFonts w:eastAsiaTheme="minorEastAsia"/>
              </w:rPr>
              <w:t>0.4</w:t>
            </w:r>
          </w:p>
        </w:tc>
        <w:tc>
          <w:tcPr>
            <w:tcW w:w="1417" w:type="dxa"/>
            <w:vAlign w:val="center"/>
          </w:tcPr>
          <w:p w:rsidRPr="002E1829" w:rsidR="001004C9" w:rsidP="00196583" w:rsidRDefault="001004C9" w14:paraId="28FBA84A" w14:textId="6029FEE8">
            <w:pPr>
              <w:rPr>
                <w:rFonts w:eastAsiaTheme="minorEastAsia"/>
              </w:rPr>
            </w:pPr>
            <w:r w:rsidRPr="002E1829">
              <w:rPr>
                <w:rFonts w:eastAsiaTheme="minorEastAsia"/>
              </w:rPr>
              <w:t>18/06/2021</w:t>
            </w:r>
          </w:p>
        </w:tc>
        <w:tc>
          <w:tcPr>
            <w:tcW w:w="1985" w:type="dxa"/>
            <w:vAlign w:val="center"/>
          </w:tcPr>
          <w:p w:rsidRPr="002E1829" w:rsidR="001004C9" w:rsidP="00196583" w:rsidRDefault="001004C9" w14:paraId="5973E6BD" w14:textId="2DA581A8">
            <w:pPr>
              <w:rPr>
                <w:rFonts w:eastAsiaTheme="minorEastAsia"/>
              </w:rPr>
            </w:pPr>
            <w:r w:rsidRPr="002E1829">
              <w:rPr>
                <w:rFonts w:eastAsiaTheme="minorEastAsia"/>
              </w:rPr>
              <w:t>DG MOVE</w:t>
            </w:r>
          </w:p>
        </w:tc>
        <w:tc>
          <w:tcPr>
            <w:tcW w:w="4536" w:type="dxa"/>
            <w:vAlign w:val="center"/>
          </w:tcPr>
          <w:p w:rsidRPr="002E1829" w:rsidR="001004C9" w:rsidP="00196583" w:rsidRDefault="004538E3" w14:paraId="4E67C1EB" w14:textId="6AF90401">
            <w:pPr>
              <w:rPr>
                <w:rFonts w:eastAsiaTheme="minorEastAsia"/>
              </w:rPr>
            </w:pPr>
            <w:r w:rsidRPr="002E1829">
              <w:rPr>
                <w:rFonts w:eastAsiaTheme="minorEastAsia"/>
              </w:rPr>
              <w:t>Improvements and changes from the first round of contributions (NL)</w:t>
            </w:r>
          </w:p>
        </w:tc>
      </w:tr>
      <w:tr w:rsidRPr="001775C1" w:rsidR="007C2FCC" w:rsidTr="004E0667" w14:paraId="7F803654" w14:textId="77777777">
        <w:tc>
          <w:tcPr>
            <w:tcW w:w="851" w:type="dxa"/>
            <w:vAlign w:val="center"/>
          </w:tcPr>
          <w:p w:rsidRPr="002E1829" w:rsidR="007C2FCC" w:rsidP="00196583" w:rsidRDefault="007C2FCC" w14:paraId="1688B062" w14:textId="71CCA651">
            <w:pPr>
              <w:rPr>
                <w:rFonts w:eastAsiaTheme="minorEastAsia"/>
              </w:rPr>
            </w:pPr>
            <w:r w:rsidRPr="002E1829">
              <w:rPr>
                <w:rFonts w:eastAsiaTheme="minorEastAsia"/>
              </w:rPr>
              <w:t>0.5</w:t>
            </w:r>
          </w:p>
        </w:tc>
        <w:tc>
          <w:tcPr>
            <w:tcW w:w="1417" w:type="dxa"/>
            <w:vAlign w:val="center"/>
          </w:tcPr>
          <w:p w:rsidRPr="002E1829" w:rsidR="007C2FCC" w:rsidP="00196583" w:rsidRDefault="007C2FCC" w14:paraId="14E3630A" w14:textId="177EA9EF">
            <w:pPr>
              <w:rPr>
                <w:rFonts w:eastAsiaTheme="minorEastAsia"/>
              </w:rPr>
            </w:pPr>
            <w:r w:rsidRPr="002E1829">
              <w:rPr>
                <w:rFonts w:eastAsiaTheme="minorEastAsia"/>
              </w:rPr>
              <w:t>16/07/2021</w:t>
            </w:r>
          </w:p>
        </w:tc>
        <w:tc>
          <w:tcPr>
            <w:tcW w:w="1985" w:type="dxa"/>
            <w:vAlign w:val="center"/>
          </w:tcPr>
          <w:p w:rsidRPr="002E1829" w:rsidR="007C2FCC" w:rsidP="00196583" w:rsidRDefault="007C2FCC" w14:paraId="725B3C63" w14:textId="0E967EC7">
            <w:pPr>
              <w:rPr>
                <w:rFonts w:eastAsiaTheme="minorEastAsia"/>
              </w:rPr>
            </w:pPr>
            <w:r w:rsidRPr="002E1829">
              <w:rPr>
                <w:rFonts w:eastAsiaTheme="minorEastAsia"/>
              </w:rPr>
              <w:t>DG MOVE</w:t>
            </w:r>
          </w:p>
        </w:tc>
        <w:tc>
          <w:tcPr>
            <w:tcW w:w="4536" w:type="dxa"/>
            <w:vAlign w:val="center"/>
          </w:tcPr>
          <w:p w:rsidRPr="002E1829" w:rsidR="007C2FCC" w:rsidP="00196583" w:rsidRDefault="007C2FCC" w14:paraId="3128A64A" w14:textId="539BFE1F">
            <w:pPr>
              <w:rPr>
                <w:rFonts w:eastAsiaTheme="minorEastAsia"/>
              </w:rPr>
            </w:pPr>
            <w:r w:rsidRPr="002E1829">
              <w:rPr>
                <w:rFonts w:eastAsiaTheme="minorEastAsia"/>
              </w:rPr>
              <w:t>Improvements and changes from the last round – addition of URAM functions</w:t>
            </w:r>
          </w:p>
        </w:tc>
      </w:tr>
      <w:tr w:rsidRPr="001775C1" w:rsidR="000D5EA4" w:rsidTr="004E0667" w14:paraId="480BFEA3" w14:textId="77777777">
        <w:tc>
          <w:tcPr>
            <w:tcW w:w="851" w:type="dxa"/>
            <w:vAlign w:val="center"/>
          </w:tcPr>
          <w:p w:rsidRPr="002E1829" w:rsidR="000D5EA4" w:rsidP="00196583" w:rsidRDefault="000D5EA4" w14:paraId="1A6F37B0" w14:textId="0F5C6525">
            <w:pPr>
              <w:rPr>
                <w:rFonts w:eastAsiaTheme="minorEastAsia"/>
              </w:rPr>
            </w:pPr>
            <w:r w:rsidRPr="002E1829">
              <w:rPr>
                <w:rFonts w:eastAsiaTheme="minorEastAsia"/>
              </w:rPr>
              <w:t>0.6</w:t>
            </w:r>
          </w:p>
        </w:tc>
        <w:tc>
          <w:tcPr>
            <w:tcW w:w="1417" w:type="dxa"/>
            <w:vAlign w:val="center"/>
          </w:tcPr>
          <w:p w:rsidRPr="002E1829" w:rsidR="000D5EA4" w:rsidP="00196583" w:rsidRDefault="000D5EA4" w14:paraId="37B81861" w14:textId="088286B0">
            <w:pPr>
              <w:rPr>
                <w:rFonts w:eastAsiaTheme="minorEastAsia"/>
              </w:rPr>
            </w:pPr>
            <w:r w:rsidRPr="002E1829">
              <w:rPr>
                <w:rFonts w:eastAsiaTheme="minorEastAsia"/>
              </w:rPr>
              <w:t>10/09/2021</w:t>
            </w:r>
          </w:p>
        </w:tc>
        <w:tc>
          <w:tcPr>
            <w:tcW w:w="1985" w:type="dxa"/>
            <w:vAlign w:val="center"/>
          </w:tcPr>
          <w:p w:rsidRPr="002E1829" w:rsidR="000D5EA4" w:rsidP="00196583" w:rsidRDefault="000D5EA4" w14:paraId="2C8C18FB" w14:textId="423A7648">
            <w:pPr>
              <w:rPr>
                <w:rFonts w:eastAsiaTheme="minorEastAsia"/>
              </w:rPr>
            </w:pPr>
            <w:r w:rsidRPr="002E1829">
              <w:rPr>
                <w:rFonts w:eastAsiaTheme="minorEastAsia"/>
              </w:rPr>
              <w:t>DG MOVE</w:t>
            </w:r>
          </w:p>
        </w:tc>
        <w:tc>
          <w:tcPr>
            <w:tcW w:w="4536" w:type="dxa"/>
            <w:vAlign w:val="center"/>
          </w:tcPr>
          <w:p w:rsidRPr="002E1829" w:rsidR="000D5EA4" w:rsidP="00196583" w:rsidRDefault="000D5EA4" w14:paraId="15A72390" w14:textId="1BAE7030">
            <w:pPr>
              <w:rPr>
                <w:rFonts w:eastAsiaTheme="minorEastAsia"/>
              </w:rPr>
            </w:pPr>
            <w:r w:rsidRPr="002E1829">
              <w:rPr>
                <w:rFonts w:eastAsiaTheme="minorEastAsia"/>
              </w:rPr>
              <w:t xml:space="preserve">Improvements and changes from the </w:t>
            </w:r>
            <w:r w:rsidRPr="002E1829" w:rsidR="00B539E5">
              <w:rPr>
                <w:rFonts w:eastAsiaTheme="minorEastAsia"/>
              </w:rPr>
              <w:t>last</w:t>
            </w:r>
            <w:r w:rsidRPr="002E1829">
              <w:rPr>
                <w:rFonts w:eastAsiaTheme="minorEastAsia"/>
              </w:rPr>
              <w:t xml:space="preserve"> round of contributions (NL)</w:t>
            </w:r>
          </w:p>
        </w:tc>
      </w:tr>
      <w:tr w:rsidRPr="001775C1" w:rsidR="00861DBF" w:rsidTr="004E0667" w14:paraId="55BB9ABC" w14:textId="77777777">
        <w:tc>
          <w:tcPr>
            <w:tcW w:w="851" w:type="dxa"/>
            <w:vAlign w:val="center"/>
          </w:tcPr>
          <w:p w:rsidRPr="002E1829" w:rsidR="00861DBF" w:rsidP="00196583" w:rsidRDefault="00861DBF" w14:paraId="402B34A2" w14:textId="217D8C48">
            <w:pPr>
              <w:rPr>
                <w:rFonts w:eastAsiaTheme="minorEastAsia"/>
              </w:rPr>
            </w:pPr>
            <w:r w:rsidRPr="002E1829">
              <w:rPr>
                <w:rFonts w:eastAsiaTheme="minorEastAsia"/>
              </w:rPr>
              <w:t>0.7</w:t>
            </w:r>
          </w:p>
        </w:tc>
        <w:tc>
          <w:tcPr>
            <w:tcW w:w="1417" w:type="dxa"/>
            <w:vAlign w:val="center"/>
          </w:tcPr>
          <w:p w:rsidRPr="002E1829" w:rsidR="00861DBF" w:rsidP="00196583" w:rsidRDefault="00861DBF" w14:paraId="548F05E4" w14:textId="69A316E7">
            <w:pPr>
              <w:rPr>
                <w:rFonts w:eastAsiaTheme="minorEastAsia"/>
              </w:rPr>
            </w:pPr>
            <w:r w:rsidRPr="002E1829">
              <w:rPr>
                <w:rFonts w:eastAsiaTheme="minorEastAsia"/>
              </w:rPr>
              <w:t>08/10/2021</w:t>
            </w:r>
          </w:p>
        </w:tc>
        <w:tc>
          <w:tcPr>
            <w:tcW w:w="1985" w:type="dxa"/>
            <w:vAlign w:val="center"/>
          </w:tcPr>
          <w:p w:rsidRPr="002E1829" w:rsidR="00861DBF" w:rsidP="00196583" w:rsidRDefault="00861DBF" w14:paraId="0DE1E0E9" w14:textId="3712C26C">
            <w:pPr>
              <w:rPr>
                <w:rFonts w:eastAsiaTheme="minorEastAsia"/>
              </w:rPr>
            </w:pPr>
            <w:r w:rsidRPr="002E1829">
              <w:rPr>
                <w:rFonts w:eastAsiaTheme="minorEastAsia"/>
              </w:rPr>
              <w:t>DG MOVE</w:t>
            </w:r>
          </w:p>
        </w:tc>
        <w:tc>
          <w:tcPr>
            <w:tcW w:w="4536" w:type="dxa"/>
            <w:vAlign w:val="center"/>
          </w:tcPr>
          <w:p w:rsidRPr="002E1829" w:rsidR="00861DBF" w:rsidP="00196583" w:rsidRDefault="007439B7" w14:paraId="2D7DFF65" w14:textId="40DC9D49">
            <w:pPr>
              <w:rPr>
                <w:rFonts w:eastAsiaTheme="minorEastAsia"/>
              </w:rPr>
            </w:pPr>
            <w:r w:rsidRPr="002E1829">
              <w:rPr>
                <w:rFonts w:eastAsiaTheme="minorEastAsia"/>
              </w:rPr>
              <w:t>Alignment of the term "sender" with the EM</w:t>
            </w:r>
            <w:r w:rsidR="009209D9">
              <w:rPr>
                <w:rFonts w:eastAsiaTheme="minorEastAsia"/>
              </w:rPr>
              <w:t>S</w:t>
            </w:r>
            <w:r w:rsidRPr="002E1829">
              <w:rPr>
                <w:rFonts w:eastAsiaTheme="minorEastAsia"/>
              </w:rPr>
              <w:t>We data set and other documents</w:t>
            </w:r>
          </w:p>
        </w:tc>
      </w:tr>
      <w:tr w:rsidRPr="001775C1" w:rsidR="002C45AF" w:rsidTr="004E0667" w14:paraId="0259BDA2" w14:textId="77777777">
        <w:tc>
          <w:tcPr>
            <w:tcW w:w="851" w:type="dxa"/>
            <w:vAlign w:val="center"/>
          </w:tcPr>
          <w:p w:rsidRPr="002E1829" w:rsidR="002C45AF" w:rsidP="00196583" w:rsidRDefault="002C45AF" w14:paraId="01D323DE" w14:textId="497B6F76">
            <w:pPr>
              <w:rPr>
                <w:rFonts w:eastAsiaTheme="minorEastAsia"/>
              </w:rPr>
            </w:pPr>
            <w:r w:rsidRPr="002E1829">
              <w:rPr>
                <w:rFonts w:eastAsiaTheme="minorEastAsia"/>
              </w:rPr>
              <w:t>0.8</w:t>
            </w:r>
          </w:p>
        </w:tc>
        <w:tc>
          <w:tcPr>
            <w:tcW w:w="1417" w:type="dxa"/>
            <w:vAlign w:val="center"/>
          </w:tcPr>
          <w:p w:rsidRPr="002E1829" w:rsidR="002C45AF" w:rsidP="00196583" w:rsidRDefault="002C45AF" w14:paraId="1C13B8F2" w14:textId="333EB0D4">
            <w:pPr>
              <w:rPr>
                <w:rFonts w:eastAsiaTheme="minorEastAsia"/>
              </w:rPr>
            </w:pPr>
            <w:r w:rsidRPr="002E1829">
              <w:rPr>
                <w:rFonts w:eastAsiaTheme="minorEastAsia"/>
              </w:rPr>
              <w:t>05/11/2021</w:t>
            </w:r>
          </w:p>
        </w:tc>
        <w:tc>
          <w:tcPr>
            <w:tcW w:w="1985" w:type="dxa"/>
            <w:vAlign w:val="center"/>
          </w:tcPr>
          <w:p w:rsidRPr="002E1829" w:rsidR="002C45AF" w:rsidP="00196583" w:rsidRDefault="002C45AF" w14:paraId="3BAAD65B" w14:textId="22FF5A59">
            <w:pPr>
              <w:rPr>
                <w:rFonts w:eastAsiaTheme="minorEastAsia"/>
              </w:rPr>
            </w:pPr>
            <w:r w:rsidRPr="002E1829">
              <w:rPr>
                <w:rFonts w:eastAsiaTheme="minorEastAsia"/>
              </w:rPr>
              <w:t>DG MOVE</w:t>
            </w:r>
          </w:p>
        </w:tc>
        <w:tc>
          <w:tcPr>
            <w:tcW w:w="4536" w:type="dxa"/>
            <w:vAlign w:val="center"/>
          </w:tcPr>
          <w:p w:rsidRPr="002E1829" w:rsidR="002C45AF" w:rsidP="00196583" w:rsidRDefault="000632BC" w14:paraId="23EE26F8" w14:textId="48CB5054">
            <w:pPr>
              <w:pStyle w:val="Footer"/>
              <w:rPr>
                <w:rFonts w:eastAsiaTheme="minorEastAsia"/>
              </w:rPr>
            </w:pPr>
            <w:r w:rsidRPr="002E1829">
              <w:rPr>
                <w:rFonts w:eastAsiaTheme="minorEastAsia"/>
              </w:rPr>
              <w:t xml:space="preserve">Alignment with the </w:t>
            </w:r>
            <w:r w:rsidRPr="002E1829" w:rsidR="003C77BA">
              <w:t>EMSWe Interfaces Team 12 – M</w:t>
            </w:r>
            <w:r w:rsidRPr="002E1829">
              <w:rPr>
                <w:rFonts w:eastAsiaTheme="minorEastAsia"/>
              </w:rPr>
              <w:t>IG</w:t>
            </w:r>
            <w:r w:rsidRPr="002E1829" w:rsidR="003C77BA">
              <w:rPr>
                <w:rFonts w:eastAsiaTheme="minorEastAsia"/>
              </w:rPr>
              <w:t>,</w:t>
            </w:r>
            <w:r w:rsidRPr="002E1829">
              <w:rPr>
                <w:rFonts w:eastAsiaTheme="minorEastAsia"/>
              </w:rPr>
              <w:t xml:space="preserve"> regarding </w:t>
            </w:r>
            <w:r w:rsidRPr="002E1829" w:rsidR="003C77BA">
              <w:rPr>
                <w:rFonts w:eastAsiaTheme="minorEastAsia"/>
              </w:rPr>
              <w:t xml:space="preserve">the </w:t>
            </w:r>
            <w:r w:rsidRPr="002E1829">
              <w:rPr>
                <w:rFonts w:eastAsiaTheme="minorEastAsia"/>
              </w:rPr>
              <w:t>version</w:t>
            </w:r>
            <w:r w:rsidRPr="002E1829" w:rsidR="003C77BA">
              <w:rPr>
                <w:rFonts w:eastAsiaTheme="minorEastAsia"/>
              </w:rPr>
              <w:t xml:space="preserve">ing policy </w:t>
            </w:r>
          </w:p>
        </w:tc>
      </w:tr>
      <w:tr w:rsidRPr="001775C1" w:rsidR="00E3793C" w:rsidTr="004E0667" w14:paraId="18179806" w14:textId="77777777">
        <w:tc>
          <w:tcPr>
            <w:tcW w:w="851" w:type="dxa"/>
            <w:vAlign w:val="center"/>
          </w:tcPr>
          <w:p w:rsidRPr="002E1829" w:rsidR="00E3793C" w:rsidP="00196583" w:rsidRDefault="00E3793C" w14:paraId="59D513C8" w14:textId="3C3106A6">
            <w:pPr>
              <w:rPr>
                <w:rFonts w:eastAsiaTheme="minorEastAsia"/>
              </w:rPr>
            </w:pPr>
            <w:r w:rsidRPr="002E1829">
              <w:rPr>
                <w:rFonts w:eastAsiaTheme="minorEastAsia"/>
              </w:rPr>
              <w:t>0.9</w:t>
            </w:r>
          </w:p>
        </w:tc>
        <w:tc>
          <w:tcPr>
            <w:tcW w:w="1417" w:type="dxa"/>
            <w:vAlign w:val="center"/>
          </w:tcPr>
          <w:p w:rsidRPr="002E1829" w:rsidR="00E3793C" w:rsidP="00196583" w:rsidRDefault="00E3793C" w14:paraId="5E64D2F8" w14:textId="03DFFF6C">
            <w:pPr>
              <w:rPr>
                <w:rFonts w:eastAsiaTheme="minorEastAsia"/>
              </w:rPr>
            </w:pPr>
            <w:r w:rsidRPr="002E1829">
              <w:rPr>
                <w:rFonts w:eastAsiaTheme="minorEastAsia"/>
              </w:rPr>
              <w:t>07/01/2022</w:t>
            </w:r>
          </w:p>
        </w:tc>
        <w:tc>
          <w:tcPr>
            <w:tcW w:w="1985" w:type="dxa"/>
            <w:vAlign w:val="center"/>
          </w:tcPr>
          <w:p w:rsidRPr="002E1829" w:rsidR="00E3793C" w:rsidP="00196583" w:rsidRDefault="00E3793C" w14:paraId="5CFE62D6" w14:textId="68CFC211">
            <w:pPr>
              <w:rPr>
                <w:rFonts w:eastAsiaTheme="minorEastAsia"/>
              </w:rPr>
            </w:pPr>
            <w:r w:rsidRPr="002E1829">
              <w:rPr>
                <w:rFonts w:eastAsiaTheme="minorEastAsia"/>
              </w:rPr>
              <w:t>DG MOVE</w:t>
            </w:r>
          </w:p>
        </w:tc>
        <w:tc>
          <w:tcPr>
            <w:tcW w:w="4536" w:type="dxa"/>
            <w:vAlign w:val="center"/>
          </w:tcPr>
          <w:p w:rsidRPr="002E1829" w:rsidR="00E3793C" w:rsidP="00196583" w:rsidRDefault="00D3613D" w14:paraId="2622976B" w14:textId="4E14671B">
            <w:pPr>
              <w:pStyle w:val="Footer"/>
              <w:rPr>
                <w:rFonts w:eastAsiaTheme="minorEastAsia"/>
              </w:rPr>
            </w:pPr>
            <w:r w:rsidRPr="002E1829">
              <w:rPr>
                <w:rFonts w:eastAsiaTheme="minorEastAsia"/>
              </w:rPr>
              <w:t>Changes based on Member States contributions to the draft annex of the Implementing Act</w:t>
            </w:r>
          </w:p>
        </w:tc>
      </w:tr>
      <w:tr w:rsidRPr="001775C1" w:rsidR="0040690C" w:rsidTr="004E0667" w14:paraId="39767D08" w14:textId="77777777">
        <w:tc>
          <w:tcPr>
            <w:tcW w:w="851" w:type="dxa"/>
            <w:vAlign w:val="center"/>
          </w:tcPr>
          <w:p w:rsidRPr="002E1829" w:rsidR="0040690C" w:rsidP="00196583" w:rsidRDefault="00B865E9" w14:paraId="69C5A441" w14:textId="1444720B">
            <w:pPr>
              <w:rPr>
                <w:rFonts w:eastAsiaTheme="minorEastAsia"/>
              </w:rPr>
            </w:pPr>
            <w:r w:rsidRPr="002E1829">
              <w:rPr>
                <w:rFonts w:eastAsiaTheme="minorEastAsia"/>
              </w:rPr>
              <w:t>0.10</w:t>
            </w:r>
          </w:p>
        </w:tc>
        <w:tc>
          <w:tcPr>
            <w:tcW w:w="1417" w:type="dxa"/>
            <w:vAlign w:val="center"/>
          </w:tcPr>
          <w:p w:rsidRPr="002E1829" w:rsidR="0040690C" w:rsidP="00196583" w:rsidRDefault="00B865E9" w14:paraId="5E3B4035" w14:textId="5D9585C1">
            <w:pPr>
              <w:rPr>
                <w:rFonts w:eastAsiaTheme="minorEastAsia"/>
              </w:rPr>
            </w:pPr>
            <w:r w:rsidRPr="002E1829">
              <w:rPr>
                <w:rFonts w:eastAsiaTheme="minorEastAsia"/>
              </w:rPr>
              <w:t>20/05/2022</w:t>
            </w:r>
          </w:p>
        </w:tc>
        <w:tc>
          <w:tcPr>
            <w:tcW w:w="1985" w:type="dxa"/>
            <w:vAlign w:val="center"/>
          </w:tcPr>
          <w:p w:rsidRPr="002E1829" w:rsidR="0040690C" w:rsidP="00196583" w:rsidRDefault="00D649D6" w14:paraId="221B0EFE" w14:textId="421ED9BE">
            <w:pPr>
              <w:rPr>
                <w:rFonts w:eastAsiaTheme="minorEastAsia"/>
              </w:rPr>
            </w:pPr>
            <w:r w:rsidRPr="002E1829">
              <w:rPr>
                <w:rFonts w:eastAsiaTheme="minorEastAsia"/>
              </w:rPr>
              <w:t>DG MOVE</w:t>
            </w:r>
          </w:p>
        </w:tc>
        <w:tc>
          <w:tcPr>
            <w:tcW w:w="4536" w:type="dxa"/>
            <w:vAlign w:val="center"/>
          </w:tcPr>
          <w:p w:rsidRPr="002E1829" w:rsidR="0040690C" w:rsidP="00196583" w:rsidRDefault="00D649D6" w14:paraId="031AE2AB" w14:textId="12DD71C0">
            <w:pPr>
              <w:pStyle w:val="Footer"/>
              <w:rPr>
                <w:rFonts w:eastAsiaTheme="minorEastAsia"/>
              </w:rPr>
            </w:pPr>
            <w:r w:rsidRPr="002E1829">
              <w:rPr>
                <w:rFonts w:eastAsiaTheme="minorEastAsia"/>
              </w:rPr>
              <w:t>Alignment with reference documents and the latest agreed functionalities</w:t>
            </w:r>
          </w:p>
        </w:tc>
      </w:tr>
      <w:tr w:rsidRPr="001775C1" w:rsidR="00ED2D21" w:rsidTr="00ED2D21" w14:paraId="1E23C9CB" w14:textId="77777777">
        <w:tc>
          <w:tcPr>
            <w:tcW w:w="851" w:type="dxa"/>
            <w:vAlign w:val="center"/>
          </w:tcPr>
          <w:p w:rsidRPr="002E1829" w:rsidR="00ED2D21" w:rsidP="00196583" w:rsidRDefault="00ED2D21" w14:paraId="5DDA8205" w14:textId="607680B3">
            <w:pPr>
              <w:rPr>
                <w:rFonts w:eastAsiaTheme="minorEastAsia"/>
              </w:rPr>
            </w:pPr>
            <w:r w:rsidRPr="002E1829">
              <w:rPr>
                <w:rFonts w:eastAsiaTheme="minorEastAsia"/>
              </w:rPr>
              <w:t>0.11</w:t>
            </w:r>
          </w:p>
        </w:tc>
        <w:tc>
          <w:tcPr>
            <w:tcW w:w="1417" w:type="dxa"/>
            <w:vAlign w:val="center"/>
          </w:tcPr>
          <w:p w:rsidRPr="002E1829" w:rsidR="00ED2D21" w:rsidP="00196583" w:rsidRDefault="005B3B97" w14:paraId="22BAEFAE" w14:textId="4C47556F">
            <w:pPr>
              <w:rPr>
                <w:rFonts w:eastAsiaTheme="minorEastAsia"/>
              </w:rPr>
            </w:pPr>
            <w:r w:rsidRPr="002E1829">
              <w:rPr>
                <w:rFonts w:eastAsiaTheme="minorEastAsia"/>
              </w:rPr>
              <w:t>11/11/2022</w:t>
            </w:r>
          </w:p>
        </w:tc>
        <w:tc>
          <w:tcPr>
            <w:tcW w:w="1985" w:type="dxa"/>
            <w:vAlign w:val="center"/>
          </w:tcPr>
          <w:p w:rsidRPr="002E1829" w:rsidR="00ED2D21" w:rsidP="00196583" w:rsidRDefault="00ED2D21" w14:paraId="7889B555" w14:textId="17697904">
            <w:pPr>
              <w:rPr>
                <w:rFonts w:eastAsiaTheme="minorEastAsia"/>
              </w:rPr>
            </w:pPr>
            <w:r w:rsidRPr="002E1829">
              <w:rPr>
                <w:rFonts w:eastAsiaTheme="minorEastAsia"/>
              </w:rPr>
              <w:t>DG MOVE</w:t>
            </w:r>
          </w:p>
        </w:tc>
        <w:tc>
          <w:tcPr>
            <w:tcW w:w="4536" w:type="dxa"/>
          </w:tcPr>
          <w:p w:rsidRPr="002E1829" w:rsidR="00ED2D21" w:rsidP="00196583" w:rsidRDefault="00ED2D21" w14:paraId="55FE76E3" w14:textId="44131684">
            <w:pPr>
              <w:pStyle w:val="Footer"/>
              <w:rPr>
                <w:rFonts w:eastAsiaTheme="minorEastAsia"/>
              </w:rPr>
            </w:pPr>
            <w:r w:rsidRPr="002E1829">
              <w:t xml:space="preserve">Changes based on the high-Level functional and technical specifications of the Reporting Interface Module 2.4 document </w:t>
            </w:r>
          </w:p>
        </w:tc>
      </w:tr>
      <w:tr w:rsidRPr="001775C1" w:rsidR="001A6D54" w:rsidTr="00ED2D21" w14:paraId="47F97AFA" w14:textId="77777777">
        <w:tc>
          <w:tcPr>
            <w:tcW w:w="851" w:type="dxa"/>
            <w:vAlign w:val="center"/>
          </w:tcPr>
          <w:p w:rsidRPr="002E1829" w:rsidR="001A6D54" w:rsidP="00196583" w:rsidRDefault="001A6D54" w14:paraId="244E4DC7" w14:textId="1615FF18">
            <w:pPr>
              <w:rPr>
                <w:rFonts w:eastAsiaTheme="minorEastAsia"/>
              </w:rPr>
            </w:pPr>
            <w:r w:rsidRPr="002E1829">
              <w:rPr>
                <w:rFonts w:eastAsiaTheme="minorEastAsia"/>
              </w:rPr>
              <w:t>0.12</w:t>
            </w:r>
          </w:p>
        </w:tc>
        <w:tc>
          <w:tcPr>
            <w:tcW w:w="1417" w:type="dxa"/>
            <w:vAlign w:val="center"/>
          </w:tcPr>
          <w:p w:rsidRPr="002E1829" w:rsidR="001A6D54" w:rsidP="00196583" w:rsidRDefault="00950105" w14:paraId="6B0A9B77" w14:textId="4B19B8BA">
            <w:pPr>
              <w:rPr>
                <w:rFonts w:eastAsiaTheme="minorEastAsia"/>
              </w:rPr>
            </w:pPr>
            <w:r w:rsidRPr="002E1829">
              <w:rPr>
                <w:rFonts w:eastAsiaTheme="minorEastAsia"/>
              </w:rPr>
              <w:t>09/12/2022</w:t>
            </w:r>
          </w:p>
        </w:tc>
        <w:tc>
          <w:tcPr>
            <w:tcW w:w="1985" w:type="dxa"/>
            <w:vAlign w:val="center"/>
          </w:tcPr>
          <w:p w:rsidRPr="002E1829" w:rsidR="001A6D54" w:rsidP="00196583" w:rsidRDefault="00950105" w14:paraId="10FB0BB6" w14:textId="6A390C18">
            <w:pPr>
              <w:rPr>
                <w:rFonts w:eastAsiaTheme="minorEastAsia"/>
              </w:rPr>
            </w:pPr>
            <w:r w:rsidRPr="002E1829">
              <w:rPr>
                <w:rFonts w:eastAsiaTheme="minorEastAsia"/>
              </w:rPr>
              <w:t>DG MOVE</w:t>
            </w:r>
          </w:p>
        </w:tc>
        <w:tc>
          <w:tcPr>
            <w:tcW w:w="4536" w:type="dxa"/>
          </w:tcPr>
          <w:p w:rsidRPr="009F0795" w:rsidR="009F0795" w:rsidP="009F0795" w:rsidRDefault="009F0795" w14:paraId="10F78631" w14:textId="2273578C">
            <w:pPr>
              <w:pStyle w:val="NormalWeb"/>
              <w:spacing w:before="0" w:beforeAutospacing="0" w:after="0" w:afterAutospacing="0"/>
              <w:rPr>
                <w:rFonts w:ascii="Calibri" w:hAnsi="Calibri" w:cs="Calibri"/>
                <w:sz w:val="22"/>
                <w:szCs w:val="22"/>
              </w:rPr>
            </w:pPr>
            <w:r w:rsidRPr="009F0795">
              <w:rPr>
                <w:rFonts w:ascii="Calibri" w:hAnsi="Calibri" w:cs="Calibri"/>
                <w:sz w:val="22"/>
                <w:szCs w:val="22"/>
              </w:rPr>
              <w:t>Align references to the latest documentation and text of Implementing Acts</w:t>
            </w:r>
            <w:r>
              <w:rPr>
                <w:rFonts w:ascii="Calibri" w:hAnsi="Calibri" w:cs="Calibri"/>
                <w:sz w:val="22"/>
                <w:szCs w:val="22"/>
              </w:rPr>
              <w:t>;</w:t>
            </w:r>
          </w:p>
          <w:p w:rsidRPr="009F0795" w:rsidR="009F0795" w:rsidP="009F0795" w:rsidRDefault="009F0795" w14:paraId="02E3C15F" w14:textId="3FC90F09">
            <w:pPr>
              <w:spacing w:after="0"/>
              <w:jc w:val="left"/>
              <w:rPr>
                <w:rFonts w:ascii="Calibri" w:hAnsi="Calibri" w:eastAsia="Times New Roman" w:cs="Calibri"/>
              </w:rPr>
            </w:pPr>
            <w:r w:rsidRPr="009F0795">
              <w:rPr>
                <w:rFonts w:ascii="Calibri" w:hAnsi="Calibri" w:eastAsia="Times New Roman" w:cs="Calibri"/>
              </w:rPr>
              <w:t>Merging list of components with their descriptions</w:t>
            </w:r>
            <w:r>
              <w:rPr>
                <w:rFonts w:ascii="Calibri" w:hAnsi="Calibri" w:eastAsia="Times New Roman" w:cs="Calibri"/>
              </w:rPr>
              <w:t>;</w:t>
            </w:r>
          </w:p>
          <w:p w:rsidRPr="009F0795" w:rsidR="009F0795" w:rsidP="009F0795" w:rsidRDefault="009F0795" w14:paraId="767E1C7F" w14:textId="09365DEF">
            <w:pPr>
              <w:spacing w:after="0"/>
              <w:jc w:val="left"/>
              <w:rPr>
                <w:rFonts w:ascii="Calibri" w:hAnsi="Calibri" w:eastAsia="Times New Roman" w:cs="Calibri"/>
              </w:rPr>
            </w:pPr>
            <w:r w:rsidRPr="009F0795">
              <w:rPr>
                <w:rFonts w:ascii="Calibri" w:hAnsi="Calibri" w:eastAsia="Times New Roman" w:cs="Calibri"/>
              </w:rPr>
              <w:t>Removing component dependency description</w:t>
            </w:r>
            <w:r>
              <w:rPr>
                <w:rFonts w:ascii="Calibri" w:hAnsi="Calibri" w:eastAsia="Times New Roman" w:cs="Calibri"/>
              </w:rPr>
              <w:t>;</w:t>
            </w:r>
          </w:p>
          <w:p w:rsidRPr="009F0795" w:rsidR="009F0795" w:rsidP="009F0795" w:rsidRDefault="009F0795" w14:paraId="5F181CD0" w14:textId="659B27AA">
            <w:pPr>
              <w:spacing w:after="0"/>
              <w:jc w:val="left"/>
              <w:rPr>
                <w:rFonts w:ascii="Calibri" w:hAnsi="Calibri" w:eastAsia="Times New Roman" w:cs="Calibri"/>
              </w:rPr>
            </w:pPr>
            <w:r w:rsidRPr="009F0795">
              <w:rPr>
                <w:rFonts w:ascii="Calibri" w:hAnsi="Calibri" w:eastAsia="Times New Roman" w:cs="Calibri"/>
              </w:rPr>
              <w:t>Adding more precise component functionality list</w:t>
            </w:r>
            <w:r>
              <w:rPr>
                <w:rFonts w:ascii="Calibri" w:hAnsi="Calibri" w:eastAsia="Times New Roman" w:cs="Calibri"/>
              </w:rPr>
              <w:t>;</w:t>
            </w:r>
          </w:p>
          <w:p w:rsidRPr="002E1829" w:rsidR="001A6D54" w:rsidP="009F0795" w:rsidRDefault="009F0795" w14:paraId="09FCF2C1" w14:textId="0CEEB7D4">
            <w:pPr>
              <w:spacing w:after="0"/>
              <w:jc w:val="left"/>
            </w:pPr>
            <w:r w:rsidRPr="009F0795">
              <w:rPr>
                <w:rFonts w:ascii="Calibri" w:hAnsi="Calibri" w:eastAsia="Times New Roman" w:cs="Calibri"/>
              </w:rPr>
              <w:t>Removing assumptions not fully defined</w:t>
            </w:r>
            <w:r>
              <w:rPr>
                <w:rFonts w:ascii="Calibri" w:hAnsi="Calibri" w:eastAsia="Times New Roman" w:cs="Calibri"/>
              </w:rPr>
              <w:t>;</w:t>
            </w:r>
          </w:p>
        </w:tc>
      </w:tr>
    </w:tbl>
    <w:p w:rsidRPr="002E1829" w:rsidR="001004C9" w:rsidP="001004C9" w:rsidRDefault="001004C9" w14:paraId="59A72D94" w14:textId="7D8C6639"/>
    <w:p w:rsidR="00A07A3A" w:rsidRDefault="00A07A3A" w14:paraId="508395B4" w14:textId="31FCCCDF">
      <w:r>
        <w:br w:type="page"/>
      </w:r>
    </w:p>
    <w:p w:rsidRPr="00800028" w:rsidR="00C72343" w:rsidRDefault="00C72343" w14:paraId="2CE15EA6" w14:textId="52BF3AD1">
      <w:pPr>
        <w:pStyle w:val="TOCHeading"/>
      </w:pPr>
      <w:r w:rsidRPr="00800028">
        <w:t>Contents</w:t>
      </w:r>
    </w:p>
    <w:p w:rsidR="004E2045" w:rsidRDefault="00C72343" w14:paraId="1D61D29E" w14:textId="7869D4DE">
      <w:pPr>
        <w:pStyle w:val="TOC1"/>
        <w:rPr>
          <w:rFonts w:eastAsiaTheme="minorEastAsia" w:cstheme="minorBidi"/>
          <w:noProof/>
        </w:rPr>
      </w:pPr>
      <w:r w:rsidRPr="00800028">
        <w:rPr>
          <w:color w:val="2B579A"/>
          <w:shd w:val="clear" w:color="auto" w:fill="E6E6E6"/>
        </w:rPr>
        <w:fldChar w:fldCharType="begin"/>
      </w:r>
      <w:r w:rsidRPr="001775C1">
        <w:instrText xml:space="preserve"> TOC \o "1-3" \h \z \u </w:instrText>
      </w:r>
      <w:r w:rsidRPr="00800028">
        <w:rPr>
          <w:color w:val="2B579A"/>
          <w:shd w:val="clear" w:color="auto" w:fill="E6E6E6"/>
        </w:rPr>
        <w:fldChar w:fldCharType="separate"/>
      </w:r>
      <w:hyperlink w:history="1" w:anchor="_Toc121930640">
        <w:r w:rsidRPr="00DE29F0" w:rsidR="004E2045">
          <w:rPr>
            <w:rStyle w:val="Hyperlink"/>
            <w:noProof/>
          </w:rPr>
          <w:t>Definition and purpose</w:t>
        </w:r>
        <w:r w:rsidR="004E2045">
          <w:rPr>
            <w:noProof/>
            <w:webHidden/>
          </w:rPr>
          <w:tab/>
        </w:r>
        <w:r w:rsidR="004E2045">
          <w:rPr>
            <w:noProof/>
            <w:webHidden/>
          </w:rPr>
          <w:fldChar w:fldCharType="begin"/>
        </w:r>
        <w:r w:rsidR="004E2045">
          <w:rPr>
            <w:noProof/>
            <w:webHidden/>
          </w:rPr>
          <w:instrText xml:space="preserve"> PAGEREF _Toc121930640 \h </w:instrText>
        </w:r>
        <w:r w:rsidR="004E2045">
          <w:rPr>
            <w:noProof/>
            <w:webHidden/>
          </w:rPr>
        </w:r>
        <w:r w:rsidR="004E2045">
          <w:rPr>
            <w:noProof/>
            <w:webHidden/>
          </w:rPr>
          <w:fldChar w:fldCharType="separate"/>
        </w:r>
        <w:r w:rsidR="004E2045">
          <w:rPr>
            <w:noProof/>
            <w:webHidden/>
          </w:rPr>
          <w:t>4</w:t>
        </w:r>
        <w:r w:rsidR="004E2045">
          <w:rPr>
            <w:noProof/>
            <w:webHidden/>
          </w:rPr>
          <w:fldChar w:fldCharType="end"/>
        </w:r>
      </w:hyperlink>
    </w:p>
    <w:p w:rsidR="004E2045" w:rsidRDefault="001402AC" w14:paraId="4CD9C5FF" w14:textId="5B9F14E4">
      <w:pPr>
        <w:pStyle w:val="TOC1"/>
        <w:rPr>
          <w:rFonts w:eastAsiaTheme="minorEastAsia" w:cstheme="minorBidi"/>
          <w:noProof/>
        </w:rPr>
      </w:pPr>
      <w:hyperlink w:history="1" w:anchor="_Toc121930641">
        <w:r w:rsidRPr="00DE29F0" w:rsidR="004E2045">
          <w:rPr>
            <w:rStyle w:val="Hyperlink"/>
            <w:noProof/>
          </w:rPr>
          <w:t>References</w:t>
        </w:r>
        <w:r w:rsidR="004E2045">
          <w:rPr>
            <w:noProof/>
            <w:webHidden/>
          </w:rPr>
          <w:tab/>
        </w:r>
        <w:r w:rsidR="004E2045">
          <w:rPr>
            <w:noProof/>
            <w:webHidden/>
          </w:rPr>
          <w:fldChar w:fldCharType="begin"/>
        </w:r>
        <w:r w:rsidR="004E2045">
          <w:rPr>
            <w:noProof/>
            <w:webHidden/>
          </w:rPr>
          <w:instrText xml:space="preserve"> PAGEREF _Toc121930641 \h </w:instrText>
        </w:r>
        <w:r w:rsidR="004E2045">
          <w:rPr>
            <w:noProof/>
            <w:webHidden/>
          </w:rPr>
        </w:r>
        <w:r w:rsidR="004E2045">
          <w:rPr>
            <w:noProof/>
            <w:webHidden/>
          </w:rPr>
          <w:fldChar w:fldCharType="separate"/>
        </w:r>
        <w:r w:rsidR="004E2045">
          <w:rPr>
            <w:noProof/>
            <w:webHidden/>
          </w:rPr>
          <w:t>4</w:t>
        </w:r>
        <w:r w:rsidR="004E2045">
          <w:rPr>
            <w:noProof/>
            <w:webHidden/>
          </w:rPr>
          <w:fldChar w:fldCharType="end"/>
        </w:r>
      </w:hyperlink>
    </w:p>
    <w:p w:rsidR="004E2045" w:rsidRDefault="001402AC" w14:paraId="598DB63B" w14:textId="37327199">
      <w:pPr>
        <w:pStyle w:val="TOC1"/>
        <w:rPr>
          <w:rFonts w:eastAsiaTheme="minorEastAsia" w:cstheme="minorBidi"/>
          <w:noProof/>
        </w:rPr>
      </w:pPr>
      <w:hyperlink w:history="1" w:anchor="_Toc121930642">
        <w:r w:rsidRPr="00DE29F0" w:rsidR="004E2045">
          <w:rPr>
            <w:rStyle w:val="Hyperlink"/>
            <w:noProof/>
          </w:rPr>
          <w:t>Principles</w:t>
        </w:r>
        <w:r w:rsidR="004E2045">
          <w:rPr>
            <w:noProof/>
            <w:webHidden/>
          </w:rPr>
          <w:tab/>
        </w:r>
        <w:r w:rsidR="004E2045">
          <w:rPr>
            <w:noProof/>
            <w:webHidden/>
          </w:rPr>
          <w:fldChar w:fldCharType="begin"/>
        </w:r>
        <w:r w:rsidR="004E2045">
          <w:rPr>
            <w:noProof/>
            <w:webHidden/>
          </w:rPr>
          <w:instrText xml:space="preserve"> PAGEREF _Toc121930642 \h </w:instrText>
        </w:r>
        <w:r w:rsidR="004E2045">
          <w:rPr>
            <w:noProof/>
            <w:webHidden/>
          </w:rPr>
        </w:r>
        <w:r w:rsidR="004E2045">
          <w:rPr>
            <w:noProof/>
            <w:webHidden/>
          </w:rPr>
          <w:fldChar w:fldCharType="separate"/>
        </w:r>
        <w:r w:rsidR="004E2045">
          <w:rPr>
            <w:noProof/>
            <w:webHidden/>
          </w:rPr>
          <w:t>5</w:t>
        </w:r>
        <w:r w:rsidR="004E2045">
          <w:rPr>
            <w:noProof/>
            <w:webHidden/>
          </w:rPr>
          <w:fldChar w:fldCharType="end"/>
        </w:r>
      </w:hyperlink>
    </w:p>
    <w:p w:rsidR="004E2045" w:rsidRDefault="001402AC" w14:paraId="2C94D32C" w14:textId="7BD3C7EF">
      <w:pPr>
        <w:pStyle w:val="TOC1"/>
        <w:rPr>
          <w:rFonts w:eastAsiaTheme="minorEastAsia" w:cstheme="minorBidi"/>
          <w:noProof/>
        </w:rPr>
      </w:pPr>
      <w:hyperlink w:history="1" w:anchor="_Toc121930643">
        <w:r w:rsidRPr="00DE29F0" w:rsidR="004E2045">
          <w:rPr>
            <w:rStyle w:val="Hyperlink"/>
            <w:noProof/>
          </w:rPr>
          <w:t>EMSWe high level architecture</w:t>
        </w:r>
        <w:r w:rsidR="004E2045">
          <w:rPr>
            <w:noProof/>
            <w:webHidden/>
          </w:rPr>
          <w:tab/>
        </w:r>
        <w:r w:rsidR="004E2045">
          <w:rPr>
            <w:noProof/>
            <w:webHidden/>
          </w:rPr>
          <w:fldChar w:fldCharType="begin"/>
        </w:r>
        <w:r w:rsidR="004E2045">
          <w:rPr>
            <w:noProof/>
            <w:webHidden/>
          </w:rPr>
          <w:instrText xml:space="preserve"> PAGEREF _Toc121930643 \h </w:instrText>
        </w:r>
        <w:r w:rsidR="004E2045">
          <w:rPr>
            <w:noProof/>
            <w:webHidden/>
          </w:rPr>
        </w:r>
        <w:r w:rsidR="004E2045">
          <w:rPr>
            <w:noProof/>
            <w:webHidden/>
          </w:rPr>
          <w:fldChar w:fldCharType="separate"/>
        </w:r>
        <w:r w:rsidR="004E2045">
          <w:rPr>
            <w:noProof/>
            <w:webHidden/>
          </w:rPr>
          <w:t>5</w:t>
        </w:r>
        <w:r w:rsidR="004E2045">
          <w:rPr>
            <w:noProof/>
            <w:webHidden/>
          </w:rPr>
          <w:fldChar w:fldCharType="end"/>
        </w:r>
      </w:hyperlink>
    </w:p>
    <w:p w:rsidR="004E2045" w:rsidRDefault="001402AC" w14:paraId="6475FB60" w14:textId="4FD40A46">
      <w:pPr>
        <w:pStyle w:val="TOC1"/>
        <w:rPr>
          <w:rFonts w:eastAsiaTheme="minorEastAsia" w:cstheme="minorBidi"/>
          <w:noProof/>
        </w:rPr>
      </w:pPr>
      <w:hyperlink w:history="1" w:anchor="_Toc121930644">
        <w:r w:rsidRPr="00DE29F0" w:rsidR="004E2045">
          <w:rPr>
            <w:rStyle w:val="Hyperlink"/>
            <w:noProof/>
          </w:rPr>
          <w:t>Functional architecture Models</w:t>
        </w:r>
        <w:r w:rsidR="004E2045">
          <w:rPr>
            <w:noProof/>
            <w:webHidden/>
          </w:rPr>
          <w:tab/>
        </w:r>
        <w:r w:rsidR="004E2045">
          <w:rPr>
            <w:noProof/>
            <w:webHidden/>
          </w:rPr>
          <w:fldChar w:fldCharType="begin"/>
        </w:r>
        <w:r w:rsidR="004E2045">
          <w:rPr>
            <w:noProof/>
            <w:webHidden/>
          </w:rPr>
          <w:instrText xml:space="preserve"> PAGEREF _Toc121930644 \h </w:instrText>
        </w:r>
        <w:r w:rsidR="004E2045">
          <w:rPr>
            <w:noProof/>
            <w:webHidden/>
          </w:rPr>
        </w:r>
        <w:r w:rsidR="004E2045">
          <w:rPr>
            <w:noProof/>
            <w:webHidden/>
          </w:rPr>
          <w:fldChar w:fldCharType="separate"/>
        </w:r>
        <w:r w:rsidR="004E2045">
          <w:rPr>
            <w:noProof/>
            <w:webHidden/>
          </w:rPr>
          <w:t>7</w:t>
        </w:r>
        <w:r w:rsidR="004E2045">
          <w:rPr>
            <w:noProof/>
            <w:webHidden/>
          </w:rPr>
          <w:fldChar w:fldCharType="end"/>
        </w:r>
      </w:hyperlink>
    </w:p>
    <w:p w:rsidR="004E2045" w:rsidRDefault="001402AC" w14:paraId="1D397B27" w14:textId="303A5AB1">
      <w:pPr>
        <w:pStyle w:val="TOC2"/>
        <w:tabs>
          <w:tab w:val="right" w:leader="dot" w:pos="9350"/>
        </w:tabs>
        <w:rPr>
          <w:rFonts w:eastAsiaTheme="minorEastAsia" w:cstheme="minorBidi"/>
          <w:noProof/>
        </w:rPr>
      </w:pPr>
      <w:hyperlink w:history="1" w:anchor="_Toc121930645">
        <w:r w:rsidRPr="00DE29F0" w:rsidR="004E2045">
          <w:rPr>
            <w:rStyle w:val="Hyperlink"/>
            <w:noProof/>
          </w:rPr>
          <w:t>Functional description for U2S interactions</w:t>
        </w:r>
        <w:r w:rsidR="004E2045">
          <w:rPr>
            <w:noProof/>
            <w:webHidden/>
          </w:rPr>
          <w:tab/>
        </w:r>
        <w:r w:rsidR="004E2045">
          <w:rPr>
            <w:noProof/>
            <w:webHidden/>
          </w:rPr>
          <w:fldChar w:fldCharType="begin"/>
        </w:r>
        <w:r w:rsidR="004E2045">
          <w:rPr>
            <w:noProof/>
            <w:webHidden/>
          </w:rPr>
          <w:instrText xml:space="preserve"> PAGEREF _Toc121930645 \h </w:instrText>
        </w:r>
        <w:r w:rsidR="004E2045">
          <w:rPr>
            <w:noProof/>
            <w:webHidden/>
          </w:rPr>
        </w:r>
        <w:r w:rsidR="004E2045">
          <w:rPr>
            <w:noProof/>
            <w:webHidden/>
          </w:rPr>
          <w:fldChar w:fldCharType="separate"/>
        </w:r>
        <w:r w:rsidR="004E2045">
          <w:rPr>
            <w:noProof/>
            <w:webHidden/>
          </w:rPr>
          <w:t>7</w:t>
        </w:r>
        <w:r w:rsidR="004E2045">
          <w:rPr>
            <w:noProof/>
            <w:webHidden/>
          </w:rPr>
          <w:fldChar w:fldCharType="end"/>
        </w:r>
      </w:hyperlink>
    </w:p>
    <w:p w:rsidR="004E2045" w:rsidRDefault="001402AC" w14:paraId="41364283" w14:textId="64B5D5EC">
      <w:pPr>
        <w:pStyle w:val="TOC3"/>
        <w:tabs>
          <w:tab w:val="right" w:leader="dot" w:pos="9350"/>
        </w:tabs>
        <w:rPr>
          <w:rFonts w:eastAsiaTheme="minorEastAsia" w:cstheme="minorBidi"/>
          <w:noProof/>
        </w:rPr>
      </w:pPr>
      <w:hyperlink w:history="1" w:anchor="_Toc121930646">
        <w:r w:rsidRPr="00DE29F0" w:rsidR="004E2045">
          <w:rPr>
            <w:rStyle w:val="Hyperlink"/>
            <w:noProof/>
          </w:rPr>
          <w:t>The journey of a formality and response.</w:t>
        </w:r>
        <w:r w:rsidR="004E2045">
          <w:rPr>
            <w:noProof/>
            <w:webHidden/>
          </w:rPr>
          <w:tab/>
        </w:r>
        <w:r w:rsidR="004E2045">
          <w:rPr>
            <w:noProof/>
            <w:webHidden/>
          </w:rPr>
          <w:fldChar w:fldCharType="begin"/>
        </w:r>
        <w:r w:rsidR="004E2045">
          <w:rPr>
            <w:noProof/>
            <w:webHidden/>
          </w:rPr>
          <w:instrText xml:space="preserve"> PAGEREF _Toc121930646 \h </w:instrText>
        </w:r>
        <w:r w:rsidR="004E2045">
          <w:rPr>
            <w:noProof/>
            <w:webHidden/>
          </w:rPr>
        </w:r>
        <w:r w:rsidR="004E2045">
          <w:rPr>
            <w:noProof/>
            <w:webHidden/>
          </w:rPr>
          <w:fldChar w:fldCharType="separate"/>
        </w:r>
        <w:r w:rsidR="004E2045">
          <w:rPr>
            <w:noProof/>
            <w:webHidden/>
          </w:rPr>
          <w:t>11</w:t>
        </w:r>
        <w:r w:rsidR="004E2045">
          <w:rPr>
            <w:noProof/>
            <w:webHidden/>
          </w:rPr>
          <w:fldChar w:fldCharType="end"/>
        </w:r>
      </w:hyperlink>
    </w:p>
    <w:p w:rsidR="004E2045" w:rsidRDefault="001402AC" w14:paraId="59A27008" w14:textId="4EE59B80">
      <w:pPr>
        <w:pStyle w:val="TOC2"/>
        <w:tabs>
          <w:tab w:val="right" w:leader="dot" w:pos="9350"/>
        </w:tabs>
        <w:rPr>
          <w:rFonts w:eastAsiaTheme="minorEastAsia" w:cstheme="minorBidi"/>
          <w:noProof/>
        </w:rPr>
      </w:pPr>
      <w:hyperlink w:history="1" w:anchor="_Toc121930647">
        <w:r w:rsidRPr="00DE29F0" w:rsidR="004E2045">
          <w:rPr>
            <w:rStyle w:val="Hyperlink"/>
            <w:noProof/>
          </w:rPr>
          <w:t>Functional description for S2S interactions</w:t>
        </w:r>
        <w:r w:rsidR="004E2045">
          <w:rPr>
            <w:noProof/>
            <w:webHidden/>
          </w:rPr>
          <w:tab/>
        </w:r>
        <w:r w:rsidR="004E2045">
          <w:rPr>
            <w:noProof/>
            <w:webHidden/>
          </w:rPr>
          <w:fldChar w:fldCharType="begin"/>
        </w:r>
        <w:r w:rsidR="004E2045">
          <w:rPr>
            <w:noProof/>
            <w:webHidden/>
          </w:rPr>
          <w:instrText xml:space="preserve"> PAGEREF _Toc121930647 \h </w:instrText>
        </w:r>
        <w:r w:rsidR="004E2045">
          <w:rPr>
            <w:noProof/>
            <w:webHidden/>
          </w:rPr>
        </w:r>
        <w:r w:rsidR="004E2045">
          <w:rPr>
            <w:noProof/>
            <w:webHidden/>
          </w:rPr>
          <w:fldChar w:fldCharType="separate"/>
        </w:r>
        <w:r w:rsidR="004E2045">
          <w:rPr>
            <w:noProof/>
            <w:webHidden/>
          </w:rPr>
          <w:t>14</w:t>
        </w:r>
        <w:r w:rsidR="004E2045">
          <w:rPr>
            <w:noProof/>
            <w:webHidden/>
          </w:rPr>
          <w:fldChar w:fldCharType="end"/>
        </w:r>
      </w:hyperlink>
    </w:p>
    <w:p w:rsidR="004E2045" w:rsidRDefault="001402AC" w14:paraId="47B0D7F2" w14:textId="5493E2C6">
      <w:pPr>
        <w:pStyle w:val="TOC3"/>
        <w:tabs>
          <w:tab w:val="right" w:leader="dot" w:pos="9350"/>
        </w:tabs>
        <w:rPr>
          <w:rFonts w:eastAsiaTheme="minorEastAsia" w:cstheme="minorBidi"/>
          <w:noProof/>
        </w:rPr>
      </w:pPr>
      <w:hyperlink w:history="1" w:anchor="_Toc121930648">
        <w:r w:rsidRPr="00DE29F0" w:rsidR="004E2045">
          <w:rPr>
            <w:rStyle w:val="Hyperlink"/>
            <w:noProof/>
          </w:rPr>
          <w:t>The Journey of a formality and response.</w:t>
        </w:r>
        <w:r w:rsidR="004E2045">
          <w:rPr>
            <w:noProof/>
            <w:webHidden/>
          </w:rPr>
          <w:tab/>
        </w:r>
        <w:r w:rsidR="004E2045">
          <w:rPr>
            <w:noProof/>
            <w:webHidden/>
          </w:rPr>
          <w:fldChar w:fldCharType="begin"/>
        </w:r>
        <w:r w:rsidR="004E2045">
          <w:rPr>
            <w:noProof/>
            <w:webHidden/>
          </w:rPr>
          <w:instrText xml:space="preserve"> PAGEREF _Toc121930648 \h </w:instrText>
        </w:r>
        <w:r w:rsidR="004E2045">
          <w:rPr>
            <w:noProof/>
            <w:webHidden/>
          </w:rPr>
        </w:r>
        <w:r w:rsidR="004E2045">
          <w:rPr>
            <w:noProof/>
            <w:webHidden/>
          </w:rPr>
          <w:fldChar w:fldCharType="separate"/>
        </w:r>
        <w:r w:rsidR="004E2045">
          <w:rPr>
            <w:noProof/>
            <w:webHidden/>
          </w:rPr>
          <w:t>16</w:t>
        </w:r>
        <w:r w:rsidR="004E2045">
          <w:rPr>
            <w:noProof/>
            <w:webHidden/>
          </w:rPr>
          <w:fldChar w:fldCharType="end"/>
        </w:r>
      </w:hyperlink>
    </w:p>
    <w:p w:rsidRPr="002E1829" w:rsidR="00C72343" w:rsidRDefault="00C72343" w14:paraId="5CF8CB3D" w14:textId="7BC4FDF0">
      <w:r w:rsidRPr="00800028">
        <w:rPr>
          <w:shd w:val="clear" w:color="auto" w:fill="E6E6E6"/>
        </w:rPr>
        <w:fldChar w:fldCharType="end"/>
      </w:r>
    </w:p>
    <w:p w:rsidRPr="00800028" w:rsidR="00C72343" w:rsidRDefault="00C72343" w14:paraId="041ECE6A" w14:textId="77777777">
      <w:pPr>
        <w:rPr>
          <w:rFonts w:eastAsiaTheme="majorEastAsia"/>
          <w:color w:val="2E74B5" w:themeColor="accent1" w:themeShade="BF"/>
          <w:sz w:val="32"/>
          <w:szCs w:val="32"/>
        </w:rPr>
      </w:pPr>
      <w:r w:rsidRPr="002E1829">
        <w:br w:type="page"/>
      </w:r>
    </w:p>
    <w:p w:rsidRPr="00800028" w:rsidR="009D42FC" w:rsidP="00196583" w:rsidRDefault="000D3D11" w14:paraId="5824501C" w14:textId="5DD3FF6B">
      <w:pPr>
        <w:pStyle w:val="Heading1"/>
      </w:pPr>
      <w:bookmarkStart w:name="_Toc121929689" w:id="0"/>
      <w:bookmarkStart w:name="_Toc121930640" w:id="1"/>
      <w:r w:rsidRPr="00800028">
        <w:t>Definition and purpose</w:t>
      </w:r>
      <w:bookmarkEnd w:id="0"/>
      <w:bookmarkEnd w:id="1"/>
    </w:p>
    <w:p w:rsidRPr="004A73C2" w:rsidR="000D3D11" w:rsidP="00196583" w:rsidRDefault="001638CA" w14:paraId="59793221" w14:textId="7D7519E1">
      <w:r w:rsidRPr="002E1829">
        <w:t>European Maritime Single Window environment consists of a network of Maritime National Single Windows with harmonised reporting interfaces (User-2-System and System-2-System) and include</w:t>
      </w:r>
      <w:r w:rsidRPr="002E1829" w:rsidR="00CF7004">
        <w:t>s</w:t>
      </w:r>
      <w:r w:rsidRPr="002E1829">
        <w:t xml:space="preserve"> exchanges via SafeSeaNet and other relevant systems as well as common services for user registry and access management, addressing, ship identification, location codes and information on dangerous and polluting goods and on health</w:t>
      </w:r>
      <w:r w:rsidRPr="002E1829" w:rsidR="000D3D11">
        <w:rPr>
          <w:rStyle w:val="FootnoteReference"/>
        </w:rPr>
        <w:footnoteReference w:id="2"/>
      </w:r>
      <w:r w:rsidRPr="004A73C2" w:rsidR="000D3D11">
        <w:t xml:space="preserve">. </w:t>
      </w:r>
    </w:p>
    <w:p w:rsidRPr="004A73C2" w:rsidR="001638CA" w:rsidP="00196583" w:rsidRDefault="001638CA" w14:paraId="67674105" w14:textId="4136E740">
      <w:r w:rsidRPr="004A73C2">
        <w:t>All of these components (systems and services) interact with each other forming the</w:t>
      </w:r>
      <w:r w:rsidRPr="004A73C2" w:rsidR="00CF7004">
        <w:t xml:space="preserve"> reporting</w:t>
      </w:r>
      <w:r w:rsidRPr="004A73C2">
        <w:t> environment that allows declarants to fulfil - electronically and in a harmonized way – the reporting obligations for ships arriving at, staying in and departing from a Union port. </w:t>
      </w:r>
    </w:p>
    <w:p w:rsidRPr="004A73C2" w:rsidR="001638CA" w:rsidP="00196583" w:rsidRDefault="001638CA" w14:paraId="7F365719" w14:textId="77777777">
      <w:r w:rsidRPr="004A73C2">
        <w:t>The purpose of this document is to describe and put in the spotlight responsibilities of tasks and functions of the various components of the environment when data is exchanged between declarants and MNSWs. Furthermore, the document shall provide a better stakeholder understanding of the interactions between components when data is exchanged within the boundaries of the EMSWe. </w:t>
      </w:r>
    </w:p>
    <w:p w:rsidRPr="004A73C2" w:rsidR="00281A76" w:rsidP="00196583" w:rsidRDefault="001638CA" w14:paraId="721A4F49" w14:textId="11082E94">
      <w:r w:rsidRPr="004A73C2">
        <w:t>This document also aims at providing an overall overview of the European Maritime Single Window environment. It describes the functions of its main components as well as the interactions that may occur among them, in view of providing stakeholders with an immediate understanding of the envisaged technical framework for the electronic transmission of information in the context of the Regulation (EU) 2019/1239. </w:t>
      </w:r>
      <w:r w:rsidRPr="004A73C2" w:rsidR="008B3116">
        <w:t>T</w:t>
      </w:r>
      <w:r w:rsidRPr="004A73C2">
        <w:t>his document does not aim at replacing, modifying or even clarifying the content of the implementing and/or delegated acts related to the implementation of the Regulation itself.</w:t>
      </w:r>
    </w:p>
    <w:p w:rsidRPr="00800028" w:rsidR="00C52ADD" w:rsidP="00C52ADD" w:rsidRDefault="00C52ADD" w14:paraId="52F91E37" w14:textId="35993ED3">
      <w:pPr>
        <w:pStyle w:val="Heading1"/>
      </w:pPr>
      <w:bookmarkStart w:name="_Toc121929690" w:id="2"/>
      <w:bookmarkStart w:name="_Toc121930641" w:id="3"/>
      <w:r w:rsidRPr="00800028">
        <w:t>References</w:t>
      </w:r>
      <w:bookmarkEnd w:id="2"/>
      <w:bookmarkEnd w:id="3"/>
    </w:p>
    <w:p w:rsidRPr="00800028" w:rsidR="00C52ADD" w:rsidP="00196583" w:rsidRDefault="00C52ADD" w14:paraId="39208BAE" w14:textId="77777777">
      <w:r w:rsidRPr="00800028">
        <w:t>List of documents that were used as reference include the following:</w:t>
      </w:r>
    </w:p>
    <w:tbl>
      <w:tblPr>
        <w:tblStyle w:val="TableWeb2"/>
        <w:tblW w:w="0" w:type="auto"/>
        <w:tblLook w:val="04A0" w:firstRow="1" w:lastRow="0" w:firstColumn="1" w:lastColumn="0" w:noHBand="0" w:noVBand="1"/>
      </w:tblPr>
      <w:tblGrid>
        <w:gridCol w:w="1977"/>
        <w:gridCol w:w="7195"/>
      </w:tblGrid>
      <w:tr w:rsidRPr="001775C1" w:rsidR="001B4760" w:rsidTr="00D13C2E" w14:paraId="41EDFEE1" w14:textId="77777777">
        <w:trPr>
          <w:cnfStyle w:val="100000000000" w:firstRow="1" w:lastRow="0" w:firstColumn="0" w:lastColumn="0" w:oddVBand="0" w:evenVBand="0" w:oddHBand="0" w:evenHBand="0" w:firstRowFirstColumn="0" w:firstRowLastColumn="0" w:lastRowFirstColumn="0" w:lastRowLastColumn="0"/>
        </w:trPr>
        <w:tc>
          <w:tcPr>
            <w:tcW w:w="1917" w:type="dxa"/>
          </w:tcPr>
          <w:p w:rsidRPr="004A73C2" w:rsidR="001B4760" w:rsidP="00196583" w:rsidRDefault="001B4760" w14:paraId="688F03DE" w14:textId="50926FC5">
            <w:r w:rsidRPr="004A73C2">
              <w:t>Document code</w:t>
            </w:r>
            <w:r w:rsidRPr="004A73C2" w:rsidR="00247662">
              <w:t>*</w:t>
            </w:r>
          </w:p>
        </w:tc>
        <w:tc>
          <w:tcPr>
            <w:tcW w:w="7135" w:type="dxa"/>
          </w:tcPr>
          <w:p w:rsidRPr="004A73C2" w:rsidR="001B4760" w:rsidP="00196583" w:rsidRDefault="001B4760" w14:paraId="519450D6" w14:textId="77777777">
            <w:r w:rsidRPr="004A73C2">
              <w:t>Document</w:t>
            </w:r>
          </w:p>
        </w:tc>
      </w:tr>
      <w:tr w:rsidRPr="001775C1" w:rsidR="001B4760" w:rsidTr="00D13C2E" w14:paraId="754C566E" w14:textId="77777777">
        <w:trPr>
          <w:trHeight w:val="555"/>
        </w:trPr>
        <w:tc>
          <w:tcPr>
            <w:tcW w:w="1917" w:type="dxa"/>
          </w:tcPr>
          <w:p w:rsidRPr="004A73C2" w:rsidR="001B4760" w:rsidP="00196583" w:rsidRDefault="001B4760" w14:paraId="6257CF1C" w14:textId="77777777">
            <w:r w:rsidRPr="004A73C2">
              <w:t>REG</w:t>
            </w:r>
          </w:p>
        </w:tc>
        <w:tc>
          <w:tcPr>
            <w:tcW w:w="7135" w:type="dxa"/>
          </w:tcPr>
          <w:p w:rsidRPr="004A73C2" w:rsidR="001B4760" w:rsidP="00D13C2E" w:rsidRDefault="001402AC" w14:paraId="5DB1490D" w14:textId="7EFA149F">
            <w:hyperlink w:history="1" r:id="rId12">
              <w:r w:rsidRPr="004A73C2" w:rsidR="001B4760">
                <w:rPr>
                  <w:rStyle w:val="Hyperlink"/>
                </w:rPr>
                <w:t>Regulation (EU) 2019/1239 of 20 June 2019 establishing a European Maritime Single Window environment and repealing Directive 2010/65/EU</w:t>
              </w:r>
            </w:hyperlink>
            <w:r w:rsidR="00CB46A4">
              <w:rPr>
                <w:rStyle w:val="FootnoteReference"/>
                <w:color w:val="0563C1" w:themeColor="hyperlink"/>
                <w:u w:val="single"/>
              </w:rPr>
              <w:footnoteReference w:id="3"/>
            </w:r>
          </w:p>
        </w:tc>
      </w:tr>
      <w:tr w:rsidRPr="001775C1" w:rsidR="001B4760" w:rsidTr="00D13C2E" w14:paraId="10769077" w14:textId="77777777">
        <w:tc>
          <w:tcPr>
            <w:tcW w:w="1917" w:type="dxa"/>
          </w:tcPr>
          <w:p w:rsidRPr="004A73C2" w:rsidR="001B4760" w:rsidP="00196583" w:rsidRDefault="001B4760" w14:paraId="0C9CAA95" w14:textId="77777777">
            <w:r w:rsidRPr="004A73C2">
              <w:t>RIMFTS</w:t>
            </w:r>
          </w:p>
        </w:tc>
        <w:tc>
          <w:tcPr>
            <w:tcW w:w="7135" w:type="dxa"/>
          </w:tcPr>
          <w:p w:rsidRPr="004A73C2" w:rsidR="001B4760" w:rsidP="00D13C2E" w:rsidRDefault="001B4760" w14:paraId="7148C9E7" w14:textId="1436AE27">
            <w:r w:rsidRPr="004A73C2">
              <w:t>Functional and Technical Specifications of the Reporting Interface Module v2.</w:t>
            </w:r>
            <w:r w:rsidRPr="004A73C2" w:rsidR="00A622B3">
              <w:t>61</w:t>
            </w:r>
          </w:p>
        </w:tc>
      </w:tr>
      <w:tr w:rsidRPr="001775C1" w:rsidR="001B4760" w:rsidTr="00D13C2E" w14:paraId="5DB29740" w14:textId="77777777">
        <w:tc>
          <w:tcPr>
            <w:tcW w:w="1917" w:type="dxa"/>
          </w:tcPr>
          <w:p w:rsidRPr="004A73C2" w:rsidR="001B4760" w:rsidP="00196583" w:rsidRDefault="001B4760" w14:paraId="52970FDD" w14:textId="77777777">
            <w:r w:rsidRPr="004A73C2">
              <w:t>MIG</w:t>
            </w:r>
          </w:p>
        </w:tc>
        <w:tc>
          <w:tcPr>
            <w:tcW w:w="7135" w:type="dxa"/>
          </w:tcPr>
          <w:p w:rsidRPr="004A73C2" w:rsidR="001B4760" w:rsidP="00D13C2E" w:rsidRDefault="001B4760" w14:paraId="08486E0D" w14:textId="77777777">
            <w:r w:rsidRPr="004A73C2">
              <w:t>Message Implementation Guide</w:t>
            </w:r>
          </w:p>
        </w:tc>
      </w:tr>
      <w:tr w:rsidRPr="001775C1" w:rsidR="001B4760" w:rsidTr="00D13C2E" w14:paraId="00560EE8" w14:textId="77777777">
        <w:trPr>
          <w:trHeight w:val="539"/>
        </w:trPr>
        <w:tc>
          <w:tcPr>
            <w:tcW w:w="1917" w:type="dxa"/>
          </w:tcPr>
          <w:p w:rsidRPr="004A73C2" w:rsidR="001B4760" w:rsidP="00196583" w:rsidRDefault="00A622B3" w14:paraId="2E66D2FB" w14:textId="1B357786">
            <w:r w:rsidRPr="004A73C2">
              <w:t>IA</w:t>
            </w:r>
          </w:p>
        </w:tc>
        <w:tc>
          <w:tcPr>
            <w:tcW w:w="7135" w:type="dxa"/>
          </w:tcPr>
          <w:p w:rsidRPr="004A73C2" w:rsidR="001B4760" w:rsidP="008523FA" w:rsidRDefault="00CB46A4" w14:paraId="39B8C478" w14:textId="4FB0CE55">
            <w:r>
              <w:t xml:space="preserve">Commission Implementing Regulation (EU) XXXX/2022 of 28 October 2022 </w:t>
            </w:r>
            <w:r w:rsidRPr="00CB46A4">
              <w:t>laying down technical specifications, standards and procedures for the European Maritime Single Window environment pursuant to Regulation (EU) 2019/1239 of the European Parliament and of the Council</w:t>
            </w:r>
            <w:r w:rsidR="008523FA">
              <w:rPr>
                <w:rStyle w:val="FootnoteReference"/>
              </w:rPr>
              <w:footnoteReference w:id="4"/>
            </w:r>
            <w:r>
              <w:t xml:space="preserve">  </w:t>
            </w:r>
            <w:r w:rsidR="005759A8">
              <w:t>(</w:t>
            </w:r>
            <w:r w:rsidRPr="004A73C2" w:rsidR="001B4760">
              <w:t>Annexes</w:t>
            </w:r>
            <w:r w:rsidRPr="004A73C2" w:rsidR="00A622B3">
              <w:t xml:space="preserve"> 1-7)</w:t>
            </w:r>
          </w:p>
        </w:tc>
      </w:tr>
    </w:tbl>
    <w:p w:rsidRPr="00800028" w:rsidR="00247662" w:rsidP="00247662" w:rsidRDefault="00247662" w14:paraId="4FD08C18" w14:textId="2F1F259A">
      <w:r w:rsidRPr="002E1829">
        <w:t>*</w:t>
      </w:r>
      <w:r w:rsidRPr="00800028">
        <w:t>Document code in this functional architecture description serves linking the</w:t>
      </w:r>
      <w:r w:rsidRPr="002E1829" w:rsidR="00A952EF">
        <w:t xml:space="preserve"> outlined functionalities with the referenced</w:t>
      </w:r>
      <w:r w:rsidRPr="002E1829">
        <w:t xml:space="preserve"> documents. The purpose of codification is also important to limit discussions that have </w:t>
      </w:r>
      <w:r w:rsidRPr="002E1829">
        <w:t>already taken place. Each function code will consist of two parts – </w:t>
      </w:r>
      <w:r w:rsidRPr="002E1829">
        <w:rPr>
          <w:u w:val="single"/>
        </w:rPr>
        <w:t>prefix of the document code</w:t>
      </w:r>
      <w:r w:rsidRPr="002E1829">
        <w:t> and the </w:t>
      </w:r>
      <w:r w:rsidRPr="002E1829" w:rsidR="00CA1094">
        <w:rPr>
          <w:u w:val="single"/>
        </w:rPr>
        <w:t xml:space="preserve">place </w:t>
      </w:r>
      <w:r w:rsidRPr="002E1829">
        <w:rPr>
          <w:u w:val="single"/>
        </w:rPr>
        <w:t>where the appropriate function is described or mentioned</w:t>
      </w:r>
      <w:r w:rsidRPr="002E1829">
        <w:t xml:space="preserve">. </w:t>
      </w:r>
    </w:p>
    <w:p w:rsidRPr="00800028" w:rsidR="00A60958" w:rsidP="00196583" w:rsidRDefault="00A60958" w14:paraId="4D04FD96" w14:textId="77777777">
      <w:pPr>
        <w:pStyle w:val="Heading1"/>
      </w:pPr>
      <w:bookmarkStart w:name="_Toc121929691" w:id="4"/>
      <w:bookmarkStart w:name="_Toc121930642" w:id="5"/>
      <w:r w:rsidRPr="00800028">
        <w:t>Principles</w:t>
      </w:r>
      <w:bookmarkEnd w:id="4"/>
      <w:bookmarkEnd w:id="5"/>
    </w:p>
    <w:p w:rsidRPr="004A73C2" w:rsidR="00A60958" w:rsidP="00196583" w:rsidRDefault="00A60958" w14:paraId="53814AD1" w14:textId="2CA244C1">
      <w:r w:rsidRPr="004A73C2">
        <w:t xml:space="preserve">Principles of this description document shall serve as a guide on how the document shall be </w:t>
      </w:r>
      <w:r w:rsidRPr="004A73C2" w:rsidR="006036CF">
        <w:t>developed</w:t>
      </w:r>
      <w:r w:rsidRPr="004A73C2">
        <w:t xml:space="preserve">, scoped and </w:t>
      </w:r>
      <w:r w:rsidRPr="004A73C2" w:rsidR="006036CF">
        <w:t>treated</w:t>
      </w:r>
      <w:r w:rsidRPr="004A73C2">
        <w:t>.</w:t>
      </w:r>
    </w:p>
    <w:p w:rsidRPr="004A73C2" w:rsidR="001638CA" w:rsidP="00196583" w:rsidRDefault="001638CA" w14:paraId="5D925213" w14:textId="77777777">
      <w:pPr>
        <w:pStyle w:val="ListParagraph"/>
        <w:numPr>
          <w:ilvl w:val="0"/>
          <w:numId w:val="3"/>
        </w:numPr>
      </w:pPr>
      <w:r w:rsidRPr="004A73C2">
        <w:t>P1: EMSWe is an environment where central services, national services and components interact with each other and in different forms may have interaction with other services and systems. The document will define boundaries of such description respecting the various responsibilities and mandates. This description will not describe the functions of systems the Regulation does not mention.</w:t>
      </w:r>
    </w:p>
    <w:p w:rsidRPr="004A73C2" w:rsidR="001638CA" w:rsidP="00196583" w:rsidRDefault="001638CA" w14:paraId="516384AF" w14:textId="77777777">
      <w:pPr>
        <w:pStyle w:val="ListParagraph"/>
        <w:numPr>
          <w:ilvl w:val="0"/>
          <w:numId w:val="3"/>
        </w:numPr>
      </w:pPr>
      <w:r w:rsidRPr="004A73C2">
        <w:t>P2: Functional architecture description will be divided by type of interaction (U2S &amp; S2S) and will not be mixed. The national technical architecture of MNSW will not be described.</w:t>
      </w:r>
    </w:p>
    <w:p w:rsidRPr="004A73C2" w:rsidR="001638CA" w:rsidP="00196583" w:rsidRDefault="001638CA" w14:paraId="71E608FC" w14:textId="77777777">
      <w:pPr>
        <w:pStyle w:val="ListParagraph"/>
        <w:numPr>
          <w:ilvl w:val="0"/>
          <w:numId w:val="3"/>
        </w:numPr>
      </w:pPr>
      <w:r w:rsidRPr="004A73C2">
        <w:t>P3: The Regulation reflects a shared responsibility between stakeholders, therefore mandates of each group of stakeholders of its services and components shall be respected and laid out.</w:t>
      </w:r>
    </w:p>
    <w:p w:rsidRPr="004A73C2" w:rsidR="001638CA" w:rsidP="00196583" w:rsidRDefault="001638CA" w14:paraId="20F39C77" w14:textId="77777777">
      <w:pPr>
        <w:pStyle w:val="ListParagraph"/>
        <w:numPr>
          <w:ilvl w:val="0"/>
          <w:numId w:val="3"/>
        </w:numPr>
      </w:pPr>
      <w:r w:rsidRPr="004A73C2">
        <w:t>P4: The description per type of interaction (U2S and S2S) shall consist of component/service description, list of actions and functions involved and process flows that puts the components/services and functions in order.</w:t>
      </w:r>
    </w:p>
    <w:p w:rsidRPr="004A73C2" w:rsidR="004F509C" w:rsidP="00196583" w:rsidRDefault="001638CA" w14:paraId="36F8DB07" w14:textId="5B68D3BB">
      <w:pPr>
        <w:pStyle w:val="ListParagraph"/>
        <w:numPr>
          <w:ilvl w:val="0"/>
          <w:numId w:val="3"/>
        </w:numPr>
      </w:pPr>
      <w:r w:rsidRPr="004A73C2">
        <w:t>P5: Process flows shall be limited to a generic level of formality respecting the boundaries of national business processes.</w:t>
      </w:r>
      <w:r w:rsidRPr="004A73C2" w:rsidR="004F509C">
        <w:t xml:space="preserve"> </w:t>
      </w:r>
    </w:p>
    <w:p w:rsidRPr="004A73C2" w:rsidR="00783616" w:rsidP="65219ABC" w:rsidRDefault="00230CEE" w14:paraId="7A0CAD48" w14:textId="2B09D6D3">
      <w:pPr>
        <w:pStyle w:val="Heading1"/>
        <w:rPr>
          <w:sz w:val="8"/>
          <w:szCs w:val="8"/>
        </w:rPr>
      </w:pPr>
      <w:bookmarkStart w:name="_Toc121929692" w:id="6"/>
      <w:bookmarkStart w:name="_Toc121930643" w:id="7"/>
      <w:r w:rsidRPr="004A73C2">
        <w:t xml:space="preserve">EMSWe </w:t>
      </w:r>
      <w:r w:rsidRPr="004A73C2" w:rsidR="00BA656F">
        <w:t>high level</w:t>
      </w:r>
      <w:r w:rsidRPr="004A73C2" w:rsidR="002D77B2">
        <w:t xml:space="preserve"> </w:t>
      </w:r>
      <w:r w:rsidRPr="004A73C2">
        <w:t>architecture</w:t>
      </w:r>
      <w:bookmarkEnd w:id="6"/>
      <w:bookmarkEnd w:id="7"/>
    </w:p>
    <w:p w:rsidR="00C50B7E" w:rsidP="00196583" w:rsidRDefault="00C50B7E" w14:paraId="7525D78D" w14:textId="63A416AE">
      <w:r w:rsidRPr="001775C1">
        <w:object w:dxaOrig="15916" w:dyaOrig="9826" w14:anchorId="4DA23A5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7.7pt;height:289.1pt" o:ole="" type="#_x0000_t75">
            <v:imagedata o:title="" r:id="rId13"/>
          </v:shape>
          <o:OLEObject Type="Embed" ProgID="Visio.Drawing.15" ShapeID="_x0000_i1025" DrawAspect="Content" ObjectID="_1733128103" r:id="rId14"/>
        </w:object>
      </w:r>
    </w:p>
    <w:p w:rsidR="00C50B7E" w:rsidP="00196583" w:rsidRDefault="001402AC" w14:paraId="443849E3" w14:textId="05784C6C">
      <w:pPr>
        <w:rPr>
          <w:rFonts w:eastAsia="Times New Roman"/>
          <w:color w:val="2B579A"/>
          <w:shd w:val="clear" w:color="auto" w:fill="E6E6E6"/>
        </w:rPr>
      </w:pPr>
      <w:sdt>
        <w:sdtPr>
          <w:rPr>
            <w:shd w:val="clear" w:color="auto" w:fill="E6E6E6"/>
          </w:rPr>
          <w:alias w:val="Picture"/>
          <w:tag w:val="KZSQs15i6aMRta61gVgLk1"/>
          <w:id w:val="-472756495"/>
          <w:placeholder>
            <w:docPart w:val="3572F7A32BFF45F889D6BCC7F938FCCF"/>
          </w:placeholder>
        </w:sdtPr>
        <w:sdtEndPr>
          <w:rPr>
            <w:rFonts w:eastAsia="Times New Roman"/>
          </w:rPr>
        </w:sdtEndPr>
        <w:sdtContent>
          <w:r w:rsidRPr="00C50B7E" w:rsidR="00C50B7E">
            <w:t xml:space="preserve">Figure </w:t>
          </w:r>
          <w:r>
            <w:fldChar w:fldCharType="begin"/>
          </w:r>
          <w:r>
            <w:instrText> SEQ Figure \* ARABIC </w:instrText>
          </w:r>
          <w:r>
            <w:fldChar w:fldCharType="separate"/>
          </w:r>
          <w:r w:rsidRPr="00C50B7E" w:rsidR="00C50B7E">
            <w:rPr>
              <w:noProof/>
            </w:rPr>
            <w:t>1</w:t>
          </w:r>
          <w:r>
            <w:fldChar w:fldCharType="end"/>
          </w:r>
          <w:r w:rsidRPr="00C50B7E" w:rsidR="00C50B7E">
            <w:t xml:space="preserve">: </w:t>
          </w:r>
          <w:r w:rsidR="00C50B7E">
            <w:rPr>
              <w:rFonts w:eastAsia="Times New Roman"/>
              <w:shd w:val="clear" w:color="auto" w:fill="E6E6E6"/>
            </w:rPr>
            <w:t>EMSWe high-level architecture representing o</w:t>
          </w:r>
          <w:r w:rsidRPr="00C50B7E" w:rsidR="00C50B7E">
            <w:rPr>
              <w:rFonts w:eastAsia="Times New Roman"/>
              <w:shd w:val="clear" w:color="auto" w:fill="E6E6E6"/>
            </w:rPr>
            <w:t>ne Member State, its MNSW and links to other relevant systems. It also represents communication channels for the declarant.</w:t>
          </w:r>
        </w:sdtContent>
      </w:sdt>
    </w:p>
    <w:p w:rsidRPr="004C6597" w:rsidR="004B30CB" w:rsidP="00196583" w:rsidRDefault="00133E9B" w14:paraId="4EFC1837" w14:textId="5562A3F1">
      <w:pPr>
        <w:rPr>
          <w:rFonts w:eastAsia="Times New Roman"/>
        </w:rPr>
      </w:pPr>
      <w:r w:rsidRPr="004C6597">
        <w:rPr>
          <w:rFonts w:eastAsia="Times New Roman"/>
        </w:rPr>
        <w:t>The European Maritime Single Window environment is composed of IT components developed and managed either at a centralised or national level. The maritime National Single Window</w:t>
      </w:r>
      <w:r w:rsidRPr="004C6597" w:rsidR="00607AA5">
        <w:rPr>
          <w:rFonts w:eastAsia="Times New Roman"/>
        </w:rPr>
        <w:t xml:space="preserve"> is </w:t>
      </w:r>
      <w:r w:rsidRPr="004C6597" w:rsidR="00607AA5">
        <w:t>a nationally established and operated technical platform for receiving, exchanging and forwarding electronically information to fulfil reporting obligations</w:t>
      </w:r>
      <w:r w:rsidRPr="004C6597" w:rsidDel="00607AA5" w:rsidR="00607AA5">
        <w:rPr>
          <w:rFonts w:eastAsia="Times New Roman"/>
        </w:rPr>
        <w:t xml:space="preserve"> </w:t>
      </w:r>
      <w:r w:rsidRPr="004C6597" w:rsidR="00607AA5">
        <w:rPr>
          <w:rFonts w:eastAsia="Times New Roman"/>
        </w:rPr>
        <w:t>and</w:t>
      </w:r>
      <w:r w:rsidRPr="004C6597">
        <w:rPr>
          <w:rFonts w:eastAsia="Times New Roman"/>
        </w:rPr>
        <w:t xml:space="preserve"> </w:t>
      </w:r>
      <w:r w:rsidRPr="004C6597" w:rsidR="00607AA5">
        <w:rPr>
          <w:rFonts w:eastAsia="Times New Roman"/>
        </w:rPr>
        <w:t>includes</w:t>
      </w:r>
      <w:r w:rsidRPr="004C6597" w:rsidR="00CE7185">
        <w:rPr>
          <w:rFonts w:eastAsia="Times New Roman"/>
        </w:rPr>
        <w:t xml:space="preserve"> </w:t>
      </w:r>
      <w:r w:rsidRPr="004C6597">
        <w:rPr>
          <w:rFonts w:eastAsia="Times New Roman"/>
        </w:rPr>
        <w:t>a harmonised reporting interface module (</w:t>
      </w:r>
      <w:r w:rsidRPr="004C6597" w:rsidR="00CE7185">
        <w:rPr>
          <w:rFonts w:eastAsia="Times New Roman"/>
        </w:rPr>
        <w:t xml:space="preserve">to enable </w:t>
      </w:r>
      <w:r w:rsidRPr="004C6597" w:rsidR="004B2A8A">
        <w:rPr>
          <w:rFonts w:eastAsia="Times New Roman"/>
        </w:rPr>
        <w:t>standardized</w:t>
      </w:r>
      <w:r w:rsidRPr="004C6597" w:rsidR="00CE7185">
        <w:rPr>
          <w:rFonts w:eastAsia="Times New Roman"/>
        </w:rPr>
        <w:t xml:space="preserve"> </w:t>
      </w:r>
      <w:r w:rsidRPr="004C6597">
        <w:rPr>
          <w:rFonts w:eastAsia="Times New Roman"/>
        </w:rPr>
        <w:t>system-to-system communication)</w:t>
      </w:r>
      <w:r w:rsidRPr="004C6597" w:rsidR="00607AA5">
        <w:rPr>
          <w:rFonts w:eastAsia="Times New Roman"/>
        </w:rPr>
        <w:t xml:space="preserve"> and</w:t>
      </w:r>
      <w:r w:rsidRPr="004C6597">
        <w:rPr>
          <w:rFonts w:eastAsia="Times New Roman"/>
        </w:rPr>
        <w:t xml:space="preserve"> a graphical user interface</w:t>
      </w:r>
      <w:r w:rsidRPr="004C6597" w:rsidR="00607AA5">
        <w:rPr>
          <w:rFonts w:eastAsia="Times New Roman"/>
        </w:rPr>
        <w:t>. MNSW</w:t>
      </w:r>
      <w:r w:rsidRPr="004C6597" w:rsidR="00016F93">
        <w:rPr>
          <w:rFonts w:eastAsia="Times New Roman"/>
        </w:rPr>
        <w:t xml:space="preserve"> uses </w:t>
      </w:r>
      <w:r w:rsidRPr="004C6597" w:rsidR="004D3F48">
        <w:rPr>
          <w:rFonts w:eastAsia="Times New Roman"/>
        </w:rPr>
        <w:t>and is support</w:t>
      </w:r>
      <w:r w:rsidRPr="004C6597" w:rsidR="00890BBA">
        <w:rPr>
          <w:rFonts w:eastAsia="Times New Roman"/>
        </w:rPr>
        <w:t>ed</w:t>
      </w:r>
      <w:r w:rsidRPr="004C6597" w:rsidR="004D3F48">
        <w:rPr>
          <w:rFonts w:eastAsia="Times New Roman"/>
        </w:rPr>
        <w:t xml:space="preserve"> by</w:t>
      </w:r>
      <w:r w:rsidRPr="004C6597" w:rsidR="00016F93">
        <w:rPr>
          <w:rFonts w:eastAsia="Times New Roman"/>
        </w:rPr>
        <w:t xml:space="preserve"> </w:t>
      </w:r>
      <w:r w:rsidRPr="004C6597">
        <w:rPr>
          <w:rFonts w:eastAsia="Times New Roman"/>
        </w:rPr>
        <w:t xml:space="preserve">a common user registry and access management system, common databases, and a common addressing service. </w:t>
      </w:r>
    </w:p>
    <w:p w:rsidRPr="001775C1" w:rsidR="004B30CB" w:rsidP="00196583" w:rsidRDefault="000A35C1" w14:paraId="01FFC1B4" w14:textId="07492BF7">
      <w:pPr>
        <w:rPr>
          <w:rFonts w:eastAsia="Times New Roman"/>
        </w:rPr>
      </w:pPr>
      <w:r w:rsidRPr="001775C1">
        <w:rPr>
          <w:rFonts w:eastAsia="Times New Roman"/>
        </w:rPr>
        <w:t>The central component of EMSWe is the MNSW, which is a nationally established and operated technical platform for receiving, exchanging and forwarding electronically information</w:t>
      </w:r>
      <w:r w:rsidRPr="001775C1" w:rsidR="00890BBA">
        <w:rPr>
          <w:rFonts w:eastAsia="Times New Roman"/>
        </w:rPr>
        <w:t xml:space="preserve"> for declarants</w:t>
      </w:r>
      <w:r w:rsidRPr="001775C1">
        <w:rPr>
          <w:rFonts w:eastAsia="Times New Roman"/>
        </w:rPr>
        <w:t xml:space="preserve"> to fulfil reporting obligations</w:t>
      </w:r>
      <w:r w:rsidRPr="001775C1" w:rsidR="002D77B2">
        <w:rPr>
          <w:rStyle w:val="FootnoteReference"/>
          <w:rFonts w:eastAsia="Times New Roman"/>
        </w:rPr>
        <w:footnoteReference w:id="5"/>
      </w:r>
      <w:r w:rsidRPr="001775C1">
        <w:rPr>
          <w:rFonts w:eastAsia="Times New Roman"/>
        </w:rPr>
        <w:t>.</w:t>
      </w:r>
    </w:p>
    <w:p w:rsidRPr="001775C1" w:rsidR="004B30CB" w:rsidP="00196583" w:rsidRDefault="000A35C1" w14:paraId="4BB6C7D8" w14:textId="6FBBEEDE">
      <w:pPr>
        <w:rPr>
          <w:rFonts w:eastAsia="Times New Roman"/>
        </w:rPr>
      </w:pPr>
      <w:r w:rsidRPr="001775C1">
        <w:rPr>
          <w:rFonts w:eastAsia="Times New Roman"/>
        </w:rPr>
        <w:t xml:space="preserve">The IT components in blue </w:t>
      </w:r>
      <w:r w:rsidRPr="001775C1" w:rsidR="00CE7185">
        <w:rPr>
          <w:rFonts w:eastAsia="Times New Roman"/>
        </w:rPr>
        <w:t>colors</w:t>
      </w:r>
      <w:r w:rsidRPr="001775C1">
        <w:rPr>
          <w:rFonts w:eastAsia="Times New Roman"/>
        </w:rPr>
        <w:t xml:space="preserve"> represent those components the Commission is responsible </w:t>
      </w:r>
      <w:r w:rsidRPr="001775C1" w:rsidR="00AB37B3">
        <w:rPr>
          <w:rFonts w:eastAsia="Times New Roman"/>
        </w:rPr>
        <w:t xml:space="preserve">for in terms of </w:t>
      </w:r>
      <w:r w:rsidRPr="001775C1">
        <w:rPr>
          <w:rFonts w:eastAsia="Times New Roman"/>
        </w:rPr>
        <w:t>develop</w:t>
      </w:r>
      <w:r w:rsidRPr="001775C1" w:rsidR="00AB37B3">
        <w:rPr>
          <w:rFonts w:eastAsia="Times New Roman"/>
        </w:rPr>
        <w:t>ment</w:t>
      </w:r>
      <w:r w:rsidRPr="001775C1">
        <w:rPr>
          <w:rFonts w:eastAsia="Times New Roman"/>
        </w:rPr>
        <w:t xml:space="preserve"> </w:t>
      </w:r>
      <w:r w:rsidRPr="001775C1" w:rsidR="00890BBA">
        <w:rPr>
          <w:rFonts w:eastAsia="Times New Roman"/>
        </w:rPr>
        <w:t xml:space="preserve">or </w:t>
      </w:r>
      <w:r w:rsidRPr="001775C1">
        <w:rPr>
          <w:rFonts w:eastAsia="Times New Roman"/>
        </w:rPr>
        <w:t>availab</w:t>
      </w:r>
      <w:r w:rsidRPr="001775C1" w:rsidR="00AB37B3">
        <w:rPr>
          <w:rFonts w:eastAsia="Times New Roman"/>
        </w:rPr>
        <w:t>ility</w:t>
      </w:r>
      <w:r w:rsidRPr="001775C1">
        <w:rPr>
          <w:rFonts w:eastAsia="Times New Roman"/>
        </w:rPr>
        <w:t>. To get a more comprehensive view of the EMSWe architecture links to other systems</w:t>
      </w:r>
      <w:r w:rsidRPr="001775C1" w:rsidR="002356D8">
        <w:rPr>
          <w:rFonts w:eastAsia="Times New Roman"/>
        </w:rPr>
        <w:t>;</w:t>
      </w:r>
      <w:r w:rsidRPr="001775C1">
        <w:rPr>
          <w:rFonts w:eastAsia="Times New Roman"/>
        </w:rPr>
        <w:t xml:space="preserve"> communication channels are also represented</w:t>
      </w:r>
      <w:r w:rsidRPr="001775C1" w:rsidR="00532034">
        <w:rPr>
          <w:rFonts w:eastAsia="Times New Roman"/>
        </w:rPr>
        <w:t>.</w:t>
      </w:r>
    </w:p>
    <w:p w:rsidRPr="00DE4728" w:rsidR="004B30CB" w:rsidP="00196583" w:rsidRDefault="004B30CB" w14:paraId="0C96DE23" w14:textId="20E4E718">
      <w:pPr>
        <w:rPr>
          <w:b/>
          <w:i/>
        </w:rPr>
      </w:pPr>
      <w:r w:rsidRPr="00DE4728">
        <w:rPr>
          <w:b/>
          <w:i/>
        </w:rPr>
        <w:t>List of components and common mechanisms</w:t>
      </w:r>
    </w:p>
    <w:tbl>
      <w:tblPr>
        <w:tblStyle w:val="TableWeb2"/>
        <w:tblW w:w="10198" w:type="dxa"/>
        <w:jc w:val="center"/>
        <w:tblLayout w:type="fixed"/>
        <w:tblLook w:val="04A0" w:firstRow="1" w:lastRow="0" w:firstColumn="1" w:lastColumn="0" w:noHBand="0" w:noVBand="1"/>
      </w:tblPr>
      <w:tblGrid>
        <w:gridCol w:w="1072"/>
        <w:gridCol w:w="1897"/>
        <w:gridCol w:w="5812"/>
        <w:gridCol w:w="1417"/>
      </w:tblGrid>
      <w:tr w:rsidRPr="001775C1" w:rsidR="00563CD5" w:rsidTr="00C50B7E" w14:paraId="54B9210A" w14:textId="77777777">
        <w:trPr>
          <w:cnfStyle w:val="100000000000" w:firstRow="1" w:lastRow="0" w:firstColumn="0" w:lastColumn="0" w:oddVBand="0" w:evenVBand="0" w:oddHBand="0" w:evenHBand="0" w:firstRowFirstColumn="0" w:firstRowLastColumn="0" w:lastRowFirstColumn="0" w:lastRowLastColumn="0"/>
          <w:jc w:val="center"/>
        </w:trPr>
        <w:tc>
          <w:tcPr>
            <w:tcW w:w="1012" w:type="dxa"/>
          </w:tcPr>
          <w:p w:rsidRPr="00800028" w:rsidR="00563CD5" w:rsidP="00196583" w:rsidRDefault="00563CD5" w14:paraId="12D49FC3" w14:textId="77777777">
            <w:r w:rsidRPr="00800028">
              <w:t>Element</w:t>
            </w:r>
          </w:p>
        </w:tc>
        <w:tc>
          <w:tcPr>
            <w:tcW w:w="1857" w:type="dxa"/>
          </w:tcPr>
          <w:p w:rsidRPr="00800028" w:rsidR="00563CD5" w:rsidP="00196583" w:rsidRDefault="00563CD5" w14:paraId="718B1097" w14:textId="361544D3">
            <w:r w:rsidRPr="00800028">
              <w:t>Name in diagram</w:t>
            </w:r>
          </w:p>
        </w:tc>
        <w:tc>
          <w:tcPr>
            <w:tcW w:w="5772" w:type="dxa"/>
          </w:tcPr>
          <w:p w:rsidRPr="00800028" w:rsidR="00563CD5" w:rsidP="00196583" w:rsidRDefault="00563CD5" w14:paraId="0201B46A" w14:textId="1FF41309">
            <w:r w:rsidRPr="00800028">
              <w:t>Description</w:t>
            </w:r>
          </w:p>
        </w:tc>
        <w:tc>
          <w:tcPr>
            <w:tcW w:w="1357" w:type="dxa"/>
          </w:tcPr>
          <w:p w:rsidRPr="00800028" w:rsidR="00563CD5" w:rsidP="00196583" w:rsidRDefault="00563CD5" w14:paraId="1672FF4E" w14:textId="77777777">
            <w:r w:rsidRPr="00800028">
              <w:t>Articles</w:t>
            </w:r>
          </w:p>
        </w:tc>
      </w:tr>
      <w:tr w:rsidRPr="001775C1" w:rsidR="00563CD5" w:rsidTr="00C50B7E" w14:paraId="038B2FE9" w14:textId="77777777">
        <w:trPr>
          <w:jc w:val="center"/>
        </w:trPr>
        <w:tc>
          <w:tcPr>
            <w:tcW w:w="1012" w:type="dxa"/>
          </w:tcPr>
          <w:p w:rsidRPr="00800028" w:rsidR="00563CD5" w:rsidP="00196583" w:rsidRDefault="00563CD5" w14:paraId="5D3554F9" w14:textId="77777777">
            <w:r w:rsidRPr="00800028">
              <w:t>1</w:t>
            </w:r>
          </w:p>
        </w:tc>
        <w:tc>
          <w:tcPr>
            <w:tcW w:w="1857" w:type="dxa"/>
          </w:tcPr>
          <w:p w:rsidRPr="00800028" w:rsidR="00563CD5" w:rsidP="00196583" w:rsidRDefault="00563CD5" w14:paraId="004830D3" w14:textId="0468598D">
            <w:r w:rsidRPr="00800028">
              <w:t>MNSW</w:t>
            </w:r>
          </w:p>
        </w:tc>
        <w:tc>
          <w:tcPr>
            <w:tcW w:w="5772" w:type="dxa"/>
          </w:tcPr>
          <w:p w:rsidRPr="00800028" w:rsidR="00563CD5" w:rsidP="00196583" w:rsidRDefault="00563CD5" w14:paraId="6209B437" w14:textId="7F086644">
            <w:r w:rsidRPr="00800028">
              <w:t>Maritime National Single Window</w:t>
            </w:r>
          </w:p>
        </w:tc>
        <w:tc>
          <w:tcPr>
            <w:tcW w:w="1357" w:type="dxa"/>
          </w:tcPr>
          <w:p w:rsidRPr="00800028" w:rsidR="00563CD5" w:rsidP="00196583" w:rsidRDefault="00563CD5" w14:paraId="29538111" w14:textId="1D284C3E">
            <w:r w:rsidRPr="00800028">
              <w:t xml:space="preserve">Article </w:t>
            </w:r>
            <w:r w:rsidR="00C50B7E">
              <w:t>2</w:t>
            </w:r>
            <w:r w:rsidRPr="00800028">
              <w:t>(3)</w:t>
            </w:r>
          </w:p>
        </w:tc>
      </w:tr>
      <w:tr w:rsidRPr="001775C1" w:rsidR="00563CD5" w:rsidTr="00C50B7E" w14:paraId="362EFE7E" w14:textId="77777777">
        <w:trPr>
          <w:jc w:val="center"/>
        </w:trPr>
        <w:tc>
          <w:tcPr>
            <w:tcW w:w="1012" w:type="dxa"/>
          </w:tcPr>
          <w:p w:rsidRPr="00800028" w:rsidR="00563CD5" w:rsidP="00196583" w:rsidRDefault="00563CD5" w14:paraId="3313E16E" w14:textId="43E5F6BF">
            <w:r w:rsidRPr="00800028">
              <w:t>1</w:t>
            </w:r>
          </w:p>
        </w:tc>
        <w:tc>
          <w:tcPr>
            <w:tcW w:w="1857" w:type="dxa"/>
          </w:tcPr>
          <w:p w:rsidRPr="00800028" w:rsidR="00563CD5" w:rsidP="00196583" w:rsidRDefault="00563CD5" w14:paraId="1CBC0BAF" w14:textId="12C7CE5F">
            <w:r w:rsidRPr="00800028">
              <w:t>MNSW-Core</w:t>
            </w:r>
          </w:p>
        </w:tc>
        <w:tc>
          <w:tcPr>
            <w:tcW w:w="5772" w:type="dxa"/>
          </w:tcPr>
          <w:p w:rsidRPr="00800028" w:rsidR="00563CD5" w:rsidP="00196583" w:rsidRDefault="0096318B" w14:paraId="7519006D" w14:textId="2240EAFC">
            <w:r w:rsidRPr="00800028">
              <w:t>This is technically the part</w:t>
            </w:r>
            <w:r w:rsidRPr="00800028" w:rsidR="000F5E81">
              <w:t xml:space="preserve"> (back-end)</w:t>
            </w:r>
            <w:r w:rsidRPr="00800028">
              <w:t xml:space="preserve"> of maritime National Single Window</w:t>
            </w:r>
            <w:r w:rsidRPr="00800028" w:rsidR="00302A11">
              <w:t xml:space="preserve"> that declarant does not interact with directly and</w:t>
            </w:r>
            <w:r w:rsidRPr="00800028">
              <w:t xml:space="preserve"> which is out of the Regulation (EU) 2019/1239 harmonization sco</w:t>
            </w:r>
            <w:r w:rsidRPr="00800028" w:rsidR="000F5E81">
              <w:t>pe</w:t>
            </w:r>
            <w:r w:rsidRPr="00800028">
              <w:t>.</w:t>
            </w:r>
          </w:p>
        </w:tc>
        <w:tc>
          <w:tcPr>
            <w:tcW w:w="1357" w:type="dxa"/>
          </w:tcPr>
          <w:p w:rsidRPr="00800028" w:rsidR="00563CD5" w:rsidP="00196583" w:rsidRDefault="00563CD5" w14:paraId="5B325D37" w14:textId="2F8385C3"/>
        </w:tc>
      </w:tr>
      <w:tr w:rsidRPr="001775C1" w:rsidR="00563CD5" w:rsidTr="00C50B7E" w14:paraId="354619DF" w14:textId="77777777">
        <w:trPr>
          <w:jc w:val="center"/>
        </w:trPr>
        <w:tc>
          <w:tcPr>
            <w:tcW w:w="1012" w:type="dxa"/>
          </w:tcPr>
          <w:p w:rsidRPr="00800028" w:rsidR="00563CD5" w:rsidP="00196583" w:rsidRDefault="00563CD5" w14:paraId="0DB9C31B" w14:textId="77777777">
            <w:r w:rsidRPr="00800028">
              <w:t>2</w:t>
            </w:r>
          </w:p>
        </w:tc>
        <w:tc>
          <w:tcPr>
            <w:tcW w:w="1857" w:type="dxa"/>
          </w:tcPr>
          <w:p w:rsidRPr="00800028" w:rsidR="00563CD5" w:rsidP="00196583" w:rsidRDefault="00563CD5" w14:paraId="60645575" w14:textId="17C7A593">
            <w:r w:rsidRPr="00800028">
              <w:t>GUI</w:t>
            </w:r>
          </w:p>
        </w:tc>
        <w:tc>
          <w:tcPr>
            <w:tcW w:w="5772" w:type="dxa"/>
          </w:tcPr>
          <w:p w:rsidRPr="00800028" w:rsidR="00563CD5" w:rsidP="00196583" w:rsidRDefault="0096318B" w14:paraId="2A7EA4E6" w14:textId="4EC87E93">
            <w:r w:rsidRPr="00800028">
              <w:t>A web interface for two-way web-based user-to-system data submission</w:t>
            </w:r>
            <w:r w:rsidRPr="00800028">
              <w:rPr>
                <w:u w:val="single"/>
              </w:rPr>
              <w:t xml:space="preserve"> </w:t>
            </w:r>
            <w:r w:rsidRPr="00800028">
              <w:t>to a maritime National Single Window, allowing declarants to enter data manually, inter alia, by means of harmonised digital spreadsheets and functions that enable reporting data elements to be extracted from those spreadsheets, as well as including common functionalities and features that ensure common navigation flow and data upload experience for the declarants</w:t>
            </w:r>
          </w:p>
        </w:tc>
        <w:tc>
          <w:tcPr>
            <w:tcW w:w="1357" w:type="dxa"/>
          </w:tcPr>
          <w:p w:rsidRPr="00800028" w:rsidR="00563CD5" w:rsidP="00196583" w:rsidRDefault="00563CD5" w14:paraId="5788C6F9" w14:textId="77777777">
            <w:r w:rsidRPr="00800028">
              <w:t>Articles 2(9), 6(4)</w:t>
            </w:r>
          </w:p>
        </w:tc>
      </w:tr>
      <w:tr w:rsidRPr="001775C1" w:rsidR="00563CD5" w:rsidTr="00C50B7E" w14:paraId="2D06637F" w14:textId="77777777">
        <w:trPr>
          <w:jc w:val="center"/>
        </w:trPr>
        <w:tc>
          <w:tcPr>
            <w:tcW w:w="1012" w:type="dxa"/>
          </w:tcPr>
          <w:p w:rsidRPr="00800028" w:rsidR="00563CD5" w:rsidP="00196583" w:rsidRDefault="00563CD5" w14:paraId="5D5B4A90" w14:textId="77777777">
            <w:r w:rsidRPr="00800028">
              <w:t>3</w:t>
            </w:r>
          </w:p>
        </w:tc>
        <w:tc>
          <w:tcPr>
            <w:tcW w:w="1857" w:type="dxa"/>
          </w:tcPr>
          <w:p w:rsidRPr="00800028" w:rsidR="00563CD5" w:rsidP="00196583" w:rsidRDefault="00563CD5" w14:paraId="24F5101B" w14:textId="32EA8B30">
            <w:r w:rsidRPr="00800028">
              <w:t>RIM</w:t>
            </w:r>
          </w:p>
        </w:tc>
        <w:tc>
          <w:tcPr>
            <w:tcW w:w="5772" w:type="dxa"/>
          </w:tcPr>
          <w:p w:rsidRPr="00800028" w:rsidR="00563CD5" w:rsidP="00196583" w:rsidRDefault="00C874C5" w14:paraId="12486C41" w14:textId="389D8AD4">
            <w:r w:rsidRPr="00800028">
              <w:t>A harmonised middleware component of the maritime National Single Window through which information can be exchanged between the information system used by the declarant and the relevant maritime National Single Window</w:t>
            </w:r>
          </w:p>
        </w:tc>
        <w:tc>
          <w:tcPr>
            <w:tcW w:w="1357" w:type="dxa"/>
          </w:tcPr>
          <w:p w:rsidRPr="00800028" w:rsidR="00563CD5" w:rsidP="00196583" w:rsidRDefault="00563CD5" w14:paraId="7F6DA957" w14:textId="77777777">
            <w:r w:rsidRPr="00800028">
              <w:t>Article 2(4), 6(1)</w:t>
            </w:r>
          </w:p>
        </w:tc>
      </w:tr>
      <w:tr w:rsidRPr="001775C1" w:rsidR="00D44106" w:rsidTr="00C50B7E" w14:paraId="791C111A" w14:textId="77777777">
        <w:trPr>
          <w:jc w:val="center"/>
        </w:trPr>
        <w:tc>
          <w:tcPr>
            <w:tcW w:w="1012" w:type="dxa"/>
          </w:tcPr>
          <w:p w:rsidRPr="00800028" w:rsidR="00D44106" w:rsidP="00196583" w:rsidRDefault="00D44106" w14:paraId="1AA43185" w14:textId="3EFF26BC">
            <w:r w:rsidRPr="00800028">
              <w:t>4</w:t>
            </w:r>
          </w:p>
        </w:tc>
        <w:tc>
          <w:tcPr>
            <w:tcW w:w="1857" w:type="dxa"/>
          </w:tcPr>
          <w:p w:rsidRPr="00800028" w:rsidR="00D44106" w:rsidDel="00374182" w:rsidP="00196583" w:rsidRDefault="00D44106" w14:paraId="280C8DAA" w14:textId="1978D458">
            <w:r w:rsidRPr="00800028">
              <w:t>Sender AS4 AP</w:t>
            </w:r>
          </w:p>
        </w:tc>
        <w:tc>
          <w:tcPr>
            <w:tcW w:w="5772" w:type="dxa"/>
          </w:tcPr>
          <w:p w:rsidRPr="00800028" w:rsidR="00D44106" w:rsidP="00196583" w:rsidRDefault="00D44106" w14:paraId="04A37E24" w14:textId="4C13707E">
            <w:r w:rsidRPr="00800028">
              <w:t>AS4 Access point operated by the Sender</w:t>
            </w:r>
          </w:p>
        </w:tc>
        <w:tc>
          <w:tcPr>
            <w:tcW w:w="1357" w:type="dxa"/>
          </w:tcPr>
          <w:p w:rsidRPr="00800028" w:rsidR="00D44106" w:rsidP="00196583" w:rsidRDefault="00D44106" w14:paraId="0F2AD438" w14:textId="2B9346E4"/>
        </w:tc>
      </w:tr>
      <w:tr w:rsidRPr="001775C1" w:rsidR="00D44106" w:rsidTr="00C50B7E" w14:paraId="39AB05FA" w14:textId="77777777">
        <w:trPr>
          <w:jc w:val="center"/>
        </w:trPr>
        <w:tc>
          <w:tcPr>
            <w:tcW w:w="1012" w:type="dxa"/>
          </w:tcPr>
          <w:p w:rsidRPr="00800028" w:rsidR="00D44106" w:rsidP="00196583" w:rsidRDefault="00D44106" w14:paraId="6923C066" w14:textId="5319BB57">
            <w:r w:rsidRPr="00800028">
              <w:t>5</w:t>
            </w:r>
          </w:p>
        </w:tc>
        <w:tc>
          <w:tcPr>
            <w:tcW w:w="1857" w:type="dxa"/>
          </w:tcPr>
          <w:p w:rsidRPr="00800028" w:rsidR="00D44106" w:rsidP="00196583" w:rsidRDefault="00D44106" w14:paraId="52EAF9B3" w14:textId="10103001">
            <w:r w:rsidRPr="00800028">
              <w:t>URAM</w:t>
            </w:r>
          </w:p>
        </w:tc>
        <w:tc>
          <w:tcPr>
            <w:tcW w:w="5772" w:type="dxa"/>
          </w:tcPr>
          <w:p w:rsidRPr="00800028" w:rsidR="000A5C0D" w:rsidP="00196583" w:rsidRDefault="00D44106" w14:paraId="155C860A" w14:textId="77777777">
            <w:r w:rsidRPr="00800028">
              <w:t>EMSWe User Registry and Access Management System</w:t>
            </w:r>
            <w:r w:rsidRPr="00800028" w:rsidR="000A5C0D">
              <w:t xml:space="preserve"> </w:t>
            </w:r>
          </w:p>
          <w:p w:rsidRPr="00800028" w:rsidR="00D44106" w:rsidP="00196583" w:rsidRDefault="000A5C0D" w14:paraId="1B98EAEA" w14:textId="5E8FAEE1">
            <w:r w:rsidRPr="00800028">
              <w:t xml:space="preserve">This </w:t>
            </w:r>
            <w:r w:rsidRPr="00800028" w:rsidR="00440BDF">
              <w:t>component</w:t>
            </w:r>
            <w:r w:rsidRPr="00800028">
              <w:t xml:space="preserve"> </w:t>
            </w:r>
            <w:r w:rsidRPr="00800028" w:rsidR="00440BDF">
              <w:t xml:space="preserve">covers the authentication needs for S2S (with RIM) and U2S (with GUI) interactions. </w:t>
            </w:r>
          </w:p>
        </w:tc>
        <w:tc>
          <w:tcPr>
            <w:tcW w:w="1357" w:type="dxa"/>
          </w:tcPr>
          <w:p w:rsidRPr="00800028" w:rsidR="00D44106" w:rsidP="00196583" w:rsidRDefault="00D44106" w14:paraId="5478CF06" w14:textId="69DE409B">
            <w:r w:rsidRPr="00800028">
              <w:t>Article 12</w:t>
            </w:r>
          </w:p>
        </w:tc>
      </w:tr>
      <w:tr w:rsidRPr="001775C1" w:rsidR="00D44106" w:rsidTr="00C50B7E" w14:paraId="2BF2733C" w14:textId="77777777">
        <w:trPr>
          <w:jc w:val="center"/>
        </w:trPr>
        <w:tc>
          <w:tcPr>
            <w:tcW w:w="1012" w:type="dxa"/>
          </w:tcPr>
          <w:p w:rsidRPr="00800028" w:rsidR="00D44106" w:rsidP="00196583" w:rsidRDefault="00D44106" w14:paraId="27198FBF" w14:textId="1E79EC3B">
            <w:r w:rsidRPr="00800028">
              <w:t>6</w:t>
            </w:r>
          </w:p>
        </w:tc>
        <w:tc>
          <w:tcPr>
            <w:tcW w:w="1857" w:type="dxa"/>
          </w:tcPr>
          <w:p w:rsidRPr="00800028" w:rsidR="00D44106" w:rsidP="00196583" w:rsidRDefault="00D44106" w14:paraId="65A3708C" w14:textId="5D9034D0">
            <w:r w:rsidRPr="00800028">
              <w:t>Common Addressing Service</w:t>
            </w:r>
          </w:p>
        </w:tc>
        <w:tc>
          <w:tcPr>
            <w:tcW w:w="5772" w:type="dxa"/>
          </w:tcPr>
          <w:p w:rsidRPr="00800028" w:rsidR="00D44106" w:rsidP="00196583" w:rsidRDefault="00D44106" w14:paraId="1AAC5B38" w14:textId="43383565">
            <w:r w:rsidRPr="00800028">
              <w:t>An additional voluntary service for declarants for initiating direct system-to-system data connections between the system of a declarant and the harmonised reporting interface module of the respective maritime National Single Window</w:t>
            </w:r>
          </w:p>
        </w:tc>
        <w:tc>
          <w:tcPr>
            <w:tcW w:w="1357" w:type="dxa"/>
          </w:tcPr>
          <w:p w:rsidRPr="00800028" w:rsidR="00D44106" w:rsidP="00196583" w:rsidRDefault="00D44106" w14:paraId="61343C19" w14:textId="77777777">
            <w:r w:rsidRPr="00800028">
              <w:t>Article 2(10)</w:t>
            </w:r>
          </w:p>
        </w:tc>
      </w:tr>
      <w:tr w:rsidRPr="001775C1" w:rsidR="00D44106" w:rsidTr="00C50B7E" w14:paraId="2D5456ED" w14:textId="77777777">
        <w:trPr>
          <w:jc w:val="center"/>
        </w:trPr>
        <w:tc>
          <w:tcPr>
            <w:tcW w:w="1012" w:type="dxa"/>
          </w:tcPr>
          <w:p w:rsidRPr="00800028" w:rsidR="00D44106" w:rsidP="00196583" w:rsidRDefault="00D44106" w14:paraId="0F3B8AB5" w14:textId="4FE4D86C">
            <w:r w:rsidRPr="00800028">
              <w:t>7</w:t>
            </w:r>
          </w:p>
        </w:tc>
        <w:tc>
          <w:tcPr>
            <w:tcW w:w="1857" w:type="dxa"/>
          </w:tcPr>
          <w:p w:rsidRPr="00800028" w:rsidR="00D44106" w:rsidP="00196583" w:rsidRDefault="00D44106" w14:paraId="06A12E07" w14:textId="70900265">
            <w:r w:rsidRPr="00800028">
              <w:t>CLD</w:t>
            </w:r>
          </w:p>
        </w:tc>
        <w:tc>
          <w:tcPr>
            <w:tcW w:w="5772" w:type="dxa"/>
          </w:tcPr>
          <w:p w:rsidRPr="00800028" w:rsidR="00D44106" w:rsidP="00196583" w:rsidRDefault="00D44106" w14:paraId="7A450749" w14:textId="4A219D6D">
            <w:r w:rsidRPr="00800028">
              <w:t>Common Location database</w:t>
            </w:r>
          </w:p>
        </w:tc>
        <w:tc>
          <w:tcPr>
            <w:tcW w:w="1357" w:type="dxa"/>
          </w:tcPr>
          <w:p w:rsidRPr="00800028" w:rsidR="00D44106" w:rsidP="00196583" w:rsidRDefault="00D44106" w14:paraId="45356AF0" w14:textId="77777777">
            <w:r w:rsidRPr="00800028">
              <w:t>Article 15</w:t>
            </w:r>
          </w:p>
        </w:tc>
      </w:tr>
      <w:tr w:rsidRPr="001775C1" w:rsidR="00D44106" w:rsidTr="00C50B7E" w14:paraId="749FA799" w14:textId="77777777">
        <w:trPr>
          <w:jc w:val="center"/>
        </w:trPr>
        <w:tc>
          <w:tcPr>
            <w:tcW w:w="1012" w:type="dxa"/>
          </w:tcPr>
          <w:p w:rsidRPr="00800028" w:rsidR="00D44106" w:rsidP="00196583" w:rsidRDefault="00D44106" w14:paraId="17977E7E" w14:textId="7007855B">
            <w:r w:rsidRPr="00800028">
              <w:t>8</w:t>
            </w:r>
          </w:p>
        </w:tc>
        <w:tc>
          <w:tcPr>
            <w:tcW w:w="1857" w:type="dxa"/>
          </w:tcPr>
          <w:p w:rsidRPr="00800028" w:rsidR="00D44106" w:rsidP="00196583" w:rsidRDefault="00D44106" w14:paraId="7C690E01" w14:textId="7413AEB3">
            <w:r w:rsidRPr="00800028">
              <w:t>CHD</w:t>
            </w:r>
          </w:p>
        </w:tc>
        <w:tc>
          <w:tcPr>
            <w:tcW w:w="5772" w:type="dxa"/>
          </w:tcPr>
          <w:p w:rsidRPr="00800028" w:rsidR="00D44106" w:rsidP="00196583" w:rsidRDefault="00D44106" w14:paraId="29DC6AB0" w14:textId="706F6455">
            <w:r w:rsidRPr="00800028">
              <w:t>Common Hazmat Database</w:t>
            </w:r>
          </w:p>
        </w:tc>
        <w:tc>
          <w:tcPr>
            <w:tcW w:w="1357" w:type="dxa"/>
          </w:tcPr>
          <w:p w:rsidRPr="00800028" w:rsidR="00D44106" w:rsidP="00196583" w:rsidRDefault="00D44106" w14:paraId="07F59D49" w14:textId="77777777">
            <w:r w:rsidRPr="00800028">
              <w:t>Article 16</w:t>
            </w:r>
          </w:p>
        </w:tc>
      </w:tr>
      <w:tr w:rsidRPr="001775C1" w:rsidR="00D44106" w:rsidTr="00C50B7E" w14:paraId="1BFB6519" w14:textId="77777777">
        <w:trPr>
          <w:jc w:val="center"/>
        </w:trPr>
        <w:tc>
          <w:tcPr>
            <w:tcW w:w="1012" w:type="dxa"/>
          </w:tcPr>
          <w:p w:rsidRPr="00800028" w:rsidR="00D44106" w:rsidP="00196583" w:rsidRDefault="00D44106" w14:paraId="2BED8D9F" w14:textId="1164E753">
            <w:r w:rsidRPr="00800028">
              <w:t>9</w:t>
            </w:r>
          </w:p>
        </w:tc>
        <w:tc>
          <w:tcPr>
            <w:tcW w:w="1857" w:type="dxa"/>
          </w:tcPr>
          <w:p w:rsidRPr="00800028" w:rsidR="00D44106" w:rsidP="00196583" w:rsidRDefault="00D44106" w14:paraId="145941AA" w14:textId="51213897">
            <w:r w:rsidRPr="00800028">
              <w:t>ESD</w:t>
            </w:r>
          </w:p>
        </w:tc>
        <w:tc>
          <w:tcPr>
            <w:tcW w:w="5772" w:type="dxa"/>
          </w:tcPr>
          <w:p w:rsidRPr="00800028" w:rsidR="00D44106" w:rsidP="00196583" w:rsidRDefault="00D44106" w14:paraId="535EDC1C" w14:textId="654B49C0">
            <w:r w:rsidRPr="00800028">
              <w:t>EMSWe Ship Database</w:t>
            </w:r>
          </w:p>
        </w:tc>
        <w:tc>
          <w:tcPr>
            <w:tcW w:w="1357" w:type="dxa"/>
          </w:tcPr>
          <w:p w:rsidRPr="00800028" w:rsidR="00D44106" w:rsidP="00196583" w:rsidRDefault="00D44106" w14:paraId="792F05B8" w14:textId="77777777">
            <w:r w:rsidRPr="00800028">
              <w:t>Article 14</w:t>
            </w:r>
          </w:p>
        </w:tc>
      </w:tr>
      <w:tr w:rsidRPr="001775C1" w:rsidR="00D44106" w:rsidTr="00C50B7E" w14:paraId="7FDF0E0F" w14:textId="77777777">
        <w:trPr>
          <w:jc w:val="center"/>
        </w:trPr>
        <w:tc>
          <w:tcPr>
            <w:tcW w:w="1012" w:type="dxa"/>
          </w:tcPr>
          <w:p w:rsidRPr="00800028" w:rsidR="00D44106" w:rsidP="00196583" w:rsidRDefault="00D44106" w14:paraId="6AF0E42C" w14:textId="02A6BD59">
            <w:r w:rsidRPr="00800028">
              <w:t>10</w:t>
            </w:r>
          </w:p>
        </w:tc>
        <w:tc>
          <w:tcPr>
            <w:tcW w:w="1857" w:type="dxa"/>
          </w:tcPr>
          <w:p w:rsidRPr="00800028" w:rsidR="00D44106" w:rsidP="00196583" w:rsidRDefault="00D44106" w14:paraId="2CFA5A26" w14:textId="215AC91C">
            <w:r w:rsidRPr="00800028">
              <w:t>MS SSN, Central SSN</w:t>
            </w:r>
          </w:p>
        </w:tc>
        <w:tc>
          <w:tcPr>
            <w:tcW w:w="5772" w:type="dxa"/>
          </w:tcPr>
          <w:p w:rsidRPr="00800028" w:rsidR="00D44106" w:rsidP="00196583" w:rsidRDefault="00D44106" w14:paraId="366E527D" w14:textId="1C9F793A">
            <w:r w:rsidRPr="00800028">
              <w:t>SafeSeaNet (National SSN and Central SSN system)</w:t>
            </w:r>
          </w:p>
        </w:tc>
        <w:tc>
          <w:tcPr>
            <w:tcW w:w="1357" w:type="dxa"/>
          </w:tcPr>
          <w:p w:rsidRPr="00800028" w:rsidR="00D44106" w:rsidP="00196583" w:rsidRDefault="00D44106" w14:paraId="415F4B78" w14:textId="4934C3FB">
            <w:r w:rsidRPr="00800028">
              <w:t>Article 8(4)</w:t>
            </w:r>
          </w:p>
        </w:tc>
      </w:tr>
      <w:tr w:rsidRPr="001775C1" w:rsidR="00D44106" w:rsidTr="00C50B7E" w14:paraId="2E666137" w14:textId="77777777">
        <w:trPr>
          <w:jc w:val="center"/>
        </w:trPr>
        <w:tc>
          <w:tcPr>
            <w:tcW w:w="1012" w:type="dxa"/>
          </w:tcPr>
          <w:p w:rsidRPr="00800028" w:rsidR="00D44106" w:rsidP="00196583" w:rsidRDefault="00D44106" w14:paraId="0AB67943" w14:textId="6005829D">
            <w:r w:rsidRPr="00800028">
              <w:t>11</w:t>
            </w:r>
          </w:p>
        </w:tc>
        <w:tc>
          <w:tcPr>
            <w:tcW w:w="1857" w:type="dxa"/>
          </w:tcPr>
          <w:p w:rsidRPr="00800028" w:rsidR="00D44106" w:rsidP="00196583" w:rsidRDefault="00D44106" w14:paraId="1556C627" w14:textId="4022BE6F">
            <w:r w:rsidRPr="00800028">
              <w:t xml:space="preserve">Common </w:t>
            </w:r>
            <w:r w:rsidR="001F47FB">
              <w:t>S</w:t>
            </w:r>
            <w:r w:rsidRPr="00800028">
              <w:t xml:space="preserve">hip </w:t>
            </w:r>
            <w:r w:rsidR="001F47FB">
              <w:t>S</w:t>
            </w:r>
            <w:r w:rsidRPr="00800028">
              <w:t>anitation DB</w:t>
            </w:r>
          </w:p>
        </w:tc>
        <w:tc>
          <w:tcPr>
            <w:tcW w:w="5772" w:type="dxa"/>
          </w:tcPr>
          <w:p w:rsidRPr="00800028" w:rsidR="00D44106" w:rsidP="00196583" w:rsidRDefault="00D44106" w14:paraId="3CFC833A" w14:textId="4D78FC6E">
            <w:r w:rsidRPr="00800028">
              <w:t>Common Ship Sanitation Database</w:t>
            </w:r>
          </w:p>
        </w:tc>
        <w:tc>
          <w:tcPr>
            <w:tcW w:w="1357" w:type="dxa"/>
          </w:tcPr>
          <w:p w:rsidRPr="00800028" w:rsidR="00D44106" w:rsidP="00196583" w:rsidRDefault="00D44106" w14:paraId="3E431416" w14:textId="673C8066">
            <w:r w:rsidRPr="00800028">
              <w:t>Article 17</w:t>
            </w:r>
          </w:p>
        </w:tc>
      </w:tr>
      <w:tr w:rsidRPr="001775C1" w:rsidR="00D44106" w:rsidTr="00C50B7E" w14:paraId="2197593A" w14:textId="77777777">
        <w:trPr>
          <w:jc w:val="center"/>
        </w:trPr>
        <w:tc>
          <w:tcPr>
            <w:tcW w:w="1012" w:type="dxa"/>
          </w:tcPr>
          <w:p w:rsidRPr="00800028" w:rsidR="00D44106" w:rsidP="00196583" w:rsidRDefault="00D44106" w14:paraId="63E0CE34" w14:textId="2FC13609">
            <w:r w:rsidRPr="00800028">
              <w:t>12</w:t>
            </w:r>
          </w:p>
        </w:tc>
        <w:tc>
          <w:tcPr>
            <w:tcW w:w="1857" w:type="dxa"/>
          </w:tcPr>
          <w:p w:rsidRPr="00800028" w:rsidR="00D44106" w:rsidP="00196583" w:rsidRDefault="00D44106" w14:paraId="560E7A7C" w14:textId="32069601">
            <w:r w:rsidRPr="00800028">
              <w:t>Other channels</w:t>
            </w:r>
          </w:p>
        </w:tc>
        <w:tc>
          <w:tcPr>
            <w:tcW w:w="5772" w:type="dxa"/>
          </w:tcPr>
          <w:p w:rsidRPr="00800028" w:rsidR="00D44106" w:rsidP="00196583" w:rsidRDefault="00D44106" w14:paraId="42538C30" w14:textId="2242D455">
            <w:r w:rsidRPr="00800028">
              <w:t>Other means of reporting</w:t>
            </w:r>
          </w:p>
        </w:tc>
        <w:tc>
          <w:tcPr>
            <w:tcW w:w="1357" w:type="dxa"/>
          </w:tcPr>
          <w:p w:rsidRPr="00800028" w:rsidR="00D44106" w:rsidP="00196583" w:rsidRDefault="00D44106" w14:paraId="1A35EB7A" w14:textId="287BFCB3">
            <w:r w:rsidRPr="00800028">
              <w:t xml:space="preserve"> Article 7</w:t>
            </w:r>
          </w:p>
        </w:tc>
      </w:tr>
    </w:tbl>
    <w:p w:rsidRPr="002E1829" w:rsidR="00886966" w:rsidP="00E02C8A" w:rsidRDefault="00886966" w14:paraId="2E6E3A66" w14:textId="77777777"/>
    <w:p w:rsidRPr="00800028" w:rsidR="00C45905" w:rsidP="00C45905" w:rsidRDefault="00C45905" w14:paraId="4C283C67" w14:textId="168BEFAF">
      <w:pPr>
        <w:pStyle w:val="Heading1"/>
      </w:pPr>
      <w:bookmarkStart w:name="_Toc121929693" w:id="8"/>
      <w:bookmarkStart w:name="_Toc121930644" w:id="9"/>
      <w:r w:rsidRPr="00800028">
        <w:t>Functional architecture</w:t>
      </w:r>
      <w:r w:rsidRPr="00800028" w:rsidR="00F8367D">
        <w:t xml:space="preserve"> Models</w:t>
      </w:r>
      <w:bookmarkEnd w:id="8"/>
      <w:bookmarkEnd w:id="9"/>
    </w:p>
    <w:p w:rsidRPr="002E1829" w:rsidR="00426519" w:rsidP="008E46A3" w:rsidRDefault="000F5E6C" w14:paraId="2941B5E9" w14:textId="7589E113">
      <w:r w:rsidRPr="002E1829">
        <w:t>As the information exchanged in the U2S and S2S channels are distinct with different</w:t>
      </w:r>
      <w:r w:rsidRPr="002E1829" w:rsidR="00EE6CB2">
        <w:t xml:space="preserve"> technical</w:t>
      </w:r>
      <w:r w:rsidRPr="002E1829">
        <w:t xml:space="preserve"> processes, the Functional architecture model has been divided between </w:t>
      </w:r>
      <w:r w:rsidRPr="002E1829" w:rsidR="00EE6CB2">
        <w:t>those</w:t>
      </w:r>
      <w:r w:rsidRPr="002E1829">
        <w:t xml:space="preserve"> channels.</w:t>
      </w:r>
    </w:p>
    <w:p w:rsidRPr="00800028" w:rsidR="00244291" w:rsidP="00244291" w:rsidRDefault="00244291" w14:paraId="75F72760" w14:textId="0ED5559A">
      <w:pPr>
        <w:pStyle w:val="Heading2"/>
      </w:pPr>
      <w:bookmarkStart w:name="_Toc121929694" w:id="10"/>
      <w:bookmarkStart w:name="_Toc121930645" w:id="11"/>
      <w:r w:rsidRPr="00800028">
        <w:t>Functional description for U2S interactions</w:t>
      </w:r>
      <w:bookmarkEnd w:id="10"/>
      <w:bookmarkEnd w:id="11"/>
    </w:p>
    <w:p w:rsidRPr="002E1829" w:rsidR="00244291" w:rsidP="00244291" w:rsidRDefault="00957A18" w14:paraId="25AE7A00" w14:textId="6C8A9157">
      <w:r w:rsidRPr="002E1829">
        <w:t xml:space="preserve">List of </w:t>
      </w:r>
      <w:r w:rsidRPr="002E1829" w:rsidR="00244291">
        <w:t xml:space="preserve">components in the scope of </w:t>
      </w:r>
      <w:r w:rsidRPr="002E1829" w:rsidR="00780E3A">
        <w:t>U</w:t>
      </w:r>
      <w:r w:rsidRPr="002E1829" w:rsidR="00244291">
        <w:t>2S</w:t>
      </w:r>
      <w:r w:rsidRPr="002E1829" w:rsidR="00141879">
        <w:t xml:space="preserve"> interaction flow</w:t>
      </w:r>
    </w:p>
    <w:tbl>
      <w:tblPr>
        <w:tblStyle w:val="TableWeb2"/>
        <w:tblW w:w="0" w:type="auto"/>
        <w:tblLayout w:type="fixed"/>
        <w:tblLook w:val="04A0" w:firstRow="1" w:lastRow="0" w:firstColumn="1" w:lastColumn="0" w:noHBand="0" w:noVBand="1"/>
      </w:tblPr>
      <w:tblGrid>
        <w:gridCol w:w="1162"/>
        <w:gridCol w:w="8100"/>
      </w:tblGrid>
      <w:tr w:rsidRPr="001775C1" w:rsidR="0026572D" w:rsidTr="00336E87" w14:paraId="6E8ABD82" w14:textId="77777777">
        <w:trPr>
          <w:cnfStyle w:val="100000000000" w:firstRow="1" w:lastRow="0" w:firstColumn="0" w:lastColumn="0" w:oddVBand="0" w:evenVBand="0" w:oddHBand="0" w:evenHBand="0" w:firstRowFirstColumn="0" w:firstRowLastColumn="0" w:lastRowFirstColumn="0" w:lastRowLastColumn="0"/>
        </w:trPr>
        <w:tc>
          <w:tcPr>
            <w:tcW w:w="1102" w:type="dxa"/>
          </w:tcPr>
          <w:p w:rsidRPr="002E1829" w:rsidR="0026572D" w:rsidP="00196583" w:rsidRDefault="0026572D" w14:paraId="3D39CD28" w14:textId="77777777">
            <w:r w:rsidRPr="002E1829">
              <w:t>Element</w:t>
            </w:r>
          </w:p>
        </w:tc>
        <w:tc>
          <w:tcPr>
            <w:tcW w:w="8040" w:type="dxa"/>
          </w:tcPr>
          <w:p w:rsidRPr="002E1829" w:rsidR="0026572D" w:rsidP="00196583" w:rsidRDefault="0026572D" w14:paraId="6D805005" w14:textId="77777777">
            <w:r w:rsidRPr="002E1829">
              <w:t>Description</w:t>
            </w:r>
          </w:p>
        </w:tc>
      </w:tr>
      <w:tr w:rsidRPr="001775C1" w:rsidR="0026572D" w:rsidTr="00336E87" w14:paraId="72E7B17B" w14:textId="77777777">
        <w:tc>
          <w:tcPr>
            <w:tcW w:w="1102" w:type="dxa"/>
          </w:tcPr>
          <w:p w:rsidRPr="002E1829" w:rsidR="0026572D" w:rsidP="00196583" w:rsidRDefault="0026572D" w14:paraId="5B95216E" w14:textId="77777777">
            <w:r w:rsidRPr="002E1829">
              <w:t>1</w:t>
            </w:r>
          </w:p>
        </w:tc>
        <w:tc>
          <w:tcPr>
            <w:tcW w:w="8040" w:type="dxa"/>
          </w:tcPr>
          <w:p w:rsidRPr="002E1829" w:rsidR="0026572D" w:rsidP="00196583" w:rsidRDefault="0026572D" w14:paraId="033066E3" w14:textId="77777777">
            <w:r w:rsidRPr="002E1829">
              <w:t>Maritime National Single Window</w:t>
            </w:r>
          </w:p>
        </w:tc>
      </w:tr>
      <w:tr w:rsidRPr="001775C1" w:rsidR="00FF52D0" w:rsidTr="00336E87" w14:paraId="3777EBBC" w14:textId="77777777">
        <w:tc>
          <w:tcPr>
            <w:tcW w:w="1102" w:type="dxa"/>
          </w:tcPr>
          <w:p w:rsidRPr="002E1829" w:rsidR="00FF52D0" w:rsidP="00196583" w:rsidRDefault="00FF52D0" w14:paraId="57576034" w14:textId="0E9B68D0">
            <w:r w:rsidRPr="002E1829">
              <w:t>1</w:t>
            </w:r>
          </w:p>
        </w:tc>
        <w:tc>
          <w:tcPr>
            <w:tcW w:w="8040" w:type="dxa"/>
          </w:tcPr>
          <w:p w:rsidRPr="002E1829" w:rsidR="00FF52D0" w:rsidP="00196583" w:rsidRDefault="00FF52D0" w14:paraId="4E1284A7" w14:textId="6960FCDF">
            <w:r w:rsidRPr="002E1829">
              <w:t>MNSW-Core</w:t>
            </w:r>
          </w:p>
        </w:tc>
      </w:tr>
      <w:tr w:rsidRPr="001775C1" w:rsidR="0026572D" w:rsidTr="00336E87" w14:paraId="180C5240" w14:textId="77777777">
        <w:tc>
          <w:tcPr>
            <w:tcW w:w="1102" w:type="dxa"/>
          </w:tcPr>
          <w:p w:rsidRPr="002E1829" w:rsidR="0026572D" w:rsidP="00196583" w:rsidRDefault="0026572D" w14:paraId="3D90C388" w14:textId="77777777">
            <w:r w:rsidRPr="002E1829">
              <w:t>2</w:t>
            </w:r>
          </w:p>
        </w:tc>
        <w:tc>
          <w:tcPr>
            <w:tcW w:w="8040" w:type="dxa"/>
          </w:tcPr>
          <w:p w:rsidRPr="002E1829" w:rsidR="0026572D" w:rsidP="00196583" w:rsidRDefault="0026572D" w14:paraId="75AA0EF2" w14:textId="77777777">
            <w:r w:rsidRPr="002E1829">
              <w:t>Graphical User Interface</w:t>
            </w:r>
          </w:p>
        </w:tc>
      </w:tr>
      <w:tr w:rsidRPr="001775C1" w:rsidR="0026572D" w:rsidTr="00336E87" w14:paraId="17B1BFCD" w14:textId="77777777">
        <w:tc>
          <w:tcPr>
            <w:tcW w:w="1102" w:type="dxa"/>
          </w:tcPr>
          <w:p w:rsidRPr="002E1829" w:rsidR="0026572D" w:rsidP="00196583" w:rsidRDefault="0026572D" w14:paraId="2FCAB787" w14:textId="77777777">
            <w:r w:rsidRPr="002E1829">
              <w:t>5</w:t>
            </w:r>
          </w:p>
        </w:tc>
        <w:tc>
          <w:tcPr>
            <w:tcW w:w="8040" w:type="dxa"/>
          </w:tcPr>
          <w:p w:rsidRPr="002E1829" w:rsidR="0026572D" w:rsidP="00196583" w:rsidRDefault="007C004D" w14:paraId="0EEF919C" w14:textId="420FC44B">
            <w:r w:rsidRPr="002E1829">
              <w:t xml:space="preserve">EMSWe </w:t>
            </w:r>
            <w:r w:rsidRPr="002E1829" w:rsidR="0026572D">
              <w:t>User</w:t>
            </w:r>
            <w:r w:rsidRPr="002E1829" w:rsidR="0015385F">
              <w:t xml:space="preserve"> Registry and</w:t>
            </w:r>
            <w:r w:rsidRPr="002E1829" w:rsidR="0026572D">
              <w:t xml:space="preserve"> Access Management System</w:t>
            </w:r>
          </w:p>
        </w:tc>
      </w:tr>
      <w:tr w:rsidRPr="001775C1" w:rsidR="0026572D" w:rsidTr="00336E87" w14:paraId="6266422D" w14:textId="77777777">
        <w:tc>
          <w:tcPr>
            <w:tcW w:w="1102" w:type="dxa"/>
          </w:tcPr>
          <w:p w:rsidRPr="002E1829" w:rsidR="0026572D" w:rsidP="00196583" w:rsidRDefault="0026572D" w14:paraId="4D9A2414" w14:textId="77777777">
            <w:r w:rsidRPr="002E1829">
              <w:t>7</w:t>
            </w:r>
          </w:p>
        </w:tc>
        <w:tc>
          <w:tcPr>
            <w:tcW w:w="8040" w:type="dxa"/>
          </w:tcPr>
          <w:p w:rsidRPr="002E1829" w:rsidR="0026572D" w:rsidP="00196583" w:rsidRDefault="0026572D" w14:paraId="2D66F8DF" w14:textId="77777777">
            <w:r w:rsidRPr="002E1829">
              <w:t>Common Location database</w:t>
            </w:r>
          </w:p>
        </w:tc>
      </w:tr>
      <w:tr w:rsidRPr="001775C1" w:rsidR="0026572D" w:rsidTr="00336E87" w14:paraId="6445D3AC" w14:textId="77777777">
        <w:tc>
          <w:tcPr>
            <w:tcW w:w="1102" w:type="dxa"/>
          </w:tcPr>
          <w:p w:rsidRPr="002E1829" w:rsidR="0026572D" w:rsidP="00196583" w:rsidRDefault="0026572D" w14:paraId="080596E9" w14:textId="77777777">
            <w:r w:rsidRPr="002E1829">
              <w:t>8</w:t>
            </w:r>
          </w:p>
        </w:tc>
        <w:tc>
          <w:tcPr>
            <w:tcW w:w="8040" w:type="dxa"/>
          </w:tcPr>
          <w:p w:rsidRPr="002E1829" w:rsidR="0026572D" w:rsidP="00196583" w:rsidRDefault="0026572D" w14:paraId="597B24F6" w14:textId="77777777">
            <w:r w:rsidRPr="002E1829">
              <w:t>Common Hazmat Database</w:t>
            </w:r>
          </w:p>
        </w:tc>
      </w:tr>
      <w:tr w:rsidRPr="001775C1" w:rsidR="0026572D" w:rsidTr="001F47FB" w14:paraId="3FAA028C" w14:textId="77777777">
        <w:trPr>
          <w:trHeight w:val="274"/>
        </w:trPr>
        <w:tc>
          <w:tcPr>
            <w:tcW w:w="1102" w:type="dxa"/>
          </w:tcPr>
          <w:p w:rsidRPr="002E1829" w:rsidR="0026572D" w:rsidP="00196583" w:rsidRDefault="0026572D" w14:paraId="65D6534F" w14:textId="77777777">
            <w:r w:rsidRPr="002E1829">
              <w:t>9</w:t>
            </w:r>
          </w:p>
        </w:tc>
        <w:tc>
          <w:tcPr>
            <w:tcW w:w="8040" w:type="dxa"/>
          </w:tcPr>
          <w:p w:rsidRPr="002E1829" w:rsidR="0026572D" w:rsidP="00196583" w:rsidRDefault="0026572D" w14:paraId="6A46F821" w14:textId="77777777">
            <w:r w:rsidRPr="002E1829">
              <w:t>EMSWe Ship Database</w:t>
            </w:r>
          </w:p>
        </w:tc>
      </w:tr>
      <w:tr w:rsidRPr="001775C1" w:rsidR="0026572D" w:rsidTr="00336E87" w14:paraId="75F6BDB0" w14:textId="77777777">
        <w:tc>
          <w:tcPr>
            <w:tcW w:w="1102" w:type="dxa"/>
          </w:tcPr>
          <w:p w:rsidRPr="002E1829" w:rsidR="0026572D" w:rsidP="00196583" w:rsidRDefault="0026572D" w14:paraId="1CD4F263" w14:textId="7B1DBB27">
            <w:r w:rsidRPr="002E1829">
              <w:t>1</w:t>
            </w:r>
            <w:r w:rsidRPr="002E1829" w:rsidR="00137D47">
              <w:t>0</w:t>
            </w:r>
          </w:p>
        </w:tc>
        <w:tc>
          <w:tcPr>
            <w:tcW w:w="8040" w:type="dxa"/>
          </w:tcPr>
          <w:p w:rsidRPr="002E1829" w:rsidR="0026572D" w:rsidP="00196583" w:rsidRDefault="00FF52D0" w14:paraId="30638BCB" w14:textId="0AFC4A9F">
            <w:r w:rsidRPr="002E1829">
              <w:t>SafeSeaNet</w:t>
            </w:r>
          </w:p>
        </w:tc>
      </w:tr>
    </w:tbl>
    <w:p w:rsidRPr="001775C1" w:rsidR="006A126D" w:rsidP="00196583" w:rsidRDefault="001402AC" w14:paraId="072418E7" w14:textId="62F80219">
      <w:pPr>
        <w:rPr>
          <w:rFonts w:eastAsia="Times New Roman"/>
        </w:rPr>
      </w:pPr>
      <w:sdt>
        <w:sdtPr>
          <w:rPr>
            <w:color w:val="2B579A"/>
            <w:shd w:val="clear" w:color="auto" w:fill="E6E6E6"/>
          </w:rPr>
          <w:alias w:val="Picture"/>
          <w:tag w:val="KZSQs15i6aMRta61gVgLk1"/>
          <w:id w:val="-1431198432"/>
          <w:placeholder>
            <w:docPart w:val="B40C6A01179C4801A56331330E7A20D1"/>
          </w:placeholder>
        </w:sdtPr>
        <w:sdtEndPr>
          <w:rPr>
            <w:rFonts w:eastAsia="Times New Roman"/>
          </w:rPr>
        </w:sdtEndPr>
        <w:sdtContent>
          <w:r w:rsidRPr="001775C1" w:rsidR="006A126D">
            <w:t xml:space="preserve">Table </w:t>
          </w:r>
          <w:r w:rsidRPr="002E1829" w:rsidR="006A126D">
            <w:rPr>
              <w:color w:val="2B579A"/>
              <w:shd w:val="clear" w:color="auto" w:fill="E6E6E6"/>
            </w:rPr>
            <w:fldChar w:fldCharType="begin"/>
          </w:r>
          <w:r w:rsidRPr="001775C1" w:rsidR="006A126D">
            <w:instrText xml:space="preserve"> SEQ Figure \* ARABIC </w:instrText>
          </w:r>
          <w:r w:rsidRPr="002E1829" w:rsidR="006A126D">
            <w:rPr>
              <w:color w:val="2B579A"/>
              <w:shd w:val="clear" w:color="auto" w:fill="E6E6E6"/>
            </w:rPr>
            <w:fldChar w:fldCharType="separate"/>
          </w:r>
          <w:r w:rsidRPr="001775C1" w:rsidR="001066FB">
            <w:t>2</w:t>
          </w:r>
          <w:r w:rsidRPr="002E1829" w:rsidR="006A126D">
            <w:rPr>
              <w:color w:val="2B579A"/>
              <w:shd w:val="clear" w:color="auto" w:fill="E6E6E6"/>
            </w:rPr>
            <w:fldChar w:fldCharType="end"/>
          </w:r>
          <w:r w:rsidRPr="001775C1" w:rsidR="006A126D">
            <w:t xml:space="preserve">: </w:t>
          </w:r>
          <w:r w:rsidRPr="001775C1" w:rsidR="006A126D">
            <w:rPr>
              <w:rFonts w:eastAsia="Times New Roman"/>
            </w:rPr>
            <w:t>U2S In-Scope Components</w:t>
          </w:r>
        </w:sdtContent>
      </w:sdt>
    </w:p>
    <w:p w:rsidRPr="002E1829" w:rsidR="00616954" w:rsidP="00593886" w:rsidRDefault="00616954" w14:paraId="2FAB9B9E" w14:textId="3EE3D1D2">
      <w:r w:rsidRPr="00002C28">
        <w:t>The list of functions and actions of the component</w:t>
      </w:r>
      <w:r w:rsidRPr="00800028" w:rsidR="00486460">
        <w:rPr>
          <w:lang w:val="en-IE"/>
        </w:rPr>
        <w:t>s</w:t>
      </w:r>
      <w:r w:rsidRPr="001775C1" w:rsidR="00486460">
        <w:rPr>
          <w:lang w:val="en-IE"/>
        </w:rPr>
        <w:t xml:space="preserve"> in the scope of U2S interaction</w:t>
      </w:r>
      <w:r w:rsidRPr="002E1829" w:rsidR="00593886">
        <w:t>:</w:t>
      </w:r>
    </w:p>
    <w:p w:rsidRPr="002E1829" w:rsidR="003A4592" w:rsidP="003A4592" w:rsidRDefault="003A4592" w14:paraId="63EC07CF" w14:textId="0FF08BFB">
      <w:pPr>
        <w:rPr>
          <w:b/>
        </w:rPr>
      </w:pPr>
      <w:r w:rsidRPr="002E1829">
        <w:rPr>
          <w:b/>
        </w:rPr>
        <w:t>G</w:t>
      </w:r>
      <w:r w:rsidR="001F47FB">
        <w:rPr>
          <w:b/>
        </w:rPr>
        <w:t>raphical User Interface (G</w:t>
      </w:r>
      <w:r w:rsidRPr="002E1829">
        <w:rPr>
          <w:b/>
        </w:rPr>
        <w:t>UI</w:t>
      </w:r>
      <w:r w:rsidR="001F47FB">
        <w:rPr>
          <w:b/>
        </w:rPr>
        <w:t>)</w:t>
      </w:r>
    </w:p>
    <w:p w:rsidRPr="002E1829" w:rsidR="0026572D" w:rsidP="003A4592" w:rsidRDefault="00DE4728" w14:paraId="40E27C8B" w14:textId="2F324952">
      <w:pPr>
        <w:rPr>
          <w:shd w:val="clear" w:color="auto" w:fill="E6E6E6"/>
        </w:rPr>
      </w:pPr>
      <w:r w:rsidRPr="001775C1">
        <w:rPr>
          <w:shd w:val="clear" w:color="auto" w:fill="E6E6E6"/>
        </w:rPr>
        <w:object w:dxaOrig="1110" w:dyaOrig="960" w14:anchorId="5A69FD96">
          <v:shape id="_x0000_i1026" style="width:54.15pt;height:46.9pt" o:ole="" type="#_x0000_t75">
            <v:imagedata o:title="" r:id="rId15"/>
          </v:shape>
          <o:OLEObject Type="Embed" ProgID="Visio.Drawing.15" ShapeID="_x0000_i1026" DrawAspect="Content" ObjectID="_1733128104" r:id="rId16"/>
        </w:object>
      </w:r>
    </w:p>
    <w:p w:rsidRPr="002E1829" w:rsidR="00795585" w:rsidP="00795585" w:rsidRDefault="00486460" w14:paraId="70BC588D" w14:textId="6D7B8AC7">
      <w:r w:rsidRPr="001775C1">
        <w:rPr>
          <w:lang w:val="en-IE"/>
        </w:rPr>
        <w:t xml:space="preserve">The functionalities </w:t>
      </w:r>
      <w:r w:rsidR="007D029B">
        <w:rPr>
          <w:lang w:val="en-IE"/>
        </w:rPr>
        <w:t>listed below</w:t>
      </w:r>
      <w:r w:rsidRPr="001775C1" w:rsidR="007D029B">
        <w:rPr>
          <w:lang w:val="en-IE"/>
        </w:rPr>
        <w:t xml:space="preserve"> </w:t>
      </w:r>
      <w:r w:rsidRPr="001775C1">
        <w:rPr>
          <w:lang w:val="en-IE"/>
        </w:rPr>
        <w:t xml:space="preserve">represent the minimum </w:t>
      </w:r>
      <w:r w:rsidRPr="001775C1" w:rsidR="00ED0E3C">
        <w:rPr>
          <w:lang w:val="en-IE"/>
        </w:rPr>
        <w:t>set used by declarants -</w:t>
      </w:r>
      <w:r w:rsidRPr="002E1829" w:rsidR="00795585">
        <w:t xml:space="preserve"> MNSWs </w:t>
      </w:r>
      <w:r w:rsidRPr="001775C1" w:rsidR="00ED0E3C">
        <w:rPr>
          <w:lang w:val="en-IE"/>
        </w:rPr>
        <w:t>may</w:t>
      </w:r>
      <w:r w:rsidRPr="002E1829" w:rsidR="00ED0E3C">
        <w:t xml:space="preserve"> </w:t>
      </w:r>
      <w:r w:rsidRPr="002E1829" w:rsidR="00795585">
        <w:t>include additional functionalities.</w:t>
      </w:r>
      <w:r w:rsidRPr="001775C1" w:rsidR="00ED0E3C">
        <w:rPr>
          <w:lang w:val="en-IE"/>
        </w:rPr>
        <w:t xml:space="preserve"> (</w:t>
      </w:r>
      <w:r w:rsidR="005759A8">
        <w:rPr>
          <w:lang w:val="en-IE"/>
        </w:rPr>
        <w:t>IA</w:t>
      </w:r>
      <w:r w:rsidRPr="001775C1" w:rsidR="00ED0E3C">
        <w:rPr>
          <w:lang w:val="en-IE"/>
        </w:rPr>
        <w:t xml:space="preserve"> Annex I)</w:t>
      </w:r>
      <w:r w:rsidR="001F47FB">
        <w:t>.</w:t>
      </w:r>
    </w:p>
    <w:p w:rsidRPr="004C6597" w:rsidR="007327A9" w:rsidP="0002067D" w:rsidRDefault="007327A9" w14:paraId="458BD496" w14:textId="2EC62EDF">
      <w:r w:rsidRPr="007327A9">
        <w:t>After successful authentication, the ‘user desktop’ shall be made available to declarants</w:t>
      </w:r>
      <w:r w:rsidR="00A70602">
        <w:t xml:space="preserve"> (users)</w:t>
      </w:r>
      <w:r w:rsidRPr="007327A9">
        <w:t xml:space="preserve"> with</w:t>
      </w:r>
      <w:r>
        <w:t xml:space="preserve"> </w:t>
      </w:r>
      <w:r w:rsidRPr="007327A9">
        <w:t>the following common functionalities</w:t>
      </w:r>
      <w:r w:rsidR="0002067D">
        <w:t xml:space="preserve"> (IA Annex I) </w:t>
      </w:r>
      <w:r w:rsidRPr="0002067D" w:rsidR="0002067D">
        <w:t>within the limits of the access rights granted by each Member State in accordance with its national rules</w:t>
      </w:r>
      <w:r w:rsidR="0002067D">
        <w:t xml:space="preserve">(REG Article 12), </w:t>
      </w:r>
      <w:r w:rsidRPr="0002067D" w:rsidR="0002067D">
        <w:t>ensur</w:t>
      </w:r>
      <w:r w:rsidR="0002067D">
        <w:t>ing</w:t>
      </w:r>
      <w:r w:rsidRPr="0002067D" w:rsidR="0002067D">
        <w:t xml:space="preserve"> the confidentiality of commercial and other sensitive information exchanged</w:t>
      </w:r>
      <w:r w:rsidR="0002067D">
        <w:t xml:space="preserve"> (REG Article 10)</w:t>
      </w:r>
      <w:r w:rsidRPr="007327A9">
        <w:t>:</w:t>
      </w:r>
      <w:r w:rsidRPr="007327A9">
        <w:cr/>
      </w:r>
    </w:p>
    <w:p w:rsidRPr="001F47FB" w:rsidR="003A4592" w:rsidP="002441C1" w:rsidRDefault="007327A9" w14:paraId="74EE5086" w14:textId="2F3E6AC2">
      <w:pPr>
        <w:rPr>
          <w:i/>
        </w:rPr>
      </w:pPr>
      <w:r w:rsidRPr="001F47FB">
        <w:rPr>
          <w:i/>
        </w:rPr>
        <w:t>F</w:t>
      </w:r>
      <w:r w:rsidRPr="001F47FB" w:rsidR="003A4592">
        <w:rPr>
          <w:i/>
        </w:rPr>
        <w:t>ormalities</w:t>
      </w:r>
      <w:r w:rsidRPr="001F47FB" w:rsidR="002441C1">
        <w:rPr>
          <w:i/>
        </w:rPr>
        <w:t xml:space="preserve"> (IA Annex I)</w:t>
      </w:r>
    </w:p>
    <w:p w:rsidRPr="007327A9" w:rsidR="007327A9" w:rsidP="00196583" w:rsidRDefault="007327A9" w14:paraId="750E376B" w14:textId="493390C3">
      <w:pPr>
        <w:pStyle w:val="ListParagraph"/>
        <w:numPr>
          <w:ilvl w:val="0"/>
          <w:numId w:val="13"/>
        </w:numPr>
      </w:pPr>
      <w:r w:rsidRPr="007327A9">
        <w:rPr>
          <w:b/>
        </w:rPr>
        <w:t>Provision of a new formality</w:t>
      </w:r>
      <w:r w:rsidRPr="007327A9">
        <w:t xml:space="preserve">: This functionality shall allow </w:t>
      </w:r>
      <w:r w:rsidR="00B74C04">
        <w:t>users</w:t>
      </w:r>
      <w:r w:rsidRPr="007327A9" w:rsidR="00B74C04">
        <w:t xml:space="preserve"> </w:t>
      </w:r>
      <w:r w:rsidRPr="007327A9">
        <w:t>to provide a new formality for the port call selected from the list of port calls.</w:t>
      </w:r>
    </w:p>
    <w:p w:rsidRPr="007327A9" w:rsidR="007327A9" w:rsidP="00196583" w:rsidRDefault="007327A9" w14:paraId="55583BCE" w14:textId="73D65F36">
      <w:pPr>
        <w:pStyle w:val="ListParagraph"/>
        <w:numPr>
          <w:ilvl w:val="0"/>
          <w:numId w:val="13"/>
        </w:numPr>
      </w:pPr>
      <w:r w:rsidRPr="007327A9">
        <w:rPr>
          <w:b/>
        </w:rPr>
        <w:t>Re-using existing formalities</w:t>
      </w:r>
      <w:r w:rsidRPr="007327A9">
        <w:t xml:space="preserve">: When preparing new formalities for a port call, </w:t>
      </w:r>
      <w:r w:rsidR="00B74C04">
        <w:t>users</w:t>
      </w:r>
      <w:r w:rsidRPr="007327A9" w:rsidR="00B74C04">
        <w:t xml:space="preserve"> </w:t>
      </w:r>
      <w:r w:rsidRPr="007327A9">
        <w:t xml:space="preserve">shall be able to re-use the available content of formalities related to the same ship which they have previously submitted to the same </w:t>
      </w:r>
      <w:r>
        <w:t>MNSW</w:t>
      </w:r>
      <w:r w:rsidRPr="007327A9">
        <w:t>.</w:t>
      </w:r>
    </w:p>
    <w:p w:rsidRPr="002E1829" w:rsidR="003A4592" w:rsidP="00196583" w:rsidRDefault="007327A9" w14:paraId="69B9E0DB" w14:textId="63476966">
      <w:pPr>
        <w:pStyle w:val="ListParagraph"/>
        <w:numPr>
          <w:ilvl w:val="0"/>
          <w:numId w:val="13"/>
        </w:numPr>
      </w:pPr>
      <w:r w:rsidRPr="007327A9">
        <w:rPr>
          <w:b/>
        </w:rPr>
        <w:t>Save draft formalities</w:t>
      </w:r>
      <w:r w:rsidRPr="007327A9">
        <w:t xml:space="preserve">: </w:t>
      </w:r>
      <w:r w:rsidR="00B74C04">
        <w:t>Users</w:t>
      </w:r>
      <w:r w:rsidRPr="007327A9" w:rsidR="00B74C04">
        <w:t xml:space="preserve"> </w:t>
      </w:r>
      <w:r w:rsidRPr="007327A9">
        <w:t>shall be able to save draft formalities before submission.</w:t>
      </w:r>
    </w:p>
    <w:p w:rsidR="007327A9" w:rsidP="00196583" w:rsidRDefault="007327A9" w14:paraId="10147A39" w14:textId="22969C8A">
      <w:pPr>
        <w:pStyle w:val="ListParagraph"/>
        <w:numPr>
          <w:ilvl w:val="0"/>
          <w:numId w:val="13"/>
        </w:numPr>
      </w:pPr>
      <w:r w:rsidRPr="007327A9">
        <w:rPr>
          <w:b/>
        </w:rPr>
        <w:t>Management of formalities</w:t>
      </w:r>
      <w:r>
        <w:t>:</w:t>
      </w:r>
      <w:r w:rsidR="002441C1">
        <w:t xml:space="preserve"> </w:t>
      </w:r>
      <w:r w:rsidRPr="007327A9">
        <w:t xml:space="preserve">This functionality shall allow </w:t>
      </w:r>
      <w:r w:rsidR="00B74C04">
        <w:t>users</w:t>
      </w:r>
      <w:r w:rsidRPr="007327A9" w:rsidR="00B74C04">
        <w:t xml:space="preserve"> </w:t>
      </w:r>
      <w:r w:rsidRPr="007327A9">
        <w:t xml:space="preserve">to consult and update their previously submitted or draft formalities. All formalities that have been submitted using the </w:t>
      </w:r>
      <w:r>
        <w:t>RIM</w:t>
      </w:r>
      <w:r w:rsidRPr="007327A9">
        <w:t xml:space="preserve"> shall be also available in the </w:t>
      </w:r>
      <w:r>
        <w:t>GUI</w:t>
      </w:r>
      <w:r w:rsidRPr="007327A9">
        <w:t xml:space="preserve">. The </w:t>
      </w:r>
      <w:r>
        <w:t xml:space="preserve">GUI </w:t>
      </w:r>
      <w:r w:rsidRPr="007327A9">
        <w:t>shall display information (date and time of submission) of all such formalities, including responses from authorities.</w:t>
      </w:r>
    </w:p>
    <w:p w:rsidRPr="00713A05" w:rsidR="00713A05" w:rsidP="00196583" w:rsidRDefault="00713A05" w14:paraId="4C0C0076" w14:textId="33401EFB">
      <w:pPr>
        <w:pStyle w:val="ListParagraph"/>
        <w:numPr>
          <w:ilvl w:val="0"/>
          <w:numId w:val="13"/>
        </w:numPr>
      </w:pPr>
      <w:r w:rsidRPr="00713A05">
        <w:rPr>
          <w:b/>
        </w:rPr>
        <w:t>Submission of formalities</w:t>
      </w:r>
      <w:r w:rsidRPr="00713A05">
        <w:t xml:space="preserve">: </w:t>
      </w:r>
      <w:r w:rsidR="00B74C04">
        <w:t>Users</w:t>
      </w:r>
      <w:r w:rsidRPr="00713A05" w:rsidR="00B74C04">
        <w:t xml:space="preserve"> </w:t>
      </w:r>
      <w:r w:rsidRPr="00713A05">
        <w:t xml:space="preserve">shall be able to submit formalities to the </w:t>
      </w:r>
      <w:r>
        <w:t>MNSW.</w:t>
      </w:r>
      <w:r w:rsidRPr="00713A05">
        <w:t xml:space="preserve"> Following the submission of the information, the </w:t>
      </w:r>
      <w:r>
        <w:t>MNSW</w:t>
      </w:r>
      <w:r w:rsidRPr="00713A05">
        <w:t xml:space="preserve"> window shall display the results of the semantic checks performed at Member State level.</w:t>
      </w:r>
    </w:p>
    <w:p w:rsidRPr="001F47FB" w:rsidR="003A4592" w:rsidP="00196583" w:rsidRDefault="003A4592" w14:paraId="4A8D8520" w14:textId="3F34CB24">
      <w:pPr>
        <w:rPr>
          <w:i/>
        </w:rPr>
      </w:pPr>
      <w:r w:rsidRPr="001F47FB">
        <w:rPr>
          <w:i/>
        </w:rPr>
        <w:t>Ship Lists</w:t>
      </w:r>
      <w:r w:rsidRPr="001F47FB" w:rsidR="002441C1">
        <w:rPr>
          <w:i/>
        </w:rPr>
        <w:t xml:space="preserve"> (IA Annex I)</w:t>
      </w:r>
    </w:p>
    <w:p w:rsidRPr="007327A9" w:rsidR="007327A9" w:rsidP="00196583" w:rsidRDefault="007327A9" w14:paraId="7020CCB6" w14:textId="0CAC9FC8">
      <w:pPr>
        <w:pStyle w:val="ListParagraph"/>
        <w:numPr>
          <w:ilvl w:val="0"/>
          <w:numId w:val="13"/>
        </w:numPr>
      </w:pPr>
      <w:r w:rsidRPr="007327A9">
        <w:t>Th</w:t>
      </w:r>
      <w:r w:rsidR="00A31161">
        <w:t xml:space="preserve">e GUI </w:t>
      </w:r>
      <w:r w:rsidRPr="007327A9">
        <w:t>shall allow consultation of:</w:t>
      </w:r>
    </w:p>
    <w:p w:rsidRPr="007327A9" w:rsidR="007327A9" w:rsidP="00196583" w:rsidRDefault="007327A9" w14:paraId="355A5C67" w14:textId="4554818E">
      <w:pPr>
        <w:pStyle w:val="ListParagraph"/>
        <w:numPr>
          <w:ilvl w:val="1"/>
          <w:numId w:val="13"/>
        </w:numPr>
      </w:pPr>
      <w:r w:rsidRPr="007327A9">
        <w:t>a list of ships when creating a new port call</w:t>
      </w:r>
      <w:r>
        <w:t xml:space="preserve">, </w:t>
      </w:r>
      <w:r w:rsidRPr="001775C1">
        <w:rPr>
          <w:lang w:val="en-IE"/>
        </w:rPr>
        <w:t>filter</w:t>
      </w:r>
      <w:r>
        <w:rPr>
          <w:lang w:val="en-IE"/>
        </w:rPr>
        <w:t>ed</w:t>
      </w:r>
      <w:r w:rsidRPr="001775C1">
        <w:rPr>
          <w:lang w:val="en-IE"/>
        </w:rPr>
        <w:t xml:space="preserve"> by Ship IMO number, Ship call sign, MMSI number, Ship name</w:t>
      </w:r>
      <w:r w:rsidRPr="007327A9">
        <w:t>;</w:t>
      </w:r>
    </w:p>
    <w:p w:rsidR="007327A9" w:rsidP="00196583" w:rsidRDefault="007327A9" w14:paraId="53CAEDE7" w14:textId="77777777">
      <w:pPr>
        <w:pStyle w:val="ListParagraph"/>
        <w:numPr>
          <w:ilvl w:val="1"/>
          <w:numId w:val="13"/>
        </w:numPr>
      </w:pPr>
      <w:r w:rsidRPr="007327A9">
        <w:t>ship identification information and particulars, including ship reporting exemptions, to be made available from the EMSWe Ship Database, or alternatively from another relevant database.</w:t>
      </w:r>
    </w:p>
    <w:p w:rsidRPr="001F47FB" w:rsidR="003A4592" w:rsidP="00196583" w:rsidRDefault="003A4592" w14:paraId="74CFA1BF" w14:textId="401DAF6B">
      <w:pPr>
        <w:rPr>
          <w:i/>
        </w:rPr>
      </w:pPr>
      <w:r w:rsidRPr="001F47FB">
        <w:rPr>
          <w:i/>
        </w:rPr>
        <w:t>Port Calls</w:t>
      </w:r>
      <w:r w:rsidRPr="001F47FB" w:rsidR="002441C1">
        <w:rPr>
          <w:i/>
        </w:rPr>
        <w:t xml:space="preserve"> (IA Annex I)</w:t>
      </w:r>
    </w:p>
    <w:p w:rsidR="002441C1" w:rsidP="00196583" w:rsidRDefault="00713A05" w14:paraId="75E7E263" w14:textId="3787F253">
      <w:pPr>
        <w:pStyle w:val="ListParagraph"/>
        <w:numPr>
          <w:ilvl w:val="0"/>
          <w:numId w:val="13"/>
        </w:numPr>
      </w:pPr>
      <w:r w:rsidRPr="0083240E">
        <w:t>Th</w:t>
      </w:r>
      <w:r w:rsidRPr="0083240E" w:rsidR="0083240E">
        <w:t xml:space="preserve">e GUI </w:t>
      </w:r>
      <w:r w:rsidRPr="0083240E">
        <w:t>shall allow t</w:t>
      </w:r>
      <w:r w:rsidRPr="0083240E" w:rsidR="0083240E">
        <w:t xml:space="preserve">he </w:t>
      </w:r>
      <w:r w:rsidRPr="0083240E" w:rsidR="0083240E">
        <w:rPr>
          <w:b/>
        </w:rPr>
        <w:t>creation</w:t>
      </w:r>
      <w:r w:rsidRPr="0083240E" w:rsidR="0083240E">
        <w:t xml:space="preserve"> of</w:t>
      </w:r>
      <w:r w:rsidRPr="0083240E">
        <w:t xml:space="preserve"> a port call by selecting a ship from the functionality ‘list of ships’ or by filling manually the ship’s identification information and the port of call from the information retrieved by the MNSW from the CLD.</w:t>
      </w:r>
    </w:p>
    <w:p w:rsidR="002441C1" w:rsidP="00196583" w:rsidRDefault="00713A05" w14:paraId="76B0CC74" w14:textId="186CF822">
      <w:pPr>
        <w:pStyle w:val="ListParagraph"/>
        <w:numPr>
          <w:ilvl w:val="0"/>
          <w:numId w:val="13"/>
        </w:numPr>
      </w:pPr>
      <w:r w:rsidRPr="0083240E">
        <w:t>With a creation of the port call, a Visit ID linked to the selected ship and to the port of call shall be provided.</w:t>
      </w:r>
    </w:p>
    <w:p w:rsidRPr="0083240E" w:rsidR="0083240E" w:rsidP="00196583" w:rsidRDefault="00B74C04" w14:paraId="63DEEBD2" w14:textId="69142093">
      <w:pPr>
        <w:pStyle w:val="ListParagraph"/>
        <w:numPr>
          <w:ilvl w:val="0"/>
          <w:numId w:val="13"/>
        </w:numPr>
      </w:pPr>
      <w:r>
        <w:t xml:space="preserve">Users </w:t>
      </w:r>
      <w:r w:rsidR="0083240E">
        <w:t xml:space="preserve">shall have the possibility </w:t>
      </w:r>
      <w:r w:rsidRPr="0083240E" w:rsidR="0083240E">
        <w:t xml:space="preserve">to </w:t>
      </w:r>
      <w:r w:rsidRPr="0083240E" w:rsidR="0083240E">
        <w:rPr>
          <w:b/>
        </w:rPr>
        <w:t>cancel</w:t>
      </w:r>
      <w:r w:rsidRPr="0083240E" w:rsidR="0083240E">
        <w:t xml:space="preserve"> their previously created port call and withdraw or invalidate their previously submitted formalities associated to that port call.</w:t>
      </w:r>
    </w:p>
    <w:p w:rsidRPr="00713A05" w:rsidR="00713A05" w:rsidP="00196583" w:rsidRDefault="0083240E" w14:paraId="6F25B205" w14:textId="5EAA9BA6">
      <w:pPr>
        <w:pStyle w:val="ListParagraph"/>
        <w:numPr>
          <w:ilvl w:val="0"/>
          <w:numId w:val="13"/>
        </w:numPr>
      </w:pPr>
      <w:r w:rsidRPr="00713A05">
        <w:t xml:space="preserve">The </w:t>
      </w:r>
      <w:r w:rsidRPr="0083240E">
        <w:rPr>
          <w:b/>
        </w:rPr>
        <w:t>list of port calls</w:t>
      </w:r>
      <w:r w:rsidRPr="00713A05">
        <w:t xml:space="preserve"> shall be accessible for a certain period of time as specified in the national data retention rules. The following information shall at least be available: port of call, visit ID, identification of the ship, estimated and actual arrival and departure time of the ship. Using these criteria a filter </w:t>
      </w:r>
      <w:r w:rsidRPr="00713A05">
        <w:t>shall be provided to search the list.</w:t>
      </w:r>
      <w:r w:rsidRPr="00713A05" w:rsidR="00713A05">
        <w:rPr>
          <w:lang w:val="en-IE"/>
        </w:rPr>
        <w:t xml:space="preserve"> The selected port call shall contain the information of the status of formalities and responses from authorities related to that port call including the clearance model (systematic or silent) applied by the </w:t>
      </w:r>
      <w:r w:rsidR="00713A05">
        <w:rPr>
          <w:lang w:val="en-IE"/>
        </w:rPr>
        <w:t>MNSW</w:t>
      </w:r>
      <w:r w:rsidRPr="00713A05" w:rsidR="00713A05">
        <w:rPr>
          <w:lang w:val="en-IE"/>
        </w:rPr>
        <w:t>.</w:t>
      </w:r>
    </w:p>
    <w:p w:rsidRPr="0002067D" w:rsidR="003A4592" w:rsidP="00196583" w:rsidRDefault="0002067D" w14:paraId="366600AE" w14:textId="6EC77A62">
      <w:pPr>
        <w:pStyle w:val="ListParagraph"/>
        <w:numPr>
          <w:ilvl w:val="0"/>
          <w:numId w:val="13"/>
        </w:numPr>
      </w:pPr>
      <w:r w:rsidRPr="0002067D">
        <w:rPr>
          <w:lang w:val="en-IE"/>
        </w:rPr>
        <w:t>The GUI should ma</w:t>
      </w:r>
      <w:r w:rsidR="00A70602">
        <w:rPr>
          <w:lang w:val="en-IE"/>
        </w:rPr>
        <w:t>k</w:t>
      </w:r>
      <w:r w:rsidRPr="0002067D">
        <w:rPr>
          <w:lang w:val="en-IE"/>
        </w:rPr>
        <w:t xml:space="preserve">e available </w:t>
      </w:r>
      <w:r w:rsidR="00A70602">
        <w:rPr>
          <w:lang w:val="en-IE"/>
        </w:rPr>
        <w:t>information</w:t>
      </w:r>
      <w:r w:rsidRPr="0002067D">
        <w:rPr>
          <w:lang w:val="en-IE"/>
        </w:rPr>
        <w:t xml:space="preserve"> provided at departure from a</w:t>
      </w:r>
      <w:r w:rsidR="00A70602">
        <w:rPr>
          <w:lang w:val="en-IE"/>
        </w:rPr>
        <w:t xml:space="preserve"> previous</w:t>
      </w:r>
      <w:r w:rsidRPr="0002067D">
        <w:rPr>
          <w:lang w:val="en-IE"/>
        </w:rPr>
        <w:t xml:space="preserve"> port to the declarant at arrival to the next port </w:t>
      </w:r>
      <w:r w:rsidRPr="0002067D" w:rsidR="00620FED">
        <w:t>(</w:t>
      </w:r>
      <w:r w:rsidRPr="0002067D" w:rsidR="00B439A8">
        <w:rPr>
          <w:lang w:val="en-IE"/>
        </w:rPr>
        <w:t>REG Article 8</w:t>
      </w:r>
      <w:r w:rsidRPr="0002067D" w:rsidR="00620FED">
        <w:t>)</w:t>
      </w:r>
      <w:r w:rsidRPr="0002067D">
        <w:rPr>
          <w:rStyle w:val="FootnoteReference"/>
        </w:rPr>
        <w:footnoteReference w:id="6"/>
      </w:r>
      <w:r w:rsidR="001F47FB">
        <w:t>.</w:t>
      </w:r>
    </w:p>
    <w:p w:rsidRPr="00713A05" w:rsidR="00713A05" w:rsidP="00196583" w:rsidRDefault="00713A05" w14:paraId="71914B1C" w14:textId="58D1F9DA">
      <w:pPr>
        <w:pStyle w:val="ListParagraph"/>
        <w:numPr>
          <w:ilvl w:val="0"/>
          <w:numId w:val="13"/>
        </w:numPr>
      </w:pPr>
      <w:r w:rsidRPr="00713A05">
        <w:rPr>
          <w:b/>
        </w:rPr>
        <w:t>Uploading information from spreadsheets</w:t>
      </w:r>
      <w:r w:rsidRPr="00713A05">
        <w:t xml:space="preserve">: When providing or updating one or more formalities, </w:t>
      </w:r>
      <w:r w:rsidR="00B74C04">
        <w:t>users</w:t>
      </w:r>
      <w:r w:rsidRPr="00713A05" w:rsidR="00B74C04">
        <w:t xml:space="preserve"> </w:t>
      </w:r>
      <w:r w:rsidRPr="00713A05">
        <w:t>shall be able to upload information from digital spreadsheets.</w:t>
      </w:r>
      <w:r w:rsidRPr="00713A05">
        <w:cr/>
      </w:r>
    </w:p>
    <w:p w:rsidRPr="001F47FB" w:rsidR="003A4592" w:rsidP="0097089C" w:rsidRDefault="003A4592" w14:paraId="1B01B5E0" w14:textId="6335E928">
      <w:pPr>
        <w:rPr>
          <w:i/>
        </w:rPr>
      </w:pPr>
      <w:r w:rsidRPr="001F47FB">
        <w:rPr>
          <w:i/>
        </w:rPr>
        <w:t>Databases</w:t>
      </w:r>
      <w:r w:rsidRPr="001F47FB" w:rsidR="0097089C">
        <w:rPr>
          <w:i/>
        </w:rPr>
        <w:t xml:space="preserve"> </w:t>
      </w:r>
      <w:r w:rsidRPr="001F47FB" w:rsidR="00AA626F">
        <w:rPr>
          <w:i/>
        </w:rPr>
        <w:t>(IA Annex I)</w:t>
      </w:r>
    </w:p>
    <w:p w:rsidRPr="0083240E" w:rsidR="0083240E" w:rsidP="0083240E" w:rsidRDefault="0083240E" w14:paraId="34F81C3F" w14:textId="3D0A14B1">
      <w:pPr>
        <w:pStyle w:val="ListParagraph"/>
        <w:numPr>
          <w:ilvl w:val="0"/>
          <w:numId w:val="13"/>
        </w:numPr>
      </w:pPr>
      <w:r w:rsidRPr="0083240E">
        <w:t xml:space="preserve">In the case a </w:t>
      </w:r>
      <w:r w:rsidRPr="0083240E">
        <w:rPr>
          <w:b/>
        </w:rPr>
        <w:t>ship’s identification information and particulars</w:t>
      </w:r>
      <w:r w:rsidRPr="0083240E">
        <w:t xml:space="preserve"> or records on </w:t>
      </w:r>
      <w:r w:rsidRPr="0083240E">
        <w:rPr>
          <w:b/>
        </w:rPr>
        <w:t>ship reporting exemptions</w:t>
      </w:r>
      <w:r w:rsidRPr="0083240E">
        <w:t xml:space="preserve"> is required for the fulfilment of reporting obligations, the </w:t>
      </w:r>
      <w:r>
        <w:t>MNSW</w:t>
      </w:r>
      <w:r w:rsidRPr="0083240E">
        <w:t xml:space="preserve"> shall make available the relevant information from the ESD, or alternatively from another relevant database in the </w:t>
      </w:r>
      <w:r>
        <w:t>GUI</w:t>
      </w:r>
      <w:r w:rsidRPr="0083240E">
        <w:t xml:space="preserve"> by way of pre-filling the relevant fields.</w:t>
      </w:r>
    </w:p>
    <w:p w:rsidRPr="0083240E" w:rsidR="0083240E" w:rsidP="0083240E" w:rsidRDefault="0083240E" w14:paraId="0AD59BA0" w14:textId="23B75EF7">
      <w:pPr>
        <w:pStyle w:val="ListParagraph"/>
        <w:numPr>
          <w:ilvl w:val="0"/>
          <w:numId w:val="13"/>
        </w:numPr>
      </w:pPr>
      <w:r w:rsidRPr="0083240E">
        <w:t xml:space="preserve">In case a </w:t>
      </w:r>
      <w:r w:rsidRPr="0083240E">
        <w:rPr>
          <w:b/>
        </w:rPr>
        <w:t>location or port facility code</w:t>
      </w:r>
      <w:r w:rsidRPr="0083240E">
        <w:t xml:space="preserve"> is required for the fulfilment of reporting obligations, the </w:t>
      </w:r>
      <w:r>
        <w:t>MNSW</w:t>
      </w:r>
      <w:r w:rsidRPr="0083240E">
        <w:t xml:space="preserve"> shall make available the relevant information from the </w:t>
      </w:r>
      <w:r>
        <w:t>CLD</w:t>
      </w:r>
      <w:r w:rsidRPr="0083240E">
        <w:t xml:space="preserve"> in the </w:t>
      </w:r>
      <w:r>
        <w:t>GUI</w:t>
      </w:r>
      <w:r w:rsidRPr="0083240E">
        <w:t>.</w:t>
      </w:r>
    </w:p>
    <w:p w:rsidRPr="0083240E" w:rsidR="0083240E" w:rsidP="0083240E" w:rsidRDefault="0083240E" w14:paraId="39061D81" w14:textId="3F4B3C01">
      <w:pPr>
        <w:pStyle w:val="ListParagraph"/>
        <w:numPr>
          <w:ilvl w:val="0"/>
          <w:numId w:val="13"/>
        </w:numPr>
      </w:pPr>
      <w:r w:rsidRPr="0083240E">
        <w:t xml:space="preserve">In the case information on </w:t>
      </w:r>
      <w:r w:rsidRPr="0083240E">
        <w:rPr>
          <w:b/>
        </w:rPr>
        <w:t>dangerous and polluting goods</w:t>
      </w:r>
      <w:r w:rsidRPr="0083240E">
        <w:t xml:space="preserve"> is required for the fulfilment of reporting obligations, the </w:t>
      </w:r>
      <w:r>
        <w:t>MNSW</w:t>
      </w:r>
      <w:r w:rsidRPr="0083240E">
        <w:t xml:space="preserve"> shall make available the relevant information from the </w:t>
      </w:r>
      <w:r>
        <w:t>CHD</w:t>
      </w:r>
      <w:r w:rsidRPr="0083240E">
        <w:t xml:space="preserve"> in </w:t>
      </w:r>
      <w:r>
        <w:t>the GUI</w:t>
      </w:r>
      <w:r w:rsidRPr="0083240E">
        <w:t xml:space="preserve"> by way of:</w:t>
      </w:r>
    </w:p>
    <w:p w:rsidRPr="0083240E" w:rsidR="0083240E" w:rsidP="0083240E" w:rsidRDefault="0083240E" w14:paraId="26898118" w14:textId="4E8FA537">
      <w:pPr>
        <w:pStyle w:val="ListParagraph"/>
        <w:numPr>
          <w:ilvl w:val="1"/>
          <w:numId w:val="13"/>
        </w:numPr>
      </w:pPr>
      <w:r w:rsidRPr="0083240E">
        <w:t>prefilling the required information on dangerous and polluting goods on the basis of the UN number or the textual reference of a DPG</w:t>
      </w:r>
      <w:r>
        <w:t xml:space="preserve"> item entered by the declarant;</w:t>
      </w:r>
    </w:p>
    <w:p w:rsidRPr="0083240E" w:rsidR="0083240E" w:rsidP="0083240E" w:rsidRDefault="0083240E" w14:paraId="6E408E94" w14:textId="5A63EA2A">
      <w:pPr>
        <w:pStyle w:val="ListParagraph"/>
        <w:numPr>
          <w:ilvl w:val="1"/>
          <w:numId w:val="13"/>
        </w:numPr>
      </w:pPr>
      <w:r w:rsidRPr="0083240E">
        <w:t>providing a list with dangerous and polluting goods on the basis of the mode of carriage and type of product entered by the declarant.</w:t>
      </w:r>
    </w:p>
    <w:p w:rsidRPr="001F47FB" w:rsidR="003A4592" w:rsidP="009F2484" w:rsidRDefault="003A4592" w14:paraId="518BC8B8" w14:textId="263E817E">
      <w:pPr>
        <w:rPr>
          <w:i/>
        </w:rPr>
      </w:pPr>
      <w:r w:rsidRPr="001F47FB">
        <w:rPr>
          <w:i/>
        </w:rPr>
        <w:t>Other functionalities</w:t>
      </w:r>
      <w:r w:rsidRPr="001F47FB" w:rsidR="0097089C">
        <w:rPr>
          <w:i/>
        </w:rPr>
        <w:t xml:space="preserve"> </w:t>
      </w:r>
      <w:r w:rsidRPr="001F47FB" w:rsidR="009F2484">
        <w:rPr>
          <w:i/>
        </w:rPr>
        <w:t>(IA Annex I)</w:t>
      </w:r>
    </w:p>
    <w:p w:rsidRPr="0049539C" w:rsidR="0049539C" w:rsidP="0049539C" w:rsidRDefault="0049539C" w14:paraId="369550DB" w14:textId="77777777">
      <w:pPr>
        <w:pStyle w:val="ListParagraph"/>
        <w:numPr>
          <w:ilvl w:val="0"/>
          <w:numId w:val="13"/>
        </w:numPr>
      </w:pPr>
      <w:r w:rsidRPr="0049539C">
        <w:t>The ‘landing’ page shall be publicly available and shall contain:</w:t>
      </w:r>
    </w:p>
    <w:p w:rsidRPr="0049539C" w:rsidR="0049539C" w:rsidP="0049539C" w:rsidRDefault="0049539C" w14:paraId="194BC358" w14:textId="77777777">
      <w:pPr>
        <w:pStyle w:val="ListParagraph"/>
        <w:numPr>
          <w:ilvl w:val="1"/>
          <w:numId w:val="13"/>
        </w:numPr>
      </w:pPr>
      <w:r w:rsidRPr="0049539C">
        <w:t>information about the maritime National Single Window;</w:t>
      </w:r>
    </w:p>
    <w:p w:rsidRPr="0049539C" w:rsidR="0049539C" w:rsidP="0049539C" w:rsidRDefault="0049539C" w14:paraId="13E6D660" w14:textId="4EB0A76E">
      <w:pPr>
        <w:pStyle w:val="ListParagraph"/>
        <w:numPr>
          <w:ilvl w:val="1"/>
          <w:numId w:val="13"/>
        </w:numPr>
      </w:pPr>
      <w:r w:rsidRPr="0049539C">
        <w:t>a link to the online support website and to the estimated and actual arrival and departure times of ships;</w:t>
      </w:r>
    </w:p>
    <w:p w:rsidR="0049539C" w:rsidP="0049539C" w:rsidRDefault="0049539C" w14:paraId="42B63CF5" w14:textId="77777777">
      <w:pPr>
        <w:pStyle w:val="ListParagraph"/>
        <w:numPr>
          <w:ilvl w:val="1"/>
          <w:numId w:val="13"/>
        </w:numPr>
      </w:pPr>
      <w:r w:rsidRPr="0049539C">
        <w:t>a login section for user authentication to access the ‘user desktop’.</w:t>
      </w:r>
    </w:p>
    <w:p w:rsidR="0049539C" w:rsidP="0049539C" w:rsidRDefault="00B74C04" w14:paraId="59FB55F5" w14:textId="05E9CBDD">
      <w:pPr>
        <w:pStyle w:val="ListParagraph"/>
        <w:numPr>
          <w:ilvl w:val="0"/>
          <w:numId w:val="13"/>
        </w:numPr>
        <w:rPr>
          <w:lang w:val="en-IE"/>
        </w:rPr>
      </w:pPr>
      <w:r>
        <w:rPr>
          <w:lang w:val="en-IE"/>
        </w:rPr>
        <w:t>Users</w:t>
      </w:r>
      <w:r w:rsidRPr="0049539C">
        <w:rPr>
          <w:lang w:val="en-IE"/>
        </w:rPr>
        <w:t xml:space="preserve"> </w:t>
      </w:r>
      <w:r w:rsidRPr="0049539C" w:rsidR="0049539C">
        <w:rPr>
          <w:lang w:val="en-IE"/>
        </w:rPr>
        <w:t>shall be able to configure additional personal information set at national level that is not managed by the URAM.</w:t>
      </w:r>
    </w:p>
    <w:p w:rsidR="0049539C" w:rsidP="0049539C" w:rsidRDefault="0049539C" w14:paraId="275F56CF" w14:textId="610F3CE3">
      <w:pPr>
        <w:pStyle w:val="ListParagraph"/>
        <w:numPr>
          <w:ilvl w:val="0"/>
          <w:numId w:val="13"/>
        </w:numPr>
        <w:rPr>
          <w:lang w:val="en-IE"/>
        </w:rPr>
      </w:pPr>
      <w:r>
        <w:rPr>
          <w:lang w:val="en-IE"/>
        </w:rPr>
        <w:t xml:space="preserve">The GUI </w:t>
      </w:r>
      <w:r w:rsidRPr="0049539C">
        <w:rPr>
          <w:lang w:val="en-IE"/>
        </w:rPr>
        <w:t xml:space="preserve">shall allow </w:t>
      </w:r>
      <w:r w:rsidR="00B74C04">
        <w:rPr>
          <w:lang w:val="en-IE"/>
        </w:rPr>
        <w:t>users</w:t>
      </w:r>
      <w:r w:rsidRPr="0049539C" w:rsidR="00B74C04">
        <w:rPr>
          <w:lang w:val="en-IE"/>
        </w:rPr>
        <w:t xml:space="preserve"> </w:t>
      </w:r>
      <w:r w:rsidRPr="0049539C">
        <w:rPr>
          <w:lang w:val="en-IE"/>
        </w:rPr>
        <w:t>to switch the language version of the graphical user interface. English shall always be supported</w:t>
      </w:r>
      <w:r w:rsidR="001F47FB">
        <w:rPr>
          <w:lang w:val="en-IE"/>
        </w:rPr>
        <w:t>.</w:t>
      </w:r>
    </w:p>
    <w:p w:rsidR="0049539C" w:rsidP="0049539C" w:rsidRDefault="0049539C" w14:paraId="61367389" w14:textId="77777777">
      <w:pPr>
        <w:rPr>
          <w:highlight w:val="yellow"/>
          <w:lang w:val="en-IE"/>
        </w:rPr>
      </w:pPr>
    </w:p>
    <w:p w:rsidRPr="00800028" w:rsidR="00E17370" w:rsidP="0049539C" w:rsidRDefault="0026572D" w14:paraId="0C761877" w14:textId="4D77C31D">
      <w:pPr>
        <w:rPr>
          <w:b/>
          <w:bCs/>
          <w:lang w:val="en-IE"/>
        </w:rPr>
      </w:pPr>
      <w:r w:rsidRPr="002E1829">
        <w:rPr>
          <w:b/>
          <w:bCs/>
        </w:rPr>
        <w:t xml:space="preserve">EMSWe User </w:t>
      </w:r>
      <w:r w:rsidR="00DE4728">
        <w:rPr>
          <w:b/>
        </w:rPr>
        <w:t>R</w:t>
      </w:r>
      <w:r w:rsidRPr="002E1829">
        <w:rPr>
          <w:b/>
          <w:bCs/>
        </w:rPr>
        <w:t xml:space="preserve">egistry and </w:t>
      </w:r>
      <w:r w:rsidR="00DE4728">
        <w:rPr>
          <w:b/>
        </w:rPr>
        <w:t>A</w:t>
      </w:r>
      <w:r w:rsidRPr="00DE4728">
        <w:rPr>
          <w:b/>
        </w:rPr>
        <w:t xml:space="preserve">ccess </w:t>
      </w:r>
      <w:r w:rsidR="00DE4728">
        <w:rPr>
          <w:b/>
        </w:rPr>
        <w:t>M</w:t>
      </w:r>
      <w:r w:rsidRPr="002E1829">
        <w:rPr>
          <w:b/>
          <w:bCs/>
        </w:rPr>
        <w:t>anagement system</w:t>
      </w:r>
      <w:r w:rsidR="00DE4728">
        <w:rPr>
          <w:b/>
        </w:rPr>
        <w:t xml:space="preserve"> (URAM)</w:t>
      </w:r>
      <w:r w:rsidR="00DE4728">
        <w:rPr>
          <w:rStyle w:val="FootnoteReference"/>
          <w:b/>
        </w:rPr>
        <w:footnoteReference w:id="7"/>
      </w:r>
    </w:p>
    <w:p w:rsidRPr="002E1829" w:rsidR="0026572D" w:rsidP="00196583" w:rsidRDefault="00D20287" w14:paraId="60C31EE8" w14:textId="1107290C">
      <w:r w:rsidRPr="001775C1">
        <w:rPr>
          <w:noProof/>
        </w:rPr>
        <w:drawing>
          <wp:inline distT="0" distB="0" distL="0" distR="0" wp14:anchorId="5ABE7910" wp14:editId="58EE01BE">
            <wp:extent cx="555869" cy="68148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5243" cy="717499"/>
                    </a:xfrm>
                    <a:prstGeom prst="rect">
                      <a:avLst/>
                    </a:prstGeom>
                  </pic:spPr>
                </pic:pic>
              </a:graphicData>
            </a:graphic>
          </wp:inline>
        </w:drawing>
      </w:r>
    </w:p>
    <w:p w:rsidRPr="00800028" w:rsidR="002F5173" w:rsidP="00CA5CAA" w:rsidRDefault="004F71A2" w14:paraId="44ED1284" w14:textId="1061D7AE">
      <w:pPr>
        <w:pStyle w:val="ListParagraph"/>
        <w:numPr>
          <w:ilvl w:val="0"/>
          <w:numId w:val="30"/>
        </w:numPr>
      </w:pPr>
      <w:bookmarkStart w:name="_Hlk101459563" w:id="12"/>
      <w:r w:rsidRPr="00800028">
        <w:t>URAM w</w:t>
      </w:r>
      <w:r w:rsidRPr="002E1829" w:rsidR="0070483F">
        <w:t xml:space="preserve">ill allow for the </w:t>
      </w:r>
      <w:r w:rsidRPr="00800028">
        <w:t>declarant</w:t>
      </w:r>
      <w:r w:rsidR="0032216F">
        <w:t>s</w:t>
      </w:r>
      <w:r w:rsidRPr="001775C1" w:rsidR="00621D0F">
        <w:rPr>
          <w:lang w:val="en-IE"/>
        </w:rPr>
        <w:t xml:space="preserve"> and national authorities</w:t>
      </w:r>
      <w:r w:rsidRPr="002E1829">
        <w:t xml:space="preserve"> </w:t>
      </w:r>
      <w:r w:rsidRPr="002E1829" w:rsidR="0070483F">
        <w:t>to have a single account</w:t>
      </w:r>
      <w:r w:rsidRPr="001775C1" w:rsidR="002F5173">
        <w:rPr>
          <w:lang w:val="en-IE"/>
        </w:rPr>
        <w:t xml:space="preserve"> for the access to MNSWs </w:t>
      </w:r>
      <w:r w:rsidRPr="00800028" w:rsidR="00AE76AA">
        <w:t>(REG Article 12)</w:t>
      </w:r>
    </w:p>
    <w:p w:rsidRPr="00800028" w:rsidR="001F4743" w:rsidP="00CA5CAA" w:rsidRDefault="001F4743" w14:paraId="30FA78F7" w14:textId="0C056757">
      <w:pPr>
        <w:pStyle w:val="ListParagraph"/>
        <w:numPr>
          <w:ilvl w:val="0"/>
          <w:numId w:val="30"/>
        </w:numPr>
      </w:pPr>
      <w:r w:rsidRPr="001775C1">
        <w:t xml:space="preserve">URAM to provide common authentication place and mechanism for </w:t>
      </w:r>
      <w:r w:rsidRPr="001775C1" w:rsidR="00621D0F">
        <w:rPr>
          <w:lang w:val="en-IE"/>
        </w:rPr>
        <w:t>declarants and</w:t>
      </w:r>
      <w:r w:rsidRPr="001775C1">
        <w:t xml:space="preserve"> national authorities (REG Article 12)</w:t>
      </w:r>
    </w:p>
    <w:bookmarkEnd w:id="12"/>
    <w:p w:rsidRPr="002E1829" w:rsidR="00E17370" w:rsidP="00196583" w:rsidRDefault="00E17370" w14:paraId="755A5463" w14:textId="3B40FD74">
      <w:pPr>
        <w:rPr>
          <w:b/>
        </w:rPr>
      </w:pPr>
      <w:r w:rsidRPr="00DE4728">
        <w:rPr>
          <w:b/>
        </w:rPr>
        <w:t>M</w:t>
      </w:r>
      <w:r w:rsidRPr="00DE4728" w:rsidR="00DE4728">
        <w:rPr>
          <w:b/>
        </w:rPr>
        <w:t>aritime National Single Window (M</w:t>
      </w:r>
      <w:r w:rsidRPr="00DE4728">
        <w:rPr>
          <w:b/>
        </w:rPr>
        <w:t>NSW</w:t>
      </w:r>
      <w:r w:rsidRPr="00DE4728" w:rsidR="00DE4728">
        <w:rPr>
          <w:b/>
        </w:rPr>
        <w:t>)</w:t>
      </w:r>
    </w:p>
    <w:p w:rsidRPr="002E1829" w:rsidR="0026572D" w:rsidP="6457C81B" w:rsidRDefault="006C6F9E" w14:paraId="6B01004B" w14:textId="2574B8BA">
      <w:pPr>
        <w:rPr>
          <w:b w:val="1"/>
          <w:bCs w:val="1"/>
        </w:rPr>
      </w:pPr>
      <w:r w:rsidRPr="001775C1">
        <w:rPr>
          <w:shd w:val="clear" w:color="auto" w:fill="E6E6E6"/>
        </w:rPr>
        <w:object w:dxaOrig="4005" w:dyaOrig="3390" w14:anchorId="269223DA">
          <v:shape id="_x0000_i1027" style="width:111.65pt;height:82.6pt" o:ole="" type="#_x0000_t75">
            <v:imagedata o:title="" r:id="rId18"/>
          </v:shape>
          <o:OLEObject Type="Embed" ProgID="Visio.Drawing.15" ShapeID="_x0000_i1027" DrawAspect="Content" ObjectID="_1733128105" r:id="rId19"/>
        </w:object>
      </w:r>
    </w:p>
    <w:p w:rsidRPr="00800028" w:rsidR="009D34BF" w:rsidRDefault="009D34BF" w14:paraId="44B6E6F0" w14:textId="73F55B59">
      <w:pPr>
        <w:pStyle w:val="ListParagraph"/>
        <w:numPr>
          <w:ilvl w:val="0"/>
          <w:numId w:val="14"/>
        </w:numPr>
      </w:pPr>
      <w:r w:rsidRPr="001775C1">
        <w:t xml:space="preserve">Exchanges formalities with </w:t>
      </w:r>
      <w:r w:rsidRPr="009F0795" w:rsidR="001757CD">
        <w:t xml:space="preserve">relevant </w:t>
      </w:r>
      <w:r w:rsidRPr="001775C1">
        <w:t xml:space="preserve"> authorities (</w:t>
      </w:r>
      <w:r w:rsidRPr="001775C1">
        <w:rPr>
          <w:lang w:val="en-IE"/>
        </w:rPr>
        <w:t xml:space="preserve">REG Article 5, </w:t>
      </w:r>
      <w:r w:rsidRPr="001775C1">
        <w:t>MIG-P2, MIG-P3)</w:t>
      </w:r>
    </w:p>
    <w:p w:rsidRPr="002E1829" w:rsidR="00C71A01" w:rsidP="00C71A01" w:rsidRDefault="008C1F4C" w14:paraId="25FE03E5" w14:textId="23E66835">
      <w:pPr>
        <w:pStyle w:val="ListParagraph"/>
        <w:numPr>
          <w:ilvl w:val="0"/>
          <w:numId w:val="14"/>
        </w:numPr>
      </w:pPr>
      <w:r w:rsidRPr="002E1829">
        <w:t xml:space="preserve">The MNSW (or at the national level) </w:t>
      </w:r>
      <w:r w:rsidRPr="002E1829" w:rsidR="008E2C19">
        <w:t xml:space="preserve">ensures </w:t>
      </w:r>
      <w:r w:rsidRPr="002E1829" w:rsidR="00697775">
        <w:t xml:space="preserve">validation of the semantic rules on formality data and makes formality responses available to the </w:t>
      </w:r>
      <w:r w:rsidRPr="006903CF" w:rsidR="00697775">
        <w:t>GUI to the declarant</w:t>
      </w:r>
      <w:r w:rsidRPr="006903CF" w:rsidR="003E452A">
        <w:t xml:space="preserve"> </w:t>
      </w:r>
      <w:r w:rsidRPr="006903CF" w:rsidR="00432230">
        <w:t>(</w:t>
      </w:r>
      <w:r w:rsidRPr="002E1829" w:rsidR="003E452A">
        <w:t>MIG-P14</w:t>
      </w:r>
      <w:r w:rsidRPr="002E1829" w:rsidR="00701ED3">
        <w:t>,</w:t>
      </w:r>
      <w:r w:rsidRPr="001775C1" w:rsidR="00E151EA">
        <w:rPr>
          <w:lang w:val="en-IE"/>
        </w:rPr>
        <w:t xml:space="preserve"> MIG-P18,</w:t>
      </w:r>
      <w:r w:rsidRPr="002E1829" w:rsidR="00701ED3">
        <w:t xml:space="preserve"> MIG-P19</w:t>
      </w:r>
      <w:r w:rsidRPr="002E1829" w:rsidR="00432230">
        <w:t>)</w:t>
      </w:r>
      <w:r w:rsidRPr="002E1829" w:rsidR="00697775">
        <w:t>.</w:t>
      </w:r>
    </w:p>
    <w:p w:rsidRPr="002E1829" w:rsidR="002E0328" w:rsidP="002E0328" w:rsidRDefault="00697775" w14:paraId="2AE45046" w14:textId="096F13FB">
      <w:pPr>
        <w:pStyle w:val="ListParagraph"/>
        <w:numPr>
          <w:ilvl w:val="0"/>
          <w:numId w:val="14"/>
        </w:numPr>
      </w:pPr>
      <w:r w:rsidRPr="002E1829">
        <w:t xml:space="preserve">Ensures ships identification information &amp; ship particulars reported by declarants are provided to the ESD </w:t>
      </w:r>
      <w:r w:rsidRPr="001775C1" w:rsidR="004B0179">
        <w:t>(</w:t>
      </w:r>
      <w:r w:rsidRPr="001775C1" w:rsidR="000A7118">
        <w:rPr>
          <w:color w:val="242424"/>
          <w:shd w:val="clear" w:color="auto" w:fill="FFFFFF"/>
          <w:lang w:val="en-IE"/>
        </w:rPr>
        <w:t>REG Article 14</w:t>
      </w:r>
      <w:r w:rsidRPr="001775C1" w:rsidR="004B0179">
        <w:t>)</w:t>
      </w:r>
      <w:r w:rsidR="00B8573F">
        <w:t>.</w:t>
      </w:r>
    </w:p>
    <w:p w:rsidRPr="002E1829" w:rsidR="00A01162" w:rsidRDefault="00B066D1" w14:paraId="1144D9EB" w14:textId="16571C4D">
      <w:pPr>
        <w:pStyle w:val="ListParagraph"/>
        <w:numPr>
          <w:ilvl w:val="0"/>
          <w:numId w:val="14"/>
        </w:numPr>
      </w:pPr>
      <w:r w:rsidRPr="001775C1">
        <w:rPr>
          <w:lang w:val="en-IE"/>
        </w:rPr>
        <w:t>Replace mechanism is applied when formality is updated</w:t>
      </w:r>
      <w:r w:rsidRPr="002E1829" w:rsidR="00697775">
        <w:t xml:space="preserve"> (</w:t>
      </w:r>
      <w:r w:rsidRPr="002E1829" w:rsidR="008B2927">
        <w:t>MIG-P23</w:t>
      </w:r>
      <w:r w:rsidRPr="002E1829" w:rsidR="00697775">
        <w:t>)</w:t>
      </w:r>
    </w:p>
    <w:p w:rsidRPr="002E1829" w:rsidR="00C71A01" w:rsidP="00196583" w:rsidRDefault="00C71A01" w14:paraId="1484BE8F" w14:textId="14B0020D">
      <w:pPr>
        <w:rPr>
          <w:b/>
        </w:rPr>
      </w:pPr>
      <w:r w:rsidRPr="00DE4728">
        <w:rPr>
          <w:b/>
        </w:rPr>
        <w:t>E</w:t>
      </w:r>
      <w:r w:rsidRPr="00DE4728" w:rsidR="00DE4728">
        <w:rPr>
          <w:b/>
        </w:rPr>
        <w:t xml:space="preserve">MSWe </w:t>
      </w:r>
      <w:r w:rsidRPr="00DE4728">
        <w:rPr>
          <w:b/>
        </w:rPr>
        <w:t>S</w:t>
      </w:r>
      <w:r w:rsidRPr="00DE4728" w:rsidR="00DE4728">
        <w:rPr>
          <w:b/>
        </w:rPr>
        <w:t>hip Database (ESD)</w:t>
      </w:r>
      <w:r w:rsidRPr="00DE4728">
        <w:rPr>
          <w:b/>
        </w:rPr>
        <w:t xml:space="preserve">, </w:t>
      </w:r>
      <w:r w:rsidRPr="00DE4728" w:rsidR="00DE4728">
        <w:rPr>
          <w:b/>
        </w:rPr>
        <w:t>Common Location database (</w:t>
      </w:r>
      <w:r w:rsidRPr="00DE4728">
        <w:rPr>
          <w:b/>
        </w:rPr>
        <w:t>CLD</w:t>
      </w:r>
      <w:r w:rsidRPr="00DE4728" w:rsidR="00DE4728">
        <w:rPr>
          <w:b/>
        </w:rPr>
        <w:t>)</w:t>
      </w:r>
      <w:r w:rsidRPr="00DE4728">
        <w:rPr>
          <w:b/>
        </w:rPr>
        <w:t>, C</w:t>
      </w:r>
      <w:r w:rsidRPr="00DE4728" w:rsidR="00DE4728">
        <w:rPr>
          <w:b/>
        </w:rPr>
        <w:t>ommon Hazmat Database (C</w:t>
      </w:r>
      <w:r w:rsidRPr="00DE4728">
        <w:rPr>
          <w:b/>
        </w:rPr>
        <w:t>HD</w:t>
      </w:r>
      <w:r w:rsidRPr="00DE4728" w:rsidR="00DE4728">
        <w:rPr>
          <w:b/>
        </w:rPr>
        <w:t>)</w:t>
      </w:r>
    </w:p>
    <w:p w:rsidRPr="002E1829" w:rsidR="00C71A01" w:rsidP="00C71A01" w:rsidRDefault="00697775" w14:paraId="438F40D3" w14:textId="551BB174">
      <w:pPr>
        <w:pStyle w:val="ListParagraph"/>
        <w:numPr>
          <w:ilvl w:val="0"/>
          <w:numId w:val="14"/>
        </w:numPr>
      </w:pPr>
      <w:r w:rsidRPr="002E1829">
        <w:t xml:space="preserve">The </w:t>
      </w:r>
      <w:r w:rsidRPr="002E1829">
        <w:rPr>
          <w:b/>
        </w:rPr>
        <w:t>ESD</w:t>
      </w:r>
      <w:r w:rsidRPr="002E1829">
        <w:t xml:space="preserve"> </w:t>
      </w:r>
      <w:r w:rsidR="009C7C3C">
        <w:t>r</w:t>
      </w:r>
      <w:r w:rsidRPr="002E1829">
        <w:t xml:space="preserve">eceives ships identification information &amp; ship particulars reported by declarants from the MNSW </w:t>
      </w:r>
      <w:r w:rsidRPr="001775C1" w:rsidR="005A229B">
        <w:t>(</w:t>
      </w:r>
      <w:r w:rsidRPr="00800028" w:rsidR="00017BF6">
        <w:t>REG Article 14</w:t>
      </w:r>
      <w:r w:rsidRPr="001775C1" w:rsidR="00017BF6">
        <w:t>)</w:t>
      </w:r>
      <w:r w:rsidRPr="002E1829">
        <w:t>.</w:t>
      </w:r>
      <w:r w:rsidRPr="002E1829" w:rsidR="00C71A01">
        <w:t xml:space="preserve">  </w:t>
      </w:r>
    </w:p>
    <w:p w:rsidRPr="002E1829" w:rsidR="005F4796" w:rsidP="00C71A01" w:rsidRDefault="005F4796" w14:paraId="47647A17" w14:textId="3B0EC553">
      <w:pPr>
        <w:pStyle w:val="ListParagraph"/>
        <w:numPr>
          <w:ilvl w:val="0"/>
          <w:numId w:val="14"/>
        </w:numPr>
      </w:pPr>
      <w:r w:rsidRPr="002E1829">
        <w:t xml:space="preserve">The </w:t>
      </w:r>
      <w:r w:rsidRPr="00800028">
        <w:rPr>
          <w:b/>
        </w:rPr>
        <w:t>ESD</w:t>
      </w:r>
      <w:r w:rsidRPr="002E1829">
        <w:t xml:space="preserve"> provides ship identification information &amp; ship particulars reported by </w:t>
      </w:r>
      <w:r w:rsidRPr="002E1829" w:rsidR="00FF05BC">
        <w:t>declarants</w:t>
      </w:r>
      <w:r w:rsidRPr="001775C1" w:rsidR="00017BF6">
        <w:t xml:space="preserve"> to MNSW (</w:t>
      </w:r>
      <w:r w:rsidRPr="00800028" w:rsidR="00017BF6">
        <w:t>REG Article 14</w:t>
      </w:r>
      <w:r w:rsidRPr="002E1829">
        <w:t>)</w:t>
      </w:r>
    </w:p>
    <w:p w:rsidRPr="002E1829" w:rsidR="00744A47" w:rsidP="00744A47" w:rsidRDefault="00744A47" w14:paraId="77687895" w14:textId="464AF19B">
      <w:pPr>
        <w:pStyle w:val="ListParagraph"/>
        <w:numPr>
          <w:ilvl w:val="0"/>
          <w:numId w:val="14"/>
        </w:numPr>
      </w:pPr>
      <w:r w:rsidRPr="002E1829">
        <w:t xml:space="preserve">The </w:t>
      </w:r>
      <w:r w:rsidRPr="002E1829">
        <w:rPr>
          <w:b/>
        </w:rPr>
        <w:t>CHD</w:t>
      </w:r>
      <w:r w:rsidRPr="002E1829">
        <w:t xml:space="preserve"> provides information on dangerous and polluting goods</w:t>
      </w:r>
      <w:r w:rsidRPr="002E1829" w:rsidR="00C232D4">
        <w:t xml:space="preserve"> to the MNSW</w:t>
      </w:r>
      <w:r w:rsidRPr="002E1829" w:rsidR="00C25627">
        <w:t xml:space="preserve"> to facilitate ship reporting to declarants</w:t>
      </w:r>
      <w:r w:rsidRPr="002E1829" w:rsidR="005E5832">
        <w:t xml:space="preserve"> </w:t>
      </w:r>
      <w:r w:rsidRPr="001775C1" w:rsidR="005E5832">
        <w:t>(</w:t>
      </w:r>
      <w:r w:rsidRPr="00800028" w:rsidR="00017BF6">
        <w:t>REG Article 16</w:t>
      </w:r>
      <w:r w:rsidRPr="001775C1" w:rsidR="005E5832">
        <w:t>)</w:t>
      </w:r>
    </w:p>
    <w:p w:rsidRPr="002E1829" w:rsidR="00744A47" w:rsidRDefault="00744A47" w14:paraId="7DE6EE0D" w14:textId="325E72BF">
      <w:pPr>
        <w:pStyle w:val="ListParagraph"/>
        <w:numPr>
          <w:ilvl w:val="0"/>
          <w:numId w:val="14"/>
        </w:numPr>
      </w:pPr>
      <w:r w:rsidRPr="002E1829">
        <w:t xml:space="preserve">The </w:t>
      </w:r>
      <w:r w:rsidRPr="002E1829">
        <w:rPr>
          <w:b/>
        </w:rPr>
        <w:t>CLD</w:t>
      </w:r>
      <w:r w:rsidRPr="002E1829">
        <w:t xml:space="preserve"> provides information on location and port facilities</w:t>
      </w:r>
      <w:r w:rsidRPr="002E1829" w:rsidR="00C25627">
        <w:t xml:space="preserve"> to the MNSW to facilitate ship reporting to declarants</w:t>
      </w:r>
      <w:r w:rsidRPr="002E1829" w:rsidR="005E5832">
        <w:t xml:space="preserve"> </w:t>
      </w:r>
      <w:r w:rsidRPr="001775C1" w:rsidR="005E5832">
        <w:t>(</w:t>
      </w:r>
      <w:r w:rsidRPr="00800028" w:rsidR="00017BF6">
        <w:t>REG Article 15</w:t>
      </w:r>
      <w:r w:rsidRPr="001775C1" w:rsidR="005E5832">
        <w:t>)</w:t>
      </w:r>
    </w:p>
    <w:p w:rsidRPr="002E1829" w:rsidR="00FF5008" w:rsidP="00FF5008" w:rsidRDefault="00FF5008" w14:paraId="1144AA60" w14:textId="77777777"/>
    <w:p w:rsidRPr="00800028" w:rsidR="00EB73C7" w:rsidP="00D45D3D" w:rsidRDefault="006A126D" w14:paraId="0A09B41A" w14:textId="0B8A6348">
      <w:pPr>
        <w:pStyle w:val="Heading3"/>
      </w:pPr>
      <w:bookmarkStart w:name="_Toc121929695" w:id="13"/>
      <w:bookmarkStart w:name="_Toc121930646" w:id="14"/>
      <w:r w:rsidRPr="00800028">
        <w:t xml:space="preserve">The </w:t>
      </w:r>
      <w:r w:rsidRPr="00800028" w:rsidR="00EB73C7">
        <w:t>journey</w:t>
      </w:r>
      <w:r w:rsidRPr="00800028">
        <w:t xml:space="preserve"> </w:t>
      </w:r>
      <w:r w:rsidRPr="00800028" w:rsidR="00EB73C7">
        <w:t>of a formality and response.</w:t>
      </w:r>
      <w:bookmarkEnd w:id="13"/>
      <w:bookmarkEnd w:id="14"/>
    </w:p>
    <w:p w:rsidRPr="001775C1" w:rsidR="00EB73C7" w:rsidP="00196583" w:rsidRDefault="00D95386" w14:paraId="3F9FCC04" w14:textId="142E8827">
      <w:pPr>
        <w:rPr>
          <w:sz w:val="18"/>
          <w:szCs w:val="18"/>
          <w:lang w:eastAsia="pl-PL"/>
        </w:rPr>
      </w:pPr>
      <w:r w:rsidRPr="002E1829">
        <w:t>Below is an example of a process flow when a user makes a formality in a U2S interaction</w:t>
      </w:r>
      <w:r w:rsidRPr="001775C1" w:rsidR="00250F96">
        <w:rPr>
          <w:lang w:val="en-IE"/>
        </w:rPr>
        <w:t xml:space="preserve"> with </w:t>
      </w:r>
      <w:r w:rsidR="001F47FB">
        <w:rPr>
          <w:lang w:val="en-IE"/>
        </w:rPr>
        <w:t xml:space="preserve">the </w:t>
      </w:r>
      <w:r w:rsidRPr="001775C1" w:rsidR="00250F96">
        <w:rPr>
          <w:lang w:val="en-IE"/>
        </w:rPr>
        <w:t>GUI</w:t>
      </w:r>
      <w:r w:rsidR="00BB7FBB">
        <w:t>:</w:t>
      </w:r>
    </w:p>
    <w:p w:rsidRPr="002E1829" w:rsidR="00EB73C7" w:rsidP="00EB73C7" w:rsidRDefault="00EB73C7" w14:paraId="70629728" w14:textId="3F4B7627">
      <w:pPr>
        <w:pStyle w:val="ListParagraph"/>
        <w:numPr>
          <w:ilvl w:val="0"/>
          <w:numId w:val="5"/>
        </w:numPr>
      </w:pPr>
      <w:r w:rsidRPr="002E1829">
        <w:t>An Unauthenticated natural person accesses the MNSW landing page.</w:t>
      </w:r>
    </w:p>
    <w:p w:rsidRPr="002E1829" w:rsidR="00EB73C7" w:rsidP="00196583" w:rsidRDefault="00EB73C7" w14:paraId="114DD458" w14:textId="176926DF">
      <w:pPr>
        <w:pStyle w:val="ListParagraph"/>
        <w:numPr>
          <w:ilvl w:val="0"/>
          <w:numId w:val="5"/>
        </w:numPr>
      </w:pPr>
      <w:r w:rsidRPr="002E1829">
        <w:t>On the public landing page there are several options available to the unauthenticated natural person. These include (but are not limited to the following):</w:t>
      </w:r>
    </w:p>
    <w:p w:rsidRPr="002E1829" w:rsidR="00EB73C7" w:rsidP="00EB73C7" w:rsidRDefault="00EB73C7" w14:paraId="71D7DC5A" w14:textId="029B2DB9">
      <w:pPr>
        <w:pStyle w:val="ListParagraph"/>
        <w:numPr>
          <w:ilvl w:val="0"/>
          <w:numId w:val="8"/>
        </w:numPr>
      </w:pPr>
      <w:r w:rsidRPr="002E1829">
        <w:t>An option to select from the available languages</w:t>
      </w:r>
      <w:r w:rsidRPr="004C6597" w:rsidR="000966E4">
        <w:t>.</w:t>
      </w:r>
    </w:p>
    <w:p w:rsidRPr="002E1829" w:rsidR="00EB73C7" w:rsidP="00EB73C7" w:rsidRDefault="00EB73C7" w14:paraId="012D653B" w14:textId="34B7AE37">
      <w:pPr>
        <w:pStyle w:val="ListParagraph"/>
        <w:numPr>
          <w:ilvl w:val="0"/>
          <w:numId w:val="8"/>
        </w:numPr>
      </w:pPr>
      <w:r w:rsidRPr="002E1829">
        <w:t>A link to the support website</w:t>
      </w:r>
      <w:r w:rsidRPr="004C6597">
        <w:t>;</w:t>
      </w:r>
      <w:r w:rsidRPr="002E1829">
        <w:t xml:space="preserve"> </w:t>
      </w:r>
    </w:p>
    <w:p w:rsidRPr="002E1829" w:rsidR="00EB73C7" w:rsidP="00EB73C7" w:rsidRDefault="00EB73C7" w14:paraId="459137B7" w14:textId="67AE35B6">
      <w:pPr>
        <w:pStyle w:val="ListParagraph"/>
        <w:numPr>
          <w:ilvl w:val="0"/>
          <w:numId w:val="8"/>
        </w:numPr>
        <w:rPr>
          <w:strike/>
        </w:rPr>
      </w:pPr>
      <w:r w:rsidRPr="002E1829">
        <w:t>A place to execute a log-in process to access authorised area</w:t>
      </w:r>
      <w:r w:rsidRPr="001775C1" w:rsidR="00007835">
        <w:rPr>
          <w:lang w:val="en-IE"/>
        </w:rPr>
        <w:t xml:space="preserve"> (user desktop)</w:t>
      </w:r>
      <w:r w:rsidRPr="002E1829">
        <w:t xml:space="preserve"> of the GUI</w:t>
      </w:r>
      <w:r w:rsidR="001F47FB">
        <w:t>.</w:t>
      </w:r>
    </w:p>
    <w:p w:rsidRPr="002E1829" w:rsidR="00EB73C7" w:rsidP="00196583" w:rsidRDefault="00A74F1E" w14:paraId="6F13328F" w14:textId="30ACDBE9">
      <w:pPr>
        <w:pStyle w:val="ListParagraph"/>
        <w:numPr>
          <w:ilvl w:val="0"/>
          <w:numId w:val="5"/>
        </w:numPr>
      </w:pPr>
      <w:r w:rsidRPr="002E1829">
        <w:t>The registered natural person decides to log</w:t>
      </w:r>
      <w:r w:rsidRPr="002E1829" w:rsidR="00AC374B">
        <w:t xml:space="preserve"> </w:t>
      </w:r>
      <w:r w:rsidRPr="002E1829">
        <w:t>in to the GUI</w:t>
      </w:r>
      <w:r w:rsidR="001F47FB">
        <w:t>.</w:t>
      </w:r>
    </w:p>
    <w:p w:rsidRPr="002E1829" w:rsidR="00EB73C7" w:rsidP="00196583" w:rsidRDefault="00A74F1E" w14:paraId="4E877D67" w14:textId="32D0A4B3">
      <w:pPr>
        <w:pStyle w:val="ListParagraph"/>
        <w:numPr>
          <w:ilvl w:val="0"/>
          <w:numId w:val="5"/>
        </w:numPr>
      </w:pPr>
      <w:r w:rsidRPr="002E1829">
        <w:t>The natural person chooses the EMSWe authentication method</w:t>
      </w:r>
      <w:r w:rsidRPr="001775C1" w:rsidR="00930D1B">
        <w:rPr>
          <w:lang w:val="en-IE"/>
        </w:rPr>
        <w:t xml:space="preserve"> provided by URAM</w:t>
      </w:r>
      <w:r w:rsidRPr="002E1829">
        <w:t>.</w:t>
      </w:r>
    </w:p>
    <w:p w:rsidRPr="002E1829" w:rsidR="00EB73C7" w:rsidP="00196583" w:rsidRDefault="00A74F1E" w14:paraId="3EE2B029" w14:textId="036D4883">
      <w:pPr>
        <w:pStyle w:val="ListParagraph"/>
        <w:numPr>
          <w:ilvl w:val="0"/>
          <w:numId w:val="5"/>
        </w:numPr>
      </w:pPr>
      <w:r w:rsidRPr="002E1829">
        <w:t xml:space="preserve">The natural person is then redirected to </w:t>
      </w:r>
      <w:r w:rsidRPr="001775C1" w:rsidR="00412221">
        <w:rPr>
          <w:lang w:val="en-IE"/>
        </w:rPr>
        <w:t>URAM authentication place</w:t>
      </w:r>
      <w:r w:rsidRPr="002E1829">
        <w:t>.</w:t>
      </w:r>
    </w:p>
    <w:p w:rsidRPr="00A92EAE" w:rsidR="00E13068" w:rsidP="00196583" w:rsidRDefault="00CE7F4F" w14:paraId="39BCFA4D" w14:textId="3F28ADF3">
      <w:pPr>
        <w:pStyle w:val="ListParagraph"/>
        <w:numPr>
          <w:ilvl w:val="0"/>
          <w:numId w:val="5"/>
        </w:numPr>
        <w:rPr>
          <w:rFonts w:eastAsiaTheme="minorEastAsia"/>
        </w:rPr>
      </w:pPr>
      <w:r>
        <w:t xml:space="preserve">The </w:t>
      </w:r>
      <w:r w:rsidR="002B4C35">
        <w:t xml:space="preserve">natural person </w:t>
      </w:r>
      <w:r>
        <w:t>authenticate</w:t>
      </w:r>
      <w:r w:rsidR="005759A8">
        <w:t>s</w:t>
      </w:r>
      <w:r>
        <w:t xml:space="preserve"> in the URAM authentication place </w:t>
      </w:r>
      <w:r w:rsidR="00A92EAE">
        <w:rPr>
          <w:rStyle w:val="FootnoteReference"/>
        </w:rPr>
        <w:footnoteReference w:id="8"/>
      </w:r>
      <w:r>
        <w:rPr>
          <w:lang w:val="en-IE"/>
        </w:rPr>
        <w:t>.</w:t>
      </w:r>
    </w:p>
    <w:p w:rsidRPr="002E1829" w:rsidR="001D081C" w:rsidP="00196583" w:rsidRDefault="001D081C" w14:paraId="7432AF75" w14:textId="727D3B17">
      <w:pPr>
        <w:pStyle w:val="ListParagraph"/>
        <w:numPr>
          <w:ilvl w:val="0"/>
          <w:numId w:val="1"/>
        </w:numPr>
      </w:pPr>
      <w:r w:rsidRPr="00800028">
        <w:rPr>
          <w:lang w:val="en-IE"/>
        </w:rPr>
        <w:t xml:space="preserve">The information about the </w:t>
      </w:r>
      <w:r w:rsidR="00CE7F4F">
        <w:rPr>
          <w:lang w:val="en-IE"/>
        </w:rPr>
        <w:t>user</w:t>
      </w:r>
      <w:r w:rsidRPr="00800028">
        <w:rPr>
          <w:lang w:val="en-IE"/>
        </w:rPr>
        <w:t xml:space="preserve"> is passed to the GUI</w:t>
      </w:r>
      <w:r w:rsidRPr="00CD69F5">
        <w:rPr>
          <w:lang w:val="en-IE"/>
        </w:rPr>
        <w:t>.</w:t>
      </w:r>
    </w:p>
    <w:p w:rsidRPr="00800028" w:rsidR="00F46535" w:rsidP="00196583" w:rsidRDefault="00F46535" w14:paraId="1DF17F2B" w14:textId="298912D4">
      <w:pPr>
        <w:pStyle w:val="ListParagraph"/>
        <w:numPr>
          <w:ilvl w:val="0"/>
          <w:numId w:val="1"/>
        </w:numPr>
      </w:pPr>
      <w:r w:rsidRPr="00CD69F5">
        <w:t xml:space="preserve">The </w:t>
      </w:r>
      <w:r w:rsidR="00CE7F4F">
        <w:t>user</w:t>
      </w:r>
      <w:r w:rsidRPr="00CD69F5">
        <w:t xml:space="preserve"> is then redirected to the GUI application</w:t>
      </w:r>
      <w:r w:rsidRPr="00CD69F5">
        <w:rPr>
          <w:lang w:val="en-IE"/>
        </w:rPr>
        <w:t>.</w:t>
      </w:r>
    </w:p>
    <w:p w:rsidRPr="002E1829" w:rsidR="00EB73C7" w:rsidP="00196583" w:rsidRDefault="005B0129" w14:paraId="24B3735F" w14:textId="685FE021">
      <w:pPr>
        <w:pStyle w:val="ListParagraph"/>
        <w:numPr>
          <w:ilvl w:val="0"/>
          <w:numId w:val="1"/>
        </w:numPr>
      </w:pPr>
      <w:r w:rsidRPr="002E1829">
        <w:t>The authorisation takes place by computing access rights</w:t>
      </w:r>
      <w:r w:rsidRPr="00CD69F5" w:rsidR="005F707D">
        <w:rPr>
          <w:lang w:val="en-IE"/>
        </w:rPr>
        <w:t>,</w:t>
      </w:r>
      <w:r w:rsidRPr="002E1829">
        <w:t xml:space="preserve"> permissions</w:t>
      </w:r>
      <w:r w:rsidRPr="00CD69F5" w:rsidR="005F707D">
        <w:rPr>
          <w:lang w:val="en-IE"/>
        </w:rPr>
        <w:t xml:space="preserve"> and delegations</w:t>
      </w:r>
      <w:r w:rsidRPr="002E1829">
        <w:t xml:space="preserve"> in the GUI</w:t>
      </w:r>
      <w:r w:rsidRPr="001775C1" w:rsidR="00F46535">
        <w:rPr>
          <w:lang w:val="en-IE"/>
        </w:rPr>
        <w:t>.</w:t>
      </w:r>
    </w:p>
    <w:p w:rsidRPr="002E1829" w:rsidR="00EB73C7" w:rsidP="00705282" w:rsidRDefault="00E05070" w14:paraId="2F8C1745" w14:textId="26D4BEDD">
      <w:pPr>
        <w:pStyle w:val="ListParagraph"/>
        <w:numPr>
          <w:ilvl w:val="0"/>
          <w:numId w:val="1"/>
        </w:numPr>
      </w:pPr>
      <w:r w:rsidRPr="002E1829">
        <w:t xml:space="preserve">After a successful login, the </w:t>
      </w:r>
      <w:r w:rsidR="00484D99">
        <w:t>user</w:t>
      </w:r>
      <w:r w:rsidRPr="002E1829">
        <w:t xml:space="preserve"> in the </w:t>
      </w:r>
      <w:r w:rsidRPr="002E1829" w:rsidR="00916F25">
        <w:t xml:space="preserve">GUI </w:t>
      </w:r>
      <w:r w:rsidRPr="002E1829">
        <w:t xml:space="preserve">can interact with common functionalities for the port calls, formalities and other data that </w:t>
      </w:r>
      <w:r w:rsidR="00CE7F4F">
        <w:t>user</w:t>
      </w:r>
      <w:r w:rsidRPr="002E1829" w:rsidR="00CE7F4F">
        <w:t xml:space="preserve"> </w:t>
      </w:r>
      <w:r w:rsidRPr="002E1829">
        <w:t>is authorised to</w:t>
      </w:r>
      <w:r w:rsidRPr="002E1829" w:rsidR="00A75F80">
        <w:t xml:space="preserve"> </w:t>
      </w:r>
      <w:r w:rsidRPr="00041B06" w:rsidR="00661ACF">
        <w:rPr>
          <w:lang w:val="en-IE"/>
        </w:rPr>
        <w:t>interact</w:t>
      </w:r>
      <w:r w:rsidRPr="00041B06" w:rsidR="00CE7F4F">
        <w:rPr>
          <w:lang w:val="en-IE"/>
        </w:rPr>
        <w:t xml:space="preserve"> </w:t>
      </w:r>
      <w:r w:rsidRPr="002E1829" w:rsidR="000D720D">
        <w:t>(</w:t>
      </w:r>
      <w:r w:rsidRPr="00041B06" w:rsidR="005759A8">
        <w:rPr>
          <w:lang w:val="en-IE"/>
        </w:rPr>
        <w:t>IA</w:t>
      </w:r>
      <w:r w:rsidRPr="00041B06" w:rsidR="00F46535">
        <w:rPr>
          <w:lang w:val="en-IE"/>
        </w:rPr>
        <w:t xml:space="preserve"> Annex I)</w:t>
      </w:r>
      <w:r w:rsidR="00A92EAE">
        <w:rPr>
          <w:rStyle w:val="FootnoteReference"/>
          <w:lang w:val="en-IE"/>
        </w:rPr>
        <w:footnoteReference w:id="9"/>
      </w:r>
      <w:r w:rsidRPr="002E1829">
        <w:t>.</w:t>
      </w:r>
    </w:p>
    <w:p w:rsidRPr="002E1829" w:rsidR="00EB73C7" w:rsidP="00196583" w:rsidRDefault="00E05070" w14:paraId="49E3EC6F" w14:textId="12BD7863">
      <w:pPr>
        <w:pStyle w:val="ListParagraph"/>
        <w:numPr>
          <w:ilvl w:val="0"/>
          <w:numId w:val="1"/>
        </w:numPr>
      </w:pPr>
      <w:r w:rsidRPr="002E1829">
        <w:t xml:space="preserve">The </w:t>
      </w:r>
      <w:r w:rsidR="00CE7F4F">
        <w:t>user,</w:t>
      </w:r>
      <w:r w:rsidRPr="001775C1" w:rsidR="003136F2">
        <w:rPr>
          <w:lang w:val="en-IE"/>
        </w:rPr>
        <w:t xml:space="preserve"> depending on the access rights</w:t>
      </w:r>
      <w:r w:rsidR="00CE7F4F">
        <w:rPr>
          <w:lang w:val="en-IE"/>
        </w:rPr>
        <w:t>,</w:t>
      </w:r>
      <w:r w:rsidRPr="002E1829">
        <w:t xml:space="preserve"> </w:t>
      </w:r>
      <w:r w:rsidRPr="001775C1" w:rsidR="003136F2">
        <w:rPr>
          <w:lang w:val="en-IE"/>
        </w:rPr>
        <w:t>can now also</w:t>
      </w:r>
      <w:r w:rsidRPr="002E1829">
        <w:t xml:space="preserve"> view, create &amp; update, and </w:t>
      </w:r>
      <w:r w:rsidRPr="002E1829" w:rsidR="00CB33C1">
        <w:t xml:space="preserve">withdraw </w:t>
      </w:r>
      <w:r w:rsidRPr="002E1829">
        <w:t>formalities for one or more port calls (</w:t>
      </w:r>
      <w:r w:rsidR="005759A8">
        <w:rPr>
          <w:lang w:val="en-IE"/>
        </w:rPr>
        <w:t>IA</w:t>
      </w:r>
      <w:r w:rsidRPr="001775C1" w:rsidR="00661ACF">
        <w:rPr>
          <w:lang w:val="en-IE"/>
        </w:rPr>
        <w:t xml:space="preserve"> Annex I</w:t>
      </w:r>
      <w:r w:rsidRPr="002E1829" w:rsidR="00EB73C7">
        <w:t>)</w:t>
      </w:r>
    </w:p>
    <w:p w:rsidRPr="00B74C04" w:rsidR="00832815" w:rsidP="00196583" w:rsidRDefault="00832815" w14:paraId="0EBAABAE" w14:textId="7BDCD94C">
      <w:pPr>
        <w:pStyle w:val="ListParagraph"/>
        <w:numPr>
          <w:ilvl w:val="0"/>
          <w:numId w:val="1"/>
        </w:numPr>
      </w:pPr>
      <w:r w:rsidRPr="002E1829">
        <w:t xml:space="preserve">Information on location, port facility or dangerous and polluting goods will be retrieved by </w:t>
      </w:r>
      <w:r w:rsidR="001F47FB">
        <w:t xml:space="preserve">the </w:t>
      </w:r>
      <w:r w:rsidRPr="00B74C04">
        <w:t>GUI from CHD and CLD to facilitate ship reporting. (</w:t>
      </w:r>
      <w:r w:rsidRPr="00B74C04" w:rsidR="005759A8">
        <w:rPr>
          <w:color w:val="242424"/>
          <w:shd w:val="clear" w:color="auto" w:fill="FFFFFF"/>
        </w:rPr>
        <w:t>IA</w:t>
      </w:r>
      <w:r w:rsidRPr="00B74C04" w:rsidR="003B2730">
        <w:rPr>
          <w:color w:val="242424"/>
          <w:shd w:val="clear" w:color="auto" w:fill="FFFFFF"/>
          <w:lang w:val="en-IE"/>
        </w:rPr>
        <w:t xml:space="preserve"> Annex I</w:t>
      </w:r>
      <w:r w:rsidRPr="00B74C04" w:rsidR="00036A1B">
        <w:t>)</w:t>
      </w:r>
      <w:r w:rsidRPr="00B74C04">
        <w:t>.</w:t>
      </w:r>
    </w:p>
    <w:p w:rsidRPr="00B74C04" w:rsidR="000F5F00" w:rsidP="00196583" w:rsidRDefault="00EB73C7" w14:paraId="26FA820A" w14:textId="5FD28D38">
      <w:pPr>
        <w:pStyle w:val="ListParagraph"/>
        <w:numPr>
          <w:ilvl w:val="0"/>
          <w:numId w:val="1"/>
        </w:numPr>
      </w:pPr>
      <w:r w:rsidRPr="00B74C04">
        <w:t xml:space="preserve">The </w:t>
      </w:r>
      <w:r w:rsidRPr="00B74C04" w:rsidR="00CE7F4F">
        <w:t>user</w:t>
      </w:r>
      <w:r w:rsidRPr="00B74C04">
        <w:t xml:space="preserve"> can choose to save the formality as draft or to submit.​</w:t>
      </w:r>
      <w:r w:rsidRPr="00B74C04" w:rsidR="004B547B">
        <w:rPr>
          <w:lang w:val="en-IE"/>
        </w:rPr>
        <w:t xml:space="preserve"> (</w:t>
      </w:r>
      <w:r w:rsidRPr="00B74C04" w:rsidR="005759A8">
        <w:rPr>
          <w:lang w:val="en-IE"/>
        </w:rPr>
        <w:t>IA</w:t>
      </w:r>
      <w:r w:rsidRPr="00B74C04" w:rsidR="004B547B">
        <w:rPr>
          <w:lang w:val="en-IE"/>
        </w:rPr>
        <w:t xml:space="preserve"> Annex I)</w:t>
      </w:r>
    </w:p>
    <w:p w:rsidRPr="002E1829" w:rsidR="00EB73C7" w:rsidP="00E71143" w:rsidRDefault="00E05070" w14:paraId="366EBBEC" w14:textId="25274BDD">
      <w:pPr>
        <w:pStyle w:val="ListParagraph"/>
        <w:numPr>
          <w:ilvl w:val="0"/>
          <w:numId w:val="1"/>
        </w:numPr>
      </w:pPr>
      <w:r w:rsidRPr="00B74C04">
        <w:t xml:space="preserve">The MNSW </w:t>
      </w:r>
      <w:r w:rsidRPr="00B74C04" w:rsidR="009A3716">
        <w:t xml:space="preserve">(or at the national level) </w:t>
      </w:r>
      <w:r w:rsidRPr="00B74C04">
        <w:t>ensures that the validation of the semantic rules is performed</w:t>
      </w:r>
      <w:r w:rsidRPr="00B74C04" w:rsidR="00B03D8D">
        <w:t>. The formality</w:t>
      </w:r>
      <w:r w:rsidRPr="002E1829" w:rsidR="00B03D8D">
        <w:t xml:space="preserve"> data is then shared with the relevant authorities. </w:t>
      </w:r>
    </w:p>
    <w:p w:rsidRPr="002E1829" w:rsidR="00EB73C7" w:rsidP="00E71143" w:rsidRDefault="00820118" w14:paraId="272C776D" w14:textId="77399145">
      <w:pPr>
        <w:pStyle w:val="ListParagraph"/>
        <w:numPr>
          <w:ilvl w:val="0"/>
          <w:numId w:val="1"/>
        </w:numPr>
      </w:pPr>
      <w:r w:rsidRPr="002E1829">
        <w:t>In cases where a formality contains ship information relevant for ESD, the MNSW, when formality is accepted will provide this ship information to ESD (</w:t>
      </w:r>
      <w:r w:rsidRPr="001775C1" w:rsidR="005E0390">
        <w:rPr>
          <w:color w:val="242424"/>
          <w:shd w:val="clear" w:color="auto" w:fill="FFFFFF"/>
          <w:lang w:val="en-IE"/>
        </w:rPr>
        <w:t>REG Article 14</w:t>
      </w:r>
      <w:r w:rsidRPr="002E1829">
        <w:t>)</w:t>
      </w:r>
      <w:r w:rsidRPr="002E1829" w:rsidR="00EB73C7">
        <w:t>.</w:t>
      </w:r>
    </w:p>
    <w:p w:rsidRPr="002E1829" w:rsidR="00EB73C7" w:rsidP="00635D40" w:rsidRDefault="005351CA" w14:paraId="33AA446F" w14:textId="1EFAADB5">
      <w:pPr>
        <w:pStyle w:val="ListParagraph"/>
        <w:numPr>
          <w:ilvl w:val="0"/>
          <w:numId w:val="1"/>
        </w:numPr>
      </w:pPr>
      <w:r w:rsidRPr="002E1829">
        <w:t>The relevant authorities process the data from the formalities submitted by declarants and forms the formality response</w:t>
      </w:r>
      <w:r w:rsidRPr="002E1829" w:rsidR="00EF4444">
        <w:t xml:space="preserve">. </w:t>
      </w:r>
      <w:r w:rsidRPr="002E1829">
        <w:t>MNSW makes the formality response available to the GUI including the indication of a clearance model applied if applicable</w:t>
      </w:r>
      <w:r w:rsidR="00635D40">
        <w:rPr>
          <w:rStyle w:val="FootnoteReference"/>
        </w:rPr>
        <w:footnoteReference w:id="10"/>
      </w:r>
      <w:r w:rsidR="004635C0">
        <w:t>.</w:t>
      </w:r>
    </w:p>
    <w:p w:rsidRPr="002E1829" w:rsidR="00EB73C7" w:rsidDel="00635D40" w:rsidP="00196583" w:rsidRDefault="005351CA" w14:paraId="264D4663" w14:textId="61DF04BB">
      <w:pPr>
        <w:pStyle w:val="ListParagraph"/>
        <w:numPr>
          <w:ilvl w:val="0"/>
          <w:numId w:val="1"/>
        </w:numPr>
      </w:pPr>
      <w:r w:rsidRPr="002E1829">
        <w:t>The relevant authorities process the data from the formalities submitted by declarants and forms the formality response</w:t>
      </w:r>
      <w:r w:rsidRPr="002E1829" w:rsidR="00EF4444">
        <w:t xml:space="preserve">. </w:t>
      </w:r>
      <w:r w:rsidRPr="002E1829">
        <w:t>MNSW makes the formality response available to the GUI including the indication of a clearance model applied if applicable</w:t>
      </w:r>
      <w:r w:rsidR="00635D40">
        <w:rPr>
          <w:rStyle w:val="FootnoteReference"/>
        </w:rPr>
        <w:footnoteReference w:id="11"/>
      </w:r>
      <w:r w:rsidR="006C6F9E">
        <w:t>.</w:t>
      </w:r>
    </w:p>
    <w:p w:rsidRPr="002E1829" w:rsidR="00EB73C7" w:rsidP="00244291" w:rsidRDefault="00EB73C7" w14:paraId="18B783E5" w14:textId="77777777"/>
    <w:p w:rsidRPr="002E1829" w:rsidR="002F4BE3" w:rsidP="00244291" w:rsidRDefault="002F4BE3" w14:paraId="311E2DFC" w14:textId="1DC7E561">
      <w:pPr>
        <w:sectPr w:rsidRPr="002E1829" w:rsidR="002F4BE3" w:rsidSect="006F3B4B">
          <w:pgSz w:w="12240" w:h="15840" w:orient="portrait"/>
          <w:pgMar w:top="1440" w:right="1440" w:bottom="1440" w:left="1440" w:header="708" w:footer="708" w:gutter="0"/>
          <w:cols w:space="708"/>
          <w:docGrid w:linePitch="360"/>
        </w:sectPr>
      </w:pPr>
    </w:p>
    <w:p w:rsidRPr="002E1829" w:rsidR="004C100B" w:rsidP="00244291" w:rsidRDefault="004C100B" w14:paraId="6D599422" w14:textId="220CC187">
      <w:r w:rsidRPr="002E1829">
        <w:t>The below diagram depicts the interactions between the various components</w:t>
      </w:r>
      <w:r w:rsidRPr="002E1829" w:rsidR="00BD495E">
        <w:t xml:space="preserve">. This reflects the process flow </w:t>
      </w:r>
      <w:r w:rsidRPr="002E1829">
        <w:t xml:space="preserve">described </w:t>
      </w:r>
      <w:r w:rsidRPr="002E1829" w:rsidR="00CA306D">
        <w:t>above</w:t>
      </w:r>
    </w:p>
    <w:p w:rsidRPr="002E1829" w:rsidR="006B643F" w:rsidP="00244291" w:rsidRDefault="006B643F" w14:paraId="2B0F13F5" w14:textId="77777777"/>
    <w:p w:rsidRPr="002E1829" w:rsidR="00BC255C" w:rsidP="00196583" w:rsidRDefault="00296388" w14:paraId="5E691D6D" w14:textId="14E89D92">
      <w:r>
        <w:object w:dxaOrig="18256" w:dyaOrig="9465" w14:anchorId="6C351642">
          <v:shape id="_x0000_i1028" style="width:685.4pt;height:354.4pt" o:ole="" type="#_x0000_t75">
            <v:imagedata o:title="" r:id="rId20"/>
          </v:shape>
          <o:OLEObject Type="Embed" ProgID="Visio.Drawing.15" ShapeID="_x0000_i1028" DrawAspect="Content" ObjectID="_1733128106" r:id="rId21"/>
        </w:object>
      </w:r>
    </w:p>
    <w:p w:rsidRPr="002E1829" w:rsidR="00BD495E" w:rsidP="00196583" w:rsidRDefault="001402AC" w14:paraId="1A1D0B48" w14:textId="5DECEADD">
      <w:pPr>
        <w:sectPr w:rsidRPr="002E1829" w:rsidR="00BD495E" w:rsidSect="007B3612">
          <w:pgSz w:w="15840" w:h="12240" w:orient="landscape"/>
          <w:pgMar w:top="1440" w:right="1440" w:bottom="1440" w:left="1440" w:header="708" w:footer="708" w:gutter="0"/>
          <w:cols w:space="708"/>
          <w:docGrid w:linePitch="360"/>
        </w:sectPr>
      </w:pPr>
      <w:sdt>
        <w:sdtPr>
          <w:rPr>
            <w:rFonts w:eastAsia="Times New Roman"/>
            <w:b/>
            <w:color w:val="2B579A"/>
            <w:shd w:val="clear" w:color="auto" w:fill="E6E6E6"/>
          </w:rPr>
          <w:alias w:val="Picture"/>
          <w:tag w:val="KZSQs15i6aMRta61gVgLk1"/>
          <w:id w:val="-404845154"/>
          <w:placeholder>
            <w:docPart w:val="3D177B617F614F07BBB757381C3366F2"/>
          </w:placeholder>
        </w:sdtPr>
        <w:sdtEndPr>
          <w:rPr>
            <w:b w:val="0"/>
          </w:rPr>
        </w:sdtEndPr>
        <w:sdtContent>
          <w:r w:rsidRPr="002E1829" w:rsidR="00E02C8A">
            <w:rPr>
              <w:rFonts w:eastAsia="Times New Roman"/>
              <w:b/>
            </w:rPr>
            <w:t xml:space="preserve">Figure </w:t>
          </w:r>
          <w:r w:rsidRPr="002E1829" w:rsidR="00356CC6">
            <w:rPr>
              <w:rFonts w:eastAsia="Times New Roman"/>
              <w:b/>
            </w:rPr>
            <w:t>3</w:t>
          </w:r>
          <w:r w:rsidRPr="002E1829" w:rsidR="00E02C8A">
            <w:rPr>
              <w:rFonts w:eastAsia="Times New Roman"/>
              <w:b/>
            </w:rPr>
            <w:t xml:space="preserve">: </w:t>
          </w:r>
          <w:r w:rsidRPr="002E1829" w:rsidR="00E02C8A">
            <w:rPr>
              <w:rFonts w:eastAsia="Times New Roman"/>
            </w:rPr>
            <w:t>U2S High-level Process flow</w:t>
          </w:r>
        </w:sdtContent>
      </w:sdt>
    </w:p>
    <w:p w:rsidRPr="00800028" w:rsidR="00081B67" w:rsidP="00334267" w:rsidRDefault="00081B67" w14:paraId="6FF2B825" w14:textId="39F9AE7E">
      <w:pPr>
        <w:pStyle w:val="Heading2"/>
      </w:pPr>
      <w:bookmarkStart w:name="_Toc121929696" w:id="15"/>
      <w:bookmarkStart w:name="_Toc121930647" w:id="16"/>
      <w:r w:rsidRPr="00800028">
        <w:t>Functional description for S2S interaction</w:t>
      </w:r>
      <w:r w:rsidRPr="00800028" w:rsidR="00011FBC">
        <w:t>s</w:t>
      </w:r>
      <w:bookmarkEnd w:id="15"/>
      <w:bookmarkEnd w:id="16"/>
    </w:p>
    <w:p w:rsidRPr="002E1829" w:rsidR="0024796D" w:rsidP="00334267" w:rsidRDefault="0024796D" w14:paraId="48A93679" w14:textId="77777777"/>
    <w:p w:rsidRPr="002E1829" w:rsidR="00081B67" w:rsidP="00334267" w:rsidRDefault="00FD337B" w14:paraId="4C52CBD5" w14:textId="11F8B8F3">
      <w:r w:rsidRPr="002E1829">
        <w:t xml:space="preserve">List of </w:t>
      </w:r>
      <w:r w:rsidRPr="002E1829" w:rsidR="00081B67">
        <w:t>components in the scope of S2S</w:t>
      </w:r>
      <w:r w:rsidRPr="002E1829" w:rsidR="006739CD">
        <w:t xml:space="preserve"> interaction flow</w:t>
      </w:r>
    </w:p>
    <w:tbl>
      <w:tblPr>
        <w:tblStyle w:val="TableWeb2"/>
        <w:tblW w:w="0" w:type="auto"/>
        <w:tblLayout w:type="fixed"/>
        <w:tblLook w:val="04A0" w:firstRow="1" w:lastRow="0" w:firstColumn="1" w:lastColumn="0" w:noHBand="0" w:noVBand="1"/>
      </w:tblPr>
      <w:tblGrid>
        <w:gridCol w:w="1522"/>
        <w:gridCol w:w="7740"/>
      </w:tblGrid>
      <w:tr w:rsidRPr="001775C1" w:rsidR="00FD337B" w:rsidTr="00336E87" w14:paraId="26882153" w14:textId="77777777">
        <w:trPr>
          <w:cnfStyle w:val="100000000000" w:firstRow="1" w:lastRow="0" w:firstColumn="0" w:lastColumn="0" w:oddVBand="0" w:evenVBand="0" w:oddHBand="0" w:evenHBand="0" w:firstRowFirstColumn="0" w:firstRowLastColumn="0" w:lastRowFirstColumn="0" w:lastRowLastColumn="0"/>
        </w:trPr>
        <w:tc>
          <w:tcPr>
            <w:tcW w:w="1462" w:type="dxa"/>
          </w:tcPr>
          <w:p w:rsidRPr="002E1829" w:rsidR="00FD337B" w:rsidP="00196583" w:rsidRDefault="00FD337B" w14:paraId="25055C76" w14:textId="77777777">
            <w:r w:rsidRPr="002E1829">
              <w:t>Element</w:t>
            </w:r>
          </w:p>
        </w:tc>
        <w:tc>
          <w:tcPr>
            <w:tcW w:w="7680" w:type="dxa"/>
          </w:tcPr>
          <w:p w:rsidRPr="002E1829" w:rsidR="00FD337B" w:rsidP="00196583" w:rsidRDefault="00FD337B" w14:paraId="59B8EDD0" w14:textId="77777777">
            <w:r w:rsidRPr="002E1829">
              <w:t>Description</w:t>
            </w:r>
          </w:p>
        </w:tc>
      </w:tr>
      <w:tr w:rsidRPr="001775C1" w:rsidR="00FD337B" w:rsidTr="00336E87" w14:paraId="521B8385" w14:textId="77777777">
        <w:tc>
          <w:tcPr>
            <w:tcW w:w="1462" w:type="dxa"/>
          </w:tcPr>
          <w:p w:rsidRPr="002E1829" w:rsidR="00FD337B" w:rsidP="00196583" w:rsidRDefault="00FD337B" w14:paraId="4F73420C" w14:textId="77777777">
            <w:r w:rsidRPr="002E1829">
              <w:t>1</w:t>
            </w:r>
          </w:p>
        </w:tc>
        <w:tc>
          <w:tcPr>
            <w:tcW w:w="7680" w:type="dxa"/>
          </w:tcPr>
          <w:p w:rsidRPr="002E1829" w:rsidR="00FD337B" w:rsidP="00196583" w:rsidRDefault="00FD337B" w14:paraId="13B9987C" w14:textId="77777777">
            <w:r w:rsidRPr="002E1829">
              <w:t>Maritime National Single Window</w:t>
            </w:r>
          </w:p>
        </w:tc>
      </w:tr>
      <w:tr w:rsidRPr="001775C1" w:rsidR="00930418" w:rsidTr="00336E87" w14:paraId="2DFF610B" w14:textId="77777777">
        <w:tc>
          <w:tcPr>
            <w:tcW w:w="1462" w:type="dxa"/>
          </w:tcPr>
          <w:p w:rsidRPr="002E1829" w:rsidR="00930418" w:rsidP="00196583" w:rsidRDefault="00930418" w14:paraId="62267CEE" w14:textId="393A9D5E">
            <w:r w:rsidRPr="002E1829">
              <w:t>1</w:t>
            </w:r>
          </w:p>
        </w:tc>
        <w:tc>
          <w:tcPr>
            <w:tcW w:w="7680" w:type="dxa"/>
          </w:tcPr>
          <w:p w:rsidRPr="002E1829" w:rsidR="00930418" w:rsidP="00196583" w:rsidRDefault="00930418" w14:paraId="79939671" w14:textId="3CA1F8D5">
            <w:r w:rsidRPr="002E1829">
              <w:t>Maritime National Single Window Core</w:t>
            </w:r>
          </w:p>
        </w:tc>
      </w:tr>
      <w:tr w:rsidRPr="001775C1" w:rsidR="00FD337B" w:rsidTr="00336E87" w14:paraId="277DF654" w14:textId="77777777">
        <w:tc>
          <w:tcPr>
            <w:tcW w:w="1462" w:type="dxa"/>
          </w:tcPr>
          <w:p w:rsidRPr="002E1829" w:rsidR="00FD337B" w:rsidP="00196583" w:rsidRDefault="00FD337B" w14:paraId="0491612F" w14:textId="48C140B0">
            <w:r w:rsidRPr="002E1829">
              <w:t>3</w:t>
            </w:r>
          </w:p>
        </w:tc>
        <w:tc>
          <w:tcPr>
            <w:tcW w:w="7680" w:type="dxa"/>
          </w:tcPr>
          <w:p w:rsidRPr="002E1829" w:rsidR="00FD337B" w:rsidP="00196583" w:rsidRDefault="00FD337B" w14:paraId="5849EFB6" w14:textId="590A53D6">
            <w:r w:rsidRPr="002E1829">
              <w:t>Harmonised Reporting Interface Module</w:t>
            </w:r>
          </w:p>
        </w:tc>
      </w:tr>
      <w:tr w:rsidRPr="001775C1" w:rsidR="00FD337B" w:rsidTr="00336E87" w14:paraId="7475991E" w14:textId="77777777">
        <w:tc>
          <w:tcPr>
            <w:tcW w:w="1462" w:type="dxa"/>
          </w:tcPr>
          <w:p w:rsidRPr="002E1829" w:rsidR="00FD337B" w:rsidP="00196583" w:rsidRDefault="00FD337B" w14:paraId="064E1753" w14:textId="77777777">
            <w:r w:rsidRPr="002E1829">
              <w:t>5</w:t>
            </w:r>
          </w:p>
        </w:tc>
        <w:tc>
          <w:tcPr>
            <w:tcW w:w="7680" w:type="dxa"/>
          </w:tcPr>
          <w:p w:rsidRPr="002E1829" w:rsidR="00FD337B" w:rsidP="00196583" w:rsidRDefault="007C004D" w14:paraId="7CE1909C" w14:textId="454C55B7">
            <w:r w:rsidRPr="002E1829">
              <w:t xml:space="preserve">EMSWe </w:t>
            </w:r>
            <w:r w:rsidRPr="002E1829" w:rsidR="00FD337B">
              <w:t>User</w:t>
            </w:r>
            <w:r w:rsidRPr="002E1829" w:rsidR="006739CD">
              <w:t xml:space="preserve"> Registry and</w:t>
            </w:r>
            <w:r w:rsidRPr="002E1829" w:rsidR="00FD337B">
              <w:t xml:space="preserve"> Access Management System</w:t>
            </w:r>
          </w:p>
        </w:tc>
      </w:tr>
      <w:tr w:rsidRPr="001775C1" w:rsidR="00FD337B" w:rsidTr="00336E87" w14:paraId="33A47DAE" w14:textId="77777777">
        <w:tc>
          <w:tcPr>
            <w:tcW w:w="1462" w:type="dxa"/>
          </w:tcPr>
          <w:p w:rsidRPr="002E1829" w:rsidR="00FD337B" w:rsidP="00196583" w:rsidRDefault="00FD337B" w14:paraId="5BEC12C7" w14:textId="77777777">
            <w:r w:rsidRPr="002E1829">
              <w:t>9</w:t>
            </w:r>
          </w:p>
        </w:tc>
        <w:tc>
          <w:tcPr>
            <w:tcW w:w="7680" w:type="dxa"/>
          </w:tcPr>
          <w:p w:rsidRPr="002E1829" w:rsidR="00FD337B" w:rsidP="00196583" w:rsidRDefault="00FD337B" w14:paraId="0A993C21" w14:textId="77777777">
            <w:r w:rsidRPr="002E1829">
              <w:t>EMSWe Ship Database</w:t>
            </w:r>
          </w:p>
        </w:tc>
      </w:tr>
    </w:tbl>
    <w:p w:rsidRPr="002E1829" w:rsidR="00FD337B" w:rsidP="00196583" w:rsidRDefault="001402AC" w14:paraId="07E7BDA5" w14:textId="04CBBA89">
      <w:sdt>
        <w:sdtPr>
          <w:rPr>
            <w:color w:val="2B579A"/>
            <w:shd w:val="clear" w:color="auto" w:fill="E6E6E6"/>
          </w:rPr>
          <w:alias w:val="Picture"/>
          <w:tag w:val="KZSQs15i6aMRta61gVgLk1"/>
          <w:id w:val="508407569"/>
          <w:placeholder>
            <w:docPart w:val="AC890D20BA344C3384630D0E8ADFC2D5"/>
          </w:placeholder>
        </w:sdtPr>
        <w:sdtEndPr>
          <w:rPr>
            <w:rFonts w:eastAsia="Times New Roman"/>
          </w:rPr>
        </w:sdtEndPr>
        <w:sdtContent>
          <w:r w:rsidRPr="001775C1" w:rsidR="0024796D">
            <w:t xml:space="preserve">Table </w:t>
          </w:r>
          <w:r w:rsidRPr="002E1829" w:rsidR="0024796D">
            <w:rPr>
              <w:color w:val="2B579A"/>
              <w:shd w:val="clear" w:color="auto" w:fill="E6E6E6"/>
            </w:rPr>
            <w:fldChar w:fldCharType="begin"/>
          </w:r>
          <w:r w:rsidRPr="001775C1" w:rsidR="0024796D">
            <w:instrText xml:space="preserve"> SEQ Figure \* ARABIC </w:instrText>
          </w:r>
          <w:r w:rsidRPr="002E1829" w:rsidR="0024796D">
            <w:rPr>
              <w:color w:val="2B579A"/>
              <w:shd w:val="clear" w:color="auto" w:fill="E6E6E6"/>
            </w:rPr>
            <w:fldChar w:fldCharType="separate"/>
          </w:r>
          <w:r w:rsidRPr="001775C1" w:rsidR="00567A82">
            <w:t>3</w:t>
          </w:r>
          <w:r w:rsidRPr="002E1829" w:rsidR="0024796D">
            <w:rPr>
              <w:color w:val="2B579A"/>
              <w:shd w:val="clear" w:color="auto" w:fill="E6E6E6"/>
            </w:rPr>
            <w:fldChar w:fldCharType="end"/>
          </w:r>
          <w:r w:rsidRPr="001775C1" w:rsidR="0024796D">
            <w:t xml:space="preserve">: </w:t>
          </w:r>
          <w:r w:rsidRPr="001775C1" w:rsidR="0024796D">
            <w:rPr>
              <w:rFonts w:eastAsia="Times New Roman"/>
            </w:rPr>
            <w:t>S2S In-Scope Components</w:t>
          </w:r>
        </w:sdtContent>
      </w:sdt>
    </w:p>
    <w:p w:rsidRPr="001775C1" w:rsidR="003B2EDA" w:rsidP="003B2EDA" w:rsidRDefault="0024796D" w14:paraId="386D6798" w14:textId="6208B91B">
      <w:r w:rsidRPr="002E1829">
        <w:t xml:space="preserve">The list of functions and actions of the components </w:t>
      </w:r>
      <w:r w:rsidRPr="001775C1" w:rsidR="00746B5E">
        <w:rPr>
          <w:lang w:val="en-IE"/>
        </w:rPr>
        <w:t>in the scope of S2S interaction</w:t>
      </w:r>
    </w:p>
    <w:p w:rsidRPr="006C6F9E" w:rsidR="003B2EDA" w:rsidP="003B2EDA" w:rsidRDefault="00DF405D" w14:paraId="582C1712" w14:textId="32731BE0">
      <w:pPr>
        <w:rPr>
          <w:b/>
          <w:lang w:val="en-IE"/>
        </w:rPr>
      </w:pPr>
      <w:r w:rsidRPr="006C6F9E">
        <w:rPr>
          <w:b/>
        </w:rPr>
        <w:t>Sender</w:t>
      </w:r>
      <w:r w:rsidRPr="006C6F9E" w:rsidR="00746B5E">
        <w:rPr>
          <w:b/>
          <w:lang w:val="en-IE"/>
        </w:rPr>
        <w:t>’s IT system</w:t>
      </w:r>
    </w:p>
    <w:p w:rsidRPr="002E1829" w:rsidR="00FD337B" w:rsidP="6457C81B" w:rsidRDefault="0024796D" w14:paraId="2490FD91" w14:textId="5FF44BBF">
      <w:pPr>
        <w:rPr>
          <w:b w:val="1"/>
          <w:bCs w:val="1"/>
        </w:rPr>
      </w:pPr>
      <w:r w:rsidRPr="001775C1">
        <w:rPr>
          <w:shd w:val="clear" w:color="auto" w:fill="E6E6E6"/>
        </w:rPr>
        <w:object w:dxaOrig="1381" w:dyaOrig="661" w14:anchorId="1500EF98">
          <v:shape id="_x0000_i1029" style="width:65.85pt;height:29.6pt" o:ole="" type="#_x0000_t75">
            <v:imagedata o:title="" r:id="rId22"/>
          </v:shape>
          <o:OLEObject Type="Embed" ProgID="Visio.Drawing.15" ShapeID="_x0000_i1029" DrawAspect="Content" ObjectID="_1733128107" r:id="rId23"/>
        </w:object>
      </w:r>
    </w:p>
    <w:p w:rsidRPr="002E1829" w:rsidR="003B2EDA" w:rsidP="003B2EDA" w:rsidRDefault="00930418" w14:paraId="2E7DFA1D" w14:textId="19EFC579">
      <w:pPr>
        <w:pStyle w:val="ListParagraph"/>
        <w:numPr>
          <w:ilvl w:val="0"/>
          <w:numId w:val="13"/>
        </w:numPr>
      </w:pPr>
      <w:r w:rsidRPr="002E1829">
        <w:t xml:space="preserve">Based on the declarant's formality data, conformant to the MIG, </w:t>
      </w:r>
      <w:r w:rsidRPr="002E1829" w:rsidR="00D305AC">
        <w:t xml:space="preserve">the </w:t>
      </w:r>
      <w:r w:rsidRPr="002E1829" w:rsidR="00E81CDB">
        <w:t>Sender</w:t>
      </w:r>
      <w:r w:rsidRPr="002E1829">
        <w:t xml:space="preserve"> prepares a payload message to be sent through </w:t>
      </w:r>
      <w:r w:rsidRPr="002E1829" w:rsidR="00D305AC">
        <w:t xml:space="preserve">the </w:t>
      </w:r>
      <w:r w:rsidRPr="002E1829">
        <w:t>RIM (</w:t>
      </w:r>
      <w:r w:rsidRPr="001775C1" w:rsidR="009D2710">
        <w:t>RIMFTS</w:t>
      </w:r>
      <w:r w:rsidRPr="001775C1" w:rsidDel="009D2710" w:rsidR="009D2710">
        <w:t xml:space="preserve"> </w:t>
      </w:r>
      <w:r w:rsidRPr="001775C1" w:rsidR="009D2710">
        <w:rPr>
          <w:lang w:val="en-IE"/>
        </w:rPr>
        <w:t>3.1.1</w:t>
      </w:r>
      <w:r w:rsidRPr="002E1829">
        <w:t>)</w:t>
      </w:r>
    </w:p>
    <w:p w:rsidRPr="002E1829" w:rsidR="003B2EDA" w:rsidP="003B2EDA" w:rsidRDefault="003B2EDA" w14:paraId="31F0E594" w14:textId="159347CC">
      <w:pPr>
        <w:pStyle w:val="ListParagraph"/>
        <w:numPr>
          <w:ilvl w:val="0"/>
          <w:numId w:val="13"/>
        </w:numPr>
      </w:pPr>
      <w:r w:rsidRPr="002E1829">
        <w:t xml:space="preserve">Processes </w:t>
      </w:r>
      <w:r w:rsidRPr="00800028" w:rsidR="009D2710">
        <w:t>F</w:t>
      </w:r>
      <w:r w:rsidRPr="002E1829">
        <w:t>ormality, Process responses &amp; technical control messages received</w:t>
      </w:r>
      <w:r w:rsidRPr="001775C1" w:rsidR="00A92D75">
        <w:rPr>
          <w:lang w:val="en-IE"/>
        </w:rPr>
        <w:t xml:space="preserve"> from Sender-AS4-AP</w:t>
      </w:r>
      <w:r w:rsidRPr="001775C1" w:rsidR="009D2710">
        <w:rPr>
          <w:lang w:val="en-IE"/>
        </w:rPr>
        <w:t xml:space="preserve"> (RIMFTS 3.1.1)</w:t>
      </w:r>
    </w:p>
    <w:p w:rsidRPr="002E1829" w:rsidR="006C47F4" w:rsidP="006C47F4" w:rsidRDefault="006C47F4" w14:paraId="5D541639" w14:textId="28CD2EC0"/>
    <w:p w:rsidRPr="006C6F9E" w:rsidR="003B2EDA" w:rsidP="65219ABC" w:rsidRDefault="00BC61B7" w14:paraId="75F8A628" w14:textId="2D2764B5">
      <w:pPr>
        <w:rPr>
          <w:b/>
        </w:rPr>
      </w:pPr>
      <w:r w:rsidRPr="006C6F9E">
        <w:rPr>
          <w:b/>
        </w:rPr>
        <w:t>SENDER</w:t>
      </w:r>
      <w:r w:rsidRPr="006C6F9E" w:rsidR="00930418">
        <w:rPr>
          <w:b/>
        </w:rPr>
        <w:t>-</w:t>
      </w:r>
      <w:r w:rsidRPr="006C6F9E" w:rsidR="00046A1E">
        <w:rPr>
          <w:b/>
        </w:rPr>
        <w:t>AS4 AP</w:t>
      </w:r>
    </w:p>
    <w:p w:rsidRPr="002E1829" w:rsidR="003B2EDA" w:rsidP="003B2EDA" w:rsidRDefault="003B2EDA" w14:paraId="5F0B31C2" w14:textId="09536E26">
      <w:pPr>
        <w:pStyle w:val="ListParagraph"/>
        <w:numPr>
          <w:ilvl w:val="0"/>
          <w:numId w:val="13"/>
        </w:numPr>
      </w:pPr>
      <w:r w:rsidRPr="002E1829">
        <w:t>Prepares the AS4 message where the payload is the formality (</w:t>
      </w:r>
      <w:r w:rsidRPr="001775C1" w:rsidR="007953C9">
        <w:rPr>
          <w:lang w:val="en-IE"/>
        </w:rPr>
        <w:t>RIMFTS 3.1.1</w:t>
      </w:r>
      <w:r w:rsidRPr="002E1829" w:rsidR="00032DE0">
        <w:t>)</w:t>
      </w:r>
    </w:p>
    <w:p w:rsidRPr="002E1829" w:rsidR="00EC36C8" w:rsidP="00EC36C8" w:rsidRDefault="00EC36C8" w14:paraId="316334F1" w14:textId="3A6D78EF">
      <w:pPr>
        <w:pStyle w:val="ListParagraph"/>
        <w:numPr>
          <w:ilvl w:val="0"/>
          <w:numId w:val="13"/>
        </w:numPr>
      </w:pPr>
      <w:r w:rsidRPr="002E1829">
        <w:t xml:space="preserve">Adds the </w:t>
      </w:r>
      <w:r w:rsidRPr="002E1829" w:rsidR="001F4B92">
        <w:rPr>
          <w:color w:val="000000"/>
        </w:rPr>
        <w:t>“</w:t>
      </w:r>
      <w:r w:rsidRPr="002E1829" w:rsidR="00E81CDB">
        <w:rPr>
          <w:color w:val="000000"/>
        </w:rPr>
        <w:t>sender</w:t>
      </w:r>
      <w:r w:rsidRPr="002E1829" w:rsidR="001F4B92">
        <w:rPr>
          <w:color w:val="000000"/>
        </w:rPr>
        <w:t xml:space="preserve">’s” </w:t>
      </w:r>
      <w:r w:rsidRPr="002E1829">
        <w:t>certificate &amp; signature to the AS4 message</w:t>
      </w:r>
    </w:p>
    <w:p w:rsidRPr="002E1829" w:rsidR="003B2EDA" w:rsidP="003B2EDA" w:rsidRDefault="00930418" w14:paraId="4B80C89A" w14:textId="1B1BDCC6">
      <w:pPr>
        <w:pStyle w:val="ListParagraph"/>
        <w:numPr>
          <w:ilvl w:val="0"/>
          <w:numId w:val="13"/>
        </w:numPr>
      </w:pPr>
      <w:r w:rsidRPr="002E1829">
        <w:t>Sends the AS4 message to the MNSW-RIM</w:t>
      </w:r>
      <w:r w:rsidRPr="002E1829" w:rsidR="006A08C2">
        <w:t xml:space="preserve"> (</w:t>
      </w:r>
      <w:r w:rsidRPr="002E1829" w:rsidR="000E4541">
        <w:t>RIMFTS</w:t>
      </w:r>
      <w:r w:rsidRPr="001775C1" w:rsidR="007953C9">
        <w:rPr>
          <w:lang w:val="en-IE"/>
        </w:rPr>
        <w:t xml:space="preserve"> 3.1.1</w:t>
      </w:r>
      <w:r w:rsidRPr="002E1829" w:rsidR="006A08C2">
        <w:t>)</w:t>
      </w:r>
      <w:r w:rsidRPr="002E1829">
        <w:t xml:space="preserve"> </w:t>
      </w:r>
    </w:p>
    <w:p w:rsidRPr="002E1829" w:rsidR="003B2EDA" w:rsidP="003B2EDA" w:rsidRDefault="00930418" w14:paraId="591DA8F4" w14:textId="5D6382A3">
      <w:pPr>
        <w:pStyle w:val="ListParagraph"/>
        <w:numPr>
          <w:ilvl w:val="0"/>
          <w:numId w:val="13"/>
        </w:numPr>
      </w:pPr>
      <w:r w:rsidRPr="002E1829">
        <w:t xml:space="preserve">Receives from </w:t>
      </w:r>
      <w:r w:rsidR="00DC265A">
        <w:t xml:space="preserve">the </w:t>
      </w:r>
      <w:r w:rsidRPr="002E1829">
        <w:t>RIM AS4 messages where the payload can be Formality response, process response, technical control messages. (</w:t>
      </w:r>
      <w:r w:rsidRPr="002E1829" w:rsidR="00D75E64">
        <w:t>MIG P-</w:t>
      </w:r>
      <w:r w:rsidRPr="002E1829" w:rsidR="00384744">
        <w:t>14, MIG P-19</w:t>
      </w:r>
      <w:r w:rsidRPr="002E1829">
        <w:t>)</w:t>
      </w:r>
    </w:p>
    <w:p w:rsidRPr="002E1829" w:rsidR="00C27C39" w:rsidP="003B2EDA" w:rsidRDefault="00C27C39" w14:paraId="29D8EB67" w14:textId="1EE1BB6B">
      <w:pPr>
        <w:pStyle w:val="ListParagraph"/>
        <w:numPr>
          <w:ilvl w:val="0"/>
          <w:numId w:val="13"/>
        </w:numPr>
      </w:pPr>
      <w:r w:rsidRPr="002E1829">
        <w:t xml:space="preserve">Provides a technical receipt confirmation to </w:t>
      </w:r>
      <w:r w:rsidR="00DC265A">
        <w:t>the</w:t>
      </w:r>
      <w:r w:rsidRPr="002E1829" w:rsidR="00DC265A">
        <w:t xml:space="preserve"> </w:t>
      </w:r>
      <w:r w:rsidRPr="002E1829">
        <w:t>RIM when a AS4 message is received (MIG P-</w:t>
      </w:r>
      <w:r w:rsidRPr="002E1829" w:rsidR="006E3A4D">
        <w:t>19</w:t>
      </w:r>
      <w:r w:rsidRPr="002E1829">
        <w:t>)</w:t>
      </w:r>
    </w:p>
    <w:p w:rsidRPr="002E1829" w:rsidR="00267A92" w:rsidP="003B2EDA" w:rsidRDefault="00162595" w14:paraId="5BA460DE" w14:textId="7846245C">
      <w:pPr>
        <w:pStyle w:val="ListParagraph"/>
        <w:numPr>
          <w:ilvl w:val="0"/>
          <w:numId w:val="13"/>
        </w:numPr>
      </w:pPr>
      <w:r w:rsidRPr="002E1829">
        <w:t>Forwards an exact functional copy (</w:t>
      </w:r>
      <w:r w:rsidRPr="002E1829" w:rsidR="003C0027">
        <w:t>i.e.,</w:t>
      </w:r>
      <w:r w:rsidRPr="002E1829">
        <w:t xml:space="preserve"> with same content) of </w:t>
      </w:r>
      <w:r w:rsidRPr="002E1829" w:rsidR="007A1B27">
        <w:t xml:space="preserve">received </w:t>
      </w:r>
      <w:r w:rsidRPr="002E1829">
        <w:t>responses</w:t>
      </w:r>
      <w:r w:rsidRPr="002E1829" w:rsidR="009110F2">
        <w:t xml:space="preserve"> from the RIM</w:t>
      </w:r>
      <w:r w:rsidRPr="002E1829">
        <w:t xml:space="preserve"> to the </w:t>
      </w:r>
      <w:r w:rsidRPr="002E1829" w:rsidR="004A3BB6">
        <w:t xml:space="preserve">sender’s </w:t>
      </w:r>
      <w:r w:rsidRPr="002E1829">
        <w:t>back office</w:t>
      </w:r>
      <w:r w:rsidRPr="002E1829" w:rsidR="00864629">
        <w:t xml:space="preserve"> </w:t>
      </w:r>
      <w:r w:rsidRPr="002E1829" w:rsidR="00D305AC">
        <w:t>(</w:t>
      </w:r>
      <w:r w:rsidRPr="002E1829" w:rsidR="00864629">
        <w:t>RIMFTS</w:t>
      </w:r>
      <w:r w:rsidRPr="001775C1" w:rsidR="00A9703D">
        <w:rPr>
          <w:lang w:val="en-IE"/>
        </w:rPr>
        <w:t xml:space="preserve"> 3.1.1</w:t>
      </w:r>
      <w:r w:rsidRPr="002E1829" w:rsidR="00D305AC">
        <w:t>)</w:t>
      </w:r>
    </w:p>
    <w:p w:rsidRPr="001775C1" w:rsidR="008E75A9" w:rsidP="00800028" w:rsidRDefault="008E75A9" w14:paraId="6A5ED760" w14:textId="77777777">
      <w:pPr>
        <w:pStyle w:val="ListParagraph"/>
      </w:pPr>
    </w:p>
    <w:p w:rsidRPr="006C6F9E" w:rsidR="00C27C39" w:rsidP="00C27C39" w:rsidRDefault="00C27C39" w14:paraId="48396019" w14:textId="6C95325B">
      <w:pPr>
        <w:rPr>
          <w:b/>
        </w:rPr>
      </w:pPr>
      <w:r w:rsidRPr="006C6F9E">
        <w:rPr>
          <w:b/>
        </w:rPr>
        <w:t>R</w:t>
      </w:r>
      <w:r w:rsidR="00DC265A">
        <w:rPr>
          <w:b/>
        </w:rPr>
        <w:t>eporting Interface Module (R</w:t>
      </w:r>
      <w:r w:rsidRPr="006C6F9E">
        <w:rPr>
          <w:b/>
        </w:rPr>
        <w:t>IM</w:t>
      </w:r>
      <w:r w:rsidR="00DC265A">
        <w:rPr>
          <w:b/>
        </w:rPr>
        <w:t>)</w:t>
      </w:r>
    </w:p>
    <w:p w:rsidRPr="002E1829" w:rsidR="006C7E02" w:rsidP="6457C81B" w:rsidRDefault="006C7E02" w14:paraId="72730AC8" w14:textId="7FDEEA5F">
      <w:pPr>
        <w:rPr>
          <w:b w:val="1"/>
          <w:bCs w:val="1"/>
        </w:rPr>
      </w:pPr>
      <w:r w:rsidRPr="001775C1">
        <w:rPr>
          <w:shd w:val="clear" w:color="auto" w:fill="E6E6E6"/>
        </w:rPr>
        <w:object w:dxaOrig="1065" w:dyaOrig="886" w14:anchorId="1CF86246">
          <v:shape id="_x0000_i1030" style="width:53pt;height:43pt" o:ole="" type="#_x0000_t75">
            <v:imagedata o:title="" r:id="rId24"/>
          </v:shape>
          <o:OLEObject Type="Embed" ProgID="Visio.Drawing.15" ShapeID="_x0000_i1030" DrawAspect="Content" ObjectID="_1733128108" r:id="rId25"/>
        </w:object>
      </w:r>
    </w:p>
    <w:p w:rsidRPr="002E1829" w:rsidR="007C29BC" w:rsidP="00C27C39" w:rsidRDefault="007C29BC" w14:paraId="3DF4BBF7" w14:textId="599714B1">
      <w:pPr>
        <w:pStyle w:val="ListParagraph"/>
        <w:numPr>
          <w:ilvl w:val="0"/>
          <w:numId w:val="13"/>
        </w:numPr>
      </w:pPr>
      <w:r w:rsidRPr="002E1829">
        <w:t xml:space="preserve">Provides the functionality to validate the sender either through national or </w:t>
      </w:r>
      <w:r w:rsidRPr="001775C1" w:rsidR="00373FBD">
        <w:rPr>
          <w:lang w:val="en-IE"/>
        </w:rPr>
        <w:t>URAM</w:t>
      </w:r>
      <w:r w:rsidRPr="002E1829" w:rsidR="00373FBD">
        <w:t xml:space="preserve"> </w:t>
      </w:r>
      <w:r w:rsidRPr="002E1829">
        <w:t>validation service</w:t>
      </w:r>
      <w:r w:rsidRPr="001775C1" w:rsidR="005A27BA">
        <w:rPr>
          <w:lang w:val="en-IE"/>
        </w:rPr>
        <w:t xml:space="preserve"> (RIMFTS 3.2)</w:t>
      </w:r>
    </w:p>
    <w:p w:rsidRPr="002E1829" w:rsidR="00C27C39" w:rsidP="00C27C39" w:rsidRDefault="00C27C39" w14:paraId="14CB6114" w14:textId="3ACE8AF2">
      <w:pPr>
        <w:pStyle w:val="ListParagraph"/>
        <w:numPr>
          <w:ilvl w:val="0"/>
          <w:numId w:val="13"/>
        </w:numPr>
      </w:pPr>
      <w:r w:rsidRPr="002E1829">
        <w:t xml:space="preserve">Controls that </w:t>
      </w:r>
      <w:r w:rsidRPr="002E1829" w:rsidR="008F48DC">
        <w:t xml:space="preserve">AS4 </w:t>
      </w:r>
      <w:r w:rsidRPr="002E1829">
        <w:t>messages are received from trusted sources - i.e., systems - (</w:t>
      </w:r>
      <w:r w:rsidRPr="002E1829" w:rsidR="009F1217">
        <w:t>MIG 4</w:t>
      </w:r>
      <w:r w:rsidRPr="002E1829" w:rsidR="00975CA6">
        <w:t>.1</w:t>
      </w:r>
      <w:r w:rsidRPr="001775C1" w:rsidR="00A1747C">
        <w:rPr>
          <w:lang w:val="en-IE"/>
        </w:rPr>
        <w:t>, RIMFTS 3.3.2.2</w:t>
      </w:r>
      <w:r w:rsidRPr="002E1829">
        <w:t>)</w:t>
      </w:r>
    </w:p>
    <w:p w:rsidRPr="002E1829" w:rsidR="004C4E31" w:rsidP="004C4E31" w:rsidRDefault="004C4E31" w14:paraId="44765907" w14:textId="6364A19D">
      <w:pPr>
        <w:pStyle w:val="ListParagraph"/>
        <w:numPr>
          <w:ilvl w:val="0"/>
          <w:numId w:val="13"/>
        </w:numPr>
      </w:pPr>
      <w:r w:rsidRPr="002E1829">
        <w:t>Checks the message structure of the received</w:t>
      </w:r>
      <w:r w:rsidRPr="002E1829" w:rsidR="003B64E9">
        <w:t xml:space="preserve"> formality</w:t>
      </w:r>
      <w:r w:rsidRPr="002E1829">
        <w:t xml:space="preserve"> messages to ensure that </w:t>
      </w:r>
      <w:r w:rsidRPr="002E1829" w:rsidR="003B64E9">
        <w:t>they</w:t>
      </w:r>
      <w:r w:rsidRPr="002E1829">
        <w:t xml:space="preserve"> meet common agreed structure definitions</w:t>
      </w:r>
      <w:r w:rsidRPr="002E1829" w:rsidR="003B64E9">
        <w:t xml:space="preserve"> provided by the EMSWe Message Implementation </w:t>
      </w:r>
      <w:r w:rsidRPr="002E1829" w:rsidR="00302B48">
        <w:t>Guide (</w:t>
      </w:r>
      <w:r w:rsidRPr="002E1829" w:rsidR="003B64E9">
        <w:t>syntax checks)</w:t>
      </w:r>
      <w:r w:rsidRPr="002E1829">
        <w:t xml:space="preserve"> </w:t>
      </w:r>
      <w:r w:rsidRPr="002E1829" w:rsidR="00D305AC">
        <w:t>(</w:t>
      </w:r>
      <w:r w:rsidRPr="002E1829">
        <w:t>RIMFTS</w:t>
      </w:r>
      <w:r w:rsidRPr="001775C1" w:rsidR="00D41C17">
        <w:rPr>
          <w:lang w:val="en-IE"/>
        </w:rPr>
        <w:t xml:space="preserve"> 3.1.1</w:t>
      </w:r>
      <w:r w:rsidRPr="002E1829" w:rsidR="00D305AC">
        <w:t>)</w:t>
      </w:r>
    </w:p>
    <w:p w:rsidRPr="00BA05E5" w:rsidR="00D41C17" w:rsidRDefault="00D41C17" w14:paraId="331833F5" w14:textId="3F55A6E1">
      <w:pPr>
        <w:pStyle w:val="ListParagraph"/>
        <w:numPr>
          <w:ilvl w:val="0"/>
          <w:numId w:val="13"/>
        </w:numPr>
      </w:pPr>
      <w:r w:rsidRPr="001775C1">
        <w:t>Creates and sends technical control messages</w:t>
      </w:r>
      <w:r w:rsidRPr="001775C1">
        <w:rPr>
          <w:lang w:val="en-IE"/>
        </w:rPr>
        <w:t xml:space="preserve"> to Sender’s AS4-AP in case of syntax errors</w:t>
      </w:r>
      <w:r w:rsidRPr="001775C1">
        <w:t xml:space="preserve"> (MIG P</w:t>
      </w:r>
      <w:r w:rsidRPr="00E41F8C">
        <w:t>-19</w:t>
      </w:r>
      <w:r w:rsidRPr="00E41F8C">
        <w:rPr>
          <w:lang w:val="en-IE"/>
        </w:rPr>
        <w:t>, RIMFTS 3.1.1</w:t>
      </w:r>
      <w:r w:rsidRPr="00E41F8C">
        <w:t>)</w:t>
      </w:r>
    </w:p>
    <w:p w:rsidRPr="002E1829" w:rsidR="00C27C39" w:rsidP="00C27C39" w:rsidRDefault="00930418" w14:paraId="06BD71C5" w14:textId="035A9FF5">
      <w:pPr>
        <w:pStyle w:val="ListParagraph"/>
        <w:numPr>
          <w:ilvl w:val="0"/>
          <w:numId w:val="13"/>
        </w:numPr>
      </w:pPr>
      <w:r w:rsidRPr="002E1829">
        <w:t>Receive and forward the payload (formalities) to MNSW-core (</w:t>
      </w:r>
      <w:r w:rsidRPr="002E1829" w:rsidR="00E21902">
        <w:t>MIG 4.1</w:t>
      </w:r>
      <w:r w:rsidRPr="002E1829" w:rsidR="005576F6">
        <w:t xml:space="preserve">, </w:t>
      </w:r>
      <w:r w:rsidRPr="002E1829" w:rsidR="00F56D0C">
        <w:t>4.2,</w:t>
      </w:r>
      <w:r w:rsidRPr="002E1829">
        <w:t xml:space="preserve"> </w:t>
      </w:r>
      <w:r w:rsidRPr="00E41F8C" w:rsidR="009B7F25">
        <w:rPr>
          <w:lang w:val="en-IE"/>
        </w:rPr>
        <w:t>RIMFTS 3.1.1</w:t>
      </w:r>
      <w:r w:rsidRPr="002E1829">
        <w:t>)</w:t>
      </w:r>
    </w:p>
    <w:p w:rsidRPr="002E1829" w:rsidR="00C27C39" w:rsidP="00C27C39" w:rsidRDefault="00C27C39" w14:paraId="3FD9E52F" w14:textId="46FE73FB">
      <w:pPr>
        <w:pStyle w:val="ListParagraph"/>
        <w:numPr>
          <w:ilvl w:val="0"/>
          <w:numId w:val="13"/>
        </w:numPr>
      </w:pPr>
      <w:r w:rsidRPr="002E1829">
        <w:t>Retry-mechanism for delivering messages in case delivery fails (</w:t>
      </w:r>
      <w:r w:rsidRPr="00E41F8C" w:rsidR="009B7F25">
        <w:rPr>
          <w:lang w:val="en-IE"/>
        </w:rPr>
        <w:t>RIMFTS 3.4.3</w:t>
      </w:r>
      <w:r w:rsidRPr="002E1829">
        <w:t>)</w:t>
      </w:r>
    </w:p>
    <w:p w:rsidRPr="002E1829" w:rsidR="00C27C39" w:rsidP="00C27C39" w:rsidRDefault="00C27C39" w14:paraId="1DA059A1" w14:textId="6859B1C6">
      <w:pPr>
        <w:pStyle w:val="ListParagraph"/>
        <w:numPr>
          <w:ilvl w:val="0"/>
          <w:numId w:val="13"/>
        </w:numPr>
      </w:pPr>
      <w:r w:rsidRPr="002E1829">
        <w:t xml:space="preserve">Provides technical receipt confirmation for </w:t>
      </w:r>
      <w:r w:rsidRPr="002E1829" w:rsidR="009E6A2C">
        <w:t xml:space="preserve">the </w:t>
      </w:r>
      <w:r w:rsidRPr="002E1829" w:rsidR="009E6A2C">
        <w:rPr>
          <w:color w:val="000000"/>
        </w:rPr>
        <w:t>“</w:t>
      </w:r>
      <w:r w:rsidRPr="002E1829" w:rsidR="007C519C">
        <w:rPr>
          <w:color w:val="000000"/>
        </w:rPr>
        <w:t>sender</w:t>
      </w:r>
      <w:r w:rsidRPr="002E1829" w:rsidR="009E6A2C">
        <w:rPr>
          <w:color w:val="000000"/>
        </w:rPr>
        <w:t xml:space="preserve">” </w:t>
      </w:r>
      <w:r w:rsidRPr="002E1829">
        <w:t>who has sent as4 message (</w:t>
      </w:r>
      <w:r w:rsidRPr="00E41F8C" w:rsidR="00E41F8C">
        <w:rPr>
          <w:lang w:val="lv-LV"/>
        </w:rPr>
        <w:t>RIMFTS</w:t>
      </w:r>
      <w:r w:rsidRPr="002E1829">
        <w:t>)</w:t>
      </w:r>
    </w:p>
    <w:p w:rsidRPr="002E1829" w:rsidR="00C27C39" w:rsidP="00C27C39" w:rsidRDefault="00930418" w14:paraId="2A3BF3E4" w14:textId="769B9D28">
      <w:pPr>
        <w:pStyle w:val="ListParagraph"/>
        <w:numPr>
          <w:ilvl w:val="0"/>
          <w:numId w:val="13"/>
        </w:numPr>
      </w:pPr>
      <w:r w:rsidRPr="002E1829">
        <w:t>Determine technical endpoint (AS4 AP) for returning messages to the "</w:t>
      </w:r>
      <w:r w:rsidRPr="002E1829" w:rsidR="00555E5F">
        <w:t>sender</w:t>
      </w:r>
      <w:r w:rsidRPr="002E1829">
        <w:t>" (</w:t>
      </w:r>
      <w:r w:rsidRPr="00E41F8C" w:rsidR="0018689E">
        <w:rPr>
          <w:lang w:val="en-IE"/>
        </w:rPr>
        <w:t>RIMFTS 3.3.2.2</w:t>
      </w:r>
      <w:r w:rsidRPr="002E1829">
        <w:t>)</w:t>
      </w:r>
    </w:p>
    <w:p w:rsidRPr="002E1829" w:rsidR="000332AB" w:rsidP="00C27C39" w:rsidRDefault="00C27C39" w14:paraId="15DBC014" w14:textId="4635EB1D">
      <w:pPr>
        <w:pStyle w:val="ListParagraph"/>
        <w:numPr>
          <w:ilvl w:val="0"/>
          <w:numId w:val="13"/>
        </w:numPr>
      </w:pPr>
      <w:r w:rsidRPr="002E1829">
        <w:t xml:space="preserve">Provides meta data </w:t>
      </w:r>
      <w:r w:rsidRPr="002E1829" w:rsidR="00FB1F1B">
        <w:t xml:space="preserve">(of </w:t>
      </w:r>
      <w:r w:rsidRPr="002E1829" w:rsidR="001C3106">
        <w:t>AS</w:t>
      </w:r>
      <w:r w:rsidRPr="002E1829" w:rsidR="00FB1F1B">
        <w:t xml:space="preserve">4 messages) </w:t>
      </w:r>
      <w:r w:rsidRPr="002E1829">
        <w:t>available for support, monitoring purposes</w:t>
      </w:r>
      <w:r w:rsidRPr="002E1829" w:rsidR="00AB229E">
        <w:t xml:space="preserve"> (</w:t>
      </w:r>
      <w:r w:rsidRPr="001775C1" w:rsidR="00834A07">
        <w:rPr>
          <w:lang w:val="en-IE"/>
        </w:rPr>
        <w:t>RIMFTS 3.3.2.1)</w:t>
      </w:r>
    </w:p>
    <w:p w:rsidRPr="002E1829" w:rsidR="00D305AC" w:rsidP="00800028" w:rsidRDefault="00D305AC" w14:paraId="5760A159" w14:textId="2D83EDB6">
      <w:pPr>
        <w:pStyle w:val="ListParagraph"/>
        <w:numPr>
          <w:ilvl w:val="0"/>
          <w:numId w:val="13"/>
        </w:numPr>
      </w:pPr>
      <w:r w:rsidRPr="002E1829">
        <w:t xml:space="preserve">Supports two major versions (which can be major, medium, minor) of each type of formality and each type of response (MIG-5). The support of each version shall be maintained according to the validity periods. </w:t>
      </w:r>
    </w:p>
    <w:p w:rsidRPr="006C6F9E" w:rsidR="00C7738B" w:rsidP="00C7738B" w:rsidRDefault="00C7738B" w14:paraId="2D91C23D" w14:textId="4A785CCE">
      <w:pPr>
        <w:rPr>
          <w:b/>
        </w:rPr>
      </w:pPr>
      <w:r w:rsidRPr="006C6F9E">
        <w:rPr>
          <w:b/>
        </w:rPr>
        <w:t>EMSWe User registry and access management system</w:t>
      </w:r>
      <w:r w:rsidR="006C6F9E">
        <w:rPr>
          <w:b/>
        </w:rPr>
        <w:t xml:space="preserve"> (URAM)</w:t>
      </w:r>
    </w:p>
    <w:p w:rsidRPr="002E1829" w:rsidR="00C7738B" w:rsidP="00196583" w:rsidRDefault="00C7738B" w14:paraId="4BD5736E" w14:textId="77777777">
      <w:r w:rsidRPr="001775C1">
        <w:rPr>
          <w:noProof/>
        </w:rPr>
        <w:drawing>
          <wp:inline distT="0" distB="0" distL="0" distR="0" wp14:anchorId="25BE1BB7" wp14:editId="0939F6D4">
            <wp:extent cx="525826" cy="815411"/>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826" cy="815411"/>
                    </a:xfrm>
                    <a:prstGeom prst="rect">
                      <a:avLst/>
                    </a:prstGeom>
                  </pic:spPr>
                </pic:pic>
              </a:graphicData>
            </a:graphic>
          </wp:inline>
        </w:drawing>
      </w:r>
    </w:p>
    <w:p w:rsidRPr="00D3594B" w:rsidR="00D3594B" w:rsidP="00196583" w:rsidRDefault="00D3594B" w14:paraId="5D14403B" w14:textId="274C11A8">
      <w:pPr>
        <w:pStyle w:val="ListParagraph"/>
        <w:numPr>
          <w:ilvl w:val="0"/>
          <w:numId w:val="34"/>
        </w:numPr>
      </w:pPr>
      <w:r w:rsidRPr="00D3594B">
        <w:t>URAM ensures that only registered and trusted sender can submit formalities to the MNSW through the RIM (RFTS 3.2)</w:t>
      </w:r>
    </w:p>
    <w:p w:rsidRPr="00800028" w:rsidR="00DE79B5" w:rsidP="00196583" w:rsidRDefault="00DE79B5" w14:paraId="7707AB16" w14:textId="713DFE45">
      <w:pPr>
        <w:pStyle w:val="ListParagraph"/>
        <w:numPr>
          <w:ilvl w:val="0"/>
          <w:numId w:val="34"/>
        </w:numPr>
      </w:pPr>
      <w:r w:rsidRPr="00D3594B">
        <w:rPr>
          <w:lang w:val="en-IE"/>
        </w:rPr>
        <w:t>Provided URAM validation service can query National Registries of Senders when sender not found on central</w:t>
      </w:r>
      <w:r w:rsidRPr="001775C1">
        <w:rPr>
          <w:lang w:val="en-IE"/>
        </w:rPr>
        <w:t xml:space="preserve"> Registry of senders (RIMFTS 3.2)</w:t>
      </w:r>
    </w:p>
    <w:p w:rsidRPr="00800028" w:rsidR="00DE79B5" w:rsidP="00196583" w:rsidRDefault="00DE79B5" w14:paraId="47559665" w14:textId="40E19F85">
      <w:pPr>
        <w:pStyle w:val="ListParagraph"/>
        <w:numPr>
          <w:ilvl w:val="0"/>
          <w:numId w:val="34"/>
        </w:numPr>
      </w:pPr>
      <w:r w:rsidRPr="001775C1">
        <w:rPr>
          <w:lang w:val="en-IE"/>
        </w:rPr>
        <w:t>Central Registry of Senders provid</w:t>
      </w:r>
      <w:r w:rsidRPr="001775C1" w:rsidR="00351722">
        <w:rPr>
          <w:lang w:val="en-IE"/>
        </w:rPr>
        <w:t>es</w:t>
      </w:r>
      <w:r w:rsidRPr="001775C1">
        <w:rPr>
          <w:lang w:val="en-IE"/>
        </w:rPr>
        <w:t xml:space="preserve"> an interface </w:t>
      </w:r>
      <w:r w:rsidRPr="001775C1" w:rsidR="00351722">
        <w:rPr>
          <w:lang w:val="en-IE"/>
        </w:rPr>
        <w:t>for Member S</w:t>
      </w:r>
      <w:r w:rsidRPr="001775C1">
        <w:rPr>
          <w:lang w:val="en-IE"/>
        </w:rPr>
        <w:t xml:space="preserve">tates where to </w:t>
      </w:r>
      <w:r w:rsidRPr="001775C1" w:rsidR="00351722">
        <w:rPr>
          <w:lang w:val="en-IE"/>
        </w:rPr>
        <w:t>push</w:t>
      </w:r>
      <w:r w:rsidRPr="001775C1">
        <w:rPr>
          <w:lang w:val="en-IE"/>
        </w:rPr>
        <w:t xml:space="preserve"> the registered sender info</w:t>
      </w:r>
      <w:r w:rsidRPr="001775C1" w:rsidR="00351722">
        <w:rPr>
          <w:lang w:val="en-IE"/>
        </w:rPr>
        <w:t>rmation</w:t>
      </w:r>
      <w:r w:rsidRPr="001775C1">
        <w:rPr>
          <w:lang w:val="en-IE"/>
        </w:rPr>
        <w:t xml:space="preserve"> (RIMFTS 3.2.1.1)</w:t>
      </w:r>
    </w:p>
    <w:p w:rsidRPr="00C23C96" w:rsidR="00757E0D" w:rsidP="00196583" w:rsidRDefault="00757E0D" w14:paraId="06CBF9DF" w14:textId="0917F181">
      <w:pPr>
        <w:pStyle w:val="ListParagraph"/>
        <w:numPr>
          <w:ilvl w:val="0"/>
          <w:numId w:val="34"/>
        </w:numPr>
      </w:pPr>
      <w:r w:rsidRPr="00C23C96">
        <w:t>Makes use of eIDAS compliant electronic certificates and EORI number to recognise a sender (RIMFTS 3.2)</w:t>
      </w:r>
    </w:p>
    <w:p w:rsidRPr="00BA05E5" w:rsidR="00D305AC" w:rsidP="00196583" w:rsidRDefault="00C7738B" w14:paraId="0758C097" w14:textId="4B80D523">
      <w:pPr>
        <w:pStyle w:val="ListParagraph"/>
        <w:numPr>
          <w:ilvl w:val="0"/>
          <w:numId w:val="34"/>
        </w:numPr>
      </w:pPr>
      <w:r w:rsidRPr="002E1829">
        <w:t>Provides the possibility to modify &amp; terminate existing accounts</w:t>
      </w:r>
      <w:r w:rsidRPr="002E1829" w:rsidR="00CC7FCD">
        <w:t xml:space="preserve"> (</w:t>
      </w:r>
      <w:r w:rsidRPr="002E1829" w:rsidR="00B85EB6">
        <w:t>R</w:t>
      </w:r>
      <w:r w:rsidRPr="002E1829" w:rsidR="007B3D59">
        <w:t>EG</w:t>
      </w:r>
      <w:r w:rsidRPr="001775C1" w:rsidR="00455F12">
        <w:rPr>
          <w:lang w:val="en-IE"/>
        </w:rPr>
        <w:t xml:space="preserve"> Article 12</w:t>
      </w:r>
      <w:r w:rsidRPr="002E1829" w:rsidR="00CC7FCD">
        <w:t>)</w:t>
      </w:r>
    </w:p>
    <w:p w:rsidRPr="002E1829" w:rsidR="008D0CA8" w:rsidP="00D305AC" w:rsidRDefault="008D0CA8" w14:paraId="4EAA0206" w14:textId="77777777"/>
    <w:p w:rsidRPr="006C6F9E" w:rsidR="00C27C39" w:rsidP="65219ABC" w:rsidRDefault="00C27C39" w14:paraId="5F858966" w14:textId="623B4725">
      <w:pPr>
        <w:rPr>
          <w:b/>
        </w:rPr>
      </w:pPr>
      <w:r w:rsidRPr="006C6F9E">
        <w:rPr>
          <w:b/>
        </w:rPr>
        <w:t>M</w:t>
      </w:r>
      <w:r w:rsidR="004160DD">
        <w:rPr>
          <w:b/>
        </w:rPr>
        <w:t>aritime National Single Window (MNSW)</w:t>
      </w:r>
      <w:r w:rsidRPr="006C6F9E" w:rsidDel="004160DD" w:rsidR="004160DD">
        <w:rPr>
          <w:b/>
        </w:rPr>
        <w:t xml:space="preserve"> </w:t>
      </w:r>
    </w:p>
    <w:p w:rsidRPr="002E1829" w:rsidR="006C7E02" w:rsidP="6457C81B" w:rsidRDefault="00FD337B" w14:paraId="0E2CDF43" w14:textId="1AF4FD48">
      <w:pPr>
        <w:rPr>
          <w:b w:val="1"/>
          <w:bCs w:val="1"/>
        </w:rPr>
      </w:pPr>
      <w:r w:rsidRPr="001775C1">
        <w:rPr>
          <w:shd w:val="clear" w:color="auto" w:fill="E6E6E6"/>
        </w:rPr>
        <w:object w:dxaOrig="2505" w:dyaOrig="2565" w14:anchorId="4AE337E9">
          <v:shape id="_x0000_i1031" style="width:97.65pt;height:97.1pt" o:ole="" type="#_x0000_t75">
            <v:imagedata o:title="" r:id="rId26"/>
          </v:shape>
          <o:OLEObject Type="Embed" ProgID="Visio.Drawing.15" ShapeID="_x0000_i1031" DrawAspect="Content" ObjectID="_1733128109" r:id="rId27"/>
        </w:object>
      </w:r>
    </w:p>
    <w:p w:rsidRPr="002E1829" w:rsidR="002A7854" w:rsidP="00C27C39" w:rsidRDefault="00484DB3" w14:paraId="2D1665D7" w14:textId="1E019EB9">
      <w:pPr>
        <w:pStyle w:val="ListParagraph"/>
        <w:numPr>
          <w:ilvl w:val="0"/>
          <w:numId w:val="14"/>
        </w:numPr>
      </w:pPr>
      <w:r w:rsidRPr="002E1829">
        <w:t xml:space="preserve">The MNSW Core </w:t>
      </w:r>
      <w:r w:rsidRPr="002E1829" w:rsidR="00347D8C">
        <w:t xml:space="preserve">(or at the national level) ensures the semantic </w:t>
      </w:r>
      <w:r w:rsidRPr="002E1829" w:rsidR="00930418">
        <w:t>validation of the payload received from RIM (</w:t>
      </w:r>
      <w:r w:rsidRPr="002E1829" w:rsidR="00D87621">
        <w:t>MIG P-14, MIG P-19</w:t>
      </w:r>
      <w:r w:rsidRPr="002E1829" w:rsidR="00930418">
        <w:t>)</w:t>
      </w:r>
    </w:p>
    <w:p w:rsidRPr="002E1829" w:rsidR="002A7854" w:rsidP="00C27C39" w:rsidRDefault="00930418" w14:paraId="4E11A8C8" w14:textId="0F89DC07">
      <w:pPr>
        <w:pStyle w:val="ListParagraph"/>
        <w:numPr>
          <w:ilvl w:val="0"/>
          <w:numId w:val="14"/>
        </w:numPr>
      </w:pPr>
      <w:r w:rsidRPr="002E1829">
        <w:t xml:space="preserve">Returns the formality response with the results of the semantic validation to the </w:t>
      </w:r>
      <w:r w:rsidRPr="002E1829" w:rsidR="00DB7EFD">
        <w:t>sender</w:t>
      </w:r>
      <w:r w:rsidRPr="002E1829">
        <w:t xml:space="preserve"> via the RIM (</w:t>
      </w:r>
      <w:r w:rsidRPr="002E1829" w:rsidR="00317B7A">
        <w:t>MIG P-14, MIG P-19</w:t>
      </w:r>
      <w:r w:rsidRPr="002E1829" w:rsidR="00625196">
        <w:t xml:space="preserve">) </w:t>
      </w:r>
    </w:p>
    <w:p w:rsidRPr="002E1829" w:rsidR="00C27C39" w:rsidP="00C27C39" w:rsidRDefault="00930418" w14:paraId="20F4F695" w14:textId="3AF18299">
      <w:pPr>
        <w:pStyle w:val="ListParagraph"/>
        <w:numPr>
          <w:ilvl w:val="0"/>
          <w:numId w:val="14"/>
        </w:numPr>
      </w:pPr>
      <w:r w:rsidRPr="002E1829">
        <w:t xml:space="preserve">Prepares &amp; forwards process </w:t>
      </w:r>
      <w:r w:rsidRPr="00C352DA">
        <w:t xml:space="preserve">responses to </w:t>
      </w:r>
      <w:r w:rsidRPr="00C352DA" w:rsidR="00C352DA">
        <w:t>the sender</w:t>
      </w:r>
      <w:r w:rsidRPr="00C352DA">
        <w:t xml:space="preserve"> via</w:t>
      </w:r>
      <w:r w:rsidRPr="002E1829">
        <w:t xml:space="preserve"> the RIM </w:t>
      </w:r>
      <w:r w:rsidRPr="001775C1" w:rsidR="00991FFA">
        <w:rPr>
          <w:lang w:val="en-IE"/>
        </w:rPr>
        <w:t>(</w:t>
      </w:r>
      <w:r w:rsidRPr="002E1829" w:rsidR="00931DE3">
        <w:t xml:space="preserve">MIG P-14, </w:t>
      </w:r>
      <w:r w:rsidRPr="002E1829" w:rsidR="001C36A0">
        <w:t xml:space="preserve">MIG P-16, </w:t>
      </w:r>
      <w:r w:rsidRPr="002E1829" w:rsidR="00931DE3">
        <w:t>MIG P-1</w:t>
      </w:r>
      <w:r w:rsidRPr="002E1829" w:rsidR="001C36A0">
        <w:t>8</w:t>
      </w:r>
      <w:r w:rsidRPr="001775C1" w:rsidR="00991FFA">
        <w:rPr>
          <w:lang w:val="en-IE"/>
        </w:rPr>
        <w:t>)</w:t>
      </w:r>
      <w:r w:rsidRPr="002E1829">
        <w:t>.</w:t>
      </w:r>
    </w:p>
    <w:p w:rsidRPr="002E1829" w:rsidR="002A7854" w:rsidP="00C27C39" w:rsidRDefault="00930418" w14:paraId="75B9CE46" w14:textId="16881B36">
      <w:pPr>
        <w:pStyle w:val="ListParagraph"/>
        <w:numPr>
          <w:ilvl w:val="0"/>
          <w:numId w:val="14"/>
        </w:numPr>
      </w:pPr>
      <w:r w:rsidRPr="002E1829">
        <w:t>Response messages are communicated through the channels (e.g., RIM) used by the declarant. (</w:t>
      </w:r>
      <w:r w:rsidRPr="002E1829" w:rsidR="0072325E">
        <w:t>MIG P-17</w:t>
      </w:r>
      <w:r w:rsidRPr="002E1829">
        <w:t>)</w:t>
      </w:r>
    </w:p>
    <w:p w:rsidRPr="002E1829" w:rsidR="00C27C39" w:rsidP="00C27C39" w:rsidRDefault="00930418" w14:paraId="344D12E4" w14:textId="71972BAA">
      <w:pPr>
        <w:pStyle w:val="ListParagraph"/>
        <w:numPr>
          <w:ilvl w:val="0"/>
          <w:numId w:val="14"/>
        </w:numPr>
      </w:pPr>
      <w:r w:rsidRPr="002E1829">
        <w:t>Ensures ships identification information &amp; ship particulars reported by declarants are provided to the ESD (</w:t>
      </w:r>
      <w:r w:rsidRPr="001775C1" w:rsidR="003315C9">
        <w:rPr>
          <w:color w:val="242424"/>
          <w:shd w:val="clear" w:color="auto" w:fill="FFFFFF"/>
          <w:lang w:val="en-IE"/>
        </w:rPr>
        <w:t>REG Article 14</w:t>
      </w:r>
      <w:r w:rsidRPr="002E1829">
        <w:t>)</w:t>
      </w:r>
    </w:p>
    <w:p w:rsidRPr="002E1829" w:rsidR="00C27C39" w:rsidP="00C27C39" w:rsidRDefault="00A84ABD" w14:paraId="0BDA87ED" w14:textId="14E969CA">
      <w:pPr>
        <w:pStyle w:val="ListParagraph"/>
        <w:numPr>
          <w:ilvl w:val="0"/>
          <w:numId w:val="14"/>
        </w:numPr>
      </w:pPr>
      <w:r w:rsidRPr="001775C1">
        <w:rPr>
          <w:lang w:val="en-IE"/>
        </w:rPr>
        <w:t>Replace mechanism is applied when formality is updated</w:t>
      </w:r>
      <w:r w:rsidRPr="002E1829" w:rsidR="00930418">
        <w:t xml:space="preserve"> (</w:t>
      </w:r>
      <w:r w:rsidRPr="002E1829" w:rsidR="00315EED">
        <w:t>MIG P-23</w:t>
      </w:r>
      <w:r w:rsidRPr="002E1829" w:rsidR="00930418">
        <w:t>)</w:t>
      </w:r>
    </w:p>
    <w:p w:rsidRPr="002E1829" w:rsidR="00C27C39" w:rsidP="00C27C39" w:rsidRDefault="00F81C9B" w14:paraId="599D536E" w14:textId="3AAD0310">
      <w:pPr>
        <w:pStyle w:val="ListParagraph"/>
        <w:numPr>
          <w:ilvl w:val="0"/>
          <w:numId w:val="14"/>
        </w:numPr>
      </w:pPr>
      <w:r w:rsidRPr="001775C1">
        <w:rPr>
          <w:lang w:val="en-IE"/>
        </w:rPr>
        <w:t>Makes available data from received</w:t>
      </w:r>
      <w:r w:rsidRPr="002E1829">
        <w:t xml:space="preserve"> </w:t>
      </w:r>
      <w:r w:rsidRPr="002E1829" w:rsidR="00930418">
        <w:t xml:space="preserve">formalities with </w:t>
      </w:r>
      <w:r w:rsidR="005759A8">
        <w:t>relevant</w:t>
      </w:r>
      <w:r w:rsidRPr="002E1829" w:rsidR="005759A8">
        <w:t xml:space="preserve"> </w:t>
      </w:r>
      <w:r w:rsidRPr="002E1829" w:rsidR="00930418">
        <w:t>authorities (</w:t>
      </w:r>
      <w:r w:rsidRPr="002E1829" w:rsidR="00E06A9F">
        <w:t>MIG P-2, MIG P-3</w:t>
      </w:r>
      <w:r w:rsidRPr="002E1829" w:rsidR="00930418">
        <w:t>)</w:t>
      </w:r>
    </w:p>
    <w:p w:rsidRPr="002E1829" w:rsidR="00C27C39" w:rsidP="00C27C39" w:rsidRDefault="00930418" w14:paraId="43046AB1" w14:textId="11E8E5AE">
      <w:pPr>
        <w:pStyle w:val="ListParagraph"/>
        <w:numPr>
          <w:ilvl w:val="0"/>
          <w:numId w:val="14"/>
        </w:numPr>
      </w:pPr>
      <w:r w:rsidRPr="002E1829">
        <w:t>Translates formality messages from MIG common formats to the national formats</w:t>
      </w:r>
      <w:r w:rsidRPr="001775C1" w:rsidR="00BE3C67">
        <w:rPr>
          <w:lang w:val="en-IE"/>
        </w:rPr>
        <w:t xml:space="preserve"> where </w:t>
      </w:r>
      <w:r w:rsidRPr="001775C1" w:rsidR="00085155">
        <w:rPr>
          <w:lang w:val="en-IE"/>
        </w:rPr>
        <w:t>necessary</w:t>
      </w:r>
      <w:r w:rsidRPr="002E1829">
        <w:t xml:space="preserve"> (</w:t>
      </w:r>
      <w:r w:rsidRPr="002E1829" w:rsidR="0010774F">
        <w:t>MIG-4.1</w:t>
      </w:r>
      <w:r w:rsidRPr="002E1829">
        <w:t>)</w:t>
      </w:r>
    </w:p>
    <w:p w:rsidRPr="002E1829" w:rsidR="00F470E9" w:rsidP="00F470E9" w:rsidRDefault="00F470E9" w14:paraId="23EE1A44" w14:textId="5AF3BB03">
      <w:pPr>
        <w:pStyle w:val="ListParagraph"/>
        <w:numPr>
          <w:ilvl w:val="0"/>
          <w:numId w:val="14"/>
        </w:numPr>
      </w:pPr>
      <w:r w:rsidRPr="002E1829">
        <w:t>Supports two major versions (which can be major, medium, minor) of each type of formality and each type of response (</w:t>
      </w:r>
      <w:r w:rsidRPr="002E1829" w:rsidR="00C0342C">
        <w:t>MIG-5</w:t>
      </w:r>
      <w:r w:rsidRPr="002E1829">
        <w:t>). The support of each version shall be maintained according to the validity periods.</w:t>
      </w:r>
    </w:p>
    <w:p w:rsidRPr="002E1829" w:rsidR="0024796D" w:rsidP="002A7854" w:rsidRDefault="0024796D" w14:paraId="342BC719" w14:textId="77777777"/>
    <w:p w:rsidRPr="00800028" w:rsidR="008A336B" w:rsidP="00B539E5" w:rsidRDefault="00E332CE" w14:paraId="72302525" w14:textId="43FDBCDC">
      <w:pPr>
        <w:pStyle w:val="Heading3"/>
        <w:rPr>
          <w:sz w:val="20"/>
          <w:szCs w:val="20"/>
          <w:lang w:eastAsia="pl-PL"/>
        </w:rPr>
      </w:pPr>
      <w:bookmarkStart w:name="_Toc121929697" w:id="17"/>
      <w:bookmarkStart w:name="_Toc121930648" w:id="18"/>
      <w:bookmarkStart w:name="_Hlk70617812" w:id="19"/>
      <w:r w:rsidRPr="00800028">
        <w:t>The Journey of a formality and response.</w:t>
      </w:r>
      <w:bookmarkEnd w:id="17"/>
      <w:bookmarkEnd w:id="18"/>
      <w:r w:rsidRPr="00800028" w:rsidR="008A336B">
        <w:t xml:space="preserve">  </w:t>
      </w:r>
    </w:p>
    <w:p w:rsidRPr="002E1829" w:rsidR="00CA306D" w:rsidP="00CA306D" w:rsidRDefault="00CA306D" w14:paraId="25793F24" w14:textId="1F282A2E">
      <w:bookmarkStart w:name="_Hlk70617830" w:id="20"/>
      <w:bookmarkEnd w:id="19"/>
      <w:r w:rsidRPr="002E1829">
        <w:t xml:space="preserve">Below is an example of a process flow when a user makes a declaration in a </w:t>
      </w:r>
      <w:r w:rsidRPr="002E1829" w:rsidR="00E332CE">
        <w:t>S</w:t>
      </w:r>
      <w:r w:rsidRPr="002E1829">
        <w:t>2S interaction.</w:t>
      </w:r>
    </w:p>
    <w:p w:rsidRPr="002E1829" w:rsidR="00AE7503" w:rsidP="00CA306D" w:rsidRDefault="00AE7503" w14:paraId="3CC891B9" w14:textId="20735832">
      <w:r w:rsidRPr="002E1829">
        <w:t>System to System Declaration</w:t>
      </w:r>
    </w:p>
    <w:p w:rsidRPr="00800028" w:rsidR="00CA306D" w:rsidP="00196583" w:rsidRDefault="00CC6418" w14:paraId="14897F44" w14:textId="50E53AAF">
      <w:pPr>
        <w:pStyle w:val="ListParagraph"/>
        <w:numPr>
          <w:ilvl w:val="0"/>
          <w:numId w:val="15"/>
        </w:numPr>
      </w:pPr>
      <w:r w:rsidRPr="002E1829">
        <w:t xml:space="preserve">Based on the declarant's formality data, conformant to the MIG, the </w:t>
      </w:r>
      <w:r w:rsidRPr="002E1829" w:rsidR="0077461D">
        <w:t>sender</w:t>
      </w:r>
      <w:r w:rsidRPr="002E1829">
        <w:t xml:space="preserve"> prepares a </w:t>
      </w:r>
      <w:r w:rsidR="00CB69C4">
        <w:t>formality message</w:t>
      </w:r>
    </w:p>
    <w:p w:rsidRPr="002E1829" w:rsidR="00CA306D" w:rsidP="00196583" w:rsidRDefault="00CC6418" w14:paraId="79E404B4" w14:textId="4EF22739">
      <w:pPr>
        <w:pStyle w:val="ListParagraph"/>
        <w:numPr>
          <w:ilvl w:val="0"/>
          <w:numId w:val="16"/>
        </w:numPr>
      </w:pPr>
      <w:r w:rsidRPr="002E1829">
        <w:t xml:space="preserve">The </w:t>
      </w:r>
      <w:r w:rsidRPr="001775C1" w:rsidR="000E70B4">
        <w:rPr>
          <w:lang w:val="en-IE"/>
        </w:rPr>
        <w:t>formality</w:t>
      </w:r>
      <w:r w:rsidR="00CB69C4">
        <w:rPr>
          <w:lang w:val="en-IE"/>
        </w:rPr>
        <w:t xml:space="preserve"> message</w:t>
      </w:r>
      <w:r w:rsidRPr="002E1829">
        <w:t xml:space="preserve"> is passed by the </w:t>
      </w:r>
      <w:r w:rsidRPr="002E1829" w:rsidR="00ED6DD5">
        <w:t>sender’s</w:t>
      </w:r>
      <w:r w:rsidRPr="002E1829">
        <w:t xml:space="preserve"> information system to the AS4 Access Point on his/her side where AS4 message with the</w:t>
      </w:r>
      <w:r w:rsidRPr="001775C1" w:rsidR="000E70B4">
        <w:rPr>
          <w:lang w:val="en-IE"/>
        </w:rPr>
        <w:t xml:space="preserve"> formality as a</w:t>
      </w:r>
      <w:r w:rsidRPr="002E1829">
        <w:t xml:space="preserve"> </w:t>
      </w:r>
      <w:r w:rsidRPr="001775C1" w:rsidR="000E70B4">
        <w:rPr>
          <w:lang w:val="en-IE"/>
        </w:rPr>
        <w:t>payload</w:t>
      </w:r>
      <w:r w:rsidRPr="002E1829" w:rsidR="000E70B4">
        <w:t xml:space="preserve"> </w:t>
      </w:r>
      <w:r w:rsidRPr="002E1829">
        <w:t xml:space="preserve">is formed and signed with electronic certificate of the </w:t>
      </w:r>
      <w:r w:rsidRPr="002E1829" w:rsidR="00ED6DD5">
        <w:t>sender</w:t>
      </w:r>
      <w:r w:rsidRPr="002E1829">
        <w:t>.</w:t>
      </w:r>
    </w:p>
    <w:p w:rsidRPr="002E1829" w:rsidR="00CC6418" w:rsidP="00196583" w:rsidRDefault="00CC6418" w14:paraId="5A2AD327" w14:textId="0D46C4B5">
      <w:pPr>
        <w:pStyle w:val="ListParagraph"/>
        <w:numPr>
          <w:ilvl w:val="0"/>
          <w:numId w:val="16"/>
        </w:numPr>
      </w:pPr>
      <w:r w:rsidRPr="002E1829">
        <w:t xml:space="preserve">The </w:t>
      </w:r>
      <w:r w:rsidRPr="00800028" w:rsidR="00526A28">
        <w:t>Sender’s AS4 AP</w:t>
      </w:r>
      <w:r w:rsidRPr="002E1829">
        <w:t xml:space="preserve"> the</w:t>
      </w:r>
      <w:r w:rsidRPr="002E1829" w:rsidR="00D305AC">
        <w:t>n</w:t>
      </w:r>
      <w:r w:rsidRPr="002E1829">
        <w:t xml:space="preserve"> sends the AS4 message (with the payload) to the MNSW-RIM</w:t>
      </w:r>
    </w:p>
    <w:p w:rsidRPr="009F4053" w:rsidR="0047362F" w:rsidP="00196583" w:rsidRDefault="00CC6418" w14:paraId="3415C7FB" w14:textId="3B94C8A6">
      <w:pPr>
        <w:pStyle w:val="ListParagraph"/>
        <w:numPr>
          <w:ilvl w:val="0"/>
          <w:numId w:val="16"/>
        </w:numPr>
        <w:rPr>
          <w:lang w:val="en-IE"/>
        </w:rPr>
      </w:pPr>
      <w:r w:rsidRPr="002E1829">
        <w:t>When the MNSW-RIM receives the AS4 message, it returns a technical receipt confirmation to the</w:t>
      </w:r>
      <w:r w:rsidRPr="001775C1" w:rsidR="00526A28">
        <w:rPr>
          <w:lang w:val="en-IE"/>
        </w:rPr>
        <w:t xml:space="preserve"> Sender’s AS4 AP</w:t>
      </w:r>
      <w:r w:rsidRPr="002E1829">
        <w:t xml:space="preserve">. </w:t>
      </w:r>
      <w:r w:rsidRPr="002E1829" w:rsidR="00041059">
        <w:t xml:space="preserve">In order to validate the </w:t>
      </w:r>
      <w:r w:rsidRPr="001775C1" w:rsidR="00526A28">
        <w:rPr>
          <w:lang w:val="en-IE"/>
        </w:rPr>
        <w:t>s</w:t>
      </w:r>
      <w:r w:rsidRPr="002E1829" w:rsidR="00041059">
        <w:t>ender, t</w:t>
      </w:r>
      <w:r w:rsidRPr="002E1829" w:rsidR="00593F57">
        <w:t xml:space="preserve">he </w:t>
      </w:r>
      <w:r w:rsidRPr="002E1829" w:rsidR="00C45F8E">
        <w:t>validation</w:t>
      </w:r>
      <w:r w:rsidRPr="001775C1" w:rsidR="00526A28">
        <w:rPr>
          <w:lang w:val="en-IE"/>
        </w:rPr>
        <w:t xml:space="preserve"> service</w:t>
      </w:r>
      <w:r w:rsidRPr="002E1829" w:rsidR="00C45F8E">
        <w:t xml:space="preserve"> </w:t>
      </w:r>
      <w:r w:rsidRPr="002E1829" w:rsidR="00593F57">
        <w:t xml:space="preserve">is triggered </w:t>
      </w:r>
      <w:r w:rsidRPr="002E1829" w:rsidR="00A94952">
        <w:t>in the RIM</w:t>
      </w:r>
      <w:r w:rsidRPr="001775C1" w:rsidR="00D149A7">
        <w:rPr>
          <w:lang w:val="en-IE"/>
        </w:rPr>
        <w:t xml:space="preserve"> and then performed</w:t>
      </w:r>
      <w:r w:rsidRPr="009F4053" w:rsidR="00A94952">
        <w:rPr>
          <w:lang w:val="en-IE"/>
        </w:rPr>
        <w:t xml:space="preserve"> </w:t>
      </w:r>
      <w:r w:rsidRPr="009F4053" w:rsidR="00593F57">
        <w:rPr>
          <w:lang w:val="en-IE"/>
        </w:rPr>
        <w:t>either through</w:t>
      </w:r>
      <w:r w:rsidRPr="009F4053" w:rsidR="0047362F">
        <w:rPr>
          <w:lang w:val="en-IE"/>
        </w:rPr>
        <w:t>:</w:t>
      </w:r>
    </w:p>
    <w:p w:rsidRPr="009F4053" w:rsidR="00F53300" w:rsidP="00196583" w:rsidRDefault="00C45F8E" w14:paraId="4B5B5275" w14:textId="3F8FE98C">
      <w:pPr>
        <w:pStyle w:val="ListParagraph"/>
        <w:numPr>
          <w:ilvl w:val="0"/>
          <w:numId w:val="46"/>
        </w:numPr>
        <w:rPr>
          <w:lang w:val="en-IE"/>
        </w:rPr>
      </w:pPr>
      <w:r w:rsidRPr="009F4053">
        <w:rPr>
          <w:lang w:val="en-IE"/>
        </w:rPr>
        <w:t>URAM</w:t>
      </w:r>
      <w:r w:rsidRPr="009F4053" w:rsidR="00FD0A36">
        <w:rPr>
          <w:lang w:val="en-IE"/>
        </w:rPr>
        <w:t xml:space="preserve"> </w:t>
      </w:r>
      <w:r w:rsidRPr="009F4053" w:rsidR="00A94952">
        <w:rPr>
          <w:lang w:val="en-IE"/>
        </w:rPr>
        <w:t xml:space="preserve">validation service </w:t>
      </w:r>
      <w:r w:rsidRPr="009F4053">
        <w:rPr>
          <w:lang w:val="en-IE"/>
        </w:rPr>
        <w:t xml:space="preserve"> </w:t>
      </w:r>
    </w:p>
    <w:p w:rsidRPr="009F4053" w:rsidR="00F53300" w:rsidP="00196583" w:rsidRDefault="00C45F8E" w14:paraId="3B737AC3" w14:textId="69276FFB">
      <w:pPr>
        <w:pStyle w:val="ListParagraph"/>
        <w:numPr>
          <w:ilvl w:val="0"/>
          <w:numId w:val="46"/>
        </w:numPr>
        <w:rPr>
          <w:lang w:val="en-IE"/>
        </w:rPr>
      </w:pPr>
      <w:r w:rsidRPr="009F4053">
        <w:rPr>
          <w:lang w:val="en-IE"/>
        </w:rPr>
        <w:t xml:space="preserve">MS validation service. </w:t>
      </w:r>
    </w:p>
    <w:p w:rsidRPr="009F4053" w:rsidR="00CA306D" w:rsidP="00196583" w:rsidRDefault="00CC6418" w14:paraId="3B9565A7" w14:textId="6F835672">
      <w:pPr>
        <w:rPr>
          <w:lang w:val="en-IE"/>
        </w:rPr>
      </w:pPr>
      <w:r w:rsidRPr="009F4053">
        <w:rPr>
          <w:lang w:val="en-IE"/>
        </w:rPr>
        <w:t>Based on the MS</w:t>
      </w:r>
      <w:r w:rsidRPr="001775C1" w:rsidR="004B3D47">
        <w:rPr>
          <w:lang w:val="en-IE"/>
        </w:rPr>
        <w:t xml:space="preserve"> architecture</w:t>
      </w:r>
      <w:r w:rsidRPr="009F4053">
        <w:rPr>
          <w:lang w:val="en-IE"/>
        </w:rPr>
        <w:t>, validation is performed as follows:</w:t>
      </w:r>
    </w:p>
    <w:tbl>
      <w:tblPr>
        <w:tblStyle w:val="TableWeb2"/>
        <w:tblW w:w="0" w:type="auto"/>
        <w:tblLook w:val="04A0" w:firstRow="1" w:lastRow="0" w:firstColumn="1" w:lastColumn="0" w:noHBand="0" w:noVBand="1"/>
      </w:tblPr>
      <w:tblGrid>
        <w:gridCol w:w="3961"/>
        <w:gridCol w:w="5121"/>
      </w:tblGrid>
      <w:tr w:rsidRPr="001775C1" w:rsidR="00CA306D" w:rsidTr="00F42D73" w14:paraId="42AC53F7" w14:textId="77777777">
        <w:trPr>
          <w:cnfStyle w:val="100000000000" w:firstRow="1" w:lastRow="0" w:firstColumn="0" w:lastColumn="0" w:oddVBand="0" w:evenVBand="0" w:oddHBand="0" w:evenHBand="0" w:firstRowFirstColumn="0" w:firstRowLastColumn="0" w:lastRowFirstColumn="0" w:lastRowLastColumn="0"/>
        </w:trPr>
        <w:tc>
          <w:tcPr>
            <w:tcW w:w="3901" w:type="dxa"/>
          </w:tcPr>
          <w:p w:rsidRPr="009F4053" w:rsidR="00CA306D" w:rsidP="00196583" w:rsidRDefault="00A94952" w14:paraId="6D697FAC" w14:textId="6F06BB22">
            <w:pPr>
              <w:rPr>
                <w:lang w:val="en-IE"/>
              </w:rPr>
            </w:pPr>
            <w:r w:rsidRPr="009F4053">
              <w:rPr>
                <w:lang w:val="en-IE"/>
              </w:rPr>
              <w:t>URAM validation service</w:t>
            </w:r>
          </w:p>
        </w:tc>
        <w:tc>
          <w:tcPr>
            <w:tcW w:w="5061" w:type="dxa"/>
          </w:tcPr>
          <w:p w:rsidRPr="009F4053" w:rsidR="00CA306D" w:rsidP="00196583" w:rsidRDefault="00A94952" w14:paraId="0353D8AF" w14:textId="0BE90A16">
            <w:pPr>
              <w:rPr>
                <w:lang w:val="en-IE"/>
              </w:rPr>
            </w:pPr>
            <w:r w:rsidRPr="009F4053">
              <w:rPr>
                <w:lang w:val="en-IE"/>
              </w:rPr>
              <w:t>Member state validation service</w:t>
            </w:r>
          </w:p>
        </w:tc>
      </w:tr>
      <w:tr w:rsidRPr="001775C1" w:rsidR="00CA306D" w:rsidTr="00F42D73" w14:paraId="4BAF66EB" w14:textId="77777777">
        <w:tc>
          <w:tcPr>
            <w:tcW w:w="3901" w:type="dxa"/>
          </w:tcPr>
          <w:p w:rsidRPr="00800028" w:rsidR="00CA306D" w:rsidP="00196583" w:rsidRDefault="005C0DE3" w14:paraId="368C67DC" w14:textId="2A200BF3">
            <w:pPr>
              <w:rPr>
                <w:lang w:val="en-IE"/>
              </w:rPr>
            </w:pPr>
            <w:r w:rsidRPr="001775C1">
              <w:rPr>
                <w:lang w:val="en-IE"/>
              </w:rPr>
              <w:t>URAM validation service</w:t>
            </w:r>
            <w:r w:rsidRPr="009F4053" w:rsidR="006E51C6">
              <w:rPr>
                <w:lang w:val="en-IE"/>
              </w:rPr>
              <w:t xml:space="preserve"> validates the certificate</w:t>
            </w:r>
            <w:r w:rsidRPr="001775C1">
              <w:rPr>
                <w:lang w:val="en-IE"/>
              </w:rPr>
              <w:t>,</w:t>
            </w:r>
            <w:r w:rsidRPr="001775C1" w:rsidR="00961AB6">
              <w:rPr>
                <w:lang w:val="en-IE"/>
              </w:rPr>
              <w:t xml:space="preserve"> its ownership</w:t>
            </w:r>
            <w:r w:rsidRPr="009F4053" w:rsidR="006E51C6">
              <w:rPr>
                <w:lang w:val="en-IE"/>
              </w:rPr>
              <w:t xml:space="preserve"> </w:t>
            </w:r>
            <w:r w:rsidRPr="001775C1" w:rsidR="00961AB6">
              <w:rPr>
                <w:lang w:val="en-IE"/>
              </w:rPr>
              <w:t>and sender’s identity</w:t>
            </w:r>
            <w:r w:rsidRPr="001775C1">
              <w:rPr>
                <w:lang w:val="en-IE"/>
              </w:rPr>
              <w:t>.</w:t>
            </w:r>
          </w:p>
          <w:p w:rsidRPr="00800028" w:rsidR="00C24BE1" w:rsidP="000A612F" w:rsidRDefault="00A94952" w14:paraId="7E3A63A8" w14:textId="4C1C4787">
            <w:pPr>
              <w:rPr>
                <w:lang w:val="en-IE"/>
              </w:rPr>
            </w:pPr>
            <w:r w:rsidRPr="009F4053">
              <w:rPr>
                <w:lang w:val="en-IE"/>
              </w:rPr>
              <w:t>T</w:t>
            </w:r>
            <w:r w:rsidRPr="009F4053" w:rsidR="000A612F">
              <w:rPr>
                <w:lang w:val="en-IE"/>
              </w:rPr>
              <w:t>he</w:t>
            </w:r>
            <w:r w:rsidRPr="009F4053">
              <w:rPr>
                <w:lang w:val="en-IE"/>
              </w:rPr>
              <w:t xml:space="preserve"> URA</w:t>
            </w:r>
            <w:r w:rsidRPr="009F4053" w:rsidR="000A612F">
              <w:rPr>
                <w:lang w:val="en-IE"/>
              </w:rPr>
              <w:t>M</w:t>
            </w:r>
            <w:r w:rsidRPr="009F4053">
              <w:rPr>
                <w:lang w:val="en-IE"/>
              </w:rPr>
              <w:t xml:space="preserve"> validation service </w:t>
            </w:r>
            <w:r w:rsidRPr="009F4053" w:rsidR="000A612F">
              <w:rPr>
                <w:lang w:val="en-IE"/>
              </w:rPr>
              <w:t>can validate against its own central registry or national registry</w:t>
            </w:r>
            <w:r w:rsidRPr="00800028" w:rsidR="00961AB6">
              <w:rPr>
                <w:lang w:val="en-IE"/>
              </w:rPr>
              <w:t>. Validation against national registry will happen when the sender</w:t>
            </w:r>
            <w:r w:rsidRPr="009F4053" w:rsidR="00961AB6">
              <w:rPr>
                <w:lang w:val="en-IE"/>
              </w:rPr>
              <w:t xml:space="preserve"> </w:t>
            </w:r>
            <w:r w:rsidRPr="009F4053" w:rsidR="000A612F">
              <w:rPr>
                <w:lang w:val="en-IE"/>
              </w:rPr>
              <w:t>is not found centrally</w:t>
            </w:r>
            <w:r w:rsidRPr="00800028" w:rsidR="004B3D47">
              <w:rPr>
                <w:lang w:val="en-IE"/>
              </w:rPr>
              <w:t xml:space="preserve"> and</w:t>
            </w:r>
            <w:r w:rsidRPr="00800028" w:rsidR="00961AB6">
              <w:rPr>
                <w:lang w:val="en-IE"/>
              </w:rPr>
              <w:t xml:space="preserve"> the specific national registry</w:t>
            </w:r>
            <w:r w:rsidRPr="00800028" w:rsidR="004B3D47">
              <w:rPr>
                <w:lang w:val="en-IE"/>
              </w:rPr>
              <w:t xml:space="preserve"> </w:t>
            </w:r>
            <w:r w:rsidRPr="00800028" w:rsidR="00062A09">
              <w:rPr>
                <w:lang w:val="en-IE"/>
              </w:rPr>
              <w:t xml:space="preserve">has integrated </w:t>
            </w:r>
            <w:r w:rsidRPr="00800028" w:rsidR="00062A09">
              <w:rPr>
                <w:lang w:val="en-IE"/>
              </w:rPr>
              <w:t>with the URAM validation service.</w:t>
            </w:r>
            <w:r w:rsidRPr="00800028" w:rsidR="00F078B8">
              <w:rPr>
                <w:lang w:val="en-IE"/>
              </w:rPr>
              <w:t xml:space="preserve"> (RIMFTS 3.2)</w:t>
            </w:r>
          </w:p>
          <w:p w:rsidRPr="009F4053" w:rsidR="00890E10" w:rsidP="00196583" w:rsidRDefault="00890E10" w14:paraId="681E12E2" w14:textId="2539D425">
            <w:pPr>
              <w:rPr>
                <w:lang w:val="en-IE"/>
              </w:rPr>
            </w:pPr>
          </w:p>
        </w:tc>
        <w:tc>
          <w:tcPr>
            <w:tcW w:w="5061" w:type="dxa"/>
          </w:tcPr>
          <w:p w:rsidRPr="009F4053" w:rsidR="00A01101" w:rsidP="00196583" w:rsidRDefault="00CB69C4" w14:paraId="7F1BC83C" w14:textId="625A2791">
            <w:pPr>
              <w:rPr>
                <w:lang w:val="en-IE"/>
              </w:rPr>
            </w:pPr>
            <w:r w:rsidRPr="009F4053">
              <w:rPr>
                <w:lang w:val="en-IE"/>
              </w:rPr>
              <w:t>Member State validates the</w:t>
            </w:r>
            <w:r w:rsidRPr="009F4053" w:rsidR="006E51C6">
              <w:rPr>
                <w:lang w:val="en-IE"/>
              </w:rPr>
              <w:t xml:space="preserve"> certificate</w:t>
            </w:r>
            <w:r w:rsidRPr="001775C1" w:rsidR="005C0DE3">
              <w:rPr>
                <w:lang w:val="en-IE"/>
              </w:rPr>
              <w:t>, its ownership and sender’s identity</w:t>
            </w:r>
            <w:r w:rsidRPr="009F4053" w:rsidR="00A01101">
              <w:rPr>
                <w:lang w:val="en-IE"/>
              </w:rPr>
              <w:t>.</w:t>
            </w:r>
          </w:p>
          <w:p w:rsidRPr="009F4053" w:rsidR="006465ED" w:rsidP="00196583" w:rsidRDefault="00F078B8" w14:paraId="64C74503" w14:textId="63B18788">
            <w:pPr>
              <w:rPr>
                <w:lang w:val="en-IE"/>
              </w:rPr>
            </w:pPr>
            <w:r w:rsidRPr="00800028">
              <w:rPr>
                <w:lang w:val="en-IE"/>
              </w:rPr>
              <w:t>I</w:t>
            </w:r>
            <w:r w:rsidRPr="009F4053" w:rsidR="006E51C6">
              <w:rPr>
                <w:lang w:val="en-IE"/>
              </w:rPr>
              <w:t>n case a certificate cannot be validated nationally (because the certificate is registered centrally or in another MS)</w:t>
            </w:r>
            <w:r w:rsidRPr="009F4053" w:rsidR="00225621">
              <w:rPr>
                <w:lang w:val="en-IE"/>
              </w:rPr>
              <w:t>,</w:t>
            </w:r>
            <w:r w:rsidRPr="009F4053" w:rsidR="006E51C6">
              <w:rPr>
                <w:lang w:val="en-IE"/>
              </w:rPr>
              <w:t xml:space="preserve"> </w:t>
            </w:r>
            <w:r w:rsidRPr="009F4053" w:rsidR="000A612F">
              <w:rPr>
                <w:lang w:val="en-IE"/>
              </w:rPr>
              <w:t xml:space="preserve">the request will </w:t>
            </w:r>
            <w:r w:rsidRPr="009F4053" w:rsidR="00C13C94">
              <w:rPr>
                <w:lang w:val="en-IE"/>
              </w:rPr>
              <w:t>be passed</w:t>
            </w:r>
            <w:r w:rsidRPr="009F4053" w:rsidR="000A612F">
              <w:rPr>
                <w:lang w:val="en-IE"/>
              </w:rPr>
              <w:t xml:space="preserve"> to the </w:t>
            </w:r>
            <w:r w:rsidRPr="009F4053" w:rsidR="006E51C6">
              <w:rPr>
                <w:lang w:val="en-IE"/>
              </w:rPr>
              <w:t>URAM</w:t>
            </w:r>
            <w:r w:rsidRPr="009F4053" w:rsidR="000A612F">
              <w:rPr>
                <w:lang w:val="en-IE"/>
              </w:rPr>
              <w:t xml:space="preserve"> validation service.</w:t>
            </w:r>
          </w:p>
        </w:tc>
      </w:tr>
    </w:tbl>
    <w:p w:rsidRPr="002E1829" w:rsidR="00CA306D" w:rsidP="00196583" w:rsidRDefault="00CA306D" w14:paraId="230C359E" w14:textId="77777777">
      <w:pPr>
        <w:pStyle w:val="ListParagraph"/>
      </w:pPr>
    </w:p>
    <w:p w:rsidRPr="002E1829" w:rsidR="000A612F" w:rsidP="00196583" w:rsidRDefault="00FB4510" w14:paraId="7C339930" w14:textId="407C18B8">
      <w:pPr>
        <w:pStyle w:val="ListParagraph"/>
        <w:numPr>
          <w:ilvl w:val="0"/>
          <w:numId w:val="16"/>
        </w:numPr>
        <w:rPr>
          <w:color w:val="000000"/>
        </w:rPr>
      </w:pPr>
      <w:r w:rsidRPr="002E1829">
        <w:t xml:space="preserve">If the validation response is positive, </w:t>
      </w:r>
      <w:r w:rsidRPr="002E1829" w:rsidR="009237A3">
        <w:t>the MNSW-RIM</w:t>
      </w:r>
      <w:r w:rsidRPr="001775C1" w:rsidR="00115860">
        <w:rPr>
          <w:lang w:val="en-IE"/>
        </w:rPr>
        <w:t xml:space="preserve"> extracts the formality</w:t>
      </w:r>
      <w:r w:rsidRPr="001775C1" w:rsidR="009A71F6">
        <w:rPr>
          <w:lang w:val="en-IE"/>
        </w:rPr>
        <w:t xml:space="preserve"> message</w:t>
      </w:r>
      <w:r w:rsidRPr="001775C1" w:rsidR="00115860">
        <w:rPr>
          <w:lang w:val="en-IE"/>
        </w:rPr>
        <w:t xml:space="preserve"> </w:t>
      </w:r>
      <w:r w:rsidRPr="001775C1" w:rsidR="009A71F6">
        <w:rPr>
          <w:lang w:val="en-IE"/>
        </w:rPr>
        <w:t>from</w:t>
      </w:r>
      <w:r w:rsidRPr="001775C1" w:rsidR="00115860">
        <w:rPr>
          <w:lang w:val="en-IE"/>
        </w:rPr>
        <w:t xml:space="preserve"> the AS4 message,</w:t>
      </w:r>
      <w:r w:rsidRPr="002E1829" w:rsidR="009237A3">
        <w:t xml:space="preserve"> checks whether </w:t>
      </w:r>
      <w:r w:rsidRPr="002E1829" w:rsidR="00F16E18">
        <w:t xml:space="preserve">the MIG version </w:t>
      </w:r>
      <w:r w:rsidRPr="001775C1" w:rsidR="00115860">
        <w:rPr>
          <w:lang w:val="en-IE"/>
        </w:rPr>
        <w:t>of the formality</w:t>
      </w:r>
      <w:r w:rsidRPr="001775C1" w:rsidR="009A71F6">
        <w:rPr>
          <w:lang w:val="en-IE"/>
        </w:rPr>
        <w:t xml:space="preserve"> message</w:t>
      </w:r>
      <w:r w:rsidRPr="001775C1" w:rsidR="00115860">
        <w:rPr>
          <w:lang w:val="en-IE"/>
        </w:rPr>
        <w:t xml:space="preserve"> is compliant</w:t>
      </w:r>
      <w:r w:rsidRPr="002E1829" w:rsidR="00F16E18">
        <w:t xml:space="preserve"> </w:t>
      </w:r>
      <w:r w:rsidRPr="00800028" w:rsidR="00E35BA6">
        <w:t xml:space="preserve">and </w:t>
      </w:r>
      <w:r w:rsidRPr="00800028" w:rsidR="00066F97">
        <w:t>checks the</w:t>
      </w:r>
      <w:r w:rsidRPr="00800028" w:rsidR="00E35BA6">
        <w:t xml:space="preserve"> syntax</w:t>
      </w:r>
      <w:r w:rsidRPr="002E1829" w:rsidR="00E35BA6">
        <w:rPr>
          <w:color w:val="000000"/>
        </w:rPr>
        <w:t xml:space="preserve"> of the </w:t>
      </w:r>
      <w:r w:rsidRPr="001775C1" w:rsidR="00115860">
        <w:rPr>
          <w:color w:val="000000"/>
          <w:lang w:val="en-IE"/>
        </w:rPr>
        <w:t>formality</w:t>
      </w:r>
      <w:r w:rsidRPr="001775C1" w:rsidR="009A71F6">
        <w:rPr>
          <w:color w:val="000000"/>
          <w:lang w:val="en-IE"/>
        </w:rPr>
        <w:t xml:space="preserve"> message</w:t>
      </w:r>
      <w:r w:rsidRPr="002E1829" w:rsidR="00E35BA6">
        <w:rPr>
          <w:color w:val="000000"/>
        </w:rPr>
        <w:t xml:space="preserve"> </w:t>
      </w:r>
      <w:r w:rsidRPr="002E1829" w:rsidR="00E35BA6">
        <w:t>(MIG 4.1</w:t>
      </w:r>
      <w:r w:rsidRPr="001775C1" w:rsidR="0061485B">
        <w:rPr>
          <w:lang w:val="en-IE"/>
        </w:rPr>
        <w:t>, RIMFTS</w:t>
      </w:r>
      <w:r w:rsidRPr="002E1829" w:rsidR="00E35BA6">
        <w:t>)</w:t>
      </w:r>
    </w:p>
    <w:p w:rsidRPr="002E1829" w:rsidR="007C5DCB" w:rsidP="00196583" w:rsidRDefault="0088454F" w14:paraId="5A00EF25" w14:textId="1DE4BA7E">
      <w:pPr>
        <w:pStyle w:val="ListParagraph"/>
      </w:pPr>
      <w:r w:rsidRPr="002E1829">
        <w:t>If the syntax check fails, a control message (MIG P-19) is returned by the MNSW-RIM to the Sender</w:t>
      </w:r>
      <w:r w:rsidRPr="001775C1" w:rsidR="009A71F6">
        <w:rPr>
          <w:lang w:val="en-IE"/>
        </w:rPr>
        <w:t>’s</w:t>
      </w:r>
      <w:r w:rsidRPr="001775C1" w:rsidR="002F5460">
        <w:rPr>
          <w:lang w:val="en-IE"/>
        </w:rPr>
        <w:t xml:space="preserve"> AS4 AP</w:t>
      </w:r>
      <w:r w:rsidRPr="002E1829" w:rsidR="00B84E9C">
        <w:t xml:space="preserve"> (RIMFTS</w:t>
      </w:r>
      <w:r w:rsidRPr="001775C1" w:rsidR="00E64477">
        <w:rPr>
          <w:lang w:val="en-IE"/>
        </w:rPr>
        <w:t xml:space="preserve"> 3.2</w:t>
      </w:r>
      <w:r w:rsidRPr="002E1829" w:rsidR="00B84E9C">
        <w:t>)</w:t>
      </w:r>
      <w:r w:rsidRPr="002E1829">
        <w:t>.</w:t>
      </w:r>
    </w:p>
    <w:p w:rsidRPr="002E1829" w:rsidR="00CA306D" w:rsidP="00196583" w:rsidRDefault="00C7738B" w14:paraId="196FB449" w14:textId="74148240">
      <w:pPr>
        <w:pStyle w:val="ListParagraph"/>
        <w:numPr>
          <w:ilvl w:val="0"/>
          <w:numId w:val="16"/>
        </w:numPr>
      </w:pPr>
      <w:r w:rsidRPr="002E1829">
        <w:t>If t</w:t>
      </w:r>
      <w:r w:rsidRPr="002E1829" w:rsidR="006E51C6">
        <w:t>he</w:t>
      </w:r>
      <w:r w:rsidRPr="001775C1" w:rsidR="009A71F6">
        <w:rPr>
          <w:lang w:val="en-IE"/>
        </w:rPr>
        <w:t xml:space="preserve"> formality message</w:t>
      </w:r>
      <w:r w:rsidRPr="002E1829" w:rsidR="006E51C6">
        <w:t xml:space="preserve"> is</w:t>
      </w:r>
      <w:r w:rsidRPr="002E1829">
        <w:t xml:space="preserve"> syntactically valid, it</w:t>
      </w:r>
      <w:r w:rsidRPr="002E1829" w:rsidR="000A612F">
        <w:t xml:space="preserve"> will be made available</w:t>
      </w:r>
      <w:r w:rsidRPr="002E1829" w:rsidR="006E51C6">
        <w:t xml:space="preserve"> </w:t>
      </w:r>
      <w:r w:rsidRPr="002E1829">
        <w:t>from</w:t>
      </w:r>
      <w:r w:rsidRPr="002E1829" w:rsidR="006E51C6">
        <w:t xml:space="preserve"> the</w:t>
      </w:r>
      <w:r w:rsidRPr="002E1829">
        <w:t xml:space="preserve"> MNSW-RIM to the</w:t>
      </w:r>
      <w:r w:rsidRPr="002E1829" w:rsidR="006E51C6">
        <w:t xml:space="preserve"> MNSW core.</w:t>
      </w:r>
      <w:r w:rsidRPr="001775C1" w:rsidR="00E64477">
        <w:rPr>
          <w:lang w:val="en-IE"/>
        </w:rPr>
        <w:t>(RIMFTS 3.2)</w:t>
      </w:r>
    </w:p>
    <w:p w:rsidRPr="00A07A3A" w:rsidR="00CA6F1E" w:rsidP="00196583" w:rsidRDefault="00C22554" w14:paraId="04D2D514" w14:textId="145E0B24">
      <w:pPr>
        <w:pStyle w:val="ListParagraph"/>
      </w:pPr>
      <w:r w:rsidRPr="002E1829">
        <w:t>The MNSW-Core receives the</w:t>
      </w:r>
      <w:r w:rsidRPr="001775C1" w:rsidR="009A71F6">
        <w:rPr>
          <w:lang w:val="en-IE"/>
        </w:rPr>
        <w:t xml:space="preserve"> formality</w:t>
      </w:r>
      <w:r w:rsidRPr="002E1829">
        <w:t xml:space="preserve"> message &amp; ensures validation of the semantic rules is performed at the MNSW Core or at the National level (MIG P-14, MIG P-19).</w:t>
      </w:r>
    </w:p>
    <w:p w:rsidRPr="002E1829" w:rsidR="00CA306D" w:rsidP="00196583" w:rsidRDefault="00334D74" w14:paraId="6D640F30" w14:textId="45E31D29">
      <w:pPr>
        <w:pStyle w:val="ListParagraph"/>
        <w:numPr>
          <w:ilvl w:val="0"/>
          <w:numId w:val="17"/>
        </w:numPr>
      </w:pPr>
      <w:r w:rsidRPr="00A07A3A">
        <w:t>The MNSW-Core</w:t>
      </w:r>
      <w:r w:rsidRPr="001775C1" w:rsidR="005F6E43">
        <w:rPr>
          <w:lang w:val="en-IE"/>
        </w:rPr>
        <w:t xml:space="preserve"> may</w:t>
      </w:r>
      <w:r w:rsidRPr="002E1829">
        <w:t xml:space="preserve"> translate the</w:t>
      </w:r>
      <w:r w:rsidRPr="001775C1" w:rsidR="005F6E43">
        <w:rPr>
          <w:lang w:val="en-IE"/>
        </w:rPr>
        <w:t xml:space="preserve"> formality</w:t>
      </w:r>
      <w:r w:rsidRPr="002E1829">
        <w:t xml:space="preserve"> data to national formats </w:t>
      </w:r>
      <w:r w:rsidRPr="001775C1" w:rsidR="005F6E43">
        <w:rPr>
          <w:lang w:val="en-IE"/>
        </w:rPr>
        <w:t>and makes available</w:t>
      </w:r>
      <w:r w:rsidRPr="002E1829">
        <w:t xml:space="preserve"> the</w:t>
      </w:r>
      <w:r w:rsidRPr="001775C1" w:rsidR="005F6E43">
        <w:rPr>
          <w:lang w:val="en-IE"/>
        </w:rPr>
        <w:t xml:space="preserve"> formality</w:t>
      </w:r>
      <w:r w:rsidRPr="002E1829">
        <w:t xml:space="preserve"> data </w:t>
      </w:r>
      <w:r w:rsidRPr="001775C1" w:rsidR="00E64477">
        <w:rPr>
          <w:lang w:val="en-IE"/>
        </w:rPr>
        <w:t>to</w:t>
      </w:r>
      <w:r w:rsidRPr="002E1829" w:rsidR="00E64477">
        <w:t xml:space="preserve"> </w:t>
      </w:r>
      <w:r w:rsidRPr="002E1829">
        <w:t>the relevant authorities (MIG-4.1)</w:t>
      </w:r>
    </w:p>
    <w:p w:rsidRPr="002E1829" w:rsidR="00CA306D" w:rsidP="00196583" w:rsidRDefault="00C62751" w14:paraId="67316EC9" w14:textId="5276D185">
      <w:pPr>
        <w:pStyle w:val="ListParagraph"/>
        <w:numPr>
          <w:ilvl w:val="0"/>
          <w:numId w:val="17"/>
        </w:numPr>
      </w:pPr>
      <w:r w:rsidRPr="002E1829">
        <w:t>A formality response</w:t>
      </w:r>
      <w:r w:rsidRPr="002E1829" w:rsidR="00576BD4">
        <w:t xml:space="preserve"> </w:t>
      </w:r>
      <w:r w:rsidRPr="002E1829">
        <w:t>is created by the MNSW-Core or an authority</w:t>
      </w:r>
      <w:r w:rsidRPr="001775C1" w:rsidR="00241AC0">
        <w:rPr>
          <w:lang w:val="en-IE"/>
        </w:rPr>
        <w:t xml:space="preserve"> behind it</w:t>
      </w:r>
      <w:r w:rsidRPr="002E1829">
        <w:t xml:space="preserve"> based on semantic checks or other</w:t>
      </w:r>
      <w:r w:rsidRPr="001775C1" w:rsidR="00241AC0">
        <w:rPr>
          <w:lang w:val="en-IE"/>
        </w:rPr>
        <w:t xml:space="preserve"> national</w:t>
      </w:r>
      <w:r w:rsidRPr="002E1829">
        <w:t xml:space="preserve"> rules. The formality response</w:t>
      </w:r>
      <w:r w:rsidRPr="002E1829" w:rsidR="004E7E54">
        <w:t xml:space="preserve"> </w:t>
      </w:r>
      <w:r w:rsidRPr="002E1829">
        <w:t xml:space="preserve">will also contain information about </w:t>
      </w:r>
      <w:r w:rsidRPr="002E1829" w:rsidR="00C7738B">
        <w:t xml:space="preserve">the </w:t>
      </w:r>
      <w:r w:rsidRPr="002E1829">
        <w:t xml:space="preserve">applied clearance procedure (systematic or silent – </w:t>
      </w:r>
      <w:r w:rsidRPr="002E1829" w:rsidR="00282088">
        <w:t>MIG P14</w:t>
      </w:r>
      <w:r w:rsidRPr="002E1829" w:rsidR="002F532E">
        <w:t>, MIG P16</w:t>
      </w:r>
      <w:r w:rsidRPr="002E1829">
        <w:t>)</w:t>
      </w:r>
      <w:r w:rsidRPr="002E1829" w:rsidR="00CA306D">
        <w:t>​</w:t>
      </w:r>
    </w:p>
    <w:p w:rsidRPr="002E1829" w:rsidR="00CA306D" w:rsidP="00196583" w:rsidRDefault="00C62751" w14:paraId="6E740615" w14:textId="146204A5">
      <w:pPr>
        <w:pStyle w:val="ListParagraph"/>
        <w:numPr>
          <w:ilvl w:val="0"/>
          <w:numId w:val="18"/>
        </w:numPr>
      </w:pPr>
      <w:r w:rsidRPr="002E1829">
        <w:t xml:space="preserve"> </w:t>
      </w:r>
      <w:r w:rsidRPr="002E1829" w:rsidR="00C7738B">
        <w:t xml:space="preserve">In cases where a formality contains ship information relevant for ESD, the </w:t>
      </w:r>
      <w:r w:rsidRPr="002E1829">
        <w:t>MNSW-Core</w:t>
      </w:r>
      <w:r w:rsidRPr="002E1829" w:rsidR="00E72661">
        <w:t>, when formality is accepted, will provide this</w:t>
      </w:r>
      <w:r w:rsidRPr="002E1829">
        <w:t xml:space="preserve"> ship information to ESD</w:t>
      </w:r>
      <w:r w:rsidRPr="001775C1" w:rsidR="00241AC0">
        <w:rPr>
          <w:lang w:val="en-IE"/>
        </w:rPr>
        <w:t xml:space="preserve"> (REG Article </w:t>
      </w:r>
      <w:r w:rsidRPr="001775C1" w:rsidR="000737C5">
        <w:rPr>
          <w:lang w:val="en-IE"/>
        </w:rPr>
        <w:t>14</w:t>
      </w:r>
      <w:r w:rsidRPr="001775C1" w:rsidR="00241AC0">
        <w:rPr>
          <w:lang w:val="en-IE"/>
        </w:rPr>
        <w:t>).</w:t>
      </w:r>
      <w:r w:rsidRPr="002E1829" w:rsidR="00CA306D">
        <w:t xml:space="preserve">  </w:t>
      </w:r>
    </w:p>
    <w:p w:rsidRPr="002E1829" w:rsidR="00CA306D" w:rsidP="00196583" w:rsidRDefault="00C62751" w14:paraId="741A5780" w14:textId="14E73EF4">
      <w:pPr>
        <w:pStyle w:val="ListParagraph"/>
        <w:numPr>
          <w:ilvl w:val="0"/>
          <w:numId w:val="18"/>
        </w:numPr>
      </w:pPr>
      <w:r w:rsidRPr="002E1829">
        <w:t xml:space="preserve">The MNSW-Core </w:t>
      </w:r>
      <w:r w:rsidRPr="001775C1" w:rsidR="00183474">
        <w:rPr>
          <w:lang w:val="en-IE"/>
        </w:rPr>
        <w:t xml:space="preserve">initiates sending of the </w:t>
      </w:r>
      <w:r w:rsidRPr="002E1829">
        <w:t>formality response with the results of the semantic checks to the</w:t>
      </w:r>
      <w:r w:rsidRPr="001775C1" w:rsidR="00183474">
        <w:rPr>
          <w:lang w:val="en-IE"/>
        </w:rPr>
        <w:t xml:space="preserve"> sender through the</w:t>
      </w:r>
      <w:r w:rsidRPr="002E1829">
        <w:t xml:space="preserve"> MNSW-RIM.</w:t>
      </w:r>
    </w:p>
    <w:p w:rsidRPr="002E1829" w:rsidR="00CA306D" w:rsidP="00CA306D" w:rsidRDefault="00C62751" w14:paraId="319BBDB7" w14:textId="3433B4E6">
      <w:pPr>
        <w:pStyle w:val="ListParagraph"/>
        <w:numPr>
          <w:ilvl w:val="0"/>
          <w:numId w:val="18"/>
        </w:numPr>
      </w:pPr>
      <w:r w:rsidRPr="002E1829">
        <w:t xml:space="preserve">When the </w:t>
      </w:r>
      <w:r w:rsidRPr="001775C1" w:rsidR="00B81078">
        <w:rPr>
          <w:lang w:val="en-IE"/>
        </w:rPr>
        <w:t>formality response</w:t>
      </w:r>
      <w:r w:rsidRPr="002E1829">
        <w:t xml:space="preserve"> is received from the MNSW</w:t>
      </w:r>
      <w:r w:rsidRPr="00800028" w:rsidR="00B81078">
        <w:t>-RIM</w:t>
      </w:r>
      <w:r w:rsidRPr="002E1829">
        <w:t>, the MNSW-RIM returns a technical receipt confirmation to the MNSW-Core (RIM P-19)</w:t>
      </w:r>
    </w:p>
    <w:p w:rsidRPr="002E1829" w:rsidR="00CA306D" w:rsidP="00CA306D" w:rsidRDefault="00C62751" w14:paraId="3EC9E4D4" w14:textId="20BC420B">
      <w:pPr>
        <w:pStyle w:val="ListParagraph"/>
        <w:numPr>
          <w:ilvl w:val="0"/>
          <w:numId w:val="18"/>
        </w:numPr>
      </w:pPr>
      <w:r w:rsidRPr="002E1829">
        <w:t>The MNSW-RIM then forms the AS4 message</w:t>
      </w:r>
      <w:r w:rsidRPr="002E1829" w:rsidR="00CA306D">
        <w:t xml:space="preserve"> </w:t>
      </w:r>
      <w:r w:rsidRPr="001775C1" w:rsidR="00B81078">
        <w:rPr>
          <w:lang w:val="en-IE"/>
        </w:rPr>
        <w:t>with the formality response as a payload.</w:t>
      </w:r>
    </w:p>
    <w:p w:rsidRPr="002E1829" w:rsidR="00CA306D" w:rsidP="00196583" w:rsidRDefault="00C62751" w14:paraId="625C8091" w14:textId="688AB475">
      <w:pPr>
        <w:pStyle w:val="ListParagraph"/>
        <w:numPr>
          <w:ilvl w:val="0"/>
          <w:numId w:val="18"/>
        </w:numPr>
      </w:pPr>
      <w:r w:rsidRPr="002E1829">
        <w:t>The MNSW-RIM then forwards the AS4 message with the formality response as payload to AS4</w:t>
      </w:r>
      <w:r w:rsidRPr="001775C1" w:rsidR="00B81078">
        <w:rPr>
          <w:lang w:val="en-IE"/>
        </w:rPr>
        <w:t xml:space="preserve"> AP of the sender</w:t>
      </w:r>
      <w:r w:rsidRPr="002E1829">
        <w:t>.</w:t>
      </w:r>
      <w:r w:rsidRPr="002E1829" w:rsidR="00CA306D">
        <w:t>​</w:t>
      </w:r>
    </w:p>
    <w:p w:rsidRPr="002E1829" w:rsidR="00CA306D" w:rsidP="00196583" w:rsidRDefault="00C62751" w14:paraId="11BD1591" w14:textId="253EAA91">
      <w:pPr>
        <w:pStyle w:val="ListParagraph"/>
        <w:numPr>
          <w:ilvl w:val="0"/>
          <w:numId w:val="18"/>
        </w:numPr>
      </w:pPr>
      <w:r w:rsidRPr="002E1829">
        <w:t xml:space="preserve">The </w:t>
      </w:r>
      <w:r w:rsidRPr="001775C1" w:rsidR="00493259">
        <w:rPr>
          <w:lang w:val="en-IE"/>
        </w:rPr>
        <w:t>AS4 AP of the sender</w:t>
      </w:r>
      <w:r w:rsidRPr="002E1829">
        <w:t xml:space="preserve"> receives the </w:t>
      </w:r>
      <w:r w:rsidRPr="001775C1" w:rsidR="00493259">
        <w:rPr>
          <w:lang w:val="en-IE"/>
        </w:rPr>
        <w:t>AS4</w:t>
      </w:r>
      <w:r w:rsidRPr="002E1829" w:rsidR="00493259">
        <w:t xml:space="preserve"> </w:t>
      </w:r>
      <w:r w:rsidRPr="002E1829">
        <w:t xml:space="preserve">message </w:t>
      </w:r>
      <w:r w:rsidRPr="001775C1" w:rsidR="00493259">
        <w:rPr>
          <w:lang w:val="en-IE"/>
        </w:rPr>
        <w:t xml:space="preserve">with </w:t>
      </w:r>
      <w:r w:rsidRPr="002E1829">
        <w:t>the formality response and returns a technical receipt confirmation</w:t>
      </w:r>
      <w:r w:rsidRPr="001775C1" w:rsidR="00493259">
        <w:rPr>
          <w:lang w:val="en-IE"/>
        </w:rPr>
        <w:t xml:space="preserve"> to the MNSW-RIM</w:t>
      </w:r>
      <w:r w:rsidRPr="002E1829">
        <w:t>.</w:t>
      </w:r>
      <w:r w:rsidRPr="002E1829" w:rsidR="00CA306D">
        <w:t>​</w:t>
      </w:r>
    </w:p>
    <w:p w:rsidRPr="00800028" w:rsidR="00CA306D" w:rsidP="004E0667" w:rsidRDefault="00493259" w14:paraId="1DF11BD1" w14:textId="683825E1">
      <w:pPr>
        <w:pStyle w:val="ListParagraph"/>
        <w:numPr>
          <w:ilvl w:val="0"/>
          <w:numId w:val="18"/>
        </w:numPr>
      </w:pPr>
      <w:r w:rsidRPr="001775C1">
        <w:rPr>
          <w:lang w:val="en-IE"/>
        </w:rPr>
        <w:t xml:space="preserve">AS4 AP extracts the </w:t>
      </w:r>
      <w:r w:rsidRPr="002E1829" w:rsidR="00C62751">
        <w:t>formality response</w:t>
      </w:r>
      <w:r w:rsidRPr="00800028">
        <w:t>, makes it available to the sender’s IT system where then the sender’s IT system</w:t>
      </w:r>
      <w:r w:rsidRPr="002E1829" w:rsidR="00C62751">
        <w:t xml:space="preserve"> processe</w:t>
      </w:r>
      <w:r w:rsidRPr="00800028">
        <w:t>s further the received formality re</w:t>
      </w:r>
      <w:r w:rsidRPr="001775C1">
        <w:rPr>
          <w:lang w:val="en-IE"/>
        </w:rPr>
        <w:t>s</w:t>
      </w:r>
      <w:r w:rsidRPr="00800028">
        <w:t>ponse</w:t>
      </w:r>
      <w:r w:rsidRPr="002E1829" w:rsidR="00C62751">
        <w:t>.</w:t>
      </w:r>
    </w:p>
    <w:p w:rsidRPr="00800028" w:rsidR="00ED1AC8" w:rsidP="004E0667" w:rsidRDefault="00ED1AC8" w14:paraId="1F5E50A0" w14:textId="01B999DA">
      <w:pPr>
        <w:pStyle w:val="ListParagraph"/>
        <w:numPr>
          <w:ilvl w:val="0"/>
          <w:numId w:val="18"/>
        </w:numPr>
      </w:pPr>
      <w:r w:rsidRPr="001775C1">
        <w:rPr>
          <w:lang w:val="en-IE"/>
        </w:rPr>
        <w:t>A process response will also be sent by the MNSW-Core similar to the steps 12-17 in the following cases(MIG-P16):</w:t>
      </w:r>
    </w:p>
    <w:p w:rsidRPr="00800028" w:rsidR="00ED1AC8" w:rsidP="00800028" w:rsidRDefault="00ED1AC8" w14:paraId="1453E9CA" w14:textId="42FFBA5B">
      <w:pPr>
        <w:pStyle w:val="ListParagraph"/>
        <w:numPr>
          <w:ilvl w:val="1"/>
          <w:numId w:val="18"/>
        </w:numPr>
      </w:pPr>
      <w:r w:rsidRPr="001775C1">
        <w:rPr>
          <w:lang w:val="en-IE"/>
        </w:rPr>
        <w:t>Positive and negative process response will be sent in case systematic clearance model is applied</w:t>
      </w:r>
      <w:r w:rsidRPr="001775C1" w:rsidR="00CF1B7F">
        <w:rPr>
          <w:lang w:val="en-IE"/>
        </w:rPr>
        <w:t xml:space="preserve"> for the formality sent</w:t>
      </w:r>
    </w:p>
    <w:p w:rsidRPr="002E1829" w:rsidR="00ED1AC8" w:rsidP="00800028" w:rsidRDefault="00ED1AC8" w14:paraId="02A4AB01" w14:textId="410FA1DC">
      <w:pPr>
        <w:pStyle w:val="ListParagraph"/>
        <w:numPr>
          <w:ilvl w:val="1"/>
          <w:numId w:val="18"/>
        </w:numPr>
      </w:pPr>
      <w:r w:rsidRPr="001775C1">
        <w:rPr>
          <w:lang w:val="en-IE"/>
        </w:rPr>
        <w:t>Negative process response will be sent in case silent clearance model is applied</w:t>
      </w:r>
      <w:r w:rsidRPr="001775C1" w:rsidR="00CF1B7F">
        <w:rPr>
          <w:lang w:val="en-IE"/>
        </w:rPr>
        <w:t xml:space="preserve"> for the formality sent</w:t>
      </w:r>
    </w:p>
    <w:p w:rsidR="001402AC" w:rsidP="00196583" w:rsidRDefault="00C62751" w14:paraId="7E8E9514" w14:textId="77777777">
      <w:r w:rsidRPr="002E1829">
        <w:t>The below diagram depicts the interactions between the various components. This reflects the process flow described above</w:t>
      </w:r>
      <w:bookmarkEnd w:id="20"/>
      <w:r w:rsidR="00C63AFA">
        <w:t>:</w:t>
      </w:r>
      <w:bookmarkStart w:name="_GoBack" w:id="21"/>
      <w:bookmarkEnd w:id="21"/>
    </w:p>
    <w:p w:rsidRPr="002E1829" w:rsidR="199B8D9C" w:rsidP="001402AC" w:rsidRDefault="001402AC" w14:paraId="67D47DBF" w14:textId="218765C6">
      <w:pPr>
        <w:jc w:val="center"/>
        <w:rPr>
          <w:rFonts w:ascii="Times New Roman" w:hAnsi="Times New Roman"/>
        </w:rPr>
      </w:pPr>
      <w:r w:rsidRPr="00800028">
        <w:rPr>
          <w:rStyle w:val="Strong"/>
          <w:color w:val="172B4D"/>
          <w:shd w:val="clear" w:color="auto" w:fill="FFFFFF"/>
        </w:rPr>
        <w:t>Figure 4: S2S High-level Process flo</w:t>
      </w:r>
      <w:r>
        <w:rPr>
          <w:rStyle w:val="Strong"/>
          <w:color w:val="172B4D"/>
          <w:shd w:val="clear" w:color="auto" w:fill="FFFFFF"/>
          <w:lang w:val="lv-LV"/>
        </w:rPr>
        <w:t>w</w:t>
      </w:r>
      <w:r w:rsidRPr="008D086B">
        <w:rPr>
          <w:noProof/>
        </w:rPr>
        <w:t xml:space="preserve"> </w:t>
      </w:r>
      <w:r w:rsidRPr="008D086B" w:rsidR="00C63AFA">
        <w:rPr>
          <w:noProof/>
        </w:rPr>
        <w:drawing>
          <wp:inline distT="0" distB="0" distL="0" distR="0" wp14:anchorId="10A391F5" wp14:editId="0BA2DE08">
            <wp:extent cx="5943600" cy="3216995"/>
            <wp:effectExtent l="0" t="0" r="0" b="2540"/>
            <wp:docPr id="3" name="Picture 3" descr="C:\Users\ziedsma\European Commission\GRP-MOVE.D1-EMSWE Core team - Documents\General\EMSWe functional architecture\S2S and U2S flow diagram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ziedsma\European Commission\GRP-MOVE.D1-EMSWE Core team - Documents\General\EMSWe functional architecture\S2S and U2S flow diagrams-png.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3216995"/>
                    </a:xfrm>
                    <a:prstGeom prst="rect">
                      <a:avLst/>
                    </a:prstGeom>
                    <a:noFill/>
                    <a:ln>
                      <a:noFill/>
                    </a:ln>
                  </pic:spPr>
                </pic:pic>
              </a:graphicData>
            </a:graphic>
          </wp:inline>
        </w:drawing>
      </w:r>
      <w:r w:rsidRPr="001775C1" w:rsidR="008D086B">
        <w:t xml:space="preserve"> </w:t>
      </w:r>
    </w:p>
    <w:sectPr w:rsidRPr="002E1829" w:rsidR="199B8D9C" w:rsidSect="008B632C">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7E" w:rsidP="00196583" w:rsidRDefault="00FB4C7E" w14:paraId="6E936F4E" w14:textId="77777777">
      <w:r>
        <w:separator/>
      </w:r>
    </w:p>
  </w:endnote>
  <w:endnote w:type="continuationSeparator" w:id="0">
    <w:p w:rsidR="00FB4C7E" w:rsidP="00196583" w:rsidRDefault="00FB4C7E" w14:paraId="164B1533" w14:textId="77777777">
      <w:r>
        <w:continuationSeparator/>
      </w:r>
    </w:p>
  </w:endnote>
  <w:endnote w:type="continuationNotice" w:id="1">
    <w:p w:rsidR="00FB4C7E" w:rsidP="00196583" w:rsidRDefault="00FB4C7E" w14:paraId="124B7D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7E" w:rsidP="00196583" w:rsidRDefault="00FB4C7E" w14:paraId="1DDF0CAB" w14:textId="77777777">
      <w:r>
        <w:separator/>
      </w:r>
    </w:p>
  </w:footnote>
  <w:footnote w:type="continuationSeparator" w:id="0">
    <w:p w:rsidR="00FB4C7E" w:rsidP="00196583" w:rsidRDefault="00FB4C7E" w14:paraId="402146EE" w14:textId="77777777">
      <w:r>
        <w:continuationSeparator/>
      </w:r>
    </w:p>
  </w:footnote>
  <w:footnote w:type="continuationNotice" w:id="1">
    <w:p w:rsidR="00FB4C7E" w:rsidP="00196583" w:rsidRDefault="00FB4C7E" w14:paraId="54212584" w14:textId="77777777"/>
  </w:footnote>
  <w:footnote w:id="2">
    <w:p w:rsidRPr="000D3D11" w:rsidR="00FB4C7E" w:rsidRDefault="00FB4C7E" w14:paraId="6A31F48B" w14:textId="567940AB">
      <w:pPr>
        <w:pStyle w:val="FootnoteText"/>
        <w:rPr>
          <w:lang w:val="en-IE"/>
        </w:rPr>
      </w:pPr>
      <w:r>
        <w:rPr>
          <w:rStyle w:val="FootnoteReference"/>
        </w:rPr>
        <w:footnoteRef/>
      </w:r>
      <w:r>
        <w:t xml:space="preserve"> </w:t>
      </w:r>
      <w:r>
        <w:rPr>
          <w:lang w:val="en-IE"/>
        </w:rPr>
        <w:t>Article 2 paragraph 1 of the Regulation 1239/2019</w:t>
      </w:r>
    </w:p>
  </w:footnote>
  <w:footnote w:id="3">
    <w:p w:rsidRPr="009F0795" w:rsidR="00FB4C7E" w:rsidRDefault="00FB4C7E" w14:paraId="5AF610B2" w14:textId="41CF935F">
      <w:pPr>
        <w:pStyle w:val="FootnoteText"/>
      </w:pPr>
      <w:r>
        <w:rPr>
          <w:rStyle w:val="FootnoteReference"/>
        </w:rPr>
        <w:footnoteRef/>
      </w:r>
      <w:r>
        <w:t xml:space="preserve"> </w:t>
      </w:r>
      <w:r w:rsidRPr="00CB46A4">
        <w:t>OJ L 198, 25.7.2019, p. 64–87</w:t>
      </w:r>
    </w:p>
  </w:footnote>
  <w:footnote w:id="4">
    <w:p w:rsidRPr="009F0795" w:rsidR="00FB4C7E" w:rsidP="008523FA" w:rsidRDefault="00FB4C7E" w14:paraId="0AF5B899" w14:textId="77777777">
      <w:pPr>
        <w:pStyle w:val="FootnoteText"/>
      </w:pPr>
      <w:r>
        <w:rPr>
          <w:rStyle w:val="FootnoteReference"/>
        </w:rPr>
        <w:footnoteRef/>
      </w:r>
      <w:r>
        <w:t xml:space="preserve"> [once published it will contain the reference to the official journal]</w:t>
      </w:r>
    </w:p>
  </w:footnote>
  <w:footnote w:id="5">
    <w:p w:rsidRPr="00551486" w:rsidR="00FB4C7E" w:rsidRDefault="00FB4C7E" w14:paraId="3B18B903" w14:textId="04832BF9">
      <w:pPr>
        <w:pStyle w:val="FootnoteText"/>
      </w:pPr>
      <w:r>
        <w:rPr>
          <w:rStyle w:val="FootnoteReference"/>
        </w:rPr>
        <w:footnoteRef/>
      </w:r>
      <w:r>
        <w:t xml:space="preserve"> </w:t>
      </w:r>
      <w:r w:rsidRPr="002D77B2">
        <w:t>Article 2(3) of the EMSWe Regulation</w:t>
      </w:r>
      <w:r>
        <w:t>.</w:t>
      </w:r>
    </w:p>
  </w:footnote>
  <w:footnote w:id="6">
    <w:p w:rsidRPr="00AB355B" w:rsidR="00FB4C7E" w:rsidRDefault="00FB4C7E" w14:paraId="2EB4065F" w14:textId="528FC1D1">
      <w:pPr>
        <w:pStyle w:val="FootnoteText"/>
      </w:pPr>
      <w:r w:rsidRPr="00AB355B">
        <w:rPr>
          <w:rStyle w:val="FootnoteReference"/>
        </w:rPr>
        <w:footnoteRef/>
      </w:r>
      <w:r w:rsidRPr="00AB355B">
        <w:t xml:space="preserve"> This provision has not been defined yet and shall be addressed in an Implementing Act.</w:t>
      </w:r>
    </w:p>
  </w:footnote>
  <w:footnote w:id="7">
    <w:p w:rsidRPr="009F0795" w:rsidR="00FB4C7E" w:rsidRDefault="00FB4C7E" w14:paraId="59A57455" w14:textId="4A1C8B49">
      <w:pPr>
        <w:pStyle w:val="FootnoteText"/>
      </w:pPr>
      <w:r>
        <w:rPr>
          <w:rStyle w:val="FootnoteReference"/>
        </w:rPr>
        <w:footnoteRef/>
      </w:r>
      <w:r>
        <w:t xml:space="preserve"> </w:t>
      </w:r>
      <w:r w:rsidRPr="00DE4728">
        <w:t>Technical specifications, standards and procedures for the URAM for U2S interactions are still under discussion within expert groups.</w:t>
      </w:r>
    </w:p>
  </w:footnote>
  <w:footnote w:id="8">
    <w:p w:rsidRPr="009F0795" w:rsidR="00FB4C7E" w:rsidRDefault="00FB4C7E" w14:paraId="76FE1D17" w14:textId="4520A901">
      <w:pPr>
        <w:pStyle w:val="FootnoteText"/>
      </w:pPr>
      <w:r>
        <w:rPr>
          <w:rStyle w:val="FootnoteReference"/>
        </w:rPr>
        <w:footnoteRef/>
      </w:r>
      <w:r>
        <w:t xml:space="preserve"> </w:t>
      </w:r>
      <w:r w:rsidRPr="00800028">
        <w:rPr>
          <w:lang w:val="en-IE"/>
        </w:rPr>
        <w:t xml:space="preserve">URAM U2S scenario is not yet fully defined within the expert groups and </w:t>
      </w:r>
      <w:r w:rsidRPr="001775C1">
        <w:rPr>
          <w:lang w:val="en-IE"/>
        </w:rPr>
        <w:t>is</w:t>
      </w:r>
      <w:r w:rsidRPr="00800028">
        <w:rPr>
          <w:lang w:val="en-IE"/>
        </w:rPr>
        <w:t xml:space="preserve"> subjected to change.</w:t>
      </w:r>
    </w:p>
  </w:footnote>
  <w:footnote w:id="9">
    <w:p w:rsidRPr="009F0795" w:rsidR="00FB4C7E" w:rsidRDefault="00FB4C7E" w14:paraId="7A07E80C" w14:textId="5FFE51BA">
      <w:pPr>
        <w:pStyle w:val="FootnoteText"/>
      </w:pPr>
      <w:r>
        <w:rPr>
          <w:rStyle w:val="FootnoteReference"/>
        </w:rPr>
        <w:footnoteRef/>
      </w:r>
      <w:r>
        <w:t xml:space="preserve"> </w:t>
      </w:r>
      <w:r w:rsidR="00A45F2B">
        <w:t>The</w:t>
      </w:r>
      <w:r w:rsidRPr="002E1829">
        <w:t xml:space="preserve"> GUI may offer more functionalities depending on the national implementation.</w:t>
      </w:r>
    </w:p>
  </w:footnote>
  <w:footnote w:id="10">
    <w:p w:rsidRPr="009F0795" w:rsidR="00FB4C7E" w:rsidRDefault="00FB4C7E" w14:paraId="4A961674" w14:textId="77777777">
      <w:pPr>
        <w:pStyle w:val="FootnoteText"/>
      </w:pPr>
      <w:r>
        <w:rPr>
          <w:rStyle w:val="FootnoteReference"/>
        </w:rPr>
        <w:footnoteRef/>
      </w:r>
      <w:r>
        <w:t xml:space="preserve"> </w:t>
      </w:r>
      <w:r w:rsidRPr="00635D40">
        <w:t>A technical flow of how formality responses get displayed to the declarant is up to each MS.</w:t>
      </w:r>
    </w:p>
  </w:footnote>
  <w:footnote w:id="11">
    <w:p w:rsidRPr="009F0795" w:rsidR="00FB4C7E" w:rsidRDefault="00FB4C7E" w14:paraId="4747E6AA" w14:textId="225A3324">
      <w:pPr>
        <w:pStyle w:val="FootnoteText"/>
      </w:pPr>
      <w:r>
        <w:rPr>
          <w:rStyle w:val="FootnoteReference"/>
        </w:rPr>
        <w:footnoteRef/>
      </w:r>
      <w:r>
        <w:t xml:space="preserve"> </w:t>
      </w:r>
      <w:r w:rsidRPr="00635D40">
        <w:t>A technical flow of how formality responses get displayed to the declarant is up to each 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62C"/>
    <w:multiLevelType w:val="hybridMultilevel"/>
    <w:tmpl w:val="DD30F8B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D82C4A"/>
    <w:multiLevelType w:val="multilevel"/>
    <w:tmpl w:val="8FAA11B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DE0BAE"/>
    <w:multiLevelType w:val="hybridMultilevel"/>
    <w:tmpl w:val="9C063704"/>
    <w:lvl w:ilvl="0" w:tplc="210408CC">
      <w:start w:val="7"/>
      <w:numFmt w:val="decimal"/>
      <w:lvlText w:val="%1."/>
      <w:lvlJc w:val="left"/>
      <w:pPr>
        <w:ind w:left="720" w:hanging="360"/>
      </w:pPr>
    </w:lvl>
    <w:lvl w:ilvl="1" w:tplc="BD0E5BD6">
      <w:start w:val="1"/>
      <w:numFmt w:val="lowerLetter"/>
      <w:lvlText w:val="%2."/>
      <w:lvlJc w:val="left"/>
      <w:pPr>
        <w:ind w:left="1440" w:hanging="360"/>
      </w:pPr>
    </w:lvl>
    <w:lvl w:ilvl="2" w:tplc="AA10D478">
      <w:start w:val="1"/>
      <w:numFmt w:val="lowerRoman"/>
      <w:lvlText w:val="%3."/>
      <w:lvlJc w:val="right"/>
      <w:pPr>
        <w:ind w:left="2160" w:hanging="180"/>
      </w:pPr>
    </w:lvl>
    <w:lvl w:ilvl="3" w:tplc="B3CAEF98">
      <w:start w:val="1"/>
      <w:numFmt w:val="decimal"/>
      <w:lvlText w:val="%4."/>
      <w:lvlJc w:val="left"/>
      <w:pPr>
        <w:ind w:left="2880" w:hanging="360"/>
      </w:pPr>
    </w:lvl>
    <w:lvl w:ilvl="4" w:tplc="376C8064">
      <w:start w:val="1"/>
      <w:numFmt w:val="lowerLetter"/>
      <w:lvlText w:val="%5."/>
      <w:lvlJc w:val="left"/>
      <w:pPr>
        <w:ind w:left="3600" w:hanging="360"/>
      </w:pPr>
    </w:lvl>
    <w:lvl w:ilvl="5" w:tplc="204670EA">
      <w:start w:val="1"/>
      <w:numFmt w:val="lowerRoman"/>
      <w:lvlText w:val="%6."/>
      <w:lvlJc w:val="right"/>
      <w:pPr>
        <w:ind w:left="4320" w:hanging="180"/>
      </w:pPr>
    </w:lvl>
    <w:lvl w:ilvl="6" w:tplc="4A2AB212">
      <w:start w:val="1"/>
      <w:numFmt w:val="decimal"/>
      <w:lvlText w:val="%7."/>
      <w:lvlJc w:val="left"/>
      <w:pPr>
        <w:ind w:left="5040" w:hanging="360"/>
      </w:pPr>
    </w:lvl>
    <w:lvl w:ilvl="7" w:tplc="EBB2C4B0">
      <w:start w:val="1"/>
      <w:numFmt w:val="lowerLetter"/>
      <w:lvlText w:val="%8."/>
      <w:lvlJc w:val="left"/>
      <w:pPr>
        <w:ind w:left="5760" w:hanging="360"/>
      </w:pPr>
    </w:lvl>
    <w:lvl w:ilvl="8" w:tplc="23F4AC9C">
      <w:start w:val="1"/>
      <w:numFmt w:val="lowerRoman"/>
      <w:lvlText w:val="%9."/>
      <w:lvlJc w:val="right"/>
      <w:pPr>
        <w:ind w:left="6480" w:hanging="180"/>
      </w:pPr>
    </w:lvl>
  </w:abstractNum>
  <w:abstractNum w:abstractNumId="3" w15:restartNumberingAfterBreak="0">
    <w:nsid w:val="06A04F64"/>
    <w:multiLevelType w:val="hybridMultilevel"/>
    <w:tmpl w:val="678AB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7CE4"/>
    <w:multiLevelType w:val="hybridMultilevel"/>
    <w:tmpl w:val="B810D6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A33C7D"/>
    <w:multiLevelType w:val="multilevel"/>
    <w:tmpl w:val="791ED54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D428DF"/>
    <w:multiLevelType w:val="hybridMultilevel"/>
    <w:tmpl w:val="4F864F6E"/>
    <w:lvl w:ilvl="0" w:tplc="694ADA66">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C4AAC"/>
    <w:multiLevelType w:val="multilevel"/>
    <w:tmpl w:val="5726C9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trike w:val="0"/>
      </w:rPr>
    </w:lvl>
    <w:lvl w:ilvl="2" w:tentative="1">
      <w:start w:val="1"/>
      <w:numFmt w:val="lowerLetter"/>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Letter"/>
      <w:lvlText w:val="%6."/>
      <w:lvlJc w:val="left"/>
      <w:pPr>
        <w:tabs>
          <w:tab w:val="num" w:pos="4320"/>
        </w:tabs>
        <w:ind w:left="4320" w:hanging="360"/>
      </w:pPr>
      <w:rPr>
        <w:rFonts w:hint="default"/>
      </w:rPr>
    </w:lvl>
    <w:lvl w:ilvl="6" w:tentative="1">
      <w:start w:val="1"/>
      <w:numFmt w:val="lowerLetter"/>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Letter"/>
      <w:lvlText w:val="%9."/>
      <w:lvlJc w:val="left"/>
      <w:pPr>
        <w:tabs>
          <w:tab w:val="num" w:pos="6480"/>
        </w:tabs>
        <w:ind w:left="6480" w:hanging="360"/>
      </w:pPr>
      <w:rPr>
        <w:rFonts w:hint="default"/>
      </w:rPr>
    </w:lvl>
  </w:abstractNum>
  <w:abstractNum w:abstractNumId="8" w15:restartNumberingAfterBreak="0">
    <w:nsid w:val="17AC5625"/>
    <w:multiLevelType w:val="hybridMultilevel"/>
    <w:tmpl w:val="F072F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67D1E"/>
    <w:multiLevelType w:val="multilevel"/>
    <w:tmpl w:val="C4AA31B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C8C4AF5"/>
    <w:multiLevelType w:val="multilevel"/>
    <w:tmpl w:val="EE7CD132"/>
    <w:lvl w:ilvl="0">
      <w:start w:val="6"/>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F0D7223"/>
    <w:multiLevelType w:val="hybridMultilevel"/>
    <w:tmpl w:val="DD2C90B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1777FCC"/>
    <w:multiLevelType w:val="hybridMultilevel"/>
    <w:tmpl w:val="0DD26BB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9505E4"/>
    <w:multiLevelType w:val="hybridMultilevel"/>
    <w:tmpl w:val="38149FB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2A8A3AD6"/>
    <w:multiLevelType w:val="hybridMultilevel"/>
    <w:tmpl w:val="EB6AD5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CB8445C"/>
    <w:multiLevelType w:val="multilevel"/>
    <w:tmpl w:val="5726C9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trike w:val="0"/>
      </w:rPr>
    </w:lvl>
    <w:lvl w:ilvl="2" w:tentative="1">
      <w:start w:val="1"/>
      <w:numFmt w:val="lowerLetter"/>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Letter"/>
      <w:lvlText w:val="%6."/>
      <w:lvlJc w:val="left"/>
      <w:pPr>
        <w:tabs>
          <w:tab w:val="num" w:pos="4320"/>
        </w:tabs>
        <w:ind w:left="4320" w:hanging="360"/>
      </w:pPr>
      <w:rPr>
        <w:rFonts w:hint="default"/>
      </w:rPr>
    </w:lvl>
    <w:lvl w:ilvl="6" w:tentative="1">
      <w:start w:val="1"/>
      <w:numFmt w:val="lowerLetter"/>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Letter"/>
      <w:lvlText w:val="%9."/>
      <w:lvlJc w:val="left"/>
      <w:pPr>
        <w:tabs>
          <w:tab w:val="num" w:pos="6480"/>
        </w:tabs>
        <w:ind w:left="6480" w:hanging="360"/>
      </w:pPr>
      <w:rPr>
        <w:rFonts w:hint="default"/>
      </w:rPr>
    </w:lvl>
  </w:abstractNum>
  <w:abstractNum w:abstractNumId="16" w15:restartNumberingAfterBreak="0">
    <w:nsid w:val="2F627689"/>
    <w:multiLevelType w:val="multilevel"/>
    <w:tmpl w:val="5454A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42D5065"/>
    <w:multiLevelType w:val="hybridMultilevel"/>
    <w:tmpl w:val="FB022A8E"/>
    <w:lvl w:ilvl="0" w:tplc="04E89E56">
      <w:start w:val="7"/>
      <w:numFmt w:val="decimal"/>
      <w:lvlText w:val="%1."/>
      <w:lvlJc w:val="left"/>
      <w:pPr>
        <w:ind w:left="720" w:hanging="360"/>
      </w:pPr>
    </w:lvl>
    <w:lvl w:ilvl="1" w:tplc="B63CB8FC">
      <w:start w:val="1"/>
      <w:numFmt w:val="lowerLetter"/>
      <w:lvlText w:val="%2."/>
      <w:lvlJc w:val="left"/>
      <w:pPr>
        <w:ind w:left="1440" w:hanging="360"/>
      </w:pPr>
    </w:lvl>
    <w:lvl w:ilvl="2" w:tplc="0E4E0EDC">
      <w:start w:val="1"/>
      <w:numFmt w:val="lowerRoman"/>
      <w:lvlText w:val="%3."/>
      <w:lvlJc w:val="right"/>
      <w:pPr>
        <w:ind w:left="2160" w:hanging="180"/>
      </w:pPr>
    </w:lvl>
    <w:lvl w:ilvl="3" w:tplc="7966AEDA">
      <w:start w:val="1"/>
      <w:numFmt w:val="decimal"/>
      <w:lvlText w:val="%4."/>
      <w:lvlJc w:val="left"/>
      <w:pPr>
        <w:ind w:left="2880" w:hanging="360"/>
      </w:pPr>
    </w:lvl>
    <w:lvl w:ilvl="4" w:tplc="70DAED00">
      <w:start w:val="1"/>
      <w:numFmt w:val="lowerLetter"/>
      <w:lvlText w:val="%5."/>
      <w:lvlJc w:val="left"/>
      <w:pPr>
        <w:ind w:left="3600" w:hanging="360"/>
      </w:pPr>
    </w:lvl>
    <w:lvl w:ilvl="5" w:tplc="A2C4A8AA">
      <w:start w:val="1"/>
      <w:numFmt w:val="lowerRoman"/>
      <w:lvlText w:val="%6."/>
      <w:lvlJc w:val="right"/>
      <w:pPr>
        <w:ind w:left="4320" w:hanging="180"/>
      </w:pPr>
    </w:lvl>
    <w:lvl w:ilvl="6" w:tplc="05A00958">
      <w:start w:val="1"/>
      <w:numFmt w:val="decimal"/>
      <w:lvlText w:val="%7."/>
      <w:lvlJc w:val="left"/>
      <w:pPr>
        <w:ind w:left="5040" w:hanging="360"/>
      </w:pPr>
    </w:lvl>
    <w:lvl w:ilvl="7" w:tplc="F79CDE4C">
      <w:start w:val="1"/>
      <w:numFmt w:val="lowerLetter"/>
      <w:lvlText w:val="%8."/>
      <w:lvlJc w:val="left"/>
      <w:pPr>
        <w:ind w:left="5760" w:hanging="360"/>
      </w:pPr>
    </w:lvl>
    <w:lvl w:ilvl="8" w:tplc="CCE4DAEC">
      <w:start w:val="1"/>
      <w:numFmt w:val="lowerRoman"/>
      <w:lvlText w:val="%9."/>
      <w:lvlJc w:val="right"/>
      <w:pPr>
        <w:ind w:left="6480" w:hanging="180"/>
      </w:pPr>
    </w:lvl>
  </w:abstractNum>
  <w:abstractNum w:abstractNumId="18" w15:restartNumberingAfterBreak="0">
    <w:nsid w:val="35D7420F"/>
    <w:multiLevelType w:val="multilevel"/>
    <w:tmpl w:val="358E110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8B64E28"/>
    <w:multiLevelType w:val="hybridMultilevel"/>
    <w:tmpl w:val="FB7A0B14"/>
    <w:lvl w:ilvl="0" w:tplc="0706E64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39E70614"/>
    <w:multiLevelType w:val="hybridMultilevel"/>
    <w:tmpl w:val="065C5644"/>
    <w:lvl w:ilvl="0" w:tplc="7F6E0332">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1" w15:restartNumberingAfterBreak="0">
    <w:nsid w:val="3D8E2FF4"/>
    <w:multiLevelType w:val="multilevel"/>
    <w:tmpl w:val="DE1A1912"/>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heme="minorHAnsi" w:hAnsiTheme="minorHAnsi" w:eastAsiaTheme="minorHAnsi" w:cstheme="minorBidi"/>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562014C"/>
    <w:multiLevelType w:val="multilevel"/>
    <w:tmpl w:val="D512986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C00CDB"/>
    <w:multiLevelType w:val="hybridMultilevel"/>
    <w:tmpl w:val="D214EB8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470A0DBF"/>
    <w:multiLevelType w:val="hybridMultilevel"/>
    <w:tmpl w:val="1FC4009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49B13D47"/>
    <w:multiLevelType w:val="hybridMultilevel"/>
    <w:tmpl w:val="FD3A2452"/>
    <w:lvl w:ilvl="0" w:tplc="6F58190E">
      <w:start w:val="12"/>
      <w:numFmt w:val="decimal"/>
      <w:lvlText w:val="%1."/>
      <w:lvlJc w:val="left"/>
      <w:pPr>
        <w:ind w:left="28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32A25"/>
    <w:multiLevelType w:val="multilevel"/>
    <w:tmpl w:val="F21C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30C81"/>
    <w:multiLevelType w:val="multilevel"/>
    <w:tmpl w:val="F21C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11F8E"/>
    <w:multiLevelType w:val="multilevel"/>
    <w:tmpl w:val="7C3CAC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4BB5489"/>
    <w:multiLevelType w:val="multilevel"/>
    <w:tmpl w:val="5726C9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strike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8D5C93"/>
    <w:multiLevelType w:val="hybridMultilevel"/>
    <w:tmpl w:val="A8122E6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57FE6F8A"/>
    <w:multiLevelType w:val="hybridMultilevel"/>
    <w:tmpl w:val="FFA881C6"/>
    <w:lvl w:ilvl="0" w:tplc="7DDCD45E">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9BC09FD6">
      <w:start w:val="1"/>
      <w:numFmt w:val="lowerRoman"/>
      <w:lvlText w:val="%3."/>
      <w:lvlJc w:val="right"/>
      <w:pPr>
        <w:ind w:left="2160" w:hanging="180"/>
      </w:pPr>
    </w:lvl>
    <w:lvl w:ilvl="3" w:tplc="059A31F0">
      <w:start w:val="1"/>
      <w:numFmt w:val="decimal"/>
      <w:lvlText w:val="%4."/>
      <w:lvlJc w:val="left"/>
      <w:pPr>
        <w:ind w:left="2880" w:hanging="360"/>
      </w:pPr>
      <w:rPr>
        <w:color w:val="auto"/>
      </w:rPr>
    </w:lvl>
    <w:lvl w:ilvl="4" w:tplc="2A7C567E">
      <w:start w:val="1"/>
      <w:numFmt w:val="lowerLetter"/>
      <w:lvlText w:val="%5."/>
      <w:lvlJc w:val="left"/>
      <w:pPr>
        <w:ind w:left="3600" w:hanging="360"/>
      </w:pPr>
    </w:lvl>
    <w:lvl w:ilvl="5" w:tplc="997A5C26">
      <w:start w:val="1"/>
      <w:numFmt w:val="lowerRoman"/>
      <w:lvlText w:val="%6."/>
      <w:lvlJc w:val="right"/>
      <w:pPr>
        <w:ind w:left="4320" w:hanging="180"/>
      </w:pPr>
    </w:lvl>
    <w:lvl w:ilvl="6" w:tplc="A58EA720">
      <w:start w:val="1"/>
      <w:numFmt w:val="decimal"/>
      <w:lvlText w:val="%7."/>
      <w:lvlJc w:val="left"/>
      <w:pPr>
        <w:ind w:left="5040" w:hanging="360"/>
      </w:pPr>
    </w:lvl>
    <w:lvl w:ilvl="7" w:tplc="ED405EE2">
      <w:start w:val="1"/>
      <w:numFmt w:val="lowerLetter"/>
      <w:lvlText w:val="%8."/>
      <w:lvlJc w:val="left"/>
      <w:pPr>
        <w:ind w:left="5760" w:hanging="360"/>
      </w:pPr>
    </w:lvl>
    <w:lvl w:ilvl="8" w:tplc="62F250B0">
      <w:start w:val="1"/>
      <w:numFmt w:val="lowerRoman"/>
      <w:lvlText w:val="%9."/>
      <w:lvlJc w:val="right"/>
      <w:pPr>
        <w:ind w:left="6480" w:hanging="180"/>
      </w:pPr>
    </w:lvl>
  </w:abstractNum>
  <w:abstractNum w:abstractNumId="32" w15:restartNumberingAfterBreak="0">
    <w:nsid w:val="5A7213CC"/>
    <w:multiLevelType w:val="hybridMultilevel"/>
    <w:tmpl w:val="6742C6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C3C35C5"/>
    <w:multiLevelType w:val="hybridMultilevel"/>
    <w:tmpl w:val="E6AA9180"/>
    <w:lvl w:ilvl="0" w:tplc="4FDE512E">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5D804B0F"/>
    <w:multiLevelType w:val="hybridMultilevel"/>
    <w:tmpl w:val="70643152"/>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5" w15:restartNumberingAfterBreak="0">
    <w:nsid w:val="5EC3324A"/>
    <w:multiLevelType w:val="multilevel"/>
    <w:tmpl w:val="F21C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A929C1"/>
    <w:multiLevelType w:val="hybridMultilevel"/>
    <w:tmpl w:val="F2008C00"/>
    <w:lvl w:ilvl="0" w:tplc="DFB6CBB8">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3307D53"/>
    <w:multiLevelType w:val="hybridMultilevel"/>
    <w:tmpl w:val="FD5ECDB6"/>
    <w:lvl w:ilvl="0" w:tplc="FFA03EAE">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B1131B7"/>
    <w:multiLevelType w:val="multilevel"/>
    <w:tmpl w:val="53846A0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D5F1282"/>
    <w:multiLevelType w:val="multilevel"/>
    <w:tmpl w:val="B8E6ECCE"/>
    <w:lvl w:ilvl="0">
      <w:start w:val="19"/>
      <w:numFmt w:val="decimal"/>
      <w:lvlText w:val="%1."/>
      <w:lvlJc w:val="left"/>
      <w:pPr>
        <w:tabs>
          <w:tab w:val="num" w:pos="720"/>
        </w:tabs>
        <w:ind w:left="720" w:hanging="360"/>
      </w:pPr>
      <w:rPr>
        <w:rFonts w:hint="default"/>
      </w:rPr>
    </w:lvl>
    <w:lvl w:ilvl="1">
      <w:start w:val="1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E6728DA"/>
    <w:multiLevelType w:val="multilevel"/>
    <w:tmpl w:val="C63C9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FE27115"/>
    <w:multiLevelType w:val="multilevel"/>
    <w:tmpl w:val="28688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FFD7CAA"/>
    <w:multiLevelType w:val="hybridMultilevel"/>
    <w:tmpl w:val="ADC26CA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3" w15:restartNumberingAfterBreak="0">
    <w:nsid w:val="75E23A71"/>
    <w:multiLevelType w:val="hybridMultilevel"/>
    <w:tmpl w:val="6414E50C"/>
    <w:lvl w:ilvl="0" w:tplc="609EF8F8">
      <w:start w:val="10"/>
      <w:numFmt w:val="decimal"/>
      <w:lvlText w:val="%1."/>
      <w:lvlJc w:val="left"/>
      <w:pPr>
        <w:ind w:left="28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4B5D5B"/>
    <w:multiLevelType w:val="hybridMultilevel"/>
    <w:tmpl w:val="A468CA9E"/>
    <w:lvl w:ilvl="0" w:tplc="462A2EB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8842E06"/>
    <w:multiLevelType w:val="multilevel"/>
    <w:tmpl w:val="19147F5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7D753B95"/>
    <w:multiLevelType w:val="multilevel"/>
    <w:tmpl w:val="F21C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3A1F1C"/>
    <w:multiLevelType w:val="hybridMultilevel"/>
    <w:tmpl w:val="6BA06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7"/>
  </w:num>
  <w:num w:numId="2">
    <w:abstractNumId w:val="16"/>
  </w:num>
  <w:num w:numId="3">
    <w:abstractNumId w:val="33"/>
  </w:num>
  <w:num w:numId="4">
    <w:abstractNumId w:val="47"/>
  </w:num>
  <w:num w:numId="5">
    <w:abstractNumId w:val="46"/>
  </w:num>
  <w:num w:numId="6">
    <w:abstractNumId w:val="29"/>
  </w:num>
  <w:num w:numId="7">
    <w:abstractNumId w:val="28"/>
  </w:num>
  <w:num w:numId="8">
    <w:abstractNumId w:val="11"/>
  </w:num>
  <w:num w:numId="9">
    <w:abstractNumId w:val="39"/>
  </w:num>
  <w:num w:numId="10">
    <w:abstractNumId w:val="26"/>
  </w:num>
  <w:num w:numId="11">
    <w:abstractNumId w:val="1"/>
  </w:num>
  <w:num w:numId="12">
    <w:abstractNumId w:val="10"/>
  </w:num>
  <w:num w:numId="13">
    <w:abstractNumId w:val="0"/>
  </w:num>
  <w:num w:numId="14">
    <w:abstractNumId w:val="32"/>
  </w:num>
  <w:num w:numId="15">
    <w:abstractNumId w:val="27"/>
  </w:num>
  <w:num w:numId="16">
    <w:abstractNumId w:val="45"/>
  </w:num>
  <w:num w:numId="17">
    <w:abstractNumId w:val="38"/>
  </w:num>
  <w:num w:numId="18">
    <w:abstractNumId w:val="21"/>
  </w:num>
  <w:num w:numId="19">
    <w:abstractNumId w:val="22"/>
  </w:num>
  <w:num w:numId="20">
    <w:abstractNumId w:val="20"/>
  </w:num>
  <w:num w:numId="21">
    <w:abstractNumId w:val="30"/>
  </w:num>
  <w:num w:numId="22">
    <w:abstractNumId w:val="35"/>
  </w:num>
  <w:num w:numId="23">
    <w:abstractNumId w:val="7"/>
  </w:num>
  <w:num w:numId="24">
    <w:abstractNumId w:val="15"/>
  </w:num>
  <w:num w:numId="25">
    <w:abstractNumId w:val="9"/>
  </w:num>
  <w:num w:numId="26">
    <w:abstractNumId w:val="19"/>
  </w:num>
  <w:num w:numId="27">
    <w:abstractNumId w:val="8"/>
  </w:num>
  <w:num w:numId="28">
    <w:abstractNumId w:val="18"/>
  </w:num>
  <w:num w:numId="29">
    <w:abstractNumId w:val="42"/>
  </w:num>
  <w:num w:numId="30">
    <w:abstractNumId w:val="14"/>
  </w:num>
  <w:num w:numId="31">
    <w:abstractNumId w:val="2"/>
  </w:num>
  <w:num w:numId="32">
    <w:abstractNumId w:val="4"/>
  </w:num>
  <w:num w:numId="33">
    <w:abstractNumId w:val="23"/>
  </w:num>
  <w:num w:numId="34">
    <w:abstractNumId w:val="40"/>
  </w:num>
  <w:num w:numId="35">
    <w:abstractNumId w:val="31"/>
  </w:num>
  <w:num w:numId="36">
    <w:abstractNumId w:val="6"/>
  </w:num>
  <w:num w:numId="37">
    <w:abstractNumId w:val="43"/>
  </w:num>
  <w:num w:numId="38">
    <w:abstractNumId w:val="25"/>
  </w:num>
  <w:num w:numId="39">
    <w:abstractNumId w:val="44"/>
  </w:num>
  <w:num w:numId="40">
    <w:abstractNumId w:val="37"/>
  </w:num>
  <w:num w:numId="41">
    <w:abstractNumId w:val="41"/>
  </w:num>
  <w:num w:numId="42">
    <w:abstractNumId w:val="13"/>
  </w:num>
  <w:num w:numId="43">
    <w:abstractNumId w:val="24"/>
  </w:num>
  <w:num w:numId="44">
    <w:abstractNumId w:val="3"/>
  </w:num>
  <w:num w:numId="45">
    <w:abstractNumId w:val="12"/>
  </w:num>
  <w:num w:numId="46">
    <w:abstractNumId w:val="34"/>
  </w:num>
  <w:num w:numId="47">
    <w:abstractNumId w:val="5"/>
  </w:num>
  <w:num w:numId="48">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4"/>
  <w:activeWritingStyle w:lang="fr-BE" w:vendorID="64" w:dllVersion="131078" w:nlCheck="1" w:checkStyle="0" w:appName="MSWord"/>
  <w:trackRevisions w:val="false"/>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23B5"/>
    <w:rsid w:val="000022B7"/>
    <w:rsid w:val="00002C28"/>
    <w:rsid w:val="00004ACD"/>
    <w:rsid w:val="00006FEA"/>
    <w:rsid w:val="00007835"/>
    <w:rsid w:val="00010710"/>
    <w:rsid w:val="00011FBC"/>
    <w:rsid w:val="00013F43"/>
    <w:rsid w:val="00015F58"/>
    <w:rsid w:val="00016603"/>
    <w:rsid w:val="00016F93"/>
    <w:rsid w:val="00017BF6"/>
    <w:rsid w:val="0002067D"/>
    <w:rsid w:val="00020C05"/>
    <w:rsid w:val="00021B66"/>
    <w:rsid w:val="00023A1A"/>
    <w:rsid w:val="000247CC"/>
    <w:rsid w:val="000249D9"/>
    <w:rsid w:val="000256BF"/>
    <w:rsid w:val="00025950"/>
    <w:rsid w:val="000303D3"/>
    <w:rsid w:val="00032DE0"/>
    <w:rsid w:val="000332AB"/>
    <w:rsid w:val="00033952"/>
    <w:rsid w:val="00036A1B"/>
    <w:rsid w:val="00041059"/>
    <w:rsid w:val="00041B06"/>
    <w:rsid w:val="000440F4"/>
    <w:rsid w:val="00046A1E"/>
    <w:rsid w:val="00047AE5"/>
    <w:rsid w:val="00047BA5"/>
    <w:rsid w:val="00050947"/>
    <w:rsid w:val="00051486"/>
    <w:rsid w:val="00052CC6"/>
    <w:rsid w:val="00062979"/>
    <w:rsid w:val="00062A09"/>
    <w:rsid w:val="000632BC"/>
    <w:rsid w:val="000639E9"/>
    <w:rsid w:val="00063F22"/>
    <w:rsid w:val="000649A0"/>
    <w:rsid w:val="00065CF7"/>
    <w:rsid w:val="00066F97"/>
    <w:rsid w:val="00071D82"/>
    <w:rsid w:val="00072C20"/>
    <w:rsid w:val="000737C5"/>
    <w:rsid w:val="000743F8"/>
    <w:rsid w:val="0007558A"/>
    <w:rsid w:val="00075EA4"/>
    <w:rsid w:val="000763E7"/>
    <w:rsid w:val="00076B06"/>
    <w:rsid w:val="000771B2"/>
    <w:rsid w:val="00081266"/>
    <w:rsid w:val="00081B67"/>
    <w:rsid w:val="000822EC"/>
    <w:rsid w:val="000837DA"/>
    <w:rsid w:val="000846F4"/>
    <w:rsid w:val="00085155"/>
    <w:rsid w:val="000862B3"/>
    <w:rsid w:val="0008685E"/>
    <w:rsid w:val="00086F3D"/>
    <w:rsid w:val="0008789A"/>
    <w:rsid w:val="000905EF"/>
    <w:rsid w:val="000923BD"/>
    <w:rsid w:val="000939F3"/>
    <w:rsid w:val="00095AF9"/>
    <w:rsid w:val="000965F1"/>
    <w:rsid w:val="000966E4"/>
    <w:rsid w:val="00097A91"/>
    <w:rsid w:val="000A35C1"/>
    <w:rsid w:val="000A5C0D"/>
    <w:rsid w:val="000A612F"/>
    <w:rsid w:val="000A7118"/>
    <w:rsid w:val="000A7DD7"/>
    <w:rsid w:val="000B15B5"/>
    <w:rsid w:val="000B5274"/>
    <w:rsid w:val="000B5F6B"/>
    <w:rsid w:val="000B68B6"/>
    <w:rsid w:val="000B68CA"/>
    <w:rsid w:val="000B6B1A"/>
    <w:rsid w:val="000B76FC"/>
    <w:rsid w:val="000C37DB"/>
    <w:rsid w:val="000C61CF"/>
    <w:rsid w:val="000D0928"/>
    <w:rsid w:val="000D09E9"/>
    <w:rsid w:val="000D2461"/>
    <w:rsid w:val="000D3D11"/>
    <w:rsid w:val="000D5EA4"/>
    <w:rsid w:val="000D6E9A"/>
    <w:rsid w:val="000D7116"/>
    <w:rsid w:val="000D720D"/>
    <w:rsid w:val="000E0097"/>
    <w:rsid w:val="000E0E70"/>
    <w:rsid w:val="000E1B00"/>
    <w:rsid w:val="000E2A3F"/>
    <w:rsid w:val="000E2C3E"/>
    <w:rsid w:val="000E4541"/>
    <w:rsid w:val="000E6AA7"/>
    <w:rsid w:val="000E70B4"/>
    <w:rsid w:val="000F11C3"/>
    <w:rsid w:val="000F3FF0"/>
    <w:rsid w:val="000F49D8"/>
    <w:rsid w:val="000F5E39"/>
    <w:rsid w:val="000F5E6C"/>
    <w:rsid w:val="000F5E81"/>
    <w:rsid w:val="000F5F00"/>
    <w:rsid w:val="001004C9"/>
    <w:rsid w:val="00101BF5"/>
    <w:rsid w:val="00102172"/>
    <w:rsid w:val="00103586"/>
    <w:rsid w:val="0010523B"/>
    <w:rsid w:val="001066FB"/>
    <w:rsid w:val="0010774F"/>
    <w:rsid w:val="0010795B"/>
    <w:rsid w:val="00114882"/>
    <w:rsid w:val="00114CDF"/>
    <w:rsid w:val="00115860"/>
    <w:rsid w:val="0011657E"/>
    <w:rsid w:val="001165C8"/>
    <w:rsid w:val="0012014C"/>
    <w:rsid w:val="00121484"/>
    <w:rsid w:val="00121E9E"/>
    <w:rsid w:val="0012267E"/>
    <w:rsid w:val="00126A4B"/>
    <w:rsid w:val="0012710B"/>
    <w:rsid w:val="00130658"/>
    <w:rsid w:val="001311AE"/>
    <w:rsid w:val="00132F8D"/>
    <w:rsid w:val="00133E9B"/>
    <w:rsid w:val="00134B13"/>
    <w:rsid w:val="00134C6D"/>
    <w:rsid w:val="00137D47"/>
    <w:rsid w:val="001402AC"/>
    <w:rsid w:val="00141879"/>
    <w:rsid w:val="00143F85"/>
    <w:rsid w:val="001463FB"/>
    <w:rsid w:val="0015385F"/>
    <w:rsid w:val="001539FB"/>
    <w:rsid w:val="0015791D"/>
    <w:rsid w:val="0015795A"/>
    <w:rsid w:val="00162595"/>
    <w:rsid w:val="00162A5C"/>
    <w:rsid w:val="00163898"/>
    <w:rsid w:val="001638CA"/>
    <w:rsid w:val="00164295"/>
    <w:rsid w:val="0016603D"/>
    <w:rsid w:val="001749B4"/>
    <w:rsid w:val="001757CD"/>
    <w:rsid w:val="00175D55"/>
    <w:rsid w:val="001775C1"/>
    <w:rsid w:val="001775E1"/>
    <w:rsid w:val="001777C6"/>
    <w:rsid w:val="00183474"/>
    <w:rsid w:val="0018689E"/>
    <w:rsid w:val="00191B8B"/>
    <w:rsid w:val="00196583"/>
    <w:rsid w:val="001A0769"/>
    <w:rsid w:val="001A3085"/>
    <w:rsid w:val="001A5766"/>
    <w:rsid w:val="001A6D54"/>
    <w:rsid w:val="001B4760"/>
    <w:rsid w:val="001B5C7C"/>
    <w:rsid w:val="001B6C95"/>
    <w:rsid w:val="001C0245"/>
    <w:rsid w:val="001C0733"/>
    <w:rsid w:val="001C1508"/>
    <w:rsid w:val="001C3106"/>
    <w:rsid w:val="001C36A0"/>
    <w:rsid w:val="001C39E5"/>
    <w:rsid w:val="001D081C"/>
    <w:rsid w:val="001D402A"/>
    <w:rsid w:val="001D79B0"/>
    <w:rsid w:val="001D7F29"/>
    <w:rsid w:val="001E1B73"/>
    <w:rsid w:val="001E2827"/>
    <w:rsid w:val="001F03C3"/>
    <w:rsid w:val="001F4743"/>
    <w:rsid w:val="001F47FB"/>
    <w:rsid w:val="001F4B92"/>
    <w:rsid w:val="001F5859"/>
    <w:rsid w:val="001F7F78"/>
    <w:rsid w:val="002007E9"/>
    <w:rsid w:val="00202165"/>
    <w:rsid w:val="002022B3"/>
    <w:rsid w:val="00202836"/>
    <w:rsid w:val="00202B9D"/>
    <w:rsid w:val="00202D0F"/>
    <w:rsid w:val="00204086"/>
    <w:rsid w:val="00204688"/>
    <w:rsid w:val="0020468F"/>
    <w:rsid w:val="002063EB"/>
    <w:rsid w:val="00206646"/>
    <w:rsid w:val="00210819"/>
    <w:rsid w:val="002108B2"/>
    <w:rsid w:val="002111E4"/>
    <w:rsid w:val="00213B1B"/>
    <w:rsid w:val="002143F4"/>
    <w:rsid w:val="00214505"/>
    <w:rsid w:val="00214CBC"/>
    <w:rsid w:val="0021780A"/>
    <w:rsid w:val="00221E62"/>
    <w:rsid w:val="00222F28"/>
    <w:rsid w:val="002239C2"/>
    <w:rsid w:val="002249DE"/>
    <w:rsid w:val="00225621"/>
    <w:rsid w:val="00227FB7"/>
    <w:rsid w:val="00230CEE"/>
    <w:rsid w:val="00234059"/>
    <w:rsid w:val="002356D8"/>
    <w:rsid w:val="00241AC0"/>
    <w:rsid w:val="002441C1"/>
    <w:rsid w:val="00244291"/>
    <w:rsid w:val="00247662"/>
    <w:rsid w:val="0024796D"/>
    <w:rsid w:val="00250BA9"/>
    <w:rsid w:val="00250F96"/>
    <w:rsid w:val="00253B2F"/>
    <w:rsid w:val="002558A7"/>
    <w:rsid w:val="00257E36"/>
    <w:rsid w:val="00262D48"/>
    <w:rsid w:val="00262E37"/>
    <w:rsid w:val="002634AD"/>
    <w:rsid w:val="0026572D"/>
    <w:rsid w:val="00265F1E"/>
    <w:rsid w:val="002665F0"/>
    <w:rsid w:val="00267A92"/>
    <w:rsid w:val="00274E48"/>
    <w:rsid w:val="002779D4"/>
    <w:rsid w:val="00277F0D"/>
    <w:rsid w:val="002815F4"/>
    <w:rsid w:val="00281A76"/>
    <w:rsid w:val="00282088"/>
    <w:rsid w:val="002826BC"/>
    <w:rsid w:val="00285617"/>
    <w:rsid w:val="00287BE7"/>
    <w:rsid w:val="0029272E"/>
    <w:rsid w:val="00292AC7"/>
    <w:rsid w:val="00296388"/>
    <w:rsid w:val="00297B62"/>
    <w:rsid w:val="002A3E96"/>
    <w:rsid w:val="002A42F4"/>
    <w:rsid w:val="002A4778"/>
    <w:rsid w:val="002A4907"/>
    <w:rsid w:val="002A5B2F"/>
    <w:rsid w:val="002A5BC6"/>
    <w:rsid w:val="002A7854"/>
    <w:rsid w:val="002A7F86"/>
    <w:rsid w:val="002B01E1"/>
    <w:rsid w:val="002B095A"/>
    <w:rsid w:val="002B1718"/>
    <w:rsid w:val="002B466B"/>
    <w:rsid w:val="002B4C35"/>
    <w:rsid w:val="002C28B1"/>
    <w:rsid w:val="002C4019"/>
    <w:rsid w:val="002C44B5"/>
    <w:rsid w:val="002C45AF"/>
    <w:rsid w:val="002C579D"/>
    <w:rsid w:val="002D0F65"/>
    <w:rsid w:val="002D1AC4"/>
    <w:rsid w:val="002D20A8"/>
    <w:rsid w:val="002D21CC"/>
    <w:rsid w:val="002D720F"/>
    <w:rsid w:val="002D77B2"/>
    <w:rsid w:val="002E0328"/>
    <w:rsid w:val="002E1829"/>
    <w:rsid w:val="002E57C8"/>
    <w:rsid w:val="002E6D55"/>
    <w:rsid w:val="002F4BE3"/>
    <w:rsid w:val="002F5173"/>
    <w:rsid w:val="002F532E"/>
    <w:rsid w:val="002F5460"/>
    <w:rsid w:val="002F57A9"/>
    <w:rsid w:val="00302A11"/>
    <w:rsid w:val="00302B48"/>
    <w:rsid w:val="003043F1"/>
    <w:rsid w:val="00306362"/>
    <w:rsid w:val="003074DE"/>
    <w:rsid w:val="00310C24"/>
    <w:rsid w:val="003136F2"/>
    <w:rsid w:val="00313EA1"/>
    <w:rsid w:val="00314A6E"/>
    <w:rsid w:val="003154DB"/>
    <w:rsid w:val="00315EED"/>
    <w:rsid w:val="0031621D"/>
    <w:rsid w:val="00316414"/>
    <w:rsid w:val="00317883"/>
    <w:rsid w:val="00317B7A"/>
    <w:rsid w:val="0032123E"/>
    <w:rsid w:val="0032216F"/>
    <w:rsid w:val="00322509"/>
    <w:rsid w:val="00324806"/>
    <w:rsid w:val="00326B32"/>
    <w:rsid w:val="003315C9"/>
    <w:rsid w:val="00334267"/>
    <w:rsid w:val="00334D74"/>
    <w:rsid w:val="003351AE"/>
    <w:rsid w:val="00336E87"/>
    <w:rsid w:val="00337965"/>
    <w:rsid w:val="003447A3"/>
    <w:rsid w:val="00345110"/>
    <w:rsid w:val="003458D7"/>
    <w:rsid w:val="00347D8C"/>
    <w:rsid w:val="003502CC"/>
    <w:rsid w:val="0035130D"/>
    <w:rsid w:val="00351722"/>
    <w:rsid w:val="00352E36"/>
    <w:rsid w:val="00352EC3"/>
    <w:rsid w:val="00356CC6"/>
    <w:rsid w:val="0035738C"/>
    <w:rsid w:val="00360E45"/>
    <w:rsid w:val="00361DA0"/>
    <w:rsid w:val="00362FFC"/>
    <w:rsid w:val="00363216"/>
    <w:rsid w:val="00364483"/>
    <w:rsid w:val="00364BD5"/>
    <w:rsid w:val="00366079"/>
    <w:rsid w:val="003665EA"/>
    <w:rsid w:val="00366C58"/>
    <w:rsid w:val="003724A1"/>
    <w:rsid w:val="0037285D"/>
    <w:rsid w:val="00373FBD"/>
    <w:rsid w:val="00374182"/>
    <w:rsid w:val="00384744"/>
    <w:rsid w:val="0039121F"/>
    <w:rsid w:val="00391681"/>
    <w:rsid w:val="00391C9B"/>
    <w:rsid w:val="00393A66"/>
    <w:rsid w:val="00394E42"/>
    <w:rsid w:val="003A1C17"/>
    <w:rsid w:val="003A4382"/>
    <w:rsid w:val="003A4592"/>
    <w:rsid w:val="003A4BE3"/>
    <w:rsid w:val="003A71F9"/>
    <w:rsid w:val="003A7BE2"/>
    <w:rsid w:val="003B1766"/>
    <w:rsid w:val="003B2730"/>
    <w:rsid w:val="003B2EDA"/>
    <w:rsid w:val="003B64E9"/>
    <w:rsid w:val="003B78F3"/>
    <w:rsid w:val="003C0027"/>
    <w:rsid w:val="003C03EE"/>
    <w:rsid w:val="003C0516"/>
    <w:rsid w:val="003C0901"/>
    <w:rsid w:val="003C1BC9"/>
    <w:rsid w:val="003C5F53"/>
    <w:rsid w:val="003C6FE1"/>
    <w:rsid w:val="003C7452"/>
    <w:rsid w:val="003C77BA"/>
    <w:rsid w:val="003C7B9C"/>
    <w:rsid w:val="003D013E"/>
    <w:rsid w:val="003D1D2F"/>
    <w:rsid w:val="003D3557"/>
    <w:rsid w:val="003D4F69"/>
    <w:rsid w:val="003D725A"/>
    <w:rsid w:val="003E0A40"/>
    <w:rsid w:val="003E1689"/>
    <w:rsid w:val="003E20D9"/>
    <w:rsid w:val="003E3313"/>
    <w:rsid w:val="003E3821"/>
    <w:rsid w:val="003E4474"/>
    <w:rsid w:val="003E452A"/>
    <w:rsid w:val="003E690A"/>
    <w:rsid w:val="003E7ADA"/>
    <w:rsid w:val="003F0930"/>
    <w:rsid w:val="003F1FEA"/>
    <w:rsid w:val="003F4324"/>
    <w:rsid w:val="003F4FE3"/>
    <w:rsid w:val="003F6365"/>
    <w:rsid w:val="00401A49"/>
    <w:rsid w:val="004025BB"/>
    <w:rsid w:val="00403D4A"/>
    <w:rsid w:val="00406625"/>
    <w:rsid w:val="0040690C"/>
    <w:rsid w:val="004077A8"/>
    <w:rsid w:val="00412221"/>
    <w:rsid w:val="00412DFE"/>
    <w:rsid w:val="004139AD"/>
    <w:rsid w:val="004160DD"/>
    <w:rsid w:val="00416E13"/>
    <w:rsid w:val="00421F32"/>
    <w:rsid w:val="00424FD6"/>
    <w:rsid w:val="00426519"/>
    <w:rsid w:val="00430537"/>
    <w:rsid w:val="00430DDA"/>
    <w:rsid w:val="004316B0"/>
    <w:rsid w:val="004318DF"/>
    <w:rsid w:val="00432230"/>
    <w:rsid w:val="00440940"/>
    <w:rsid w:val="00440BDF"/>
    <w:rsid w:val="00442EE3"/>
    <w:rsid w:val="004450B9"/>
    <w:rsid w:val="00445642"/>
    <w:rsid w:val="00445EE0"/>
    <w:rsid w:val="004469E8"/>
    <w:rsid w:val="004538E3"/>
    <w:rsid w:val="004559C3"/>
    <w:rsid w:val="00455F12"/>
    <w:rsid w:val="0045653C"/>
    <w:rsid w:val="00460F9A"/>
    <w:rsid w:val="00461422"/>
    <w:rsid w:val="004621AC"/>
    <w:rsid w:val="004635C0"/>
    <w:rsid w:val="0046364B"/>
    <w:rsid w:val="00464042"/>
    <w:rsid w:val="004650A8"/>
    <w:rsid w:val="0046699A"/>
    <w:rsid w:val="00470692"/>
    <w:rsid w:val="0047362F"/>
    <w:rsid w:val="004751C0"/>
    <w:rsid w:val="0048361E"/>
    <w:rsid w:val="0048384C"/>
    <w:rsid w:val="00484D99"/>
    <w:rsid w:val="00484DB3"/>
    <w:rsid w:val="00486460"/>
    <w:rsid w:val="004870A3"/>
    <w:rsid w:val="004900E6"/>
    <w:rsid w:val="00490936"/>
    <w:rsid w:val="00493259"/>
    <w:rsid w:val="00493E7E"/>
    <w:rsid w:val="0049539C"/>
    <w:rsid w:val="004A0C04"/>
    <w:rsid w:val="004A3BB6"/>
    <w:rsid w:val="004A5721"/>
    <w:rsid w:val="004A572A"/>
    <w:rsid w:val="004A6241"/>
    <w:rsid w:val="004A73C2"/>
    <w:rsid w:val="004A759F"/>
    <w:rsid w:val="004B0179"/>
    <w:rsid w:val="004B2A8A"/>
    <w:rsid w:val="004B30CB"/>
    <w:rsid w:val="004B3D47"/>
    <w:rsid w:val="004B4883"/>
    <w:rsid w:val="004B547B"/>
    <w:rsid w:val="004C0098"/>
    <w:rsid w:val="004C0E79"/>
    <w:rsid w:val="004C100B"/>
    <w:rsid w:val="004C1406"/>
    <w:rsid w:val="004C22C3"/>
    <w:rsid w:val="004C4AF0"/>
    <w:rsid w:val="004C4E31"/>
    <w:rsid w:val="004C51F7"/>
    <w:rsid w:val="004C6597"/>
    <w:rsid w:val="004C68C6"/>
    <w:rsid w:val="004D0221"/>
    <w:rsid w:val="004D0BAA"/>
    <w:rsid w:val="004D13F9"/>
    <w:rsid w:val="004D3F48"/>
    <w:rsid w:val="004D4E71"/>
    <w:rsid w:val="004D55BA"/>
    <w:rsid w:val="004D67F2"/>
    <w:rsid w:val="004D7CA3"/>
    <w:rsid w:val="004D7D92"/>
    <w:rsid w:val="004E0667"/>
    <w:rsid w:val="004E1109"/>
    <w:rsid w:val="004E11D8"/>
    <w:rsid w:val="004E1408"/>
    <w:rsid w:val="004E2045"/>
    <w:rsid w:val="004E4403"/>
    <w:rsid w:val="004E7E54"/>
    <w:rsid w:val="004F509C"/>
    <w:rsid w:val="004F6434"/>
    <w:rsid w:val="004F6BC2"/>
    <w:rsid w:val="004F71A2"/>
    <w:rsid w:val="00500872"/>
    <w:rsid w:val="005061BC"/>
    <w:rsid w:val="0050775C"/>
    <w:rsid w:val="005146EB"/>
    <w:rsid w:val="00523626"/>
    <w:rsid w:val="0052448E"/>
    <w:rsid w:val="00524C17"/>
    <w:rsid w:val="005264E4"/>
    <w:rsid w:val="005265EC"/>
    <w:rsid w:val="00526A28"/>
    <w:rsid w:val="00530BC3"/>
    <w:rsid w:val="00532034"/>
    <w:rsid w:val="00533B0C"/>
    <w:rsid w:val="00533FE5"/>
    <w:rsid w:val="005351CA"/>
    <w:rsid w:val="0053571A"/>
    <w:rsid w:val="005411D6"/>
    <w:rsid w:val="0054338A"/>
    <w:rsid w:val="00544AF2"/>
    <w:rsid w:val="00545935"/>
    <w:rsid w:val="0054792C"/>
    <w:rsid w:val="00551486"/>
    <w:rsid w:val="00554A0F"/>
    <w:rsid w:val="00555E5F"/>
    <w:rsid w:val="005576F6"/>
    <w:rsid w:val="00562F9D"/>
    <w:rsid w:val="0056305D"/>
    <w:rsid w:val="00563CD5"/>
    <w:rsid w:val="00567A82"/>
    <w:rsid w:val="00570989"/>
    <w:rsid w:val="00570A14"/>
    <w:rsid w:val="0057465B"/>
    <w:rsid w:val="0057556F"/>
    <w:rsid w:val="005759A8"/>
    <w:rsid w:val="00576BD4"/>
    <w:rsid w:val="00576CD0"/>
    <w:rsid w:val="005900B6"/>
    <w:rsid w:val="005922C6"/>
    <w:rsid w:val="00592C87"/>
    <w:rsid w:val="00593886"/>
    <w:rsid w:val="00593F57"/>
    <w:rsid w:val="00597AEE"/>
    <w:rsid w:val="005A0917"/>
    <w:rsid w:val="005A156C"/>
    <w:rsid w:val="005A229B"/>
    <w:rsid w:val="005A27BA"/>
    <w:rsid w:val="005A7027"/>
    <w:rsid w:val="005A7D17"/>
    <w:rsid w:val="005B0129"/>
    <w:rsid w:val="005B1A2C"/>
    <w:rsid w:val="005B3B97"/>
    <w:rsid w:val="005B41BA"/>
    <w:rsid w:val="005B4362"/>
    <w:rsid w:val="005B5A6C"/>
    <w:rsid w:val="005B5F86"/>
    <w:rsid w:val="005B6777"/>
    <w:rsid w:val="005C0BD6"/>
    <w:rsid w:val="005C0CB7"/>
    <w:rsid w:val="005C0DE3"/>
    <w:rsid w:val="005C696B"/>
    <w:rsid w:val="005D09C2"/>
    <w:rsid w:val="005D3FFB"/>
    <w:rsid w:val="005D73F0"/>
    <w:rsid w:val="005E0390"/>
    <w:rsid w:val="005E09F6"/>
    <w:rsid w:val="005E1B19"/>
    <w:rsid w:val="005E390F"/>
    <w:rsid w:val="005E5832"/>
    <w:rsid w:val="005F1C1E"/>
    <w:rsid w:val="005F2B2F"/>
    <w:rsid w:val="005F4796"/>
    <w:rsid w:val="005F52F4"/>
    <w:rsid w:val="005F553C"/>
    <w:rsid w:val="005F6E43"/>
    <w:rsid w:val="005F707D"/>
    <w:rsid w:val="00600164"/>
    <w:rsid w:val="00602F8F"/>
    <w:rsid w:val="00603497"/>
    <w:rsid w:val="006036CF"/>
    <w:rsid w:val="006051D2"/>
    <w:rsid w:val="006054FA"/>
    <w:rsid w:val="00607AA5"/>
    <w:rsid w:val="006105B4"/>
    <w:rsid w:val="0061413D"/>
    <w:rsid w:val="00614550"/>
    <w:rsid w:val="0061485B"/>
    <w:rsid w:val="00616954"/>
    <w:rsid w:val="00617610"/>
    <w:rsid w:val="00620FED"/>
    <w:rsid w:val="00621D0F"/>
    <w:rsid w:val="00622EB6"/>
    <w:rsid w:val="00623E48"/>
    <w:rsid w:val="006244EF"/>
    <w:rsid w:val="00625196"/>
    <w:rsid w:val="006251C1"/>
    <w:rsid w:val="00625B23"/>
    <w:rsid w:val="00627517"/>
    <w:rsid w:val="00631C7A"/>
    <w:rsid w:val="0063350C"/>
    <w:rsid w:val="006347A6"/>
    <w:rsid w:val="00635D40"/>
    <w:rsid w:val="00637201"/>
    <w:rsid w:val="00640184"/>
    <w:rsid w:val="0064109D"/>
    <w:rsid w:val="00641D1E"/>
    <w:rsid w:val="00644A7F"/>
    <w:rsid w:val="006465ED"/>
    <w:rsid w:val="0065179D"/>
    <w:rsid w:val="00652F84"/>
    <w:rsid w:val="00655F83"/>
    <w:rsid w:val="00656363"/>
    <w:rsid w:val="00661ACF"/>
    <w:rsid w:val="006621DF"/>
    <w:rsid w:val="00663168"/>
    <w:rsid w:val="00664B38"/>
    <w:rsid w:val="00665A03"/>
    <w:rsid w:val="00670DE4"/>
    <w:rsid w:val="006739CD"/>
    <w:rsid w:val="00676679"/>
    <w:rsid w:val="00677534"/>
    <w:rsid w:val="00681663"/>
    <w:rsid w:val="00683985"/>
    <w:rsid w:val="006840B3"/>
    <w:rsid w:val="00685845"/>
    <w:rsid w:val="00686C12"/>
    <w:rsid w:val="006903CF"/>
    <w:rsid w:val="00690DBB"/>
    <w:rsid w:val="00695C99"/>
    <w:rsid w:val="006961D5"/>
    <w:rsid w:val="00697775"/>
    <w:rsid w:val="006A008F"/>
    <w:rsid w:val="006A08C2"/>
    <w:rsid w:val="006A126D"/>
    <w:rsid w:val="006A2EEC"/>
    <w:rsid w:val="006A3ACF"/>
    <w:rsid w:val="006A7101"/>
    <w:rsid w:val="006A77F7"/>
    <w:rsid w:val="006B35CC"/>
    <w:rsid w:val="006B567A"/>
    <w:rsid w:val="006B61D8"/>
    <w:rsid w:val="006B643F"/>
    <w:rsid w:val="006B6AD8"/>
    <w:rsid w:val="006B6CAC"/>
    <w:rsid w:val="006C1ECF"/>
    <w:rsid w:val="006C3009"/>
    <w:rsid w:val="006C3ECA"/>
    <w:rsid w:val="006C47F4"/>
    <w:rsid w:val="006C4DCD"/>
    <w:rsid w:val="006C6F9E"/>
    <w:rsid w:val="006C7E02"/>
    <w:rsid w:val="006D10F3"/>
    <w:rsid w:val="006D1456"/>
    <w:rsid w:val="006D14BA"/>
    <w:rsid w:val="006D5691"/>
    <w:rsid w:val="006E012A"/>
    <w:rsid w:val="006E0179"/>
    <w:rsid w:val="006E0E21"/>
    <w:rsid w:val="006E1646"/>
    <w:rsid w:val="006E248B"/>
    <w:rsid w:val="006E3A4D"/>
    <w:rsid w:val="006E51C6"/>
    <w:rsid w:val="006F046B"/>
    <w:rsid w:val="006F10F5"/>
    <w:rsid w:val="006F191E"/>
    <w:rsid w:val="006F3B4B"/>
    <w:rsid w:val="00700277"/>
    <w:rsid w:val="00701C0B"/>
    <w:rsid w:val="00701ED3"/>
    <w:rsid w:val="0070483F"/>
    <w:rsid w:val="0070498F"/>
    <w:rsid w:val="00704F77"/>
    <w:rsid w:val="00705282"/>
    <w:rsid w:val="00710FDB"/>
    <w:rsid w:val="0071100F"/>
    <w:rsid w:val="0071272D"/>
    <w:rsid w:val="00713A05"/>
    <w:rsid w:val="00713B5D"/>
    <w:rsid w:val="007168BE"/>
    <w:rsid w:val="00720F31"/>
    <w:rsid w:val="00721158"/>
    <w:rsid w:val="0072325E"/>
    <w:rsid w:val="00723D47"/>
    <w:rsid w:val="00724D96"/>
    <w:rsid w:val="007274AE"/>
    <w:rsid w:val="007327A9"/>
    <w:rsid w:val="007340F2"/>
    <w:rsid w:val="007353A8"/>
    <w:rsid w:val="007439B7"/>
    <w:rsid w:val="0074414B"/>
    <w:rsid w:val="00744A47"/>
    <w:rsid w:val="00746B5E"/>
    <w:rsid w:val="00750CE9"/>
    <w:rsid w:val="00751930"/>
    <w:rsid w:val="00751F66"/>
    <w:rsid w:val="007544F8"/>
    <w:rsid w:val="007564EB"/>
    <w:rsid w:val="00757E0D"/>
    <w:rsid w:val="0076072A"/>
    <w:rsid w:val="00762A1F"/>
    <w:rsid w:val="00763209"/>
    <w:rsid w:val="007643B7"/>
    <w:rsid w:val="00764A78"/>
    <w:rsid w:val="007652D9"/>
    <w:rsid w:val="007724C7"/>
    <w:rsid w:val="0077461D"/>
    <w:rsid w:val="0077568B"/>
    <w:rsid w:val="00775D52"/>
    <w:rsid w:val="00776A0E"/>
    <w:rsid w:val="00780E3A"/>
    <w:rsid w:val="00781BE4"/>
    <w:rsid w:val="00783616"/>
    <w:rsid w:val="00783BB4"/>
    <w:rsid w:val="00784495"/>
    <w:rsid w:val="007878BF"/>
    <w:rsid w:val="0079332E"/>
    <w:rsid w:val="007940D2"/>
    <w:rsid w:val="007953C9"/>
    <w:rsid w:val="00795585"/>
    <w:rsid w:val="00795767"/>
    <w:rsid w:val="007A1B27"/>
    <w:rsid w:val="007A4C11"/>
    <w:rsid w:val="007A79DA"/>
    <w:rsid w:val="007B0CDD"/>
    <w:rsid w:val="007B3612"/>
    <w:rsid w:val="007B3D59"/>
    <w:rsid w:val="007B708A"/>
    <w:rsid w:val="007C004D"/>
    <w:rsid w:val="007C29BC"/>
    <w:rsid w:val="007C2FCC"/>
    <w:rsid w:val="007C4F6F"/>
    <w:rsid w:val="007C519C"/>
    <w:rsid w:val="007C5789"/>
    <w:rsid w:val="007C5DCB"/>
    <w:rsid w:val="007D029B"/>
    <w:rsid w:val="007D07EF"/>
    <w:rsid w:val="007D2146"/>
    <w:rsid w:val="007D5FA6"/>
    <w:rsid w:val="007E11EC"/>
    <w:rsid w:val="007E1515"/>
    <w:rsid w:val="007E2D7E"/>
    <w:rsid w:val="007E6CAD"/>
    <w:rsid w:val="007E7492"/>
    <w:rsid w:val="007F6B12"/>
    <w:rsid w:val="007F79B9"/>
    <w:rsid w:val="00800028"/>
    <w:rsid w:val="00800565"/>
    <w:rsid w:val="00803261"/>
    <w:rsid w:val="00803EB5"/>
    <w:rsid w:val="00803FE5"/>
    <w:rsid w:val="00805634"/>
    <w:rsid w:val="00806F91"/>
    <w:rsid w:val="00812AD1"/>
    <w:rsid w:val="00814F22"/>
    <w:rsid w:val="00817C7B"/>
    <w:rsid w:val="00820118"/>
    <w:rsid w:val="008219D2"/>
    <w:rsid w:val="00830377"/>
    <w:rsid w:val="008310FB"/>
    <w:rsid w:val="0083240E"/>
    <w:rsid w:val="00832815"/>
    <w:rsid w:val="00834A07"/>
    <w:rsid w:val="00841E49"/>
    <w:rsid w:val="008421A0"/>
    <w:rsid w:val="008450A8"/>
    <w:rsid w:val="00847E8F"/>
    <w:rsid w:val="008500F1"/>
    <w:rsid w:val="008523FA"/>
    <w:rsid w:val="00857C05"/>
    <w:rsid w:val="00860A03"/>
    <w:rsid w:val="00860BEC"/>
    <w:rsid w:val="00861DBF"/>
    <w:rsid w:val="00864629"/>
    <w:rsid w:val="00864C72"/>
    <w:rsid w:val="0087317C"/>
    <w:rsid w:val="008734E3"/>
    <w:rsid w:val="00875FE7"/>
    <w:rsid w:val="00877F03"/>
    <w:rsid w:val="0088161D"/>
    <w:rsid w:val="008841E9"/>
    <w:rsid w:val="0088454F"/>
    <w:rsid w:val="00885E6F"/>
    <w:rsid w:val="00886966"/>
    <w:rsid w:val="00890BBA"/>
    <w:rsid w:val="00890D5C"/>
    <w:rsid w:val="00890E10"/>
    <w:rsid w:val="00896460"/>
    <w:rsid w:val="008A0EFC"/>
    <w:rsid w:val="008A200D"/>
    <w:rsid w:val="008A2CA2"/>
    <w:rsid w:val="008A336B"/>
    <w:rsid w:val="008A3774"/>
    <w:rsid w:val="008A4A2E"/>
    <w:rsid w:val="008A5668"/>
    <w:rsid w:val="008B2927"/>
    <w:rsid w:val="008B3116"/>
    <w:rsid w:val="008B48CC"/>
    <w:rsid w:val="008B4DEA"/>
    <w:rsid w:val="008B632C"/>
    <w:rsid w:val="008C0B23"/>
    <w:rsid w:val="008C1A63"/>
    <w:rsid w:val="008C1F4C"/>
    <w:rsid w:val="008C288C"/>
    <w:rsid w:val="008C647C"/>
    <w:rsid w:val="008C7E54"/>
    <w:rsid w:val="008D086B"/>
    <w:rsid w:val="008D0CA8"/>
    <w:rsid w:val="008D0F53"/>
    <w:rsid w:val="008D158C"/>
    <w:rsid w:val="008D45B7"/>
    <w:rsid w:val="008D4930"/>
    <w:rsid w:val="008D6025"/>
    <w:rsid w:val="008E1386"/>
    <w:rsid w:val="008E140F"/>
    <w:rsid w:val="008E2C19"/>
    <w:rsid w:val="008E46A3"/>
    <w:rsid w:val="008E5D35"/>
    <w:rsid w:val="008E7288"/>
    <w:rsid w:val="008E75A9"/>
    <w:rsid w:val="008F18AB"/>
    <w:rsid w:val="008F1E28"/>
    <w:rsid w:val="008F3FBC"/>
    <w:rsid w:val="008F48DC"/>
    <w:rsid w:val="008F63AA"/>
    <w:rsid w:val="008F67FE"/>
    <w:rsid w:val="009017AF"/>
    <w:rsid w:val="009027F0"/>
    <w:rsid w:val="0090524E"/>
    <w:rsid w:val="00906785"/>
    <w:rsid w:val="009110F2"/>
    <w:rsid w:val="00911555"/>
    <w:rsid w:val="00911BC6"/>
    <w:rsid w:val="009132DF"/>
    <w:rsid w:val="0091632E"/>
    <w:rsid w:val="00916540"/>
    <w:rsid w:val="00916F25"/>
    <w:rsid w:val="009209D9"/>
    <w:rsid w:val="009237A3"/>
    <w:rsid w:val="0092463B"/>
    <w:rsid w:val="00926756"/>
    <w:rsid w:val="0092700D"/>
    <w:rsid w:val="00930418"/>
    <w:rsid w:val="00930D1B"/>
    <w:rsid w:val="00931DE3"/>
    <w:rsid w:val="009338F0"/>
    <w:rsid w:val="00946A46"/>
    <w:rsid w:val="00950105"/>
    <w:rsid w:val="009508F3"/>
    <w:rsid w:val="009530A3"/>
    <w:rsid w:val="0095328F"/>
    <w:rsid w:val="00953327"/>
    <w:rsid w:val="009542D4"/>
    <w:rsid w:val="00957017"/>
    <w:rsid w:val="0095755B"/>
    <w:rsid w:val="00957A18"/>
    <w:rsid w:val="00961AB6"/>
    <w:rsid w:val="0096318B"/>
    <w:rsid w:val="0097089C"/>
    <w:rsid w:val="00973965"/>
    <w:rsid w:val="00974BE4"/>
    <w:rsid w:val="00975CA6"/>
    <w:rsid w:val="00977448"/>
    <w:rsid w:val="00981575"/>
    <w:rsid w:val="00985C4B"/>
    <w:rsid w:val="00987780"/>
    <w:rsid w:val="00991100"/>
    <w:rsid w:val="0099137D"/>
    <w:rsid w:val="00991884"/>
    <w:rsid w:val="00991E5D"/>
    <w:rsid w:val="00991FFA"/>
    <w:rsid w:val="00992982"/>
    <w:rsid w:val="00994B44"/>
    <w:rsid w:val="009A3716"/>
    <w:rsid w:val="009A3E89"/>
    <w:rsid w:val="009A44CE"/>
    <w:rsid w:val="009A5D99"/>
    <w:rsid w:val="009A64D7"/>
    <w:rsid w:val="009A71F6"/>
    <w:rsid w:val="009B0158"/>
    <w:rsid w:val="009B0BE3"/>
    <w:rsid w:val="009B2DF9"/>
    <w:rsid w:val="009B5F3A"/>
    <w:rsid w:val="009B7229"/>
    <w:rsid w:val="009B781F"/>
    <w:rsid w:val="009B7F25"/>
    <w:rsid w:val="009C0122"/>
    <w:rsid w:val="009C3681"/>
    <w:rsid w:val="009C7544"/>
    <w:rsid w:val="009C783E"/>
    <w:rsid w:val="009C7C3C"/>
    <w:rsid w:val="009D0617"/>
    <w:rsid w:val="009D2710"/>
    <w:rsid w:val="009D34BF"/>
    <w:rsid w:val="009D42FC"/>
    <w:rsid w:val="009D4957"/>
    <w:rsid w:val="009D515B"/>
    <w:rsid w:val="009E16E5"/>
    <w:rsid w:val="009E5DCD"/>
    <w:rsid w:val="009E6A2C"/>
    <w:rsid w:val="009F000A"/>
    <w:rsid w:val="009F0795"/>
    <w:rsid w:val="009F07C5"/>
    <w:rsid w:val="009F1217"/>
    <w:rsid w:val="009F1916"/>
    <w:rsid w:val="009F2484"/>
    <w:rsid w:val="009F4053"/>
    <w:rsid w:val="009F483D"/>
    <w:rsid w:val="009F5ACD"/>
    <w:rsid w:val="00A00BA5"/>
    <w:rsid w:val="00A01101"/>
    <w:rsid w:val="00A01162"/>
    <w:rsid w:val="00A03F42"/>
    <w:rsid w:val="00A07A3A"/>
    <w:rsid w:val="00A07FFC"/>
    <w:rsid w:val="00A136DB"/>
    <w:rsid w:val="00A14E6B"/>
    <w:rsid w:val="00A1747C"/>
    <w:rsid w:val="00A20FC7"/>
    <w:rsid w:val="00A245A3"/>
    <w:rsid w:val="00A25F6D"/>
    <w:rsid w:val="00A31161"/>
    <w:rsid w:val="00A31711"/>
    <w:rsid w:val="00A31C87"/>
    <w:rsid w:val="00A33692"/>
    <w:rsid w:val="00A33DA5"/>
    <w:rsid w:val="00A37169"/>
    <w:rsid w:val="00A40485"/>
    <w:rsid w:val="00A41CF0"/>
    <w:rsid w:val="00A42F35"/>
    <w:rsid w:val="00A4313D"/>
    <w:rsid w:val="00A435EB"/>
    <w:rsid w:val="00A44B51"/>
    <w:rsid w:val="00A45F2B"/>
    <w:rsid w:val="00A5219F"/>
    <w:rsid w:val="00A52CF5"/>
    <w:rsid w:val="00A55E51"/>
    <w:rsid w:val="00A60958"/>
    <w:rsid w:val="00A60ABF"/>
    <w:rsid w:val="00A622B3"/>
    <w:rsid w:val="00A6321E"/>
    <w:rsid w:val="00A6355F"/>
    <w:rsid w:val="00A6454B"/>
    <w:rsid w:val="00A67FC7"/>
    <w:rsid w:val="00A70602"/>
    <w:rsid w:val="00A710FF"/>
    <w:rsid w:val="00A72511"/>
    <w:rsid w:val="00A72DD3"/>
    <w:rsid w:val="00A732C0"/>
    <w:rsid w:val="00A742B6"/>
    <w:rsid w:val="00A7433C"/>
    <w:rsid w:val="00A74F1E"/>
    <w:rsid w:val="00A75F80"/>
    <w:rsid w:val="00A84ABD"/>
    <w:rsid w:val="00A84FC5"/>
    <w:rsid w:val="00A8571D"/>
    <w:rsid w:val="00A86E18"/>
    <w:rsid w:val="00A876F1"/>
    <w:rsid w:val="00A90340"/>
    <w:rsid w:val="00A92D75"/>
    <w:rsid w:val="00A92EAE"/>
    <w:rsid w:val="00A94952"/>
    <w:rsid w:val="00A952EF"/>
    <w:rsid w:val="00A95805"/>
    <w:rsid w:val="00A96A42"/>
    <w:rsid w:val="00A96FFC"/>
    <w:rsid w:val="00A9703D"/>
    <w:rsid w:val="00AA4130"/>
    <w:rsid w:val="00AA626F"/>
    <w:rsid w:val="00AA7E7F"/>
    <w:rsid w:val="00AB00A3"/>
    <w:rsid w:val="00AB229E"/>
    <w:rsid w:val="00AB28EF"/>
    <w:rsid w:val="00AB355B"/>
    <w:rsid w:val="00AB37B3"/>
    <w:rsid w:val="00AB3A85"/>
    <w:rsid w:val="00AB7E5B"/>
    <w:rsid w:val="00AC374B"/>
    <w:rsid w:val="00AC6F0E"/>
    <w:rsid w:val="00AD0251"/>
    <w:rsid w:val="00AD02E1"/>
    <w:rsid w:val="00AD04C0"/>
    <w:rsid w:val="00AD07FC"/>
    <w:rsid w:val="00AD08FE"/>
    <w:rsid w:val="00AD0EF6"/>
    <w:rsid w:val="00AD106C"/>
    <w:rsid w:val="00AD25E0"/>
    <w:rsid w:val="00AE0F21"/>
    <w:rsid w:val="00AE36F2"/>
    <w:rsid w:val="00AE4256"/>
    <w:rsid w:val="00AE5059"/>
    <w:rsid w:val="00AE7503"/>
    <w:rsid w:val="00AE7698"/>
    <w:rsid w:val="00AE76AA"/>
    <w:rsid w:val="00AF19E1"/>
    <w:rsid w:val="00AF23B5"/>
    <w:rsid w:val="00AF29DB"/>
    <w:rsid w:val="00AF3BE3"/>
    <w:rsid w:val="00AF3C55"/>
    <w:rsid w:val="00AF415A"/>
    <w:rsid w:val="00B00002"/>
    <w:rsid w:val="00B00A65"/>
    <w:rsid w:val="00B0185C"/>
    <w:rsid w:val="00B02D97"/>
    <w:rsid w:val="00B03D8D"/>
    <w:rsid w:val="00B05221"/>
    <w:rsid w:val="00B06542"/>
    <w:rsid w:val="00B066D1"/>
    <w:rsid w:val="00B11ACC"/>
    <w:rsid w:val="00B14DCE"/>
    <w:rsid w:val="00B15967"/>
    <w:rsid w:val="00B16CB4"/>
    <w:rsid w:val="00B209A2"/>
    <w:rsid w:val="00B22EBB"/>
    <w:rsid w:val="00B22F3B"/>
    <w:rsid w:val="00B24339"/>
    <w:rsid w:val="00B26114"/>
    <w:rsid w:val="00B2633D"/>
    <w:rsid w:val="00B26EB5"/>
    <w:rsid w:val="00B307B4"/>
    <w:rsid w:val="00B32292"/>
    <w:rsid w:val="00B32C0A"/>
    <w:rsid w:val="00B3399B"/>
    <w:rsid w:val="00B351C3"/>
    <w:rsid w:val="00B36204"/>
    <w:rsid w:val="00B37F13"/>
    <w:rsid w:val="00B40E38"/>
    <w:rsid w:val="00B41A6E"/>
    <w:rsid w:val="00B42293"/>
    <w:rsid w:val="00B42383"/>
    <w:rsid w:val="00B425D6"/>
    <w:rsid w:val="00B42FDB"/>
    <w:rsid w:val="00B439A8"/>
    <w:rsid w:val="00B43C7A"/>
    <w:rsid w:val="00B4655B"/>
    <w:rsid w:val="00B477D9"/>
    <w:rsid w:val="00B50943"/>
    <w:rsid w:val="00B51494"/>
    <w:rsid w:val="00B539E5"/>
    <w:rsid w:val="00B545DE"/>
    <w:rsid w:val="00B57C2B"/>
    <w:rsid w:val="00B6203F"/>
    <w:rsid w:val="00B63D02"/>
    <w:rsid w:val="00B65472"/>
    <w:rsid w:val="00B6571D"/>
    <w:rsid w:val="00B65EEC"/>
    <w:rsid w:val="00B66947"/>
    <w:rsid w:val="00B74C04"/>
    <w:rsid w:val="00B757CE"/>
    <w:rsid w:val="00B80478"/>
    <w:rsid w:val="00B80B08"/>
    <w:rsid w:val="00B81078"/>
    <w:rsid w:val="00B8244D"/>
    <w:rsid w:val="00B83313"/>
    <w:rsid w:val="00B84E9C"/>
    <w:rsid w:val="00B8573F"/>
    <w:rsid w:val="00B85EB6"/>
    <w:rsid w:val="00B865E9"/>
    <w:rsid w:val="00B87AA8"/>
    <w:rsid w:val="00B87DD7"/>
    <w:rsid w:val="00B91F2A"/>
    <w:rsid w:val="00B947A8"/>
    <w:rsid w:val="00B948B0"/>
    <w:rsid w:val="00BA05E5"/>
    <w:rsid w:val="00BA090A"/>
    <w:rsid w:val="00BA3D3A"/>
    <w:rsid w:val="00BA5521"/>
    <w:rsid w:val="00BA5CF8"/>
    <w:rsid w:val="00BA656F"/>
    <w:rsid w:val="00BA67BB"/>
    <w:rsid w:val="00BA6D55"/>
    <w:rsid w:val="00BB00D9"/>
    <w:rsid w:val="00BB041F"/>
    <w:rsid w:val="00BB51D8"/>
    <w:rsid w:val="00BB7FBB"/>
    <w:rsid w:val="00BC255C"/>
    <w:rsid w:val="00BC3B18"/>
    <w:rsid w:val="00BC4B16"/>
    <w:rsid w:val="00BC5A5E"/>
    <w:rsid w:val="00BC61B7"/>
    <w:rsid w:val="00BC6BED"/>
    <w:rsid w:val="00BD1CDB"/>
    <w:rsid w:val="00BD1D20"/>
    <w:rsid w:val="00BD495E"/>
    <w:rsid w:val="00BD4A72"/>
    <w:rsid w:val="00BD4C0C"/>
    <w:rsid w:val="00BE02DD"/>
    <w:rsid w:val="00BE3C67"/>
    <w:rsid w:val="00BE4211"/>
    <w:rsid w:val="00BE515E"/>
    <w:rsid w:val="00BE6A4E"/>
    <w:rsid w:val="00BF132C"/>
    <w:rsid w:val="00BF1BA5"/>
    <w:rsid w:val="00BF200A"/>
    <w:rsid w:val="00BF5E81"/>
    <w:rsid w:val="00BF6EF0"/>
    <w:rsid w:val="00C0342C"/>
    <w:rsid w:val="00C0419C"/>
    <w:rsid w:val="00C04D13"/>
    <w:rsid w:val="00C0679E"/>
    <w:rsid w:val="00C10145"/>
    <w:rsid w:val="00C12EC5"/>
    <w:rsid w:val="00C13C94"/>
    <w:rsid w:val="00C16BA3"/>
    <w:rsid w:val="00C21BBC"/>
    <w:rsid w:val="00C21F3A"/>
    <w:rsid w:val="00C21F7C"/>
    <w:rsid w:val="00C22554"/>
    <w:rsid w:val="00C22E1A"/>
    <w:rsid w:val="00C232D4"/>
    <w:rsid w:val="00C234DE"/>
    <w:rsid w:val="00C23664"/>
    <w:rsid w:val="00C23C96"/>
    <w:rsid w:val="00C24BE1"/>
    <w:rsid w:val="00C25627"/>
    <w:rsid w:val="00C25FE6"/>
    <w:rsid w:val="00C262CF"/>
    <w:rsid w:val="00C27C39"/>
    <w:rsid w:val="00C31AAD"/>
    <w:rsid w:val="00C329F2"/>
    <w:rsid w:val="00C33ACF"/>
    <w:rsid w:val="00C33E87"/>
    <w:rsid w:val="00C352DA"/>
    <w:rsid w:val="00C43113"/>
    <w:rsid w:val="00C43AA3"/>
    <w:rsid w:val="00C440F5"/>
    <w:rsid w:val="00C4537A"/>
    <w:rsid w:val="00C45905"/>
    <w:rsid w:val="00C45F8E"/>
    <w:rsid w:val="00C47E6E"/>
    <w:rsid w:val="00C50B7E"/>
    <w:rsid w:val="00C524C5"/>
    <w:rsid w:val="00C52ADD"/>
    <w:rsid w:val="00C52F5D"/>
    <w:rsid w:val="00C532B6"/>
    <w:rsid w:val="00C538C8"/>
    <w:rsid w:val="00C55AF3"/>
    <w:rsid w:val="00C62751"/>
    <w:rsid w:val="00C63AFA"/>
    <w:rsid w:val="00C64184"/>
    <w:rsid w:val="00C647C4"/>
    <w:rsid w:val="00C719BA"/>
    <w:rsid w:val="00C71A01"/>
    <w:rsid w:val="00C72343"/>
    <w:rsid w:val="00C743CE"/>
    <w:rsid w:val="00C748E9"/>
    <w:rsid w:val="00C76100"/>
    <w:rsid w:val="00C766E6"/>
    <w:rsid w:val="00C76B09"/>
    <w:rsid w:val="00C76D21"/>
    <w:rsid w:val="00C7738B"/>
    <w:rsid w:val="00C773F4"/>
    <w:rsid w:val="00C80217"/>
    <w:rsid w:val="00C82387"/>
    <w:rsid w:val="00C863ED"/>
    <w:rsid w:val="00C86CBD"/>
    <w:rsid w:val="00C874C5"/>
    <w:rsid w:val="00C90DBC"/>
    <w:rsid w:val="00C93CCF"/>
    <w:rsid w:val="00C93EB5"/>
    <w:rsid w:val="00C94C52"/>
    <w:rsid w:val="00C9555B"/>
    <w:rsid w:val="00C96F83"/>
    <w:rsid w:val="00CA031B"/>
    <w:rsid w:val="00CA1094"/>
    <w:rsid w:val="00CA2119"/>
    <w:rsid w:val="00CA22E6"/>
    <w:rsid w:val="00CA271B"/>
    <w:rsid w:val="00CA306D"/>
    <w:rsid w:val="00CA4862"/>
    <w:rsid w:val="00CA4E10"/>
    <w:rsid w:val="00CA5C74"/>
    <w:rsid w:val="00CA5CAA"/>
    <w:rsid w:val="00CA6F1E"/>
    <w:rsid w:val="00CA7B4B"/>
    <w:rsid w:val="00CB02CD"/>
    <w:rsid w:val="00CB1D81"/>
    <w:rsid w:val="00CB33C1"/>
    <w:rsid w:val="00CB36D4"/>
    <w:rsid w:val="00CB46A4"/>
    <w:rsid w:val="00CB69C4"/>
    <w:rsid w:val="00CC0F51"/>
    <w:rsid w:val="00CC1072"/>
    <w:rsid w:val="00CC6418"/>
    <w:rsid w:val="00CC7FCD"/>
    <w:rsid w:val="00CD13DA"/>
    <w:rsid w:val="00CD4D11"/>
    <w:rsid w:val="00CD5B1C"/>
    <w:rsid w:val="00CD69F5"/>
    <w:rsid w:val="00CE569A"/>
    <w:rsid w:val="00CE7185"/>
    <w:rsid w:val="00CE7F4F"/>
    <w:rsid w:val="00CF1B7F"/>
    <w:rsid w:val="00CF3324"/>
    <w:rsid w:val="00CF3C6A"/>
    <w:rsid w:val="00CF5F71"/>
    <w:rsid w:val="00CF62A2"/>
    <w:rsid w:val="00CF7004"/>
    <w:rsid w:val="00CF7AA3"/>
    <w:rsid w:val="00D0299E"/>
    <w:rsid w:val="00D117F7"/>
    <w:rsid w:val="00D13C2E"/>
    <w:rsid w:val="00D147CC"/>
    <w:rsid w:val="00D149A7"/>
    <w:rsid w:val="00D159FA"/>
    <w:rsid w:val="00D16D42"/>
    <w:rsid w:val="00D17CC2"/>
    <w:rsid w:val="00D20287"/>
    <w:rsid w:val="00D23C8C"/>
    <w:rsid w:val="00D241AF"/>
    <w:rsid w:val="00D24D0C"/>
    <w:rsid w:val="00D250F0"/>
    <w:rsid w:val="00D27599"/>
    <w:rsid w:val="00D305AC"/>
    <w:rsid w:val="00D3395F"/>
    <w:rsid w:val="00D3594B"/>
    <w:rsid w:val="00D3613D"/>
    <w:rsid w:val="00D37622"/>
    <w:rsid w:val="00D41C17"/>
    <w:rsid w:val="00D42387"/>
    <w:rsid w:val="00D42DD6"/>
    <w:rsid w:val="00D43A3B"/>
    <w:rsid w:val="00D44106"/>
    <w:rsid w:val="00D44540"/>
    <w:rsid w:val="00D44640"/>
    <w:rsid w:val="00D45D3D"/>
    <w:rsid w:val="00D5032D"/>
    <w:rsid w:val="00D5142B"/>
    <w:rsid w:val="00D54B23"/>
    <w:rsid w:val="00D61448"/>
    <w:rsid w:val="00D649D6"/>
    <w:rsid w:val="00D70197"/>
    <w:rsid w:val="00D74F01"/>
    <w:rsid w:val="00D75D54"/>
    <w:rsid w:val="00D75E64"/>
    <w:rsid w:val="00D7733C"/>
    <w:rsid w:val="00D77666"/>
    <w:rsid w:val="00D805F5"/>
    <w:rsid w:val="00D82AA1"/>
    <w:rsid w:val="00D8696C"/>
    <w:rsid w:val="00D87319"/>
    <w:rsid w:val="00D87621"/>
    <w:rsid w:val="00D91FAD"/>
    <w:rsid w:val="00D9324E"/>
    <w:rsid w:val="00D95386"/>
    <w:rsid w:val="00DA12C4"/>
    <w:rsid w:val="00DA155B"/>
    <w:rsid w:val="00DA6BA1"/>
    <w:rsid w:val="00DB03D8"/>
    <w:rsid w:val="00DB0DDE"/>
    <w:rsid w:val="00DB37CB"/>
    <w:rsid w:val="00DB4A1B"/>
    <w:rsid w:val="00DB7EFD"/>
    <w:rsid w:val="00DC029E"/>
    <w:rsid w:val="00DC0BF8"/>
    <w:rsid w:val="00DC240C"/>
    <w:rsid w:val="00DC265A"/>
    <w:rsid w:val="00DC2829"/>
    <w:rsid w:val="00DC4D38"/>
    <w:rsid w:val="00DC5DCA"/>
    <w:rsid w:val="00DC6507"/>
    <w:rsid w:val="00DD0BBA"/>
    <w:rsid w:val="00DD4190"/>
    <w:rsid w:val="00DE0BA9"/>
    <w:rsid w:val="00DE299F"/>
    <w:rsid w:val="00DE4728"/>
    <w:rsid w:val="00DE749A"/>
    <w:rsid w:val="00DE79B5"/>
    <w:rsid w:val="00DF116E"/>
    <w:rsid w:val="00DF1A64"/>
    <w:rsid w:val="00DF405D"/>
    <w:rsid w:val="00DF4623"/>
    <w:rsid w:val="00E0113D"/>
    <w:rsid w:val="00E02C8A"/>
    <w:rsid w:val="00E03A15"/>
    <w:rsid w:val="00E03CC9"/>
    <w:rsid w:val="00E05070"/>
    <w:rsid w:val="00E06A9F"/>
    <w:rsid w:val="00E12356"/>
    <w:rsid w:val="00E13068"/>
    <w:rsid w:val="00E151EA"/>
    <w:rsid w:val="00E17370"/>
    <w:rsid w:val="00E205E7"/>
    <w:rsid w:val="00E20ADD"/>
    <w:rsid w:val="00E21902"/>
    <w:rsid w:val="00E221C4"/>
    <w:rsid w:val="00E23235"/>
    <w:rsid w:val="00E24124"/>
    <w:rsid w:val="00E24E7B"/>
    <w:rsid w:val="00E25217"/>
    <w:rsid w:val="00E27A9D"/>
    <w:rsid w:val="00E30C2F"/>
    <w:rsid w:val="00E332CE"/>
    <w:rsid w:val="00E33730"/>
    <w:rsid w:val="00E3431C"/>
    <w:rsid w:val="00E34EB0"/>
    <w:rsid w:val="00E35BA6"/>
    <w:rsid w:val="00E3793C"/>
    <w:rsid w:val="00E37944"/>
    <w:rsid w:val="00E41F8C"/>
    <w:rsid w:val="00E43A04"/>
    <w:rsid w:val="00E4610F"/>
    <w:rsid w:val="00E47FC9"/>
    <w:rsid w:val="00E5327C"/>
    <w:rsid w:val="00E545C9"/>
    <w:rsid w:val="00E55977"/>
    <w:rsid w:val="00E56955"/>
    <w:rsid w:val="00E57305"/>
    <w:rsid w:val="00E6009D"/>
    <w:rsid w:val="00E613A8"/>
    <w:rsid w:val="00E61646"/>
    <w:rsid w:val="00E6280F"/>
    <w:rsid w:val="00E63057"/>
    <w:rsid w:val="00E63D20"/>
    <w:rsid w:val="00E64477"/>
    <w:rsid w:val="00E65EEC"/>
    <w:rsid w:val="00E6638A"/>
    <w:rsid w:val="00E71143"/>
    <w:rsid w:val="00E72661"/>
    <w:rsid w:val="00E7283E"/>
    <w:rsid w:val="00E7419A"/>
    <w:rsid w:val="00E75373"/>
    <w:rsid w:val="00E77D3A"/>
    <w:rsid w:val="00E807CB"/>
    <w:rsid w:val="00E81CDB"/>
    <w:rsid w:val="00E8506C"/>
    <w:rsid w:val="00E85098"/>
    <w:rsid w:val="00E94F20"/>
    <w:rsid w:val="00E9669C"/>
    <w:rsid w:val="00E9766A"/>
    <w:rsid w:val="00E97A8A"/>
    <w:rsid w:val="00EA1828"/>
    <w:rsid w:val="00EA1F58"/>
    <w:rsid w:val="00EA2416"/>
    <w:rsid w:val="00EA473D"/>
    <w:rsid w:val="00EB1775"/>
    <w:rsid w:val="00EB468F"/>
    <w:rsid w:val="00EB5037"/>
    <w:rsid w:val="00EB73C7"/>
    <w:rsid w:val="00EC219B"/>
    <w:rsid w:val="00EC36C8"/>
    <w:rsid w:val="00EC47D1"/>
    <w:rsid w:val="00EC57C5"/>
    <w:rsid w:val="00ED0E3C"/>
    <w:rsid w:val="00ED17BA"/>
    <w:rsid w:val="00ED1AC8"/>
    <w:rsid w:val="00ED2D21"/>
    <w:rsid w:val="00ED4028"/>
    <w:rsid w:val="00ED6DD5"/>
    <w:rsid w:val="00ED71D4"/>
    <w:rsid w:val="00ED7F09"/>
    <w:rsid w:val="00EE044E"/>
    <w:rsid w:val="00EE0A17"/>
    <w:rsid w:val="00EE6CB2"/>
    <w:rsid w:val="00EE7462"/>
    <w:rsid w:val="00EF0D49"/>
    <w:rsid w:val="00EF32BF"/>
    <w:rsid w:val="00EF4444"/>
    <w:rsid w:val="00EF49BD"/>
    <w:rsid w:val="00EF5160"/>
    <w:rsid w:val="00EF55B4"/>
    <w:rsid w:val="00EF6E4A"/>
    <w:rsid w:val="00F01123"/>
    <w:rsid w:val="00F05EF0"/>
    <w:rsid w:val="00F077EE"/>
    <w:rsid w:val="00F078B8"/>
    <w:rsid w:val="00F1108E"/>
    <w:rsid w:val="00F1428D"/>
    <w:rsid w:val="00F1457F"/>
    <w:rsid w:val="00F16E18"/>
    <w:rsid w:val="00F17EEB"/>
    <w:rsid w:val="00F20015"/>
    <w:rsid w:val="00F20561"/>
    <w:rsid w:val="00F205FC"/>
    <w:rsid w:val="00F20B68"/>
    <w:rsid w:val="00F217F6"/>
    <w:rsid w:val="00F23F99"/>
    <w:rsid w:val="00F24A1F"/>
    <w:rsid w:val="00F24E28"/>
    <w:rsid w:val="00F2555A"/>
    <w:rsid w:val="00F26D45"/>
    <w:rsid w:val="00F30FAF"/>
    <w:rsid w:val="00F348C1"/>
    <w:rsid w:val="00F35836"/>
    <w:rsid w:val="00F37FA0"/>
    <w:rsid w:val="00F42A2F"/>
    <w:rsid w:val="00F42D73"/>
    <w:rsid w:val="00F43E36"/>
    <w:rsid w:val="00F447FD"/>
    <w:rsid w:val="00F46535"/>
    <w:rsid w:val="00F470E9"/>
    <w:rsid w:val="00F4773A"/>
    <w:rsid w:val="00F53300"/>
    <w:rsid w:val="00F535F7"/>
    <w:rsid w:val="00F56460"/>
    <w:rsid w:val="00F56D0C"/>
    <w:rsid w:val="00F62B1F"/>
    <w:rsid w:val="00F717FA"/>
    <w:rsid w:val="00F720C2"/>
    <w:rsid w:val="00F728B4"/>
    <w:rsid w:val="00F747EF"/>
    <w:rsid w:val="00F74F98"/>
    <w:rsid w:val="00F762E1"/>
    <w:rsid w:val="00F81C9B"/>
    <w:rsid w:val="00F8367D"/>
    <w:rsid w:val="00F84920"/>
    <w:rsid w:val="00F85E6A"/>
    <w:rsid w:val="00F908BE"/>
    <w:rsid w:val="00F94422"/>
    <w:rsid w:val="00F95C65"/>
    <w:rsid w:val="00F9770F"/>
    <w:rsid w:val="00FA022A"/>
    <w:rsid w:val="00FA17CB"/>
    <w:rsid w:val="00FA2A88"/>
    <w:rsid w:val="00FA782A"/>
    <w:rsid w:val="00FB1F1B"/>
    <w:rsid w:val="00FB2F2F"/>
    <w:rsid w:val="00FB4510"/>
    <w:rsid w:val="00FB4C7E"/>
    <w:rsid w:val="00FB64DB"/>
    <w:rsid w:val="00FC021A"/>
    <w:rsid w:val="00FC1549"/>
    <w:rsid w:val="00FC1B61"/>
    <w:rsid w:val="00FC3567"/>
    <w:rsid w:val="00FC3CFD"/>
    <w:rsid w:val="00FC6D9F"/>
    <w:rsid w:val="00FC707B"/>
    <w:rsid w:val="00FD0A36"/>
    <w:rsid w:val="00FD1CD7"/>
    <w:rsid w:val="00FD2888"/>
    <w:rsid w:val="00FD337B"/>
    <w:rsid w:val="00FD6E25"/>
    <w:rsid w:val="00FD7A73"/>
    <w:rsid w:val="00FE1CEB"/>
    <w:rsid w:val="00FE1E1D"/>
    <w:rsid w:val="00FE4C90"/>
    <w:rsid w:val="00FF05BC"/>
    <w:rsid w:val="00FF0DA7"/>
    <w:rsid w:val="00FF19D4"/>
    <w:rsid w:val="00FF2029"/>
    <w:rsid w:val="00FF2BFF"/>
    <w:rsid w:val="00FF5008"/>
    <w:rsid w:val="00FF52D0"/>
    <w:rsid w:val="00FF656C"/>
    <w:rsid w:val="00FF6E73"/>
    <w:rsid w:val="00FF7BA2"/>
    <w:rsid w:val="0146789C"/>
    <w:rsid w:val="016BEBDE"/>
    <w:rsid w:val="04678094"/>
    <w:rsid w:val="056BBDF7"/>
    <w:rsid w:val="06E206E1"/>
    <w:rsid w:val="08658E34"/>
    <w:rsid w:val="09772238"/>
    <w:rsid w:val="0D9340CF"/>
    <w:rsid w:val="0F09B720"/>
    <w:rsid w:val="10074D76"/>
    <w:rsid w:val="10798D0C"/>
    <w:rsid w:val="12E91C33"/>
    <w:rsid w:val="14BD1331"/>
    <w:rsid w:val="199B8D9C"/>
    <w:rsid w:val="210C6FC6"/>
    <w:rsid w:val="22B8878C"/>
    <w:rsid w:val="261E5DB2"/>
    <w:rsid w:val="2620E1C1"/>
    <w:rsid w:val="31CAD8CC"/>
    <w:rsid w:val="352F83B2"/>
    <w:rsid w:val="363FD941"/>
    <w:rsid w:val="41B43892"/>
    <w:rsid w:val="42750EEB"/>
    <w:rsid w:val="433084A5"/>
    <w:rsid w:val="455A2128"/>
    <w:rsid w:val="479C616F"/>
    <w:rsid w:val="4AB3E3EE"/>
    <w:rsid w:val="4AEB7B06"/>
    <w:rsid w:val="4BDF88A2"/>
    <w:rsid w:val="4D00AA27"/>
    <w:rsid w:val="4D7B5903"/>
    <w:rsid w:val="51660614"/>
    <w:rsid w:val="5443C0EF"/>
    <w:rsid w:val="56071789"/>
    <w:rsid w:val="57E84380"/>
    <w:rsid w:val="5A4BF279"/>
    <w:rsid w:val="5EBCC78D"/>
    <w:rsid w:val="62391EA8"/>
    <w:rsid w:val="6457C81B"/>
    <w:rsid w:val="65219ABC"/>
    <w:rsid w:val="6670B665"/>
    <w:rsid w:val="66C5BD09"/>
    <w:rsid w:val="678EACE0"/>
    <w:rsid w:val="6C439278"/>
    <w:rsid w:val="6E41BC90"/>
    <w:rsid w:val="6E45C3D0"/>
    <w:rsid w:val="706521E5"/>
    <w:rsid w:val="70FA8D22"/>
    <w:rsid w:val="72170357"/>
    <w:rsid w:val="738C54CE"/>
    <w:rsid w:val="753E5139"/>
    <w:rsid w:val="7593A3DC"/>
    <w:rsid w:val="765C1562"/>
    <w:rsid w:val="797A75F0"/>
    <w:rsid w:val="7F2A9E40"/>
    <w:rsid w:val="7F5A5FBB"/>
    <w:rsid w:val="7FB0A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C24E12A"/>
  <w15:chartTrackingRefBased/>
  <w15:docId w15:val="{8819B390-905B-4DB1-98B7-0E73E329A9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6583"/>
    <w:pPr>
      <w:spacing w:line="240" w:lineRule="auto"/>
      <w:jc w:val="both"/>
    </w:pPr>
    <w:rPr>
      <w:rFonts w:cstheme="minorHAnsi"/>
    </w:rPr>
  </w:style>
  <w:style w:type="paragraph" w:styleId="Heading1">
    <w:name w:val="heading 1"/>
    <w:basedOn w:val="Normal"/>
    <w:next w:val="Normal"/>
    <w:link w:val="Heading1Char"/>
    <w:uiPriority w:val="9"/>
    <w:qFormat/>
    <w:rsid w:val="00C4590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1B6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51D8"/>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45905"/>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C45905"/>
    <w:pPr>
      <w:outlineLvl w:val="9"/>
    </w:pPr>
  </w:style>
  <w:style w:type="paragraph" w:styleId="TOC1">
    <w:name w:val="toc 1"/>
    <w:basedOn w:val="Normal"/>
    <w:next w:val="Normal"/>
    <w:autoRedefine/>
    <w:uiPriority w:val="39"/>
    <w:unhideWhenUsed/>
    <w:rsid w:val="00AD0251"/>
    <w:pPr>
      <w:tabs>
        <w:tab w:val="right" w:leader="dot" w:pos="9350"/>
      </w:tabs>
      <w:spacing w:after="100"/>
    </w:pPr>
  </w:style>
  <w:style w:type="character" w:styleId="Hyperlink">
    <w:name w:val="Hyperlink"/>
    <w:basedOn w:val="DefaultParagraphFont"/>
    <w:uiPriority w:val="99"/>
    <w:unhideWhenUsed/>
    <w:rsid w:val="00C72343"/>
    <w:rPr>
      <w:color w:val="0563C1" w:themeColor="hyperlink"/>
      <w:u w:val="single"/>
    </w:rPr>
  </w:style>
  <w:style w:type="paragraph" w:styleId="EndnoteText">
    <w:name w:val="endnote text"/>
    <w:basedOn w:val="Normal"/>
    <w:link w:val="EndnoteTextChar"/>
    <w:uiPriority w:val="99"/>
    <w:semiHidden/>
    <w:unhideWhenUsed/>
    <w:rsid w:val="000D3D11"/>
    <w:pPr>
      <w:spacing w:after="0"/>
    </w:pPr>
    <w:rPr>
      <w:sz w:val="20"/>
      <w:szCs w:val="20"/>
    </w:rPr>
  </w:style>
  <w:style w:type="character" w:styleId="EndnoteTextChar" w:customStyle="1">
    <w:name w:val="Endnote Text Char"/>
    <w:basedOn w:val="DefaultParagraphFont"/>
    <w:link w:val="EndnoteText"/>
    <w:uiPriority w:val="99"/>
    <w:semiHidden/>
    <w:rsid w:val="000D3D11"/>
    <w:rPr>
      <w:rFonts w:cstheme="minorHAnsi"/>
      <w:sz w:val="20"/>
      <w:szCs w:val="20"/>
    </w:rPr>
  </w:style>
  <w:style w:type="character" w:styleId="EndnoteReference">
    <w:name w:val="endnote reference"/>
    <w:basedOn w:val="DefaultParagraphFont"/>
    <w:uiPriority w:val="99"/>
    <w:semiHidden/>
    <w:unhideWhenUsed/>
    <w:rsid w:val="000D3D11"/>
    <w:rPr>
      <w:vertAlign w:val="superscript"/>
    </w:rPr>
  </w:style>
  <w:style w:type="paragraph" w:styleId="FootnoteText">
    <w:name w:val="footnote text"/>
    <w:basedOn w:val="Normal"/>
    <w:link w:val="FootnoteTextChar"/>
    <w:uiPriority w:val="99"/>
    <w:unhideWhenUsed/>
    <w:rsid w:val="000D3D11"/>
    <w:pPr>
      <w:spacing w:after="0"/>
    </w:pPr>
    <w:rPr>
      <w:sz w:val="20"/>
      <w:szCs w:val="20"/>
    </w:rPr>
  </w:style>
  <w:style w:type="character" w:styleId="FootnoteTextChar" w:customStyle="1">
    <w:name w:val="Footnote Text Char"/>
    <w:basedOn w:val="DefaultParagraphFont"/>
    <w:link w:val="FootnoteText"/>
    <w:uiPriority w:val="99"/>
    <w:rsid w:val="000D3D11"/>
    <w:rPr>
      <w:sz w:val="20"/>
      <w:szCs w:val="20"/>
    </w:rPr>
  </w:style>
  <w:style w:type="character" w:styleId="FootnoteReference">
    <w:name w:val="footnote reference"/>
    <w:basedOn w:val="DefaultParagraphFont"/>
    <w:uiPriority w:val="99"/>
    <w:semiHidden/>
    <w:unhideWhenUsed/>
    <w:rsid w:val="000D3D11"/>
    <w:rPr>
      <w:vertAlign w:val="superscript"/>
    </w:rPr>
  </w:style>
  <w:style w:type="paragraph" w:styleId="BalloonText">
    <w:name w:val="Balloon Text"/>
    <w:basedOn w:val="Normal"/>
    <w:link w:val="BalloonTextChar"/>
    <w:uiPriority w:val="99"/>
    <w:semiHidden/>
    <w:unhideWhenUsed/>
    <w:rsid w:val="00A31C87"/>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1C87"/>
    <w:rPr>
      <w:rFonts w:ascii="Segoe UI" w:hAnsi="Segoe UI" w:cs="Segoe UI"/>
      <w:sz w:val="18"/>
      <w:szCs w:val="18"/>
    </w:rPr>
  </w:style>
  <w:style w:type="paragraph" w:styleId="Header">
    <w:name w:val="header"/>
    <w:basedOn w:val="Normal"/>
    <w:link w:val="HeaderChar"/>
    <w:uiPriority w:val="99"/>
    <w:semiHidden/>
    <w:unhideWhenUsed/>
    <w:rsid w:val="00F56460"/>
    <w:pPr>
      <w:tabs>
        <w:tab w:val="center" w:pos="4680"/>
        <w:tab w:val="right" w:pos="9360"/>
      </w:tabs>
      <w:spacing w:after="0"/>
    </w:pPr>
  </w:style>
  <w:style w:type="character" w:styleId="HeaderChar" w:customStyle="1">
    <w:name w:val="Header Char"/>
    <w:basedOn w:val="DefaultParagraphFont"/>
    <w:link w:val="Header"/>
    <w:uiPriority w:val="99"/>
    <w:semiHidden/>
    <w:rsid w:val="00F56460"/>
    <w:rPr>
      <w:rFonts w:cstheme="minorHAnsi"/>
    </w:rPr>
  </w:style>
  <w:style w:type="paragraph" w:styleId="Footer">
    <w:name w:val="footer"/>
    <w:basedOn w:val="Normal"/>
    <w:link w:val="FooterChar"/>
    <w:uiPriority w:val="99"/>
    <w:unhideWhenUsed/>
    <w:rsid w:val="00F56460"/>
    <w:pPr>
      <w:tabs>
        <w:tab w:val="center" w:pos="4680"/>
        <w:tab w:val="right" w:pos="9360"/>
      </w:tabs>
      <w:spacing w:after="0"/>
    </w:pPr>
  </w:style>
  <w:style w:type="character" w:styleId="FooterChar" w:customStyle="1">
    <w:name w:val="Footer Char"/>
    <w:basedOn w:val="DefaultParagraphFont"/>
    <w:link w:val="Footer"/>
    <w:uiPriority w:val="99"/>
    <w:rsid w:val="00F56460"/>
    <w:rPr>
      <w:rFonts w:cstheme="minorHAnsi"/>
    </w:rPr>
  </w:style>
  <w:style w:type="character" w:styleId="CommentReference">
    <w:name w:val="annotation reference"/>
    <w:basedOn w:val="DefaultParagraphFont"/>
    <w:uiPriority w:val="99"/>
    <w:semiHidden/>
    <w:unhideWhenUsed/>
    <w:rsid w:val="005E09F6"/>
    <w:rPr>
      <w:sz w:val="16"/>
      <w:szCs w:val="16"/>
    </w:rPr>
  </w:style>
  <w:style w:type="paragraph" w:styleId="CommentText">
    <w:name w:val="annotation text"/>
    <w:basedOn w:val="Normal"/>
    <w:link w:val="CommentTextChar"/>
    <w:uiPriority w:val="99"/>
    <w:unhideWhenUsed/>
    <w:rsid w:val="005E09F6"/>
    <w:rPr>
      <w:sz w:val="20"/>
      <w:szCs w:val="20"/>
    </w:rPr>
  </w:style>
  <w:style w:type="character" w:styleId="CommentTextChar" w:customStyle="1">
    <w:name w:val="Comment Text Char"/>
    <w:basedOn w:val="DefaultParagraphFont"/>
    <w:link w:val="CommentText"/>
    <w:uiPriority w:val="99"/>
    <w:rsid w:val="005E09F6"/>
    <w:rPr>
      <w:rFonts w:cstheme="minorHAnsi"/>
      <w:sz w:val="20"/>
      <w:szCs w:val="20"/>
    </w:rPr>
  </w:style>
  <w:style w:type="paragraph" w:styleId="CommentSubject">
    <w:name w:val="annotation subject"/>
    <w:basedOn w:val="CommentText"/>
    <w:next w:val="CommentText"/>
    <w:link w:val="CommentSubjectChar"/>
    <w:uiPriority w:val="99"/>
    <w:semiHidden/>
    <w:unhideWhenUsed/>
    <w:rsid w:val="005E09F6"/>
    <w:rPr>
      <w:b/>
      <w:bCs/>
    </w:rPr>
  </w:style>
  <w:style w:type="character" w:styleId="CommentSubjectChar" w:customStyle="1">
    <w:name w:val="Comment Subject Char"/>
    <w:basedOn w:val="CommentTextChar"/>
    <w:link w:val="CommentSubject"/>
    <w:uiPriority w:val="99"/>
    <w:semiHidden/>
    <w:rsid w:val="005E09F6"/>
    <w:rPr>
      <w:rFonts w:cstheme="minorHAnsi"/>
      <w:b/>
      <w:bCs/>
      <w:sz w:val="20"/>
      <w:szCs w:val="20"/>
    </w:rPr>
  </w:style>
  <w:style w:type="paragraph" w:styleId="NormalWeb">
    <w:name w:val="Normal (Web)"/>
    <w:basedOn w:val="Normal"/>
    <w:uiPriority w:val="99"/>
    <w:unhideWhenUsed/>
    <w:rsid w:val="005E09F6"/>
    <w:pPr>
      <w:spacing w:before="100" w:beforeAutospacing="1" w:after="100" w:afterAutospacing="1"/>
    </w:pPr>
    <w:rPr>
      <w:rFonts w:ascii="Times New Roman" w:hAnsi="Times New Roman" w:eastAsia="Times New Roman" w:cs="Times New Roman"/>
      <w:sz w:val="24"/>
      <w:szCs w:val="24"/>
    </w:rPr>
  </w:style>
  <w:style w:type="paragraph" w:styleId="ListParagraph">
    <w:name w:val="List Paragraph"/>
    <w:basedOn w:val="Normal"/>
    <w:link w:val="ListParagraphChar"/>
    <w:uiPriority w:val="34"/>
    <w:qFormat/>
    <w:rsid w:val="00BD1D20"/>
    <w:pPr>
      <w:ind w:left="720"/>
      <w:contextualSpacing/>
    </w:pPr>
  </w:style>
  <w:style w:type="character" w:styleId="Heading2Char" w:customStyle="1">
    <w:name w:val="Heading 2 Char"/>
    <w:basedOn w:val="DefaultParagraphFont"/>
    <w:link w:val="Heading2"/>
    <w:uiPriority w:val="9"/>
    <w:rsid w:val="00081B67"/>
    <w:rPr>
      <w:rFonts w:asciiTheme="majorHAnsi" w:hAnsiTheme="majorHAnsi" w:eastAsiaTheme="majorEastAsia" w:cstheme="majorBidi"/>
      <w:color w:val="2E74B5" w:themeColor="accent1" w:themeShade="BF"/>
      <w:sz w:val="26"/>
      <w:szCs w:val="26"/>
    </w:rPr>
  </w:style>
  <w:style w:type="paragraph" w:styleId="TOC2">
    <w:name w:val="toc 2"/>
    <w:basedOn w:val="Normal"/>
    <w:next w:val="Normal"/>
    <w:autoRedefine/>
    <w:uiPriority w:val="39"/>
    <w:unhideWhenUsed/>
    <w:rsid w:val="00F728B4"/>
    <w:pPr>
      <w:spacing w:after="100"/>
      <w:ind w:left="220"/>
    </w:pPr>
  </w:style>
  <w:style w:type="table" w:styleId="TableGrid">
    <w:name w:val="Table Grid"/>
    <w:basedOn w:val="TableNormal"/>
    <w:uiPriority w:val="39"/>
    <w:rsid w:val="004B30CB"/>
    <w:pPr>
      <w:spacing w:after="0" w:line="240" w:lineRule="auto"/>
    </w:pPr>
    <w:rPr>
      <w:lang w:val="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aliases w:val="bt"/>
    <w:basedOn w:val="Normal"/>
    <w:link w:val="BodyTextChar"/>
    <w:rsid w:val="00C52ADD"/>
    <w:pPr>
      <w:spacing w:before="120" w:after="0"/>
    </w:pPr>
    <w:rPr>
      <w:rFonts w:ascii="Times New Roman" w:hAnsi="Times New Roman" w:eastAsia="Times New Roman" w:cs="Times New Roman"/>
      <w:noProof/>
      <w:sz w:val="24"/>
      <w:szCs w:val="20"/>
    </w:rPr>
  </w:style>
  <w:style w:type="character" w:styleId="BodyTextChar" w:customStyle="1">
    <w:name w:val="Body Text Char"/>
    <w:aliases w:val="bt Char"/>
    <w:basedOn w:val="DefaultParagraphFont"/>
    <w:link w:val="BodyText"/>
    <w:rsid w:val="00C52ADD"/>
    <w:rPr>
      <w:rFonts w:ascii="Times New Roman" w:hAnsi="Times New Roman" w:eastAsia="Times New Roman" w:cs="Times New Roman"/>
      <w:noProof/>
      <w:sz w:val="24"/>
      <w:szCs w:val="20"/>
    </w:rPr>
  </w:style>
  <w:style w:type="paragraph" w:styleId="Revision">
    <w:name w:val="Revision"/>
    <w:hidden/>
    <w:uiPriority w:val="99"/>
    <w:semiHidden/>
    <w:rsid w:val="00783616"/>
    <w:pPr>
      <w:spacing w:after="0" w:line="240" w:lineRule="auto"/>
    </w:pPr>
  </w:style>
  <w:style w:type="paragraph" w:styleId="Caption">
    <w:name w:val="caption"/>
    <w:basedOn w:val="Normal"/>
    <w:next w:val="Normal"/>
    <w:uiPriority w:val="35"/>
    <w:unhideWhenUsed/>
    <w:qFormat/>
    <w:rsid w:val="00D42387"/>
    <w:pPr>
      <w:spacing w:after="200"/>
    </w:pPr>
    <w:rPr>
      <w:i/>
      <w:iCs/>
      <w:color w:val="44546A" w:themeColor="text2"/>
      <w:sz w:val="18"/>
      <w:szCs w:val="18"/>
    </w:rPr>
  </w:style>
  <w:style w:type="character" w:styleId="ListParagraphChar" w:customStyle="1">
    <w:name w:val="List Paragraph Char"/>
    <w:basedOn w:val="DefaultParagraphFont"/>
    <w:link w:val="ListParagraph"/>
    <w:uiPriority w:val="34"/>
    <w:rsid w:val="008500F1"/>
  </w:style>
  <w:style w:type="table" w:styleId="TableWeb2">
    <w:name w:val="Table Web 2"/>
    <w:basedOn w:val="TableNormal"/>
    <w:uiPriority w:val="99"/>
    <w:rsid w:val="000F5F0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0F5F0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ZFlag" w:customStyle="1">
    <w:name w:val="Z_Flag"/>
    <w:basedOn w:val="Normal"/>
    <w:next w:val="Normal"/>
    <w:uiPriority w:val="99"/>
    <w:semiHidden/>
    <w:rsid w:val="00081266"/>
    <w:pPr>
      <w:widowControl w:val="0"/>
      <w:spacing w:after="0"/>
      <w:ind w:right="85"/>
    </w:pPr>
    <w:rPr>
      <w:rFonts w:ascii="Times New Roman" w:hAnsi="Times New Roman" w:eastAsia="Times New Roman" w:cs="Times New Roman"/>
      <w:sz w:val="24"/>
      <w:szCs w:val="20"/>
      <w:lang w:val="en-GB" w:eastAsia="en-GB"/>
    </w:rPr>
  </w:style>
  <w:style w:type="paragraph" w:styleId="ZCom" w:customStyle="1">
    <w:name w:val="Z_Com"/>
    <w:basedOn w:val="Normal"/>
    <w:next w:val="Normal"/>
    <w:uiPriority w:val="99"/>
    <w:semiHidden/>
    <w:rsid w:val="00081266"/>
    <w:pPr>
      <w:widowControl w:val="0"/>
      <w:spacing w:before="90" w:after="0"/>
      <w:ind w:right="85"/>
    </w:pPr>
    <w:rPr>
      <w:rFonts w:ascii="Times New Roman" w:hAnsi="Times New Roman" w:eastAsia="Times New Roman" w:cs="Times New Roman"/>
      <w:sz w:val="24"/>
      <w:szCs w:val="20"/>
      <w:lang w:val="en-GB" w:eastAsia="en-GB"/>
    </w:rPr>
  </w:style>
  <w:style w:type="paragraph" w:styleId="ZDGName" w:customStyle="1">
    <w:name w:val="Z_DGName"/>
    <w:basedOn w:val="Normal"/>
    <w:uiPriority w:val="2"/>
    <w:rsid w:val="00081266"/>
    <w:pPr>
      <w:widowControl w:val="0"/>
      <w:spacing w:after="0"/>
      <w:ind w:right="85"/>
    </w:pPr>
    <w:rPr>
      <w:rFonts w:ascii="Times New Roman" w:hAnsi="Times New Roman" w:eastAsia="Times New Roman" w:cs="Times New Roman"/>
      <w:sz w:val="16"/>
      <w:szCs w:val="20"/>
      <w:lang w:val="en-GB" w:eastAsia="en-GB"/>
    </w:rPr>
  </w:style>
  <w:style w:type="table" w:styleId="TableLetterhead" w:customStyle="1">
    <w:name w:val="Table Letterhead"/>
    <w:basedOn w:val="TableNormal"/>
    <w:uiPriority w:val="99"/>
    <w:rsid w:val="00081266"/>
    <w:pPr>
      <w:spacing w:after="0" w:line="240" w:lineRule="auto"/>
    </w:pPr>
    <w:rPr>
      <w:rFonts w:ascii="Times New Roman" w:hAnsi="Times New Roman" w:eastAsia="Times New Roman" w:cs="Times New Roman"/>
      <w:sz w:val="24"/>
      <w:szCs w:val="20"/>
      <w:lang w:val="en-GB" w:eastAsia="en-GB"/>
    </w:rPr>
    <w:tblPr>
      <w:tblCellMar>
        <w:left w:w="0" w:type="dxa"/>
        <w:bottom w:w="340" w:type="dxa"/>
        <w:right w:w="0" w:type="dxa"/>
      </w:tblCellMar>
    </w:tblPr>
  </w:style>
  <w:style w:type="paragraph" w:styleId="Title">
    <w:name w:val="Title"/>
    <w:basedOn w:val="Normal"/>
    <w:next w:val="Normal"/>
    <w:link w:val="TitleChar"/>
    <w:qFormat/>
    <w:rsid w:val="00081266"/>
    <w:pPr>
      <w:spacing w:after="480"/>
      <w:jc w:val="center"/>
    </w:pPr>
    <w:rPr>
      <w:rFonts w:ascii="Times New Roman" w:hAnsi="Times New Roman" w:eastAsia="Times New Roman" w:cs="Times New Roman"/>
      <w:b/>
      <w:kern w:val="28"/>
      <w:sz w:val="48"/>
      <w:szCs w:val="20"/>
      <w:lang w:val="en-GB" w:eastAsia="en-GB"/>
    </w:rPr>
  </w:style>
  <w:style w:type="character" w:styleId="TitleChar" w:customStyle="1">
    <w:name w:val="Title Char"/>
    <w:basedOn w:val="DefaultParagraphFont"/>
    <w:link w:val="Title"/>
    <w:rsid w:val="00081266"/>
    <w:rPr>
      <w:rFonts w:ascii="Times New Roman" w:hAnsi="Times New Roman" w:eastAsia="Times New Roman" w:cs="Times New Roman"/>
      <w:b/>
      <w:kern w:val="28"/>
      <w:sz w:val="48"/>
      <w:szCs w:val="20"/>
      <w:lang w:val="en-GB" w:eastAsia="en-GB"/>
    </w:rPr>
  </w:style>
  <w:style w:type="character" w:styleId="Mention1" w:customStyle="1">
    <w:name w:val="Mention1"/>
    <w:basedOn w:val="DefaultParagraphFont"/>
    <w:uiPriority w:val="99"/>
    <w:unhideWhenUsed/>
    <w:rPr>
      <w:color w:val="2B579A"/>
      <w:shd w:val="clear" w:color="auto" w:fill="E6E6E6"/>
    </w:rPr>
  </w:style>
  <w:style w:type="character" w:styleId="Strong">
    <w:name w:val="Strong"/>
    <w:basedOn w:val="DefaultParagraphFont"/>
    <w:uiPriority w:val="22"/>
    <w:qFormat/>
    <w:rsid w:val="00204086"/>
    <w:rPr>
      <w:b/>
      <w:bCs/>
    </w:rPr>
  </w:style>
  <w:style w:type="paragraph" w:styleId="EMSWeBody" w:customStyle="1">
    <w:name w:val="EMSWe Body"/>
    <w:basedOn w:val="Normal"/>
    <w:link w:val="EMSWeBodyChar"/>
    <w:qFormat/>
    <w:rsid w:val="001004C9"/>
    <w:pPr>
      <w:keepLines/>
      <w:spacing w:before="240" w:after="240"/>
    </w:pPr>
    <w:rPr>
      <w:rFonts w:cs="Times New Roman"/>
      <w:szCs w:val="20"/>
      <w:lang w:val="en-GB"/>
    </w:rPr>
  </w:style>
  <w:style w:type="character" w:styleId="EMSWeBodyChar" w:customStyle="1">
    <w:name w:val="EMSWe Body Char"/>
    <w:basedOn w:val="DefaultParagraphFont"/>
    <w:link w:val="EMSWeBody"/>
    <w:rsid w:val="001004C9"/>
    <w:rPr>
      <w:rFonts w:cs="Times New Roman"/>
      <w:szCs w:val="20"/>
      <w:lang w:val="en-GB"/>
    </w:rPr>
  </w:style>
  <w:style w:type="character" w:styleId="Heading3Char" w:customStyle="1">
    <w:name w:val="Heading 3 Char"/>
    <w:basedOn w:val="DefaultParagraphFont"/>
    <w:link w:val="Heading3"/>
    <w:uiPriority w:val="9"/>
    <w:rsid w:val="00BB51D8"/>
    <w:rPr>
      <w:rFonts w:asciiTheme="majorHAnsi" w:hAnsiTheme="majorHAnsi" w:eastAsiaTheme="majorEastAsia" w:cstheme="majorBidi"/>
      <w:color w:val="1F4D78" w:themeColor="accent1" w:themeShade="7F"/>
      <w:sz w:val="24"/>
      <w:szCs w:val="24"/>
    </w:rPr>
  </w:style>
  <w:style w:type="paragraph" w:styleId="TOC3">
    <w:name w:val="toc 3"/>
    <w:basedOn w:val="Normal"/>
    <w:next w:val="Normal"/>
    <w:autoRedefine/>
    <w:uiPriority w:val="39"/>
    <w:unhideWhenUsed/>
    <w:rsid w:val="00F077EE"/>
    <w:pPr>
      <w:spacing w:after="100"/>
      <w:ind w:left="440"/>
    </w:pPr>
  </w:style>
  <w:style w:type="paragraph" w:styleId="Quote">
    <w:name w:val="Quote"/>
    <w:basedOn w:val="Normal"/>
    <w:next w:val="Normal"/>
    <w:link w:val="QuoteChar"/>
    <w:uiPriority w:val="29"/>
    <w:qFormat/>
    <w:rsid w:val="0039121F"/>
    <w:pPr>
      <w:spacing w:before="200" w:line="276" w:lineRule="auto"/>
      <w:ind w:right="864"/>
    </w:pPr>
    <w:rPr>
      <w:rFonts w:ascii="Arial" w:hAnsi="Arial"/>
      <w:i/>
      <w:iCs/>
      <w:color w:val="404040" w:themeColor="text1" w:themeTint="BF"/>
      <w:sz w:val="20"/>
      <w:lang w:val="en-GB"/>
    </w:rPr>
  </w:style>
  <w:style w:type="character" w:styleId="QuoteChar" w:customStyle="1">
    <w:name w:val="Quote Char"/>
    <w:basedOn w:val="DefaultParagraphFont"/>
    <w:link w:val="Quote"/>
    <w:uiPriority w:val="29"/>
    <w:rsid w:val="0039121F"/>
    <w:rPr>
      <w:rFonts w:ascii="Arial" w:hAnsi="Arial"/>
      <w:i/>
      <w:iCs/>
      <w:color w:val="404040" w:themeColor="text1" w:themeTint="BF"/>
      <w:sz w:val="20"/>
      <w:lang w:val="en-GB"/>
    </w:rPr>
  </w:style>
  <w:style w:type="character" w:styleId="UnresolvedMention1" w:customStyle="1">
    <w:name w:val="Unresolved Mention1"/>
    <w:basedOn w:val="DefaultParagraphFont"/>
    <w:uiPriority w:val="99"/>
    <w:semiHidden/>
    <w:unhideWhenUsed/>
    <w:rsid w:val="0071100F"/>
    <w:rPr>
      <w:color w:val="605E5C"/>
      <w:shd w:val="clear" w:color="auto" w:fill="E1DFDD"/>
    </w:rPr>
  </w:style>
  <w:style w:type="character" w:styleId="FollowedHyperlink">
    <w:name w:val="FollowedHyperlink"/>
    <w:basedOn w:val="DefaultParagraphFont"/>
    <w:uiPriority w:val="99"/>
    <w:semiHidden/>
    <w:unhideWhenUsed/>
    <w:rsid w:val="00DC2829"/>
    <w:rPr>
      <w:color w:val="954F72" w:themeColor="followedHyperlink"/>
      <w:u w:val="single"/>
    </w:rPr>
  </w:style>
  <w:style w:type="paragraph" w:styleId="Default" w:customStyle="1">
    <w:name w:val="Default"/>
    <w:rsid w:val="00795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7424">
      <w:bodyDiv w:val="1"/>
      <w:marLeft w:val="0"/>
      <w:marRight w:val="0"/>
      <w:marTop w:val="0"/>
      <w:marBottom w:val="0"/>
      <w:divBdr>
        <w:top w:val="none" w:sz="0" w:space="0" w:color="auto"/>
        <w:left w:val="none" w:sz="0" w:space="0" w:color="auto"/>
        <w:bottom w:val="none" w:sz="0" w:space="0" w:color="auto"/>
        <w:right w:val="none" w:sz="0" w:space="0" w:color="auto"/>
      </w:divBdr>
    </w:div>
    <w:div w:id="306323815">
      <w:bodyDiv w:val="1"/>
      <w:marLeft w:val="0"/>
      <w:marRight w:val="0"/>
      <w:marTop w:val="0"/>
      <w:marBottom w:val="0"/>
      <w:divBdr>
        <w:top w:val="none" w:sz="0" w:space="0" w:color="auto"/>
        <w:left w:val="none" w:sz="0" w:space="0" w:color="auto"/>
        <w:bottom w:val="none" w:sz="0" w:space="0" w:color="auto"/>
        <w:right w:val="none" w:sz="0" w:space="0" w:color="auto"/>
      </w:divBdr>
      <w:divsChild>
        <w:div w:id="1766070107">
          <w:marLeft w:val="0"/>
          <w:marRight w:val="0"/>
          <w:marTop w:val="0"/>
          <w:marBottom w:val="0"/>
          <w:divBdr>
            <w:top w:val="none" w:sz="0" w:space="0" w:color="auto"/>
            <w:left w:val="none" w:sz="0" w:space="0" w:color="auto"/>
            <w:bottom w:val="none" w:sz="0" w:space="0" w:color="auto"/>
            <w:right w:val="none" w:sz="0" w:space="0" w:color="auto"/>
          </w:divBdr>
        </w:div>
      </w:divsChild>
    </w:div>
    <w:div w:id="362286002">
      <w:bodyDiv w:val="1"/>
      <w:marLeft w:val="0"/>
      <w:marRight w:val="0"/>
      <w:marTop w:val="0"/>
      <w:marBottom w:val="0"/>
      <w:divBdr>
        <w:top w:val="none" w:sz="0" w:space="0" w:color="auto"/>
        <w:left w:val="none" w:sz="0" w:space="0" w:color="auto"/>
        <w:bottom w:val="none" w:sz="0" w:space="0" w:color="auto"/>
        <w:right w:val="none" w:sz="0" w:space="0" w:color="auto"/>
      </w:divBdr>
      <w:divsChild>
        <w:div w:id="1051730496">
          <w:marLeft w:val="0"/>
          <w:marRight w:val="0"/>
          <w:marTop w:val="0"/>
          <w:marBottom w:val="0"/>
          <w:divBdr>
            <w:top w:val="none" w:sz="0" w:space="0" w:color="auto"/>
            <w:left w:val="none" w:sz="0" w:space="0" w:color="auto"/>
            <w:bottom w:val="none" w:sz="0" w:space="0" w:color="auto"/>
            <w:right w:val="none" w:sz="0" w:space="0" w:color="auto"/>
          </w:divBdr>
          <w:divsChild>
            <w:div w:id="1580673739">
              <w:marLeft w:val="0"/>
              <w:marRight w:val="0"/>
              <w:marTop w:val="0"/>
              <w:marBottom w:val="0"/>
              <w:divBdr>
                <w:top w:val="none" w:sz="0" w:space="0" w:color="auto"/>
                <w:left w:val="none" w:sz="0" w:space="0" w:color="auto"/>
                <w:bottom w:val="none" w:sz="0" w:space="0" w:color="auto"/>
                <w:right w:val="none" w:sz="0" w:space="0" w:color="auto"/>
              </w:divBdr>
              <w:divsChild>
                <w:div w:id="483594844">
                  <w:marLeft w:val="0"/>
                  <w:marRight w:val="0"/>
                  <w:marTop w:val="0"/>
                  <w:marBottom w:val="0"/>
                  <w:divBdr>
                    <w:top w:val="none" w:sz="0" w:space="0" w:color="auto"/>
                    <w:left w:val="none" w:sz="0" w:space="0" w:color="auto"/>
                    <w:bottom w:val="none" w:sz="0" w:space="0" w:color="auto"/>
                    <w:right w:val="none" w:sz="0" w:space="0" w:color="auto"/>
                  </w:divBdr>
                  <w:divsChild>
                    <w:div w:id="1451630805">
                      <w:marLeft w:val="0"/>
                      <w:marRight w:val="0"/>
                      <w:marTop w:val="0"/>
                      <w:marBottom w:val="0"/>
                      <w:divBdr>
                        <w:top w:val="none" w:sz="0" w:space="0" w:color="auto"/>
                        <w:left w:val="none" w:sz="0" w:space="0" w:color="auto"/>
                        <w:bottom w:val="none" w:sz="0" w:space="0" w:color="auto"/>
                        <w:right w:val="none" w:sz="0" w:space="0" w:color="auto"/>
                      </w:divBdr>
                      <w:divsChild>
                        <w:div w:id="385221267">
                          <w:marLeft w:val="0"/>
                          <w:marRight w:val="0"/>
                          <w:marTop w:val="0"/>
                          <w:marBottom w:val="0"/>
                          <w:divBdr>
                            <w:top w:val="none" w:sz="0" w:space="0" w:color="auto"/>
                            <w:left w:val="none" w:sz="0" w:space="0" w:color="auto"/>
                            <w:bottom w:val="none" w:sz="0" w:space="0" w:color="auto"/>
                            <w:right w:val="none" w:sz="0" w:space="0" w:color="auto"/>
                          </w:divBdr>
                          <w:divsChild>
                            <w:div w:id="531188895">
                              <w:marLeft w:val="0"/>
                              <w:marRight w:val="0"/>
                              <w:marTop w:val="0"/>
                              <w:marBottom w:val="0"/>
                              <w:divBdr>
                                <w:top w:val="none" w:sz="0" w:space="0" w:color="auto"/>
                                <w:left w:val="none" w:sz="0" w:space="0" w:color="auto"/>
                                <w:bottom w:val="none" w:sz="0" w:space="0" w:color="auto"/>
                                <w:right w:val="none" w:sz="0" w:space="0" w:color="auto"/>
                              </w:divBdr>
                              <w:divsChild>
                                <w:div w:id="12144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915428">
      <w:bodyDiv w:val="1"/>
      <w:marLeft w:val="0"/>
      <w:marRight w:val="0"/>
      <w:marTop w:val="0"/>
      <w:marBottom w:val="0"/>
      <w:divBdr>
        <w:top w:val="none" w:sz="0" w:space="0" w:color="auto"/>
        <w:left w:val="none" w:sz="0" w:space="0" w:color="auto"/>
        <w:bottom w:val="none" w:sz="0" w:space="0" w:color="auto"/>
        <w:right w:val="none" w:sz="0" w:space="0" w:color="auto"/>
      </w:divBdr>
    </w:div>
    <w:div w:id="586034405">
      <w:bodyDiv w:val="1"/>
      <w:marLeft w:val="0"/>
      <w:marRight w:val="0"/>
      <w:marTop w:val="0"/>
      <w:marBottom w:val="0"/>
      <w:divBdr>
        <w:top w:val="none" w:sz="0" w:space="0" w:color="auto"/>
        <w:left w:val="none" w:sz="0" w:space="0" w:color="auto"/>
        <w:bottom w:val="none" w:sz="0" w:space="0" w:color="auto"/>
        <w:right w:val="none" w:sz="0" w:space="0" w:color="auto"/>
      </w:divBdr>
    </w:div>
    <w:div w:id="629819299">
      <w:bodyDiv w:val="1"/>
      <w:marLeft w:val="0"/>
      <w:marRight w:val="0"/>
      <w:marTop w:val="0"/>
      <w:marBottom w:val="0"/>
      <w:divBdr>
        <w:top w:val="none" w:sz="0" w:space="0" w:color="auto"/>
        <w:left w:val="none" w:sz="0" w:space="0" w:color="auto"/>
        <w:bottom w:val="none" w:sz="0" w:space="0" w:color="auto"/>
        <w:right w:val="none" w:sz="0" w:space="0" w:color="auto"/>
      </w:divBdr>
    </w:div>
    <w:div w:id="844127058">
      <w:bodyDiv w:val="1"/>
      <w:marLeft w:val="0"/>
      <w:marRight w:val="0"/>
      <w:marTop w:val="0"/>
      <w:marBottom w:val="0"/>
      <w:divBdr>
        <w:top w:val="none" w:sz="0" w:space="0" w:color="auto"/>
        <w:left w:val="none" w:sz="0" w:space="0" w:color="auto"/>
        <w:bottom w:val="none" w:sz="0" w:space="0" w:color="auto"/>
        <w:right w:val="none" w:sz="0" w:space="0" w:color="auto"/>
      </w:divBdr>
    </w:div>
    <w:div w:id="885533858">
      <w:bodyDiv w:val="1"/>
      <w:marLeft w:val="0"/>
      <w:marRight w:val="0"/>
      <w:marTop w:val="0"/>
      <w:marBottom w:val="0"/>
      <w:divBdr>
        <w:top w:val="none" w:sz="0" w:space="0" w:color="auto"/>
        <w:left w:val="none" w:sz="0" w:space="0" w:color="auto"/>
        <w:bottom w:val="none" w:sz="0" w:space="0" w:color="auto"/>
        <w:right w:val="none" w:sz="0" w:space="0" w:color="auto"/>
      </w:divBdr>
    </w:div>
    <w:div w:id="967973448">
      <w:bodyDiv w:val="1"/>
      <w:marLeft w:val="0"/>
      <w:marRight w:val="0"/>
      <w:marTop w:val="0"/>
      <w:marBottom w:val="0"/>
      <w:divBdr>
        <w:top w:val="none" w:sz="0" w:space="0" w:color="auto"/>
        <w:left w:val="none" w:sz="0" w:space="0" w:color="auto"/>
        <w:bottom w:val="none" w:sz="0" w:space="0" w:color="auto"/>
        <w:right w:val="none" w:sz="0" w:space="0" w:color="auto"/>
      </w:divBdr>
    </w:div>
    <w:div w:id="1117990104">
      <w:bodyDiv w:val="1"/>
      <w:marLeft w:val="0"/>
      <w:marRight w:val="0"/>
      <w:marTop w:val="0"/>
      <w:marBottom w:val="0"/>
      <w:divBdr>
        <w:top w:val="none" w:sz="0" w:space="0" w:color="auto"/>
        <w:left w:val="none" w:sz="0" w:space="0" w:color="auto"/>
        <w:bottom w:val="none" w:sz="0" w:space="0" w:color="auto"/>
        <w:right w:val="none" w:sz="0" w:space="0" w:color="auto"/>
      </w:divBdr>
    </w:div>
    <w:div w:id="1478717276">
      <w:bodyDiv w:val="1"/>
      <w:marLeft w:val="0"/>
      <w:marRight w:val="0"/>
      <w:marTop w:val="0"/>
      <w:marBottom w:val="0"/>
      <w:divBdr>
        <w:top w:val="none" w:sz="0" w:space="0" w:color="auto"/>
        <w:left w:val="none" w:sz="0" w:space="0" w:color="auto"/>
        <w:bottom w:val="none" w:sz="0" w:space="0" w:color="auto"/>
        <w:right w:val="none" w:sz="0" w:space="0" w:color="auto"/>
      </w:divBdr>
      <w:divsChild>
        <w:div w:id="1490756853">
          <w:marLeft w:val="0"/>
          <w:marRight w:val="0"/>
          <w:marTop w:val="0"/>
          <w:marBottom w:val="0"/>
          <w:divBdr>
            <w:top w:val="none" w:sz="0" w:space="0" w:color="auto"/>
            <w:left w:val="none" w:sz="0" w:space="0" w:color="auto"/>
            <w:bottom w:val="none" w:sz="0" w:space="0" w:color="auto"/>
            <w:right w:val="none" w:sz="0" w:space="0" w:color="auto"/>
          </w:divBdr>
        </w:div>
        <w:div w:id="1826699614">
          <w:marLeft w:val="0"/>
          <w:marRight w:val="0"/>
          <w:marTop w:val="0"/>
          <w:marBottom w:val="0"/>
          <w:divBdr>
            <w:top w:val="none" w:sz="0" w:space="0" w:color="auto"/>
            <w:left w:val="none" w:sz="0" w:space="0" w:color="auto"/>
            <w:bottom w:val="none" w:sz="0" w:space="0" w:color="auto"/>
            <w:right w:val="none" w:sz="0" w:space="0" w:color="auto"/>
          </w:divBdr>
        </w:div>
      </w:divsChild>
    </w:div>
    <w:div w:id="1680278741">
      <w:bodyDiv w:val="1"/>
      <w:marLeft w:val="0"/>
      <w:marRight w:val="0"/>
      <w:marTop w:val="0"/>
      <w:marBottom w:val="0"/>
      <w:divBdr>
        <w:top w:val="none" w:sz="0" w:space="0" w:color="auto"/>
        <w:left w:val="none" w:sz="0" w:space="0" w:color="auto"/>
        <w:bottom w:val="none" w:sz="0" w:space="0" w:color="auto"/>
        <w:right w:val="none" w:sz="0" w:space="0" w:color="auto"/>
      </w:divBdr>
    </w:div>
    <w:div w:id="17395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image" Target="media/image5.emf" Id="rId18" /><Relationship Type="http://schemas.openxmlformats.org/officeDocument/2006/relationships/image" Target="media/image9.emf" Id="rId26" /><Relationship Type="http://schemas.openxmlformats.org/officeDocument/2006/relationships/customXml" Target="../customXml/item3.xml" Id="rId3" /><Relationship Type="http://schemas.openxmlformats.org/officeDocument/2006/relationships/package" Target="embeddings/Microsoft_Visio_Drawing3.vsdx" Id="rId21" /><Relationship Type="http://schemas.openxmlformats.org/officeDocument/2006/relationships/settings" Target="settings.xml" Id="rId7" /><Relationship Type="http://schemas.openxmlformats.org/officeDocument/2006/relationships/hyperlink" Target="https://eur-lex.europa.eu/legal-content/EN/TXT/?uri=CELEX%3A32019R1239" TargetMode="External" Id="rId12" /><Relationship Type="http://schemas.openxmlformats.org/officeDocument/2006/relationships/image" Target="media/image4.png" Id="rId17" /><Relationship Type="http://schemas.openxmlformats.org/officeDocument/2006/relationships/package" Target="embeddings/Microsoft_Visio_Drawing5.vsdx" Id="rId25" /><Relationship Type="http://schemas.openxmlformats.org/officeDocument/2006/relationships/customXml" Target="../customXml/item2.xml" Id="rId2" /><Relationship Type="http://schemas.openxmlformats.org/officeDocument/2006/relationships/package" Target="embeddings/Microsoft_Visio_Drawing1.vsdx" Id="rId16" /><Relationship Type="http://schemas.openxmlformats.org/officeDocument/2006/relationships/image" Target="media/image6.emf"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8.emf" Id="rId24" /><Relationship Type="http://schemas.openxmlformats.org/officeDocument/2006/relationships/numbering" Target="numbering.xml" Id="rId5" /><Relationship Type="http://schemas.openxmlformats.org/officeDocument/2006/relationships/image" Target="media/image3.emf" Id="rId15" /><Relationship Type="http://schemas.openxmlformats.org/officeDocument/2006/relationships/package" Target="embeddings/Microsoft_Visio_Drawing4.vsdx" Id="rId23" /><Relationship Type="http://schemas.openxmlformats.org/officeDocument/2006/relationships/image" Target="media/image10.png" Id="rId28" /><Relationship Type="http://schemas.openxmlformats.org/officeDocument/2006/relationships/endnotes" Target="endnotes.xml" Id="rId10" /><Relationship Type="http://schemas.openxmlformats.org/officeDocument/2006/relationships/package" Target="embeddings/Microsoft_Visio_Drawing2.vsdx"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package" Target="embeddings/Microsoft_Visio_Drawing.vsdx" Id="rId14" /><Relationship Type="http://schemas.openxmlformats.org/officeDocument/2006/relationships/image" Target="media/image7.emf" Id="rId22" /><Relationship Type="http://schemas.openxmlformats.org/officeDocument/2006/relationships/package" Target="embeddings/Microsoft_Visio_Drawing6.vsdx" Id="rId27" /><Relationship Type="http://schemas.openxmlformats.org/officeDocument/2006/relationships/glossaryDocument" Target="glossary/document.xml" Id="rI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0C6A01179C4801A56331330E7A20D1"/>
        <w:category>
          <w:name w:val="General"/>
          <w:gallery w:val="placeholder"/>
        </w:category>
        <w:types>
          <w:type w:val="bbPlcHdr"/>
        </w:types>
        <w:behaviors>
          <w:behavior w:val="content"/>
        </w:behaviors>
        <w:guid w:val="{A7FC2A76-943C-4194-9455-B12214A5316D}"/>
      </w:docPartPr>
      <w:docPartBody>
        <w:p xmlns:wp14="http://schemas.microsoft.com/office/word/2010/wordml" w:rsidR="007C2323" w:rsidRDefault="007C2323" w14:paraId="672A6659" wp14:textId="77777777"/>
      </w:docPartBody>
    </w:docPart>
    <w:docPart>
      <w:docPartPr>
        <w:name w:val="AC890D20BA344C3384630D0E8ADFC2D5"/>
        <w:category>
          <w:name w:val="General"/>
          <w:gallery w:val="placeholder"/>
        </w:category>
        <w:types>
          <w:type w:val="bbPlcHdr"/>
        </w:types>
        <w:behaviors>
          <w:behavior w:val="content"/>
        </w:behaviors>
        <w:guid w:val="{5F827FF7-B08A-4AFD-8CC5-8743028DECC5}"/>
      </w:docPartPr>
      <w:docPartBody>
        <w:p xmlns:wp14="http://schemas.microsoft.com/office/word/2010/wordml" w:rsidR="007C2323" w:rsidRDefault="007C2323" w14:paraId="0A37501D" wp14:textId="77777777"/>
      </w:docPartBody>
    </w:docPart>
    <w:docPart>
      <w:docPartPr>
        <w:name w:val="3D177B617F614F07BBB757381C3366F2"/>
        <w:category>
          <w:name w:val="General"/>
          <w:gallery w:val="placeholder"/>
        </w:category>
        <w:types>
          <w:type w:val="bbPlcHdr"/>
        </w:types>
        <w:behaviors>
          <w:behavior w:val="content"/>
        </w:behaviors>
        <w:guid w:val="{7EB0C46B-2EAE-4011-B55E-18BD01ED0469}"/>
      </w:docPartPr>
      <w:docPartBody>
        <w:p xmlns:wp14="http://schemas.microsoft.com/office/word/2010/wordml" w:rsidR="007C2323" w:rsidRDefault="007C2323" w14:paraId="5DAB6C7B" wp14:textId="77777777"/>
      </w:docPartBody>
    </w:docPart>
    <w:docPart>
      <w:docPartPr>
        <w:name w:val="3572F7A32BFF45F889D6BCC7F938FCCF"/>
        <w:category>
          <w:name w:val="General"/>
          <w:gallery w:val="placeholder"/>
        </w:category>
        <w:types>
          <w:type w:val="bbPlcHdr"/>
        </w:types>
        <w:behaviors>
          <w:behavior w:val="content"/>
        </w:behaviors>
        <w:guid w:val="{89EF6CBF-9189-4236-BD62-A839FCF494B1}"/>
      </w:docPartPr>
      <w:docPartBody>
        <w:p xmlns:wp14="http://schemas.microsoft.com/office/word/2010/wordml" w:rsidR="00001C44" w:rsidRDefault="00001C44" w14:paraId="02EB378F"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6C"/>
    <w:rsid w:val="00001C44"/>
    <w:rsid w:val="0000710F"/>
    <w:rsid w:val="000539BD"/>
    <w:rsid w:val="00062C0C"/>
    <w:rsid w:val="000643DF"/>
    <w:rsid w:val="00092DB7"/>
    <w:rsid w:val="000A43B9"/>
    <w:rsid w:val="000B034C"/>
    <w:rsid w:val="000E60E5"/>
    <w:rsid w:val="00101AB4"/>
    <w:rsid w:val="00107BEB"/>
    <w:rsid w:val="00195617"/>
    <w:rsid w:val="00207C80"/>
    <w:rsid w:val="00227ADC"/>
    <w:rsid w:val="002A675D"/>
    <w:rsid w:val="002E3AA9"/>
    <w:rsid w:val="00341042"/>
    <w:rsid w:val="0038436E"/>
    <w:rsid w:val="003D7D4B"/>
    <w:rsid w:val="00507384"/>
    <w:rsid w:val="00512E23"/>
    <w:rsid w:val="0051374A"/>
    <w:rsid w:val="00521FF4"/>
    <w:rsid w:val="005412AD"/>
    <w:rsid w:val="005D6C51"/>
    <w:rsid w:val="005E578F"/>
    <w:rsid w:val="00647762"/>
    <w:rsid w:val="00686779"/>
    <w:rsid w:val="00691D9F"/>
    <w:rsid w:val="006A1357"/>
    <w:rsid w:val="006F406C"/>
    <w:rsid w:val="006F572C"/>
    <w:rsid w:val="00752264"/>
    <w:rsid w:val="007C0EFE"/>
    <w:rsid w:val="007C2323"/>
    <w:rsid w:val="007E36A1"/>
    <w:rsid w:val="007F426E"/>
    <w:rsid w:val="007F7A61"/>
    <w:rsid w:val="00820C29"/>
    <w:rsid w:val="0086046D"/>
    <w:rsid w:val="008831C4"/>
    <w:rsid w:val="008A3364"/>
    <w:rsid w:val="008C7BB4"/>
    <w:rsid w:val="00994080"/>
    <w:rsid w:val="009A5EAB"/>
    <w:rsid w:val="009C0E6E"/>
    <w:rsid w:val="009E0425"/>
    <w:rsid w:val="009F3655"/>
    <w:rsid w:val="009F6A88"/>
    <w:rsid w:val="00A00AC1"/>
    <w:rsid w:val="00A32B5F"/>
    <w:rsid w:val="00A568F6"/>
    <w:rsid w:val="00A827C4"/>
    <w:rsid w:val="00A93DAB"/>
    <w:rsid w:val="00AD471C"/>
    <w:rsid w:val="00AD6866"/>
    <w:rsid w:val="00B12DCD"/>
    <w:rsid w:val="00B71002"/>
    <w:rsid w:val="00BC31ED"/>
    <w:rsid w:val="00C100CC"/>
    <w:rsid w:val="00C320C0"/>
    <w:rsid w:val="00CE5B7C"/>
    <w:rsid w:val="00D14DD6"/>
    <w:rsid w:val="00D6645B"/>
    <w:rsid w:val="00D94C62"/>
    <w:rsid w:val="00DB06CE"/>
    <w:rsid w:val="00E413DB"/>
    <w:rsid w:val="00F00F03"/>
    <w:rsid w:val="00FE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7E0E8275F594CA3618762FDFF9BF4" ma:contentTypeVersion="4" ma:contentTypeDescription="Create a new document." ma:contentTypeScope="" ma:versionID="782c90c5f5cbb1fefb4a192ef141aea0">
  <xsd:schema xmlns:xsd="http://www.w3.org/2001/XMLSchema" xmlns:xs="http://www.w3.org/2001/XMLSchema" xmlns:p="http://schemas.microsoft.com/office/2006/metadata/properties" xmlns:ns2="36c74615-0b4f-4f0b-8b50-28c5e096081c" targetNamespace="http://schemas.microsoft.com/office/2006/metadata/properties" ma:root="true" ma:fieldsID="d70531655c8a56d0408b989c5269a7e7" ns2:_="">
    <xsd:import namespace="36c74615-0b4f-4f0b-8b50-28c5e09608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74615-0b4f-4f0b-8b50-28c5e0960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A82A-A401-4069-AEB8-D27C93FB3A3C}"/>
</file>

<file path=customXml/itemProps2.xml><?xml version="1.0" encoding="utf-8"?>
<ds:datastoreItem xmlns:ds="http://schemas.openxmlformats.org/officeDocument/2006/customXml" ds:itemID="{B513523B-1754-4991-B6BA-B19640B21A27}">
  <ds:schemaRefs>
    <ds:schemaRef ds:uri="http://schemas.microsoft.com/sharepoint/v3/contenttype/forms"/>
  </ds:schemaRefs>
</ds:datastoreItem>
</file>

<file path=customXml/itemProps3.xml><?xml version="1.0" encoding="utf-8"?>
<ds:datastoreItem xmlns:ds="http://schemas.openxmlformats.org/officeDocument/2006/customXml" ds:itemID="{7E83DA1A-1FF5-4B61-8035-42A3D76D2B14}">
  <ds:schemaRefs>
    <ds:schemaRef ds:uri="http://schemas.microsoft.com/office/2006/metadata/properties"/>
    <ds:schemaRef ds:uri="http://schemas.openxmlformats.org/package/2006/metadata/core-properties"/>
    <ds:schemaRef ds:uri="http://schemas.microsoft.com/sharepoint/v3"/>
    <ds:schemaRef ds:uri="6b258e70-a1df-441b-a203-2d7ff2748f56"/>
    <ds:schemaRef ds:uri="http://purl.org/dc/terms/"/>
    <ds:schemaRef ds:uri="67271fa0-a2a7-40a0-8078-c02621e165e6"/>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9575A49-D6E3-4715-8838-5FF241AD8A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OSOFISAN Adeyemi (MOVE-EXT)</dc:creator>
  <cp:keywords/>
  <dc:description/>
  <cp:lastModifiedBy>Miran Bordon</cp:lastModifiedBy>
  <cp:revision>63</cp:revision>
  <dcterms:created xsi:type="dcterms:W3CDTF">2022-12-13T11:21:00Z</dcterms:created>
  <dcterms:modified xsi:type="dcterms:W3CDTF">2025-02-17T18:26:14Z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0x0101007D17E0E8275F594CA3618762FDFF9BF4</vt:lpwstr>
  </property>
  <property fmtid="{D5CDD505-2E9C-101B-9397-08002B2CF9AE}" pid="3" name="MediaServiceImageTags">
    <vt:lpwstr/>
  </property>
</Properties>
</file>