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FE7E" w14:textId="77777777" w:rsidR="00CC7F22" w:rsidRPr="007F04EF" w:rsidRDefault="00CC7F22">
      <w:pPr>
        <w:rPr>
          <w:rFonts w:cs="Arial"/>
          <w:lang w:val="en-GB"/>
        </w:rPr>
      </w:pPr>
      <w:r w:rsidRPr="007F04EF">
        <w:rPr>
          <w:rFonts w:cs="Arial"/>
          <w:noProof/>
          <w:lang w:val="en-GB"/>
        </w:rPr>
        <mc:AlternateContent>
          <mc:Choice Requires="wps">
            <w:drawing>
              <wp:anchor distT="45720" distB="45720" distL="114300" distR="114300" simplePos="0" relativeHeight="251662336" behindDoc="0" locked="0" layoutInCell="1" allowOverlap="1" wp14:anchorId="57BC2401" wp14:editId="3A0AD510">
                <wp:simplePos x="0" y="0"/>
                <wp:positionH relativeFrom="column">
                  <wp:posOffset>205802</wp:posOffset>
                </wp:positionH>
                <wp:positionV relativeFrom="paragraph">
                  <wp:posOffset>15240</wp:posOffset>
                </wp:positionV>
                <wp:extent cx="2360930" cy="1404620"/>
                <wp:effectExtent l="0" t="0" r="1270" b="762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EB7984" w14:textId="4AAB0F52" w:rsidR="00960783" w:rsidRPr="00CC7F22" w:rsidRDefault="00FF1795" w:rsidP="00CC7F22">
                            <w:pPr>
                              <w:spacing w:after="120"/>
                              <w:rPr>
                                <w:rFonts w:cs="Arial"/>
                                <w:sz w:val="20"/>
                              </w:rPr>
                            </w:pPr>
                            <w:r>
                              <w:rPr>
                                <w:rFonts w:cs="Arial"/>
                                <w:sz w:val="20"/>
                              </w:rPr>
                              <w:t>No</w:t>
                            </w:r>
                            <w:r w:rsidR="00043F80">
                              <w:rPr>
                                <w:rFonts w:cs="Arial"/>
                                <w:sz w:val="20"/>
                              </w:rPr>
                              <w:t xml:space="preserve">.: </w:t>
                            </w:r>
                            <w:r w:rsidR="0014664F" w:rsidRPr="0014664F">
                              <w:rPr>
                                <w:rFonts w:cs="Arial"/>
                                <w:b/>
                                <w:bCs/>
                                <w:sz w:val="20"/>
                              </w:rPr>
                              <w:t>U34335-17/2023</w:t>
                            </w:r>
                          </w:p>
                          <w:p w14:paraId="0B0EFADE" w14:textId="64A29B9A" w:rsidR="00960783" w:rsidRPr="00CC7F22" w:rsidRDefault="00FF1795" w:rsidP="00CC7F22">
                            <w:pPr>
                              <w:spacing w:after="120"/>
                              <w:rPr>
                                <w:rFonts w:cs="Arial"/>
                                <w:sz w:val="20"/>
                              </w:rPr>
                            </w:pPr>
                            <w:r>
                              <w:rPr>
                                <w:rFonts w:cs="Arial"/>
                                <w:sz w:val="20"/>
                              </w:rPr>
                              <w:t>Date</w:t>
                            </w:r>
                            <w:r w:rsidR="00960783">
                              <w:rPr>
                                <w:rFonts w:cs="Arial"/>
                                <w:sz w:val="20"/>
                              </w:rPr>
                              <w:t xml:space="preserve">: </w:t>
                            </w:r>
                            <w:r w:rsidR="0014664F">
                              <w:rPr>
                                <w:rFonts w:cs="Arial"/>
                                <w:sz w:val="20"/>
                              </w:rPr>
                              <w:t>15</w:t>
                            </w:r>
                            <w:r w:rsidR="00960783">
                              <w:rPr>
                                <w:rFonts w:cs="Arial"/>
                                <w:sz w:val="20"/>
                              </w:rPr>
                              <w:t>.1</w:t>
                            </w:r>
                            <w:r>
                              <w:rPr>
                                <w:rFonts w:cs="Arial"/>
                                <w:sz w:val="20"/>
                              </w:rPr>
                              <w:t>2</w:t>
                            </w:r>
                            <w:r w:rsidR="00960783">
                              <w:rPr>
                                <w:rFonts w:cs="Arial"/>
                                <w:sz w:val="20"/>
                              </w:rPr>
                              <w:t>.20</w:t>
                            </w:r>
                            <w:r w:rsidR="008E2E55">
                              <w:rPr>
                                <w:rFonts w:cs="Arial"/>
                                <w:sz w:val="20"/>
                              </w:rPr>
                              <w:t>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BC2401" id="_x0000_t202" coordsize="21600,21600" o:spt="202" path="m,l,21600r21600,l21600,xe">
                <v:stroke joinstyle="miter"/>
                <v:path gradientshapeok="t" o:connecttype="rect"/>
              </v:shapetype>
              <v:shape id="Polje z besedilom 2" o:spid="_x0000_s1026" type="#_x0000_t202" style="position:absolute;margin-left:16.2pt;margin-top:1.2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" stroked="f">
                <v:textbox style="mso-fit-shape-to-text:t">
                  <w:txbxContent>
                    <w:p w14:paraId="0FEB7984" w14:textId="4AAB0F52" w:rsidR="00960783" w:rsidRPr="00CC7F22" w:rsidRDefault="00FF1795" w:rsidP="00CC7F22">
                      <w:pPr>
                        <w:spacing w:after="120"/>
                        <w:rPr>
                          <w:rFonts w:cs="Arial"/>
                          <w:sz w:val="20"/>
                        </w:rPr>
                      </w:pPr>
                      <w:r>
                        <w:rPr>
                          <w:rFonts w:cs="Arial"/>
                          <w:sz w:val="20"/>
                        </w:rPr>
                        <w:t>No</w:t>
                      </w:r>
                      <w:r w:rsidR="00043F80">
                        <w:rPr>
                          <w:rFonts w:cs="Arial"/>
                          <w:sz w:val="20"/>
                        </w:rPr>
                        <w:t xml:space="preserve">.: </w:t>
                      </w:r>
                      <w:r w:rsidR="0014664F" w:rsidRPr="0014664F">
                        <w:rPr>
                          <w:rFonts w:cs="Arial"/>
                          <w:b/>
                          <w:bCs/>
                          <w:sz w:val="20"/>
                        </w:rPr>
                        <w:t>U34335-17/2023</w:t>
                      </w:r>
                    </w:p>
                    <w:p w14:paraId="0B0EFADE" w14:textId="64A29B9A" w:rsidR="00960783" w:rsidRPr="00CC7F22" w:rsidRDefault="00FF1795" w:rsidP="00CC7F22">
                      <w:pPr>
                        <w:spacing w:after="120"/>
                        <w:rPr>
                          <w:rFonts w:cs="Arial"/>
                          <w:sz w:val="20"/>
                        </w:rPr>
                      </w:pPr>
                      <w:r>
                        <w:rPr>
                          <w:rFonts w:cs="Arial"/>
                          <w:sz w:val="20"/>
                        </w:rPr>
                        <w:t>Date</w:t>
                      </w:r>
                      <w:r w:rsidR="00960783">
                        <w:rPr>
                          <w:rFonts w:cs="Arial"/>
                          <w:sz w:val="20"/>
                        </w:rPr>
                        <w:t xml:space="preserve">: </w:t>
                      </w:r>
                      <w:r w:rsidR="0014664F">
                        <w:rPr>
                          <w:rFonts w:cs="Arial"/>
                          <w:sz w:val="20"/>
                        </w:rPr>
                        <w:t>15</w:t>
                      </w:r>
                      <w:r w:rsidR="00960783">
                        <w:rPr>
                          <w:rFonts w:cs="Arial"/>
                          <w:sz w:val="20"/>
                        </w:rPr>
                        <w:t>.1</w:t>
                      </w:r>
                      <w:r>
                        <w:rPr>
                          <w:rFonts w:cs="Arial"/>
                          <w:sz w:val="20"/>
                        </w:rPr>
                        <w:t>2</w:t>
                      </w:r>
                      <w:r w:rsidR="00960783">
                        <w:rPr>
                          <w:rFonts w:cs="Arial"/>
                          <w:sz w:val="20"/>
                        </w:rPr>
                        <w:t>.20</w:t>
                      </w:r>
                      <w:r w:rsidR="008E2E55">
                        <w:rPr>
                          <w:rFonts w:cs="Arial"/>
                          <w:sz w:val="20"/>
                        </w:rPr>
                        <w:t>23</w:t>
                      </w:r>
                    </w:p>
                  </w:txbxContent>
                </v:textbox>
                <w10:wrap type="square"/>
              </v:shape>
            </w:pict>
          </mc:Fallback>
        </mc:AlternateContent>
      </w:r>
    </w:p>
    <w:sdt>
      <w:sdtPr>
        <w:rPr>
          <w:rFonts w:cs="Arial"/>
          <w:lang w:val="en-GB"/>
        </w:rPr>
        <w:id w:val="-1324268530"/>
        <w:docPartObj>
          <w:docPartGallery w:val="Cover Pages"/>
          <w:docPartUnique/>
        </w:docPartObj>
      </w:sdtPr>
      <w:sdtEndPr/>
      <w:sdtContent>
        <w:p w14:paraId="26CC3305" w14:textId="05B776EC" w:rsidR="00CD5752" w:rsidRPr="007F04EF" w:rsidRDefault="009B6EF4">
          <w:pPr>
            <w:rPr>
              <w:rFonts w:cs="Arial"/>
              <w:lang w:val="en-GB"/>
            </w:rPr>
          </w:pPr>
          <w:r w:rsidRPr="007F04EF">
            <w:rPr>
              <w:rFonts w:cs="Arial"/>
              <w:noProof/>
              <w:lang w:val="en-GB"/>
            </w:rPr>
            <mc:AlternateContent>
              <mc:Choice Requires="wps">
                <w:drawing>
                  <wp:anchor distT="0" distB="0" distL="114300" distR="114300" simplePos="0" relativeHeight="251659264" behindDoc="0" locked="0" layoutInCell="1" allowOverlap="1" wp14:anchorId="58488E1E" wp14:editId="3F6FBBB9">
                    <wp:simplePos x="0" y="0"/>
                    <wp:positionH relativeFrom="margin">
                      <wp:posOffset>5369312</wp:posOffset>
                    </wp:positionH>
                    <wp:positionV relativeFrom="page">
                      <wp:posOffset>446049</wp:posOffset>
                    </wp:positionV>
                    <wp:extent cx="802888" cy="535893"/>
                    <wp:effectExtent l="0" t="0" r="0" b="0"/>
                    <wp:wrapNone/>
                    <wp:docPr id="132" name="Pravokotni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02888" cy="53589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E4D71" w14:textId="5294CC57" w:rsidR="00960783" w:rsidRDefault="00C46EFB">
                                <w:pPr>
                                  <w:pStyle w:val="Brezrazmikov"/>
                                  <w:jc w:val="right"/>
                                  <w:rPr>
                                    <w:color w:val="FFFFFF" w:themeColor="background1"/>
                                    <w:sz w:val="24"/>
                                    <w:szCs w:val="24"/>
                                  </w:rPr>
                                </w:pPr>
                                <w:sdt>
                                  <w:sdtPr>
                                    <w:rPr>
                                      <w:color w:val="FFFFFF" w:themeColor="background1"/>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EndPr/>
                                  <w:sdtContent>
                                    <w:r w:rsidR="00960783">
                                      <w:rPr>
                                        <w:color w:val="FFFFFF" w:themeColor="background1"/>
                                        <w:sz w:val="24"/>
                                        <w:szCs w:val="24"/>
                                      </w:rPr>
                                      <w:t>201</w:t>
                                    </w:r>
                                    <w:r w:rsidR="008E2E55">
                                      <w:rPr>
                                        <w:color w:val="FFFFFF" w:themeColor="background1"/>
                                        <w:sz w:val="24"/>
                                        <w:szCs w:val="24"/>
                                      </w:rPr>
                                      <w:t>8</w:t>
                                    </w:r>
                                    <w:r w:rsidR="00960783">
                                      <w:rPr>
                                        <w:color w:val="FFFFFF" w:themeColor="background1"/>
                                        <w:sz w:val="24"/>
                                        <w:szCs w:val="24"/>
                                      </w:rPr>
                                      <w:t>-20</w:t>
                                    </w:r>
                                    <w:r w:rsidR="008E2E55">
                                      <w:rPr>
                                        <w:color w:val="FFFFFF" w:themeColor="background1"/>
                                        <w:sz w:val="24"/>
                                        <w:szCs w:val="24"/>
                                      </w:rPr>
                                      <w:t>22</w:t>
                                    </w:r>
                                  </w:sdtContent>
                                </w:sdt>
                                <w:r w:rsidR="00960783">
                                  <w:rPr>
                                    <w:color w:val="FFFFFF" w:themeColor="background1"/>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488E1E" id="Pravokotnik 132" o:spid="_x0000_s1027" style="position:absolute;margin-left:422.8pt;margin-top:35.1pt;width:63.2pt;height:4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" fillcolor="#4f81bd [3204]" stroked="f" strokeweight="2pt">
                    <o:lock v:ext="edit" aspectratio="t"/>
                    <v:textbox inset="3.6pt,,3.6pt">
                      <w:txbxContent>
                        <w:p w14:paraId="488E4D71" w14:textId="5294CC57" w:rsidR="00960783" w:rsidRDefault="00C46EFB">
                          <w:pPr>
                            <w:pStyle w:val="Brezrazmikov"/>
                            <w:jc w:val="right"/>
                            <w:rPr>
                              <w:color w:val="FFFFFF" w:themeColor="background1"/>
                              <w:sz w:val="24"/>
                              <w:szCs w:val="24"/>
                            </w:rPr>
                          </w:pPr>
                          <w:sdt>
                            <w:sdtPr>
                              <w:rPr>
                                <w:color w:val="FFFFFF" w:themeColor="background1"/>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EndPr/>
                            <w:sdtContent>
                              <w:r w:rsidR="00960783">
                                <w:rPr>
                                  <w:color w:val="FFFFFF" w:themeColor="background1"/>
                                  <w:sz w:val="24"/>
                                  <w:szCs w:val="24"/>
                                </w:rPr>
                                <w:t>201</w:t>
                              </w:r>
                              <w:r w:rsidR="008E2E55">
                                <w:rPr>
                                  <w:color w:val="FFFFFF" w:themeColor="background1"/>
                                  <w:sz w:val="24"/>
                                  <w:szCs w:val="24"/>
                                </w:rPr>
                                <w:t>8</w:t>
                              </w:r>
                              <w:r w:rsidR="00960783">
                                <w:rPr>
                                  <w:color w:val="FFFFFF" w:themeColor="background1"/>
                                  <w:sz w:val="24"/>
                                  <w:szCs w:val="24"/>
                                </w:rPr>
                                <w:t>-20</w:t>
                              </w:r>
                              <w:r w:rsidR="008E2E55">
                                <w:rPr>
                                  <w:color w:val="FFFFFF" w:themeColor="background1"/>
                                  <w:sz w:val="24"/>
                                  <w:szCs w:val="24"/>
                                </w:rPr>
                                <w:t>22</w:t>
                              </w:r>
                            </w:sdtContent>
                          </w:sdt>
                          <w:r w:rsidR="00960783">
                            <w:rPr>
                              <w:color w:val="FFFFFF" w:themeColor="background1"/>
                              <w:sz w:val="24"/>
                              <w:szCs w:val="24"/>
                            </w:rPr>
                            <w:t xml:space="preserve">    </w:t>
                          </w:r>
                        </w:p>
                      </w:txbxContent>
                    </v:textbox>
                    <w10:wrap anchorx="margin" anchory="page"/>
                  </v:rect>
                </w:pict>
              </mc:Fallback>
            </mc:AlternateContent>
          </w:r>
        </w:p>
        <w:p w14:paraId="02CE04DC" w14:textId="06545618" w:rsidR="00CD5752" w:rsidRPr="007F04EF" w:rsidRDefault="00CD5752">
          <w:pPr>
            <w:rPr>
              <w:rFonts w:cs="Arial"/>
              <w:lang w:val="en-GB"/>
            </w:rPr>
          </w:pPr>
          <w:r w:rsidRPr="007F04EF">
            <w:rPr>
              <w:rFonts w:cs="Arial"/>
              <w:noProof/>
              <w:lang w:val="en-GB"/>
            </w:rPr>
            <mc:AlternateContent>
              <mc:Choice Requires="wps">
                <w:drawing>
                  <wp:anchor distT="0" distB="0" distL="182880" distR="182880" simplePos="0" relativeHeight="251660288" behindDoc="0" locked="0" layoutInCell="1" allowOverlap="1" wp14:anchorId="5681C3C6" wp14:editId="215A7A5C">
                    <wp:simplePos x="0" y="0"/>
                    <wp:positionH relativeFrom="margin">
                      <wp:posOffset>-41910</wp:posOffset>
                    </wp:positionH>
                    <wp:positionV relativeFrom="page">
                      <wp:posOffset>4001135</wp:posOffset>
                    </wp:positionV>
                    <wp:extent cx="6133465" cy="6720840"/>
                    <wp:effectExtent l="0" t="0" r="635" b="9525"/>
                    <wp:wrapSquare wrapText="bothSides"/>
                    <wp:docPr id="131" name="Polje z besedilom 131"/>
                    <wp:cNvGraphicFramePr/>
                    <a:graphic xmlns:a="http://schemas.openxmlformats.org/drawingml/2006/main">
                      <a:graphicData uri="http://schemas.microsoft.com/office/word/2010/wordprocessingShape">
                        <wps:wsp>
                          <wps:cNvSpPr txBox="1"/>
                          <wps:spPr>
                            <a:xfrm>
                              <a:off x="0" y="0"/>
                              <a:ext cx="613346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AC082" w14:textId="77777777" w:rsidR="00F92624" w:rsidRDefault="00254EBE" w:rsidP="00F92624">
                                <w:pPr>
                                  <w:pStyle w:val="Brezrazmikov"/>
                                  <w:jc w:val="center"/>
                                  <w:rPr>
                                    <w:color w:val="4F81BD" w:themeColor="accent1"/>
                                    <w:sz w:val="72"/>
                                    <w:szCs w:val="72"/>
                                    <w:lang w:val="en-GB"/>
                                  </w:rPr>
                                </w:pPr>
                                <w:r w:rsidRPr="00F92624">
                                  <w:rPr>
                                    <w:color w:val="4F81BD" w:themeColor="accent1"/>
                                    <w:sz w:val="72"/>
                                    <w:szCs w:val="72"/>
                                    <w:lang w:val="en-GB"/>
                                  </w:rPr>
                                  <w:t xml:space="preserve">National </w:t>
                                </w:r>
                                <w:r w:rsidR="00F92624" w:rsidRPr="00F92624">
                                  <w:rPr>
                                    <w:color w:val="4F81BD" w:themeColor="accent1"/>
                                    <w:sz w:val="72"/>
                                    <w:szCs w:val="72"/>
                                    <w:lang w:val="en-GB"/>
                                  </w:rPr>
                                  <w:t>A</w:t>
                                </w:r>
                                <w:r w:rsidRPr="00F92624">
                                  <w:rPr>
                                    <w:color w:val="4F81BD" w:themeColor="accent1"/>
                                    <w:sz w:val="72"/>
                                    <w:szCs w:val="72"/>
                                    <w:lang w:val="en-GB"/>
                                  </w:rPr>
                                  <w:t xml:space="preserve">ction </w:t>
                                </w:r>
                                <w:r w:rsidR="00F92624" w:rsidRPr="00F92624">
                                  <w:rPr>
                                    <w:color w:val="4F81BD" w:themeColor="accent1"/>
                                    <w:sz w:val="72"/>
                                    <w:szCs w:val="72"/>
                                    <w:lang w:val="en-GB"/>
                                  </w:rPr>
                                  <w:t>P</w:t>
                                </w:r>
                                <w:r w:rsidRPr="00F92624">
                                  <w:rPr>
                                    <w:color w:val="4F81BD" w:themeColor="accent1"/>
                                    <w:sz w:val="72"/>
                                    <w:szCs w:val="72"/>
                                    <w:lang w:val="en-GB"/>
                                  </w:rPr>
                                  <w:t>lan</w:t>
                                </w:r>
                              </w:p>
                              <w:p w14:paraId="1AED437B" w14:textId="77777777" w:rsidR="00F92624" w:rsidRDefault="00F92624" w:rsidP="00F92624">
                                <w:pPr>
                                  <w:pStyle w:val="Brezrazmikov"/>
                                  <w:jc w:val="center"/>
                                  <w:rPr>
                                    <w:color w:val="4F81BD" w:themeColor="accent1"/>
                                    <w:sz w:val="72"/>
                                    <w:szCs w:val="72"/>
                                    <w:lang w:val="en-GB"/>
                                  </w:rPr>
                                </w:pPr>
                                <w:r>
                                  <w:rPr>
                                    <w:color w:val="4F81BD" w:themeColor="accent1"/>
                                    <w:sz w:val="72"/>
                                    <w:szCs w:val="72"/>
                                    <w:lang w:val="en-GB"/>
                                  </w:rPr>
                                  <w:t>f</w:t>
                                </w:r>
                                <w:r w:rsidR="00FF1795" w:rsidRPr="00F92624">
                                  <w:rPr>
                                    <w:color w:val="4F81BD" w:themeColor="accent1"/>
                                    <w:sz w:val="72"/>
                                    <w:szCs w:val="72"/>
                                    <w:lang w:val="en-GB"/>
                                  </w:rPr>
                                  <w:t>o</w:t>
                                </w:r>
                                <w:r>
                                  <w:rPr>
                                    <w:color w:val="4F81BD" w:themeColor="accent1"/>
                                    <w:sz w:val="72"/>
                                    <w:szCs w:val="72"/>
                                    <w:lang w:val="en-GB"/>
                                  </w:rPr>
                                  <w:t xml:space="preserve">r </w:t>
                                </w:r>
                              </w:p>
                              <w:p w14:paraId="58612F3A" w14:textId="3D3AFC49" w:rsidR="00960783" w:rsidRPr="00F92624" w:rsidRDefault="00F92624" w:rsidP="00F92624">
                                <w:pPr>
                                  <w:pStyle w:val="Brezrazmikov"/>
                                  <w:spacing w:after="360"/>
                                  <w:jc w:val="center"/>
                                  <w:rPr>
                                    <w:color w:val="4F81BD" w:themeColor="accent1"/>
                                    <w:sz w:val="72"/>
                                    <w:szCs w:val="72"/>
                                    <w:lang w:val="en-GB"/>
                                  </w:rPr>
                                </w:pPr>
                                <w:r>
                                  <w:rPr>
                                    <w:color w:val="4F81BD" w:themeColor="accent1"/>
                                    <w:sz w:val="72"/>
                                    <w:szCs w:val="72"/>
                                    <w:lang w:val="en-GB"/>
                                  </w:rPr>
                                  <w:t>S</w:t>
                                </w:r>
                                <w:r w:rsidR="00254EBE" w:rsidRPr="00F92624">
                                  <w:rPr>
                                    <w:color w:val="4F81BD" w:themeColor="accent1"/>
                                    <w:sz w:val="72"/>
                                    <w:szCs w:val="72"/>
                                    <w:lang w:val="en-GB"/>
                                  </w:rPr>
                                  <w:t>ustainable</w:t>
                                </w:r>
                                <w:r>
                                  <w:rPr>
                                    <w:color w:val="4F81BD" w:themeColor="accent1"/>
                                    <w:sz w:val="72"/>
                                    <w:szCs w:val="72"/>
                                    <w:lang w:val="en-GB"/>
                                  </w:rPr>
                                  <w:t xml:space="preserve"> U</w:t>
                                </w:r>
                                <w:r w:rsidR="00254EBE" w:rsidRPr="00F92624">
                                  <w:rPr>
                                    <w:color w:val="4F81BD" w:themeColor="accent1"/>
                                    <w:sz w:val="72"/>
                                    <w:szCs w:val="72"/>
                                    <w:lang w:val="en-GB"/>
                                  </w:rPr>
                                  <w:t>se of PPP</w:t>
                                </w:r>
                                <w:r w:rsidRPr="00F92624">
                                  <w:rPr>
                                    <w:color w:val="4F81BD" w:themeColor="accent1"/>
                                    <w:sz w:val="72"/>
                                    <w:szCs w:val="72"/>
                                    <w:lang w:val="en-GB"/>
                                  </w:rPr>
                                  <w:t>s</w:t>
                                </w:r>
                              </w:p>
                              <w:sdt>
                                <w:sdtPr>
                                  <w:rPr>
                                    <w:color w:val="4F81BD" w:themeColor="accent1"/>
                                    <w:sz w:val="72"/>
                                    <w:szCs w:val="72"/>
                                    <w:lang w:val="en-GB"/>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5D9F43" w14:textId="2307BB23" w:rsidR="00960783" w:rsidRPr="00F92624" w:rsidRDefault="00254EBE" w:rsidP="00F92624">
                                    <w:pPr>
                                      <w:pStyle w:val="Brezrazmikov"/>
                                      <w:spacing w:before="360" w:after="360"/>
                                      <w:jc w:val="center"/>
                                      <w:rPr>
                                        <w:caps/>
                                        <w:color w:val="215868" w:themeColor="accent5" w:themeShade="80"/>
                                        <w:sz w:val="28"/>
                                        <w:szCs w:val="28"/>
                                        <w:lang w:val="en-GB"/>
                                      </w:rPr>
                                    </w:pPr>
                                    <w:r w:rsidRPr="00F92624">
                                      <w:rPr>
                                        <w:color w:val="4F81BD" w:themeColor="accent1"/>
                                        <w:sz w:val="72"/>
                                        <w:szCs w:val="72"/>
                                        <w:lang w:val="en-GB"/>
                                      </w:rPr>
                                      <w:t>Final report for period</w:t>
                                    </w:r>
                                    <w:r w:rsidR="00F92624">
                                      <w:rPr>
                                        <w:color w:val="4F81BD" w:themeColor="accent1"/>
                                        <w:sz w:val="72"/>
                                        <w:szCs w:val="72"/>
                                        <w:lang w:val="en-GB"/>
                                      </w:rPr>
                                      <w:t xml:space="preserve">      </w:t>
                                    </w:r>
                                    <w:r w:rsidR="00B758E4" w:rsidRPr="00F92624">
                                      <w:rPr>
                                        <w:color w:val="4F81BD" w:themeColor="accent1"/>
                                        <w:sz w:val="72"/>
                                        <w:szCs w:val="72"/>
                                        <w:lang w:val="en-GB"/>
                                      </w:rPr>
                                      <w:t>2018 – 2022</w:t>
                                    </w:r>
                                  </w:p>
                                </w:sdtContent>
                              </w:sdt>
                              <w:sdt>
                                <w:sdtPr>
                                  <w:rPr>
                                    <w:caps/>
                                    <w:color w:val="4BACC6" w:themeColor="accent5"/>
                                    <w:sz w:val="24"/>
                                    <w:szCs w:val="24"/>
                                    <w:lang w:val="en-GB"/>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9B382FD" w14:textId="557AE9DA" w:rsidR="00960783" w:rsidRPr="00F92624" w:rsidRDefault="00960783" w:rsidP="00F92624">
                                    <w:pPr>
                                      <w:pStyle w:val="Brezrazmikov"/>
                                      <w:spacing w:before="360" w:after="40"/>
                                      <w:jc w:val="center"/>
                                      <w:rPr>
                                        <w:caps/>
                                        <w:color w:val="4BACC6" w:themeColor="accent5"/>
                                        <w:sz w:val="24"/>
                                        <w:szCs w:val="24"/>
                                        <w:lang w:val="en-GB"/>
                                      </w:rPr>
                                    </w:pPr>
                                    <w:r w:rsidRPr="00F92624">
                                      <w:rPr>
                                        <w:caps/>
                                        <w:color w:val="4BACC6" w:themeColor="accent5"/>
                                        <w:sz w:val="24"/>
                                        <w:szCs w:val="24"/>
                                        <w:lang w:val="en-GB"/>
                                      </w:rPr>
                                      <w:t>M</w:t>
                                    </w:r>
                                    <w:r w:rsidR="00F92624">
                                      <w:rPr>
                                        <w:caps/>
                                        <w:color w:val="4BACC6" w:themeColor="accent5"/>
                                        <w:sz w:val="24"/>
                                        <w:szCs w:val="24"/>
                                        <w:lang w:val="en-GB"/>
                                      </w:rPr>
                                      <w:t>AFF</w:t>
                                    </w:r>
                                    <w:r w:rsidRPr="00F92624">
                                      <w:rPr>
                                        <w:caps/>
                                        <w:color w:val="4BACC6" w:themeColor="accent5"/>
                                        <w:sz w:val="24"/>
                                        <w:szCs w:val="24"/>
                                        <w:lang w:val="en-GB"/>
                                      </w:rPr>
                                      <w:t>,</w:t>
                                    </w:r>
                                    <w:r w:rsidR="00F92624">
                                      <w:rPr>
                                        <w:caps/>
                                        <w:color w:val="4BACC6" w:themeColor="accent5"/>
                                        <w:sz w:val="24"/>
                                        <w:szCs w:val="24"/>
                                        <w:lang w:val="en-GB"/>
                                      </w:rPr>
                                      <w:t xml:space="preserve"> AFSVSPP</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5681C3C6" id="Polje z besedilom 131" o:spid="_x0000_s1028" type="#_x0000_t202" style="position:absolute;margin-left:-3.3pt;margin-top:315.05pt;width:482.9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" filled="f" stroked="f" strokeweight=".5pt">
                    <v:textbox style="mso-fit-shape-to-text:t" inset="0,0,0,0">
                      <w:txbxContent>
                        <w:p w14:paraId="02BAC082" w14:textId="77777777" w:rsidR="00F92624" w:rsidRDefault="00254EBE" w:rsidP="00F92624">
                          <w:pPr>
                            <w:pStyle w:val="Brezrazmikov"/>
                            <w:jc w:val="center"/>
                            <w:rPr>
                              <w:color w:val="4F81BD" w:themeColor="accent1"/>
                              <w:sz w:val="72"/>
                              <w:szCs w:val="72"/>
                              <w:lang w:val="en-GB"/>
                            </w:rPr>
                          </w:pPr>
                          <w:r w:rsidRPr="00F92624">
                            <w:rPr>
                              <w:color w:val="4F81BD" w:themeColor="accent1"/>
                              <w:sz w:val="72"/>
                              <w:szCs w:val="72"/>
                              <w:lang w:val="en-GB"/>
                            </w:rPr>
                            <w:t xml:space="preserve">National </w:t>
                          </w:r>
                          <w:r w:rsidR="00F92624" w:rsidRPr="00F92624">
                            <w:rPr>
                              <w:color w:val="4F81BD" w:themeColor="accent1"/>
                              <w:sz w:val="72"/>
                              <w:szCs w:val="72"/>
                              <w:lang w:val="en-GB"/>
                            </w:rPr>
                            <w:t>A</w:t>
                          </w:r>
                          <w:r w:rsidRPr="00F92624">
                            <w:rPr>
                              <w:color w:val="4F81BD" w:themeColor="accent1"/>
                              <w:sz w:val="72"/>
                              <w:szCs w:val="72"/>
                              <w:lang w:val="en-GB"/>
                            </w:rPr>
                            <w:t xml:space="preserve">ction </w:t>
                          </w:r>
                          <w:r w:rsidR="00F92624" w:rsidRPr="00F92624">
                            <w:rPr>
                              <w:color w:val="4F81BD" w:themeColor="accent1"/>
                              <w:sz w:val="72"/>
                              <w:szCs w:val="72"/>
                              <w:lang w:val="en-GB"/>
                            </w:rPr>
                            <w:t>P</w:t>
                          </w:r>
                          <w:r w:rsidRPr="00F92624">
                            <w:rPr>
                              <w:color w:val="4F81BD" w:themeColor="accent1"/>
                              <w:sz w:val="72"/>
                              <w:szCs w:val="72"/>
                              <w:lang w:val="en-GB"/>
                            </w:rPr>
                            <w:t>lan</w:t>
                          </w:r>
                        </w:p>
                        <w:p w14:paraId="1AED437B" w14:textId="77777777" w:rsidR="00F92624" w:rsidRDefault="00F92624" w:rsidP="00F92624">
                          <w:pPr>
                            <w:pStyle w:val="Brezrazmikov"/>
                            <w:jc w:val="center"/>
                            <w:rPr>
                              <w:color w:val="4F81BD" w:themeColor="accent1"/>
                              <w:sz w:val="72"/>
                              <w:szCs w:val="72"/>
                              <w:lang w:val="en-GB"/>
                            </w:rPr>
                          </w:pPr>
                          <w:r>
                            <w:rPr>
                              <w:color w:val="4F81BD" w:themeColor="accent1"/>
                              <w:sz w:val="72"/>
                              <w:szCs w:val="72"/>
                              <w:lang w:val="en-GB"/>
                            </w:rPr>
                            <w:t>f</w:t>
                          </w:r>
                          <w:r w:rsidR="00FF1795" w:rsidRPr="00F92624">
                            <w:rPr>
                              <w:color w:val="4F81BD" w:themeColor="accent1"/>
                              <w:sz w:val="72"/>
                              <w:szCs w:val="72"/>
                              <w:lang w:val="en-GB"/>
                            </w:rPr>
                            <w:t>o</w:t>
                          </w:r>
                          <w:r>
                            <w:rPr>
                              <w:color w:val="4F81BD" w:themeColor="accent1"/>
                              <w:sz w:val="72"/>
                              <w:szCs w:val="72"/>
                              <w:lang w:val="en-GB"/>
                            </w:rPr>
                            <w:t xml:space="preserve">r </w:t>
                          </w:r>
                        </w:p>
                        <w:p w14:paraId="58612F3A" w14:textId="3D3AFC49" w:rsidR="00960783" w:rsidRPr="00F92624" w:rsidRDefault="00F92624" w:rsidP="00F92624">
                          <w:pPr>
                            <w:pStyle w:val="Brezrazmikov"/>
                            <w:spacing w:after="360"/>
                            <w:jc w:val="center"/>
                            <w:rPr>
                              <w:color w:val="4F81BD" w:themeColor="accent1"/>
                              <w:sz w:val="72"/>
                              <w:szCs w:val="72"/>
                              <w:lang w:val="en-GB"/>
                            </w:rPr>
                          </w:pPr>
                          <w:r>
                            <w:rPr>
                              <w:color w:val="4F81BD" w:themeColor="accent1"/>
                              <w:sz w:val="72"/>
                              <w:szCs w:val="72"/>
                              <w:lang w:val="en-GB"/>
                            </w:rPr>
                            <w:t>S</w:t>
                          </w:r>
                          <w:r w:rsidR="00254EBE" w:rsidRPr="00F92624">
                            <w:rPr>
                              <w:color w:val="4F81BD" w:themeColor="accent1"/>
                              <w:sz w:val="72"/>
                              <w:szCs w:val="72"/>
                              <w:lang w:val="en-GB"/>
                            </w:rPr>
                            <w:t>ustainable</w:t>
                          </w:r>
                          <w:r>
                            <w:rPr>
                              <w:color w:val="4F81BD" w:themeColor="accent1"/>
                              <w:sz w:val="72"/>
                              <w:szCs w:val="72"/>
                              <w:lang w:val="en-GB"/>
                            </w:rPr>
                            <w:t xml:space="preserve"> U</w:t>
                          </w:r>
                          <w:r w:rsidR="00254EBE" w:rsidRPr="00F92624">
                            <w:rPr>
                              <w:color w:val="4F81BD" w:themeColor="accent1"/>
                              <w:sz w:val="72"/>
                              <w:szCs w:val="72"/>
                              <w:lang w:val="en-GB"/>
                            </w:rPr>
                            <w:t>se of PPP</w:t>
                          </w:r>
                          <w:r w:rsidRPr="00F92624">
                            <w:rPr>
                              <w:color w:val="4F81BD" w:themeColor="accent1"/>
                              <w:sz w:val="72"/>
                              <w:szCs w:val="72"/>
                              <w:lang w:val="en-GB"/>
                            </w:rPr>
                            <w:t>s</w:t>
                          </w:r>
                        </w:p>
                        <w:sdt>
                          <w:sdtPr>
                            <w:rPr>
                              <w:color w:val="4F81BD" w:themeColor="accent1"/>
                              <w:sz w:val="72"/>
                              <w:szCs w:val="72"/>
                              <w:lang w:val="en-GB"/>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5D9F43" w14:textId="2307BB23" w:rsidR="00960783" w:rsidRPr="00F92624" w:rsidRDefault="00254EBE" w:rsidP="00F92624">
                              <w:pPr>
                                <w:pStyle w:val="Brezrazmikov"/>
                                <w:spacing w:before="360" w:after="360"/>
                                <w:jc w:val="center"/>
                                <w:rPr>
                                  <w:caps/>
                                  <w:color w:val="215868" w:themeColor="accent5" w:themeShade="80"/>
                                  <w:sz w:val="28"/>
                                  <w:szCs w:val="28"/>
                                  <w:lang w:val="en-GB"/>
                                </w:rPr>
                              </w:pPr>
                              <w:r w:rsidRPr="00F92624">
                                <w:rPr>
                                  <w:color w:val="4F81BD" w:themeColor="accent1"/>
                                  <w:sz w:val="72"/>
                                  <w:szCs w:val="72"/>
                                  <w:lang w:val="en-GB"/>
                                </w:rPr>
                                <w:t>Final report for period</w:t>
                              </w:r>
                              <w:r w:rsidR="00F92624">
                                <w:rPr>
                                  <w:color w:val="4F81BD" w:themeColor="accent1"/>
                                  <w:sz w:val="72"/>
                                  <w:szCs w:val="72"/>
                                  <w:lang w:val="en-GB"/>
                                </w:rPr>
                                <w:t xml:space="preserve">      </w:t>
                              </w:r>
                              <w:r w:rsidR="00B758E4" w:rsidRPr="00F92624">
                                <w:rPr>
                                  <w:color w:val="4F81BD" w:themeColor="accent1"/>
                                  <w:sz w:val="72"/>
                                  <w:szCs w:val="72"/>
                                  <w:lang w:val="en-GB"/>
                                </w:rPr>
                                <w:t>2018 – 2022</w:t>
                              </w:r>
                            </w:p>
                          </w:sdtContent>
                        </w:sdt>
                        <w:sdt>
                          <w:sdtPr>
                            <w:rPr>
                              <w:caps/>
                              <w:color w:val="4BACC6" w:themeColor="accent5"/>
                              <w:sz w:val="24"/>
                              <w:szCs w:val="24"/>
                              <w:lang w:val="en-GB"/>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9B382FD" w14:textId="557AE9DA" w:rsidR="00960783" w:rsidRPr="00F92624" w:rsidRDefault="00960783" w:rsidP="00F92624">
                              <w:pPr>
                                <w:pStyle w:val="Brezrazmikov"/>
                                <w:spacing w:before="360" w:after="40"/>
                                <w:jc w:val="center"/>
                                <w:rPr>
                                  <w:caps/>
                                  <w:color w:val="4BACC6" w:themeColor="accent5"/>
                                  <w:sz w:val="24"/>
                                  <w:szCs w:val="24"/>
                                  <w:lang w:val="en-GB"/>
                                </w:rPr>
                              </w:pPr>
                              <w:r w:rsidRPr="00F92624">
                                <w:rPr>
                                  <w:caps/>
                                  <w:color w:val="4BACC6" w:themeColor="accent5"/>
                                  <w:sz w:val="24"/>
                                  <w:szCs w:val="24"/>
                                  <w:lang w:val="en-GB"/>
                                </w:rPr>
                                <w:t>M</w:t>
                              </w:r>
                              <w:r w:rsidR="00F92624">
                                <w:rPr>
                                  <w:caps/>
                                  <w:color w:val="4BACC6" w:themeColor="accent5"/>
                                  <w:sz w:val="24"/>
                                  <w:szCs w:val="24"/>
                                  <w:lang w:val="en-GB"/>
                                </w:rPr>
                                <w:t>AFF</w:t>
                              </w:r>
                              <w:r w:rsidRPr="00F92624">
                                <w:rPr>
                                  <w:caps/>
                                  <w:color w:val="4BACC6" w:themeColor="accent5"/>
                                  <w:sz w:val="24"/>
                                  <w:szCs w:val="24"/>
                                  <w:lang w:val="en-GB"/>
                                </w:rPr>
                                <w:t>,</w:t>
                              </w:r>
                              <w:r w:rsidR="00F92624">
                                <w:rPr>
                                  <w:caps/>
                                  <w:color w:val="4BACC6" w:themeColor="accent5"/>
                                  <w:sz w:val="24"/>
                                  <w:szCs w:val="24"/>
                                  <w:lang w:val="en-GB"/>
                                </w:rPr>
                                <w:t xml:space="preserve"> AFSVSPP</w:t>
                              </w:r>
                            </w:p>
                          </w:sdtContent>
                        </w:sdt>
                      </w:txbxContent>
                    </v:textbox>
                    <w10:wrap type="square" anchorx="margin" anchory="page"/>
                  </v:shape>
                </w:pict>
              </mc:Fallback>
            </mc:AlternateContent>
          </w:r>
          <w:r w:rsidRPr="007F04EF">
            <w:rPr>
              <w:rFonts w:cs="Arial"/>
              <w:lang w:val="en-GB"/>
            </w:rPr>
            <w:br w:type="page"/>
          </w:r>
        </w:p>
      </w:sdtContent>
    </w:sdt>
    <w:sdt>
      <w:sdtPr>
        <w:rPr>
          <w:rFonts w:ascii="Calibri" w:eastAsia="Calibri" w:hAnsi="Calibri" w:cs="Times New Roman"/>
          <w:color w:val="auto"/>
          <w:sz w:val="22"/>
          <w:szCs w:val="22"/>
          <w:lang w:val="en-GB" w:eastAsia="en-US"/>
        </w:rPr>
        <w:id w:val="74169115"/>
        <w:docPartObj>
          <w:docPartGallery w:val="Table of Contents"/>
          <w:docPartUnique/>
        </w:docPartObj>
      </w:sdtPr>
      <w:sdtEndPr>
        <w:rPr>
          <w:rFonts w:ascii="Arial" w:hAnsi="Arial"/>
          <w:b/>
          <w:bCs/>
          <w:szCs w:val="20"/>
          <w:lang w:eastAsia="sl-SI"/>
        </w:rPr>
      </w:sdtEndPr>
      <w:sdtContent>
        <w:p w14:paraId="283A88D2" w14:textId="00E750CF" w:rsidR="0036307E" w:rsidRPr="007F04EF" w:rsidRDefault="008132C5">
          <w:pPr>
            <w:pStyle w:val="NaslovTOC"/>
            <w:rPr>
              <w:lang w:val="en-GB"/>
            </w:rPr>
          </w:pPr>
          <w:r w:rsidRPr="007F04EF">
            <w:rPr>
              <w:lang w:val="en-GB"/>
            </w:rPr>
            <w:t>Conten</w:t>
          </w:r>
          <w:r w:rsidR="00F92624" w:rsidRPr="007F04EF">
            <w:rPr>
              <w:lang w:val="en-GB"/>
            </w:rPr>
            <w:t>ts</w:t>
          </w:r>
        </w:p>
        <w:p w14:paraId="3C3AB608" w14:textId="55F54926" w:rsidR="00B76866" w:rsidRPr="007F04EF" w:rsidRDefault="0036307E">
          <w:pPr>
            <w:pStyle w:val="Kazalovsebine3"/>
            <w:rPr>
              <w:rFonts w:asciiTheme="minorHAnsi" w:eastAsiaTheme="minorEastAsia" w:hAnsiTheme="minorHAnsi" w:cstheme="minorBidi"/>
              <w:noProof/>
              <w:kern w:val="2"/>
              <w:szCs w:val="22"/>
              <w14:ligatures w14:val="standardContextual"/>
            </w:rPr>
          </w:pPr>
          <w:r w:rsidRPr="007F04EF">
            <w:rPr>
              <w:lang w:val="en-GB"/>
            </w:rPr>
            <w:fldChar w:fldCharType="begin"/>
          </w:r>
          <w:r w:rsidRPr="007F04EF">
            <w:rPr>
              <w:lang w:val="en-GB"/>
            </w:rPr>
            <w:instrText xml:space="preserve"> TOC \o "1-3" \h \z \u </w:instrText>
          </w:r>
          <w:r w:rsidRPr="007F04EF">
            <w:rPr>
              <w:lang w:val="en-GB"/>
            </w:rPr>
            <w:fldChar w:fldCharType="separate"/>
          </w:r>
          <w:hyperlink w:anchor="_Toc172027292" w:history="1">
            <w:r w:rsidR="00B76866" w:rsidRPr="007F04EF">
              <w:rPr>
                <w:rStyle w:val="Hiperpovezava"/>
                <w:noProof/>
                <w:lang w:val="en-GB"/>
              </w:rPr>
              <w:t>Introduction</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_Toc172027292 \h </w:instrText>
            </w:r>
            <w:r w:rsidR="00B76866" w:rsidRPr="007F04EF">
              <w:rPr>
                <w:noProof/>
                <w:webHidden/>
              </w:rPr>
            </w:r>
            <w:r w:rsidR="00B76866" w:rsidRPr="007F04EF">
              <w:rPr>
                <w:noProof/>
                <w:webHidden/>
              </w:rPr>
              <w:fldChar w:fldCharType="separate"/>
            </w:r>
            <w:r w:rsidR="00B76866" w:rsidRPr="007F04EF">
              <w:rPr>
                <w:noProof/>
                <w:webHidden/>
              </w:rPr>
              <w:t>3</w:t>
            </w:r>
            <w:r w:rsidR="00B76866" w:rsidRPr="007F04EF">
              <w:rPr>
                <w:noProof/>
                <w:webHidden/>
              </w:rPr>
              <w:fldChar w:fldCharType="end"/>
            </w:r>
          </w:hyperlink>
        </w:p>
        <w:p w14:paraId="33663683" w14:textId="40D2B08E"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293" w:history="1">
            <w:r w:rsidR="00B76866" w:rsidRPr="007F04EF">
              <w:rPr>
                <w:rStyle w:val="Hiperpovezava"/>
                <w:rFonts w:eastAsiaTheme="majorEastAsia"/>
                <w:noProof/>
                <w:lang w:val="en-GB"/>
              </w:rPr>
              <w:t>Targets in the NAP in the period 2018 – 2022</w:t>
            </w:r>
            <w:r w:rsidR="00B76866" w:rsidRPr="007F04EF">
              <w:rPr>
                <w:rStyle w:val="Hiperpovezava"/>
                <w:noProof/>
                <w:lang w:val="en-GB"/>
              </w:rPr>
              <w:t>:</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_Toc172027293 \h </w:instrText>
            </w:r>
            <w:r w:rsidR="00B76866" w:rsidRPr="007F04EF">
              <w:rPr>
                <w:noProof/>
                <w:webHidden/>
              </w:rPr>
            </w:r>
            <w:r w:rsidR="00B76866" w:rsidRPr="007F04EF">
              <w:rPr>
                <w:noProof/>
                <w:webHidden/>
              </w:rPr>
              <w:fldChar w:fldCharType="separate"/>
            </w:r>
            <w:r w:rsidR="00B76866" w:rsidRPr="007F04EF">
              <w:rPr>
                <w:noProof/>
                <w:webHidden/>
              </w:rPr>
              <w:t>3</w:t>
            </w:r>
            <w:r w:rsidR="00B76866" w:rsidRPr="007F04EF">
              <w:rPr>
                <w:noProof/>
                <w:webHidden/>
              </w:rPr>
              <w:fldChar w:fldCharType="end"/>
            </w:r>
          </w:hyperlink>
        </w:p>
        <w:p w14:paraId="7345FEC0" w14:textId="6ED2151B"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294" w:history="1">
            <w:r w:rsidR="00B76866" w:rsidRPr="007F04EF">
              <w:rPr>
                <w:rStyle w:val="Hiperpovezava"/>
                <w:noProof/>
                <w:lang w:val="en-GB"/>
              </w:rPr>
              <w:t>Placing on the market and use of PPPs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_Toc172027294 \h </w:instrText>
            </w:r>
            <w:r w:rsidR="00B76866" w:rsidRPr="007F04EF">
              <w:rPr>
                <w:noProof/>
                <w:webHidden/>
              </w:rPr>
            </w:r>
            <w:r w:rsidR="00B76866" w:rsidRPr="007F04EF">
              <w:rPr>
                <w:noProof/>
                <w:webHidden/>
              </w:rPr>
              <w:fldChar w:fldCharType="separate"/>
            </w:r>
            <w:r w:rsidR="00B76866" w:rsidRPr="007F04EF">
              <w:rPr>
                <w:noProof/>
                <w:webHidden/>
              </w:rPr>
              <w:t>4</w:t>
            </w:r>
            <w:r w:rsidR="00B76866" w:rsidRPr="007F04EF">
              <w:rPr>
                <w:noProof/>
                <w:webHidden/>
              </w:rPr>
              <w:fldChar w:fldCharType="end"/>
            </w:r>
          </w:hyperlink>
        </w:p>
        <w:p w14:paraId="5F4B10AC" w14:textId="15AD98A5"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295" w:history="1">
            <w:r w:rsidR="00B76866" w:rsidRPr="007F04EF">
              <w:rPr>
                <w:rStyle w:val="Hiperpovezava"/>
                <w:noProof/>
                <w:lang w:val="en-GB"/>
              </w:rPr>
              <w:t>Placing on the market PPPs containing active substances that are candidates for substitution</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_Toc172027295 \h </w:instrText>
            </w:r>
            <w:r w:rsidR="00B76866" w:rsidRPr="007F04EF">
              <w:rPr>
                <w:noProof/>
                <w:webHidden/>
              </w:rPr>
            </w:r>
            <w:r w:rsidR="00B76866" w:rsidRPr="007F04EF">
              <w:rPr>
                <w:noProof/>
                <w:webHidden/>
              </w:rPr>
              <w:fldChar w:fldCharType="separate"/>
            </w:r>
            <w:r w:rsidR="00B76866" w:rsidRPr="007F04EF">
              <w:rPr>
                <w:noProof/>
                <w:webHidden/>
              </w:rPr>
              <w:t>7</w:t>
            </w:r>
            <w:r w:rsidR="00B76866" w:rsidRPr="007F04EF">
              <w:rPr>
                <w:noProof/>
                <w:webHidden/>
              </w:rPr>
              <w:fldChar w:fldCharType="end"/>
            </w:r>
          </w:hyperlink>
        </w:p>
        <w:p w14:paraId="5DCB7950" w14:textId="3108CC3E"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296" w:history="1">
            <w:r w:rsidR="00B76866" w:rsidRPr="007F04EF">
              <w:rPr>
                <w:rStyle w:val="Hiperpovezava"/>
                <w:noProof/>
                <w:lang w:val="en-GB"/>
              </w:rPr>
              <w:t>Placing on the market of PPPs containing microorganisms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_Toc172027296 \h </w:instrText>
            </w:r>
            <w:r w:rsidR="00B76866" w:rsidRPr="007F04EF">
              <w:rPr>
                <w:noProof/>
                <w:webHidden/>
              </w:rPr>
            </w:r>
            <w:r w:rsidR="00B76866" w:rsidRPr="007F04EF">
              <w:rPr>
                <w:noProof/>
                <w:webHidden/>
              </w:rPr>
              <w:fldChar w:fldCharType="separate"/>
            </w:r>
            <w:r w:rsidR="00B76866" w:rsidRPr="007F04EF">
              <w:rPr>
                <w:noProof/>
                <w:webHidden/>
              </w:rPr>
              <w:t>8</w:t>
            </w:r>
            <w:r w:rsidR="00B76866" w:rsidRPr="007F04EF">
              <w:rPr>
                <w:noProof/>
                <w:webHidden/>
              </w:rPr>
              <w:fldChar w:fldCharType="end"/>
            </w:r>
          </w:hyperlink>
        </w:p>
        <w:p w14:paraId="61F9E24E" w14:textId="3F33268D"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297" w:history="1">
            <w:r w:rsidR="00B76866" w:rsidRPr="007F04EF">
              <w:rPr>
                <w:rStyle w:val="Hiperpovezava"/>
                <w:noProof/>
                <w:lang w:val="en-GB"/>
              </w:rPr>
              <w:t>Limiting the accessibility of PPPs for professional use to non-professional users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_Toc172027297 \h </w:instrText>
            </w:r>
            <w:r w:rsidR="00B76866" w:rsidRPr="007F04EF">
              <w:rPr>
                <w:noProof/>
                <w:webHidden/>
              </w:rPr>
            </w:r>
            <w:r w:rsidR="00B76866" w:rsidRPr="007F04EF">
              <w:rPr>
                <w:noProof/>
                <w:webHidden/>
              </w:rPr>
              <w:fldChar w:fldCharType="separate"/>
            </w:r>
            <w:r w:rsidR="00B76866" w:rsidRPr="007F04EF">
              <w:rPr>
                <w:noProof/>
                <w:webHidden/>
              </w:rPr>
              <w:t>9</w:t>
            </w:r>
            <w:r w:rsidR="00B76866" w:rsidRPr="007F04EF">
              <w:rPr>
                <w:noProof/>
                <w:webHidden/>
              </w:rPr>
              <w:fldChar w:fldCharType="end"/>
            </w:r>
          </w:hyperlink>
        </w:p>
        <w:p w14:paraId="4A6BA7EC" w14:textId="333043C0"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298" w:history="1">
            <w:r w:rsidR="00B76866" w:rsidRPr="007F04EF">
              <w:rPr>
                <w:rStyle w:val="Hiperpovezava"/>
                <w:noProof/>
                <w:lang w:val="en-GB"/>
              </w:rPr>
              <w:t>Estimated quantities of illegal PPPs on the market</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_Toc172027298 \h </w:instrText>
            </w:r>
            <w:r w:rsidR="00B76866" w:rsidRPr="007F04EF">
              <w:rPr>
                <w:noProof/>
                <w:webHidden/>
              </w:rPr>
            </w:r>
            <w:r w:rsidR="00B76866" w:rsidRPr="007F04EF">
              <w:rPr>
                <w:noProof/>
                <w:webHidden/>
              </w:rPr>
              <w:fldChar w:fldCharType="separate"/>
            </w:r>
            <w:r w:rsidR="00B76866" w:rsidRPr="007F04EF">
              <w:rPr>
                <w:noProof/>
                <w:webHidden/>
              </w:rPr>
              <w:t>9</w:t>
            </w:r>
            <w:r w:rsidR="00B76866" w:rsidRPr="007F04EF">
              <w:rPr>
                <w:noProof/>
                <w:webHidden/>
              </w:rPr>
              <w:fldChar w:fldCharType="end"/>
            </w:r>
          </w:hyperlink>
        </w:p>
        <w:p w14:paraId="1F15DD8E" w14:textId="3924B5F1"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299" w:history="1">
            <w:r w:rsidR="00B76866" w:rsidRPr="007F04EF">
              <w:rPr>
                <w:rStyle w:val="Hiperpovezava"/>
                <w:noProof/>
                <w:lang w:val="en-GB"/>
              </w:rPr>
              <w:t>Samples of agricultural produce and food with exceeded pesticide residues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_Toc172027299 \h </w:instrText>
            </w:r>
            <w:r w:rsidR="00B76866" w:rsidRPr="007F04EF">
              <w:rPr>
                <w:noProof/>
                <w:webHidden/>
              </w:rPr>
            </w:r>
            <w:r w:rsidR="00B76866" w:rsidRPr="007F04EF">
              <w:rPr>
                <w:noProof/>
                <w:webHidden/>
              </w:rPr>
              <w:fldChar w:fldCharType="separate"/>
            </w:r>
            <w:r w:rsidR="00B76866" w:rsidRPr="007F04EF">
              <w:rPr>
                <w:noProof/>
                <w:webHidden/>
              </w:rPr>
              <w:t>10</w:t>
            </w:r>
            <w:r w:rsidR="00B76866" w:rsidRPr="007F04EF">
              <w:rPr>
                <w:noProof/>
                <w:webHidden/>
              </w:rPr>
              <w:fldChar w:fldCharType="end"/>
            </w:r>
          </w:hyperlink>
        </w:p>
        <w:p w14:paraId="24E15BBE" w14:textId="778AC5B1"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0" w:history="1">
            <w:r w:rsidR="00B76866" w:rsidRPr="007F04EF">
              <w:rPr>
                <w:rStyle w:val="Hiperpovezava"/>
                <w:noProof/>
                <w:lang w:val="en-GB"/>
              </w:rPr>
              <w:t>Groundwater and drinking water sampling</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_Toc172027300 \h </w:instrText>
            </w:r>
            <w:r w:rsidR="00B76866" w:rsidRPr="007F04EF">
              <w:rPr>
                <w:noProof/>
                <w:webHidden/>
              </w:rPr>
            </w:r>
            <w:r w:rsidR="00B76866" w:rsidRPr="007F04EF">
              <w:rPr>
                <w:noProof/>
                <w:webHidden/>
              </w:rPr>
              <w:fldChar w:fldCharType="separate"/>
            </w:r>
            <w:r w:rsidR="00B76866" w:rsidRPr="007F04EF">
              <w:rPr>
                <w:noProof/>
                <w:webHidden/>
              </w:rPr>
              <w:t>10</w:t>
            </w:r>
            <w:r w:rsidR="00B76866" w:rsidRPr="007F04EF">
              <w:rPr>
                <w:noProof/>
                <w:webHidden/>
              </w:rPr>
              <w:fldChar w:fldCharType="end"/>
            </w:r>
          </w:hyperlink>
        </w:p>
        <w:p w14:paraId="7489429D" w14:textId="487EC8AB"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1" w:history="1">
            <w:r w:rsidR="00B76866" w:rsidRPr="007F04EF">
              <w:rPr>
                <w:rStyle w:val="Hiperpovezava"/>
                <w:noProof/>
                <w:lang w:val="en-GB"/>
              </w:rPr>
              <w:t>Aerial spraying of PPPs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_Toc172027301 \h </w:instrText>
            </w:r>
            <w:r w:rsidR="00B76866" w:rsidRPr="007F04EF">
              <w:rPr>
                <w:noProof/>
                <w:webHidden/>
              </w:rPr>
            </w:r>
            <w:r w:rsidR="00B76866" w:rsidRPr="007F04EF">
              <w:rPr>
                <w:noProof/>
                <w:webHidden/>
              </w:rPr>
              <w:fldChar w:fldCharType="separate"/>
            </w:r>
            <w:r w:rsidR="00B76866" w:rsidRPr="007F04EF">
              <w:rPr>
                <w:noProof/>
                <w:webHidden/>
              </w:rPr>
              <w:t>12</w:t>
            </w:r>
            <w:r w:rsidR="00B76866" w:rsidRPr="007F04EF">
              <w:rPr>
                <w:noProof/>
                <w:webHidden/>
              </w:rPr>
              <w:fldChar w:fldCharType="end"/>
            </w:r>
          </w:hyperlink>
        </w:p>
        <w:p w14:paraId="50CD82E3" w14:textId="45B3FC8F"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2" w:history="1">
            <w:r w:rsidR="00B76866" w:rsidRPr="007F04EF">
              <w:rPr>
                <w:rStyle w:val="Hiperpovezava"/>
                <w:noProof/>
                <w:lang w:val="en-GB"/>
              </w:rPr>
              <w:t>PPP-application equipment</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_Toc172027302 \h </w:instrText>
            </w:r>
            <w:r w:rsidR="00B76866" w:rsidRPr="007F04EF">
              <w:rPr>
                <w:noProof/>
                <w:webHidden/>
              </w:rPr>
            </w:r>
            <w:r w:rsidR="00B76866" w:rsidRPr="007F04EF">
              <w:rPr>
                <w:noProof/>
                <w:webHidden/>
              </w:rPr>
              <w:fldChar w:fldCharType="separate"/>
            </w:r>
            <w:r w:rsidR="00B76866" w:rsidRPr="007F04EF">
              <w:rPr>
                <w:noProof/>
                <w:webHidden/>
              </w:rPr>
              <w:t>12</w:t>
            </w:r>
            <w:r w:rsidR="00B76866" w:rsidRPr="007F04EF">
              <w:rPr>
                <w:noProof/>
                <w:webHidden/>
              </w:rPr>
              <w:fldChar w:fldCharType="end"/>
            </w:r>
          </w:hyperlink>
        </w:p>
        <w:p w14:paraId="7723100F" w14:textId="477142F9"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3" w:history="1">
            <w:r w:rsidR="00B76866" w:rsidRPr="007F04EF">
              <w:rPr>
                <w:rStyle w:val="Hiperpovezava"/>
                <w:noProof/>
                <w:lang w:val="en-GB"/>
              </w:rPr>
              <w:t>Training on plant protection products of the PPP-users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_Toc172027303 \h </w:instrText>
            </w:r>
            <w:r w:rsidR="00B76866" w:rsidRPr="007F04EF">
              <w:rPr>
                <w:noProof/>
                <w:webHidden/>
              </w:rPr>
            </w:r>
            <w:r w:rsidR="00B76866" w:rsidRPr="007F04EF">
              <w:rPr>
                <w:noProof/>
                <w:webHidden/>
              </w:rPr>
              <w:fldChar w:fldCharType="separate"/>
            </w:r>
            <w:r w:rsidR="00B76866" w:rsidRPr="007F04EF">
              <w:rPr>
                <w:noProof/>
                <w:webHidden/>
              </w:rPr>
              <w:t>13</w:t>
            </w:r>
            <w:r w:rsidR="00B76866" w:rsidRPr="007F04EF">
              <w:rPr>
                <w:noProof/>
                <w:webHidden/>
              </w:rPr>
              <w:fldChar w:fldCharType="end"/>
            </w:r>
          </w:hyperlink>
        </w:p>
        <w:p w14:paraId="172C083D" w14:textId="0F1747FF"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4" w:history="1">
            <w:r w:rsidR="00B76866" w:rsidRPr="007F04EF">
              <w:rPr>
                <w:rStyle w:val="Hiperpovezava"/>
                <w:noProof/>
                <w:lang w:val="en-GB"/>
              </w:rPr>
              <w:t>Integrated pest management (IPM)</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_Toc172027304 \h </w:instrText>
            </w:r>
            <w:r w:rsidR="00B76866" w:rsidRPr="007F04EF">
              <w:rPr>
                <w:noProof/>
                <w:webHidden/>
              </w:rPr>
            </w:r>
            <w:r w:rsidR="00B76866" w:rsidRPr="007F04EF">
              <w:rPr>
                <w:noProof/>
                <w:webHidden/>
              </w:rPr>
              <w:fldChar w:fldCharType="separate"/>
            </w:r>
            <w:r w:rsidR="00B76866" w:rsidRPr="007F04EF">
              <w:rPr>
                <w:noProof/>
                <w:webHidden/>
              </w:rPr>
              <w:t>15</w:t>
            </w:r>
            <w:r w:rsidR="00B76866" w:rsidRPr="007F04EF">
              <w:rPr>
                <w:noProof/>
                <w:webHidden/>
              </w:rPr>
              <w:fldChar w:fldCharType="end"/>
            </w:r>
          </w:hyperlink>
        </w:p>
        <w:p w14:paraId="0F44B825" w14:textId="6E1239DF"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5" w:history="1">
            <w:r w:rsidR="00B76866" w:rsidRPr="007F04EF">
              <w:rPr>
                <w:rStyle w:val="Hiperpovezava"/>
                <w:noProof/>
                <w:lang w:val="en-GB"/>
              </w:rPr>
              <w:t>Assessment of extent of use of non-chemical plant protection methods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_Toc172027305 \h </w:instrText>
            </w:r>
            <w:r w:rsidR="00B76866" w:rsidRPr="007F04EF">
              <w:rPr>
                <w:noProof/>
                <w:webHidden/>
              </w:rPr>
            </w:r>
            <w:r w:rsidR="00B76866" w:rsidRPr="007F04EF">
              <w:rPr>
                <w:noProof/>
                <w:webHidden/>
              </w:rPr>
              <w:fldChar w:fldCharType="separate"/>
            </w:r>
            <w:r w:rsidR="00B76866" w:rsidRPr="007F04EF">
              <w:rPr>
                <w:noProof/>
                <w:webHidden/>
              </w:rPr>
              <w:t>16</w:t>
            </w:r>
            <w:r w:rsidR="00B76866" w:rsidRPr="007F04EF">
              <w:rPr>
                <w:noProof/>
                <w:webHidden/>
              </w:rPr>
              <w:fldChar w:fldCharType="end"/>
            </w:r>
          </w:hyperlink>
        </w:p>
        <w:p w14:paraId="5A592ED1" w14:textId="07940ED5"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6" w:history="1">
            <w:r w:rsidR="00B76866" w:rsidRPr="007F04EF">
              <w:rPr>
                <w:rStyle w:val="Hiperpovezava"/>
                <w:noProof/>
                <w:lang w:val="en-GB"/>
              </w:rPr>
              <w:t>Public Agricultural Extension Service</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_Toc172027306 \h </w:instrText>
            </w:r>
            <w:r w:rsidR="00B76866" w:rsidRPr="007F04EF">
              <w:rPr>
                <w:noProof/>
                <w:webHidden/>
              </w:rPr>
            </w:r>
            <w:r w:rsidR="00B76866" w:rsidRPr="007F04EF">
              <w:rPr>
                <w:noProof/>
                <w:webHidden/>
              </w:rPr>
              <w:fldChar w:fldCharType="separate"/>
            </w:r>
            <w:r w:rsidR="00B76866" w:rsidRPr="007F04EF">
              <w:rPr>
                <w:noProof/>
                <w:webHidden/>
              </w:rPr>
              <w:t>16</w:t>
            </w:r>
            <w:r w:rsidR="00B76866" w:rsidRPr="007F04EF">
              <w:rPr>
                <w:noProof/>
                <w:webHidden/>
              </w:rPr>
              <w:fldChar w:fldCharType="end"/>
            </w:r>
          </w:hyperlink>
        </w:p>
        <w:p w14:paraId="2A65FDCA" w14:textId="1CA0D30D"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7" w:history="1">
            <w:r w:rsidR="00B76866" w:rsidRPr="007F04EF">
              <w:rPr>
                <w:rStyle w:val="Hiperpovezava"/>
                <w:noProof/>
                <w:lang w:val="en-GB"/>
              </w:rPr>
              <w:t>Public Plant Health Service</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_Toc172027307 \h </w:instrText>
            </w:r>
            <w:r w:rsidR="00B76866" w:rsidRPr="007F04EF">
              <w:rPr>
                <w:noProof/>
                <w:webHidden/>
              </w:rPr>
            </w:r>
            <w:r w:rsidR="00B76866" w:rsidRPr="007F04EF">
              <w:rPr>
                <w:noProof/>
                <w:webHidden/>
              </w:rPr>
              <w:fldChar w:fldCharType="separate"/>
            </w:r>
            <w:r w:rsidR="00B76866" w:rsidRPr="007F04EF">
              <w:rPr>
                <w:noProof/>
                <w:webHidden/>
              </w:rPr>
              <w:t>17</w:t>
            </w:r>
            <w:r w:rsidR="00B76866" w:rsidRPr="007F04EF">
              <w:rPr>
                <w:noProof/>
                <w:webHidden/>
              </w:rPr>
              <w:fldChar w:fldCharType="end"/>
            </w:r>
          </w:hyperlink>
        </w:p>
        <w:p w14:paraId="25C5FD82" w14:textId="68E8DFF9"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8" w:history="1">
            <w:r w:rsidR="00B76866" w:rsidRPr="007F04EF">
              <w:rPr>
                <w:rStyle w:val="Hiperpovezava"/>
                <w:noProof/>
                <w:lang w:val="en-GB"/>
              </w:rPr>
              <w:t>Official controls of PPPs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_Toc172027308 \h </w:instrText>
            </w:r>
            <w:r w:rsidR="00B76866" w:rsidRPr="007F04EF">
              <w:rPr>
                <w:noProof/>
                <w:webHidden/>
              </w:rPr>
            </w:r>
            <w:r w:rsidR="00B76866" w:rsidRPr="007F04EF">
              <w:rPr>
                <w:noProof/>
                <w:webHidden/>
              </w:rPr>
              <w:fldChar w:fldCharType="separate"/>
            </w:r>
            <w:r w:rsidR="00B76866" w:rsidRPr="007F04EF">
              <w:rPr>
                <w:noProof/>
                <w:webHidden/>
              </w:rPr>
              <w:t>17</w:t>
            </w:r>
            <w:r w:rsidR="00B76866" w:rsidRPr="007F04EF">
              <w:rPr>
                <w:noProof/>
                <w:webHidden/>
              </w:rPr>
              <w:fldChar w:fldCharType="end"/>
            </w:r>
          </w:hyperlink>
        </w:p>
        <w:p w14:paraId="379B36E0" w14:textId="34D3D7BE"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09" w:history="1">
            <w:r w:rsidR="00B76866" w:rsidRPr="007F04EF">
              <w:rPr>
                <w:rStyle w:val="Hiperpovezava"/>
                <w:noProof/>
                <w:lang w:val="en-GB"/>
              </w:rPr>
              <w:t>Organic farming</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_Toc172027309 \h </w:instrText>
            </w:r>
            <w:r w:rsidR="00B76866" w:rsidRPr="007F04EF">
              <w:rPr>
                <w:noProof/>
                <w:webHidden/>
              </w:rPr>
            </w:r>
            <w:r w:rsidR="00B76866" w:rsidRPr="007F04EF">
              <w:rPr>
                <w:noProof/>
                <w:webHidden/>
              </w:rPr>
              <w:fldChar w:fldCharType="separate"/>
            </w:r>
            <w:r w:rsidR="00B76866" w:rsidRPr="007F04EF">
              <w:rPr>
                <w:noProof/>
                <w:webHidden/>
              </w:rPr>
              <w:t>18</w:t>
            </w:r>
            <w:r w:rsidR="00B76866" w:rsidRPr="007F04EF">
              <w:rPr>
                <w:noProof/>
                <w:webHidden/>
              </w:rPr>
              <w:fldChar w:fldCharType="end"/>
            </w:r>
          </w:hyperlink>
        </w:p>
        <w:p w14:paraId="5894F043" w14:textId="7AB86248"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10" w:history="1">
            <w:r w:rsidR="00B76866" w:rsidRPr="007F04EF">
              <w:rPr>
                <w:rStyle w:val="Hiperpovezava"/>
                <w:noProof/>
                <w:lang w:val="en-GB"/>
              </w:rPr>
              <w:t>Estimation of results of all calculated risk indicators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_Toc172027310 \h </w:instrText>
            </w:r>
            <w:r w:rsidR="00B76866" w:rsidRPr="007F04EF">
              <w:rPr>
                <w:noProof/>
                <w:webHidden/>
              </w:rPr>
            </w:r>
            <w:r w:rsidR="00B76866" w:rsidRPr="007F04EF">
              <w:rPr>
                <w:noProof/>
                <w:webHidden/>
              </w:rPr>
              <w:fldChar w:fldCharType="separate"/>
            </w:r>
            <w:r w:rsidR="00B76866" w:rsidRPr="007F04EF">
              <w:rPr>
                <w:noProof/>
                <w:webHidden/>
              </w:rPr>
              <w:t>19</w:t>
            </w:r>
            <w:r w:rsidR="00B76866" w:rsidRPr="007F04EF">
              <w:rPr>
                <w:noProof/>
                <w:webHidden/>
              </w:rPr>
              <w:fldChar w:fldCharType="end"/>
            </w:r>
          </w:hyperlink>
        </w:p>
        <w:p w14:paraId="64D21FB7" w14:textId="0D771962" w:rsidR="00B76866" w:rsidRPr="007F04EF" w:rsidRDefault="00C46EFB">
          <w:pPr>
            <w:pStyle w:val="Kazalovsebine3"/>
            <w:rPr>
              <w:rFonts w:asciiTheme="minorHAnsi" w:eastAsiaTheme="minorEastAsia" w:hAnsiTheme="minorHAnsi" w:cstheme="minorBidi"/>
              <w:noProof/>
              <w:kern w:val="2"/>
              <w:szCs w:val="22"/>
              <w14:ligatures w14:val="standardContextual"/>
            </w:rPr>
          </w:pPr>
          <w:hyperlink w:anchor="_Toc172027311" w:history="1">
            <w:r w:rsidR="00B76866" w:rsidRPr="007F04EF">
              <w:rPr>
                <w:rStyle w:val="Hiperpovezava"/>
                <w:noProof/>
                <w:lang w:val="en-GB"/>
              </w:rPr>
              <w:t>Trends and progress in achieving indirect goals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_Toc172027311 \h </w:instrText>
            </w:r>
            <w:r w:rsidR="00B76866" w:rsidRPr="007F04EF">
              <w:rPr>
                <w:noProof/>
                <w:webHidden/>
              </w:rPr>
            </w:r>
            <w:r w:rsidR="00B76866" w:rsidRPr="007F04EF">
              <w:rPr>
                <w:noProof/>
                <w:webHidden/>
              </w:rPr>
              <w:fldChar w:fldCharType="separate"/>
            </w:r>
            <w:r w:rsidR="00B76866" w:rsidRPr="007F04EF">
              <w:rPr>
                <w:noProof/>
                <w:webHidden/>
              </w:rPr>
              <w:t>19</w:t>
            </w:r>
            <w:r w:rsidR="00B76866" w:rsidRPr="007F04EF">
              <w:rPr>
                <w:noProof/>
                <w:webHidden/>
              </w:rPr>
              <w:fldChar w:fldCharType="end"/>
            </w:r>
          </w:hyperlink>
        </w:p>
        <w:p w14:paraId="01F7E1CF" w14:textId="6C17A677" w:rsidR="0036307E" w:rsidRPr="007F04EF" w:rsidRDefault="0036307E" w:rsidP="00CD5A14">
          <w:pPr>
            <w:rPr>
              <w:lang w:val="en-GB"/>
            </w:rPr>
          </w:pPr>
          <w:r w:rsidRPr="007F04EF">
            <w:rPr>
              <w:b/>
              <w:bCs/>
              <w:lang w:val="en-GB"/>
            </w:rPr>
            <w:fldChar w:fldCharType="end"/>
          </w:r>
        </w:p>
      </w:sdtContent>
    </w:sdt>
    <w:p w14:paraId="1BEDAF26" w14:textId="69717267" w:rsidR="003F53BA" w:rsidRPr="007F04EF" w:rsidRDefault="00F92624" w:rsidP="00F92624">
      <w:pPr>
        <w:spacing w:beforeLines="60" w:before="144" w:afterLines="60" w:after="144"/>
        <w:ind w:left="709" w:hanging="709"/>
        <w:rPr>
          <w:rFonts w:cs="Arial"/>
          <w:sz w:val="20"/>
          <w:lang w:val="en-GB"/>
        </w:rPr>
      </w:pPr>
      <w:r w:rsidRPr="007F04EF">
        <w:rPr>
          <w:rFonts w:asciiTheme="majorHAnsi" w:eastAsiaTheme="majorEastAsia" w:hAnsiTheme="majorHAnsi" w:cstheme="majorBidi"/>
          <w:color w:val="365F91" w:themeColor="accent1" w:themeShade="BF"/>
          <w:sz w:val="32"/>
          <w:szCs w:val="32"/>
          <w:lang w:val="en-GB"/>
        </w:rPr>
        <w:t>T</w:t>
      </w:r>
      <w:r w:rsidR="009C5180" w:rsidRPr="007F04EF">
        <w:rPr>
          <w:rFonts w:asciiTheme="majorHAnsi" w:eastAsiaTheme="majorEastAsia" w:hAnsiTheme="majorHAnsi" w:cstheme="majorBidi"/>
          <w:color w:val="365F91" w:themeColor="accent1" w:themeShade="BF"/>
          <w:sz w:val="32"/>
          <w:szCs w:val="32"/>
          <w:lang w:val="en-GB"/>
        </w:rPr>
        <w:t>ables</w:t>
      </w:r>
    </w:p>
    <w:p w14:paraId="31487337" w14:textId="4764AB3A" w:rsidR="009C5180" w:rsidRPr="007F04EF" w:rsidRDefault="00624A1C" w:rsidP="00B76866">
      <w:pPr>
        <w:pStyle w:val="Kazaloslik"/>
        <w:ind w:left="851" w:hanging="851"/>
        <w:rPr>
          <w:rFonts w:eastAsiaTheme="minorEastAsia" w:cstheme="minorBidi"/>
          <w:sz w:val="22"/>
          <w:szCs w:val="22"/>
          <w:lang w:val="en-GB"/>
        </w:rPr>
      </w:pPr>
      <w:r w:rsidRPr="007F04EF">
        <w:rPr>
          <w:rFonts w:ascii="Arial" w:hAnsi="Arial"/>
          <w:sz w:val="22"/>
          <w:szCs w:val="22"/>
          <w:lang w:val="en-GB"/>
        </w:rPr>
        <w:fldChar w:fldCharType="begin"/>
      </w:r>
      <w:r w:rsidRPr="007F04EF">
        <w:rPr>
          <w:rFonts w:ascii="Arial" w:hAnsi="Arial"/>
          <w:sz w:val="22"/>
          <w:szCs w:val="22"/>
          <w:lang w:val="en-GB"/>
        </w:rPr>
        <w:instrText xml:space="preserve"> TOC \h \z \c "Preglednica" </w:instrText>
      </w:r>
      <w:r w:rsidRPr="007F04EF">
        <w:rPr>
          <w:rFonts w:ascii="Arial" w:hAnsi="Arial"/>
          <w:sz w:val="22"/>
          <w:szCs w:val="22"/>
          <w:lang w:val="en-GB"/>
        </w:rPr>
        <w:fldChar w:fldCharType="separate"/>
      </w:r>
      <w:hyperlink w:anchor="_Toc161657863" w:history="1">
        <w:r w:rsidR="009C5180" w:rsidRPr="007F04EF">
          <w:rPr>
            <w:rStyle w:val="Hiperpovezava"/>
            <w:lang w:val="en-GB"/>
          </w:rPr>
          <w:t>Table 1:</w:t>
        </w:r>
        <w:r w:rsidR="00B76866" w:rsidRPr="007F04EF">
          <w:rPr>
            <w:rStyle w:val="Hiperpovezava"/>
            <w:lang w:val="en-GB"/>
          </w:rPr>
          <w:tab/>
        </w:r>
        <w:r w:rsidR="009C5180" w:rsidRPr="007F04EF">
          <w:rPr>
            <w:rStyle w:val="Hiperpovezava"/>
            <w:lang w:val="en-GB"/>
          </w:rPr>
          <w:t>Risk indicator 1 movement</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_Toc161657863 \h </w:instrText>
        </w:r>
        <w:r w:rsidR="009C5180" w:rsidRPr="007F04EF">
          <w:rPr>
            <w:webHidden/>
            <w:lang w:val="en-GB"/>
          </w:rPr>
        </w:r>
        <w:r w:rsidR="009C5180" w:rsidRPr="007F04EF">
          <w:rPr>
            <w:webHidden/>
            <w:lang w:val="en-GB"/>
          </w:rPr>
          <w:fldChar w:fldCharType="separate"/>
        </w:r>
        <w:r w:rsidR="009C5180" w:rsidRPr="007F04EF">
          <w:rPr>
            <w:webHidden/>
            <w:lang w:val="en-GB"/>
          </w:rPr>
          <w:t>5</w:t>
        </w:r>
        <w:r w:rsidR="009C5180" w:rsidRPr="007F04EF">
          <w:rPr>
            <w:webHidden/>
            <w:lang w:val="en-GB"/>
          </w:rPr>
          <w:fldChar w:fldCharType="end"/>
        </w:r>
      </w:hyperlink>
    </w:p>
    <w:p w14:paraId="4378CD23" w14:textId="1C350562" w:rsidR="009C5180" w:rsidRPr="007F04EF" w:rsidRDefault="00C46EFB" w:rsidP="00B76866">
      <w:pPr>
        <w:pStyle w:val="Kazaloslik"/>
        <w:ind w:left="851" w:hanging="851"/>
        <w:rPr>
          <w:rFonts w:eastAsiaTheme="minorEastAsia" w:cstheme="minorBidi"/>
          <w:sz w:val="22"/>
          <w:szCs w:val="22"/>
          <w:lang w:val="en-GB"/>
        </w:rPr>
      </w:pPr>
      <w:hyperlink w:anchor="_Toc161657864" w:history="1">
        <w:r w:rsidR="009C5180" w:rsidRPr="007F04EF">
          <w:rPr>
            <w:rStyle w:val="Hiperpovezava"/>
            <w:lang w:val="en-GB"/>
          </w:rPr>
          <w:t>Table 2:</w:t>
        </w:r>
        <w:r w:rsidR="00B76866" w:rsidRPr="007F04EF">
          <w:rPr>
            <w:rStyle w:val="Hiperpovezava"/>
            <w:lang w:val="en-GB"/>
          </w:rPr>
          <w:tab/>
        </w:r>
        <w:r w:rsidR="009C5180" w:rsidRPr="007F04EF">
          <w:rPr>
            <w:rStyle w:val="Hiperpovezava"/>
            <w:lang w:val="en-GB"/>
          </w:rPr>
          <w:t>Risk indicator 2 movement</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_Toc161657864 \h </w:instrText>
        </w:r>
        <w:r w:rsidR="009C5180" w:rsidRPr="007F04EF">
          <w:rPr>
            <w:webHidden/>
            <w:lang w:val="en-GB"/>
          </w:rPr>
        </w:r>
        <w:r w:rsidR="009C5180" w:rsidRPr="007F04EF">
          <w:rPr>
            <w:webHidden/>
            <w:lang w:val="en-GB"/>
          </w:rPr>
          <w:fldChar w:fldCharType="separate"/>
        </w:r>
        <w:r w:rsidR="009C5180" w:rsidRPr="007F04EF">
          <w:rPr>
            <w:webHidden/>
            <w:lang w:val="en-GB"/>
          </w:rPr>
          <w:t>7</w:t>
        </w:r>
        <w:r w:rsidR="009C5180" w:rsidRPr="007F04EF">
          <w:rPr>
            <w:webHidden/>
            <w:lang w:val="en-GB"/>
          </w:rPr>
          <w:fldChar w:fldCharType="end"/>
        </w:r>
      </w:hyperlink>
    </w:p>
    <w:p w14:paraId="0C628E7C" w14:textId="0E9000B1" w:rsidR="009C5180" w:rsidRPr="007F04EF" w:rsidRDefault="00C46EFB" w:rsidP="00B76866">
      <w:pPr>
        <w:pStyle w:val="Kazaloslik"/>
        <w:ind w:left="851" w:hanging="851"/>
        <w:rPr>
          <w:rFonts w:eastAsiaTheme="minorEastAsia" w:cstheme="minorBidi"/>
          <w:sz w:val="22"/>
          <w:szCs w:val="22"/>
          <w:lang w:val="en-GB"/>
        </w:rPr>
      </w:pPr>
      <w:hyperlink w:anchor="_Toc161657865" w:history="1">
        <w:r w:rsidR="009C5180" w:rsidRPr="007F04EF">
          <w:rPr>
            <w:rStyle w:val="Hiperpovezava"/>
            <w:lang w:val="en-GB"/>
          </w:rPr>
          <w:t>Table 3:</w:t>
        </w:r>
        <w:r w:rsidR="00B76866" w:rsidRPr="007F04EF">
          <w:rPr>
            <w:rStyle w:val="Hiperpovezava"/>
            <w:lang w:val="en-GB"/>
          </w:rPr>
          <w:tab/>
        </w:r>
        <w:r w:rsidR="009C5180" w:rsidRPr="007F04EF">
          <w:rPr>
            <w:rStyle w:val="Hiperpovezava"/>
            <w:lang w:val="en-GB"/>
          </w:rPr>
          <w:t>Placing on the market active substances – candidates for substitution in kg.</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_Toc161657865 \h </w:instrText>
        </w:r>
        <w:r w:rsidR="009C5180" w:rsidRPr="007F04EF">
          <w:rPr>
            <w:webHidden/>
            <w:lang w:val="en-GB"/>
          </w:rPr>
        </w:r>
        <w:r w:rsidR="009C5180" w:rsidRPr="007F04EF">
          <w:rPr>
            <w:webHidden/>
            <w:lang w:val="en-GB"/>
          </w:rPr>
          <w:fldChar w:fldCharType="separate"/>
        </w:r>
        <w:r w:rsidR="009C5180" w:rsidRPr="007F04EF">
          <w:rPr>
            <w:webHidden/>
            <w:lang w:val="en-GB"/>
          </w:rPr>
          <w:t>8</w:t>
        </w:r>
        <w:r w:rsidR="009C5180" w:rsidRPr="007F04EF">
          <w:rPr>
            <w:webHidden/>
            <w:lang w:val="en-GB"/>
          </w:rPr>
          <w:fldChar w:fldCharType="end"/>
        </w:r>
      </w:hyperlink>
    </w:p>
    <w:p w14:paraId="3C00EB90" w14:textId="0D5471E9" w:rsidR="009C5180" w:rsidRPr="007F04EF" w:rsidRDefault="00C46EFB" w:rsidP="00B76866">
      <w:pPr>
        <w:pStyle w:val="Kazaloslik"/>
        <w:ind w:left="851" w:hanging="851"/>
        <w:rPr>
          <w:rFonts w:eastAsiaTheme="minorEastAsia" w:cstheme="minorBidi"/>
          <w:sz w:val="22"/>
          <w:szCs w:val="22"/>
          <w:lang w:val="en-GB"/>
        </w:rPr>
      </w:pPr>
      <w:hyperlink w:anchor="_Toc161657866" w:history="1">
        <w:r w:rsidR="009C5180" w:rsidRPr="007F04EF">
          <w:rPr>
            <w:rStyle w:val="Hiperpovezava"/>
            <w:lang w:val="en-GB"/>
          </w:rPr>
          <w:t>Table 4:</w:t>
        </w:r>
        <w:r w:rsidR="00B76866" w:rsidRPr="007F04EF">
          <w:rPr>
            <w:rStyle w:val="Hiperpovezava"/>
            <w:lang w:val="en-GB"/>
          </w:rPr>
          <w:tab/>
        </w:r>
        <w:r w:rsidR="009C5180" w:rsidRPr="007F04EF">
          <w:rPr>
            <w:rStyle w:val="Hiperpovezava"/>
            <w:lang w:val="en-GB"/>
          </w:rPr>
          <w:t>Placing on the market PPPs containing MO</w:t>
        </w:r>
        <w:r w:rsidR="00872F4A" w:rsidRPr="007F04EF">
          <w:rPr>
            <w:rStyle w:val="Hiperpovezava"/>
            <w:lang w:val="en-GB"/>
          </w:rPr>
          <w:t>s</w:t>
        </w:r>
        <w:r w:rsidR="009C5180" w:rsidRPr="007F04EF">
          <w:rPr>
            <w:rStyle w:val="Hiperpovezava"/>
            <w:lang w:val="en-GB"/>
          </w:rPr>
          <w:t xml:space="preserve"> in kg of AS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_Toc161657866 \h </w:instrText>
        </w:r>
        <w:r w:rsidR="009C5180" w:rsidRPr="007F04EF">
          <w:rPr>
            <w:webHidden/>
            <w:lang w:val="en-GB"/>
          </w:rPr>
        </w:r>
        <w:r w:rsidR="009C5180" w:rsidRPr="007F04EF">
          <w:rPr>
            <w:webHidden/>
            <w:lang w:val="en-GB"/>
          </w:rPr>
          <w:fldChar w:fldCharType="separate"/>
        </w:r>
        <w:r w:rsidR="009C5180" w:rsidRPr="007F04EF">
          <w:rPr>
            <w:webHidden/>
            <w:lang w:val="en-GB"/>
          </w:rPr>
          <w:t>9</w:t>
        </w:r>
        <w:r w:rsidR="009C5180" w:rsidRPr="007F04EF">
          <w:rPr>
            <w:webHidden/>
            <w:lang w:val="en-GB"/>
          </w:rPr>
          <w:fldChar w:fldCharType="end"/>
        </w:r>
      </w:hyperlink>
    </w:p>
    <w:p w14:paraId="0A59B5DA" w14:textId="2DB071B9" w:rsidR="009C5180" w:rsidRPr="007F04EF" w:rsidRDefault="00C46EFB" w:rsidP="00B76866">
      <w:pPr>
        <w:pStyle w:val="Kazaloslik"/>
        <w:ind w:left="851" w:hanging="851"/>
        <w:rPr>
          <w:rFonts w:eastAsiaTheme="minorEastAsia" w:cstheme="minorBidi"/>
          <w:sz w:val="22"/>
          <w:szCs w:val="22"/>
          <w:lang w:val="en-GB"/>
        </w:rPr>
      </w:pPr>
      <w:hyperlink w:anchor="_Toc161657867" w:history="1">
        <w:r w:rsidR="009C5180" w:rsidRPr="007F04EF">
          <w:rPr>
            <w:rStyle w:val="Hiperpovezava"/>
            <w:lang w:val="en-GB"/>
          </w:rPr>
          <w:t>Table 5:</w:t>
        </w:r>
        <w:r w:rsidR="00B76866" w:rsidRPr="007F04EF">
          <w:rPr>
            <w:rStyle w:val="Hiperpovezava"/>
            <w:lang w:val="en-GB"/>
          </w:rPr>
          <w:tab/>
        </w:r>
        <w:r w:rsidR="009C5180" w:rsidRPr="007F04EF">
          <w:rPr>
            <w:rStyle w:val="Hiperpovezava"/>
            <w:lang w:val="en-GB"/>
          </w:rPr>
          <w:t>Number of samples in the national program</w:t>
        </w:r>
        <w:r w:rsidR="008D2F3C" w:rsidRPr="007F04EF">
          <w:rPr>
            <w:rStyle w:val="Hiperpovezava"/>
            <w:lang w:val="en-GB"/>
          </w:rPr>
          <w:t xml:space="preserve"> </w:t>
        </w:r>
        <w:r w:rsidR="009C5180" w:rsidRPr="007F04EF">
          <w:rPr>
            <w:rStyle w:val="Hiperpovezava"/>
            <w:lang w:val="en-GB"/>
          </w:rPr>
          <w:t>and percentages of non-compliant samples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_Toc161657867 \h </w:instrText>
        </w:r>
        <w:r w:rsidR="009C5180" w:rsidRPr="007F04EF">
          <w:rPr>
            <w:webHidden/>
            <w:lang w:val="en-GB"/>
          </w:rPr>
        </w:r>
        <w:r w:rsidR="009C5180" w:rsidRPr="007F04EF">
          <w:rPr>
            <w:webHidden/>
            <w:lang w:val="en-GB"/>
          </w:rPr>
          <w:fldChar w:fldCharType="separate"/>
        </w:r>
        <w:r w:rsidR="009C5180" w:rsidRPr="007F04EF">
          <w:rPr>
            <w:webHidden/>
            <w:lang w:val="en-GB"/>
          </w:rPr>
          <w:t>10</w:t>
        </w:r>
        <w:r w:rsidR="009C5180" w:rsidRPr="007F04EF">
          <w:rPr>
            <w:webHidden/>
            <w:lang w:val="en-GB"/>
          </w:rPr>
          <w:fldChar w:fldCharType="end"/>
        </w:r>
      </w:hyperlink>
    </w:p>
    <w:p w14:paraId="2EA22B10" w14:textId="701543B8" w:rsidR="009C5180" w:rsidRPr="007F04EF" w:rsidRDefault="00C46EFB" w:rsidP="00B76866">
      <w:pPr>
        <w:pStyle w:val="Kazaloslik"/>
        <w:ind w:left="851" w:hanging="851"/>
        <w:rPr>
          <w:rFonts w:eastAsiaTheme="minorEastAsia" w:cstheme="minorBidi"/>
          <w:sz w:val="22"/>
          <w:szCs w:val="22"/>
          <w:lang w:val="en-GB"/>
        </w:rPr>
      </w:pPr>
      <w:hyperlink w:anchor="_Toc161657868" w:history="1">
        <w:r w:rsidR="009C5180" w:rsidRPr="007F04EF">
          <w:rPr>
            <w:rStyle w:val="Hiperpovezava"/>
            <w:lang w:val="en-GB"/>
          </w:rPr>
          <w:t>Table 6:</w:t>
        </w:r>
        <w:r w:rsidR="00B76866" w:rsidRPr="007F04EF">
          <w:rPr>
            <w:rStyle w:val="Hiperpovezava"/>
            <w:lang w:val="en-GB"/>
          </w:rPr>
          <w:tab/>
        </w:r>
        <w:r w:rsidR="008D2F3C" w:rsidRPr="007F04EF">
          <w:rPr>
            <w:rStyle w:val="Hiperpovezava"/>
            <w:lang w:val="en-GB"/>
          </w:rPr>
          <w:t>N</w:t>
        </w:r>
        <w:r w:rsidR="009C5180" w:rsidRPr="007F04EF">
          <w:rPr>
            <w:rStyle w:val="Hiperpovezava"/>
            <w:lang w:val="en-GB"/>
          </w:rPr>
          <w:t xml:space="preserve">umber and proportion of </w:t>
        </w:r>
        <w:r w:rsidR="008D2F3C" w:rsidRPr="007F04EF">
          <w:rPr>
            <w:rStyle w:val="Hiperpovezava"/>
            <w:lang w:val="en-GB"/>
          </w:rPr>
          <w:t xml:space="preserve">water </w:t>
        </w:r>
        <w:r w:rsidR="009C5180" w:rsidRPr="007F04EF">
          <w:rPr>
            <w:rStyle w:val="Hiperpovezava"/>
            <w:lang w:val="en-GB"/>
          </w:rPr>
          <w:t>supply areas</w:t>
        </w:r>
        <w:r w:rsidR="008D2F3C" w:rsidRPr="007F04EF">
          <w:rPr>
            <w:rStyle w:val="Hiperpovezava"/>
            <w:lang w:val="en-GB"/>
          </w:rPr>
          <w:t xml:space="preserve"> tested </w:t>
        </w:r>
        <w:r w:rsidR="009C5180" w:rsidRPr="007F04EF">
          <w:rPr>
            <w:rStyle w:val="Hiperpovezava"/>
            <w:lang w:val="en-GB"/>
          </w:rPr>
          <w:t>for pesticide</w:t>
        </w:r>
        <w:r w:rsidR="008D2F3C" w:rsidRPr="007F04EF">
          <w:rPr>
            <w:rStyle w:val="Hiperpovezava"/>
            <w:lang w:val="en-GB"/>
          </w:rPr>
          <w:t xml:space="preserve">s </w:t>
        </w:r>
        <w:r w:rsidR="009C5180" w:rsidRPr="007F04EF">
          <w:rPr>
            <w:rStyle w:val="Hiperpovezava"/>
            <w:lang w:val="en-GB"/>
          </w:rPr>
          <w:t xml:space="preserve">in relation to </w:t>
        </w:r>
        <w:r w:rsidR="008D2F3C" w:rsidRPr="007F04EF">
          <w:rPr>
            <w:rStyle w:val="Hiperpovezava"/>
            <w:lang w:val="en-GB"/>
          </w:rPr>
          <w:t>all water s</w:t>
        </w:r>
        <w:r w:rsidR="009C5180" w:rsidRPr="007F04EF">
          <w:rPr>
            <w:rStyle w:val="Hiperpovezava"/>
            <w:lang w:val="en-GB"/>
          </w:rPr>
          <w:t>upply areas (Source: mpv.si)</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_Toc161657868 \h </w:instrText>
        </w:r>
        <w:r w:rsidR="009C5180" w:rsidRPr="007F04EF">
          <w:rPr>
            <w:webHidden/>
            <w:lang w:val="en-GB"/>
          </w:rPr>
        </w:r>
        <w:r w:rsidR="009C5180" w:rsidRPr="007F04EF">
          <w:rPr>
            <w:webHidden/>
            <w:lang w:val="en-GB"/>
          </w:rPr>
          <w:fldChar w:fldCharType="separate"/>
        </w:r>
        <w:r w:rsidR="009C5180" w:rsidRPr="007F04EF">
          <w:rPr>
            <w:webHidden/>
            <w:lang w:val="en-GB"/>
          </w:rPr>
          <w:t>11</w:t>
        </w:r>
        <w:r w:rsidR="009C5180" w:rsidRPr="007F04EF">
          <w:rPr>
            <w:webHidden/>
            <w:lang w:val="en-GB"/>
          </w:rPr>
          <w:fldChar w:fldCharType="end"/>
        </w:r>
      </w:hyperlink>
    </w:p>
    <w:p w14:paraId="1E5AC780" w14:textId="2D22F2FD" w:rsidR="009C5180" w:rsidRPr="007F04EF" w:rsidRDefault="00C46EFB" w:rsidP="00B76866">
      <w:pPr>
        <w:pStyle w:val="Kazaloslik"/>
        <w:ind w:left="851" w:hanging="851"/>
        <w:rPr>
          <w:rFonts w:eastAsiaTheme="minorEastAsia" w:cstheme="minorBidi"/>
          <w:sz w:val="22"/>
          <w:szCs w:val="22"/>
          <w:lang w:val="en-GB"/>
        </w:rPr>
      </w:pPr>
      <w:hyperlink w:anchor="_Toc161657869" w:history="1">
        <w:r w:rsidR="009C5180" w:rsidRPr="007F04EF">
          <w:rPr>
            <w:rStyle w:val="Hiperpovezava"/>
            <w:lang w:val="en-GB"/>
          </w:rPr>
          <w:t>Table 7:</w:t>
        </w:r>
        <w:r w:rsidR="00B76866" w:rsidRPr="007F04EF">
          <w:rPr>
            <w:rStyle w:val="Hiperpovezava"/>
            <w:lang w:val="en-GB"/>
          </w:rPr>
          <w:tab/>
        </w:r>
        <w:r w:rsidR="00781C6C" w:rsidRPr="007F04EF">
          <w:rPr>
            <w:rStyle w:val="Hiperpovezava"/>
            <w:lang w:val="en-GB"/>
          </w:rPr>
          <w:t>N</w:t>
        </w:r>
        <w:r w:rsidR="009C5180" w:rsidRPr="007F04EF">
          <w:rPr>
            <w:rStyle w:val="Hiperpovezava"/>
            <w:lang w:val="en-GB"/>
          </w:rPr>
          <w:t>umber of</w:t>
        </w:r>
        <w:r w:rsidR="00781C6C" w:rsidRPr="007F04EF">
          <w:rPr>
            <w:rStyle w:val="Hiperpovezava"/>
            <w:lang w:val="en-GB"/>
          </w:rPr>
          <w:t xml:space="preserve"> water </w:t>
        </w:r>
        <w:r w:rsidR="009C5180" w:rsidRPr="007F04EF">
          <w:rPr>
            <w:rStyle w:val="Hiperpovezava"/>
            <w:lang w:val="en-GB"/>
          </w:rPr>
          <w:t>supply areas with exceeded value</w:t>
        </w:r>
        <w:r w:rsidR="00781C6C" w:rsidRPr="007F04EF">
          <w:rPr>
            <w:rStyle w:val="Hiperpovezava"/>
            <w:lang w:val="en-GB"/>
          </w:rPr>
          <w:t xml:space="preserve"> o</w:t>
        </w:r>
        <w:r w:rsidR="009C5180" w:rsidRPr="007F04EF">
          <w:rPr>
            <w:rStyle w:val="Hiperpovezava"/>
            <w:lang w:val="en-GB"/>
          </w:rPr>
          <w:t>f</w:t>
        </w:r>
        <w:r w:rsidR="00781C6C" w:rsidRPr="007F04EF">
          <w:rPr>
            <w:rStyle w:val="Hiperpovezava"/>
            <w:lang w:val="en-GB"/>
          </w:rPr>
          <w:t xml:space="preserve"> an </w:t>
        </w:r>
        <w:r w:rsidR="009C5180" w:rsidRPr="007F04EF">
          <w:rPr>
            <w:rStyle w:val="Hiperpovezava"/>
            <w:lang w:val="en-GB"/>
          </w:rPr>
          <w:t>individual active substance</w:t>
        </w:r>
        <w:r w:rsidR="00781C6C" w:rsidRPr="007F04EF">
          <w:rPr>
            <w:rStyle w:val="Hiperpovezava"/>
            <w:lang w:val="en-GB"/>
          </w:rPr>
          <w:t xml:space="preserve">, per </w:t>
        </w:r>
        <w:r w:rsidR="009C5180" w:rsidRPr="007F04EF">
          <w:rPr>
            <w:rStyle w:val="Hiperpovezava"/>
            <w:lang w:val="en-GB"/>
          </w:rPr>
          <w:t>statistical region</w:t>
        </w:r>
        <w:r w:rsidR="00781C6C" w:rsidRPr="007F04EF">
          <w:rPr>
            <w:rStyle w:val="Hiperpovezava"/>
            <w:lang w:val="en-GB"/>
          </w:rPr>
          <w:t xml:space="preserve"> </w:t>
        </w:r>
        <w:r w:rsidR="009C5180" w:rsidRPr="007F04EF">
          <w:rPr>
            <w:rStyle w:val="Hiperpovezava"/>
            <w:lang w:val="en-GB"/>
          </w:rPr>
          <w:t>(Source: mpv.si)</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_Toc161657869 \h </w:instrText>
        </w:r>
        <w:r w:rsidR="009C5180" w:rsidRPr="007F04EF">
          <w:rPr>
            <w:webHidden/>
            <w:lang w:val="en-GB"/>
          </w:rPr>
        </w:r>
        <w:r w:rsidR="009C5180" w:rsidRPr="007F04EF">
          <w:rPr>
            <w:webHidden/>
            <w:lang w:val="en-GB"/>
          </w:rPr>
          <w:fldChar w:fldCharType="separate"/>
        </w:r>
        <w:r w:rsidR="009C5180" w:rsidRPr="007F04EF">
          <w:rPr>
            <w:webHidden/>
            <w:lang w:val="en-GB"/>
          </w:rPr>
          <w:t>11</w:t>
        </w:r>
        <w:r w:rsidR="009C5180" w:rsidRPr="007F04EF">
          <w:rPr>
            <w:webHidden/>
            <w:lang w:val="en-GB"/>
          </w:rPr>
          <w:fldChar w:fldCharType="end"/>
        </w:r>
      </w:hyperlink>
    </w:p>
    <w:p w14:paraId="1BA4464E" w14:textId="4FD1B9FE" w:rsidR="009C5180" w:rsidRPr="007F04EF" w:rsidRDefault="00C46EFB" w:rsidP="00B76866">
      <w:pPr>
        <w:pStyle w:val="Kazaloslik"/>
        <w:ind w:left="851" w:hanging="851"/>
        <w:rPr>
          <w:rFonts w:eastAsiaTheme="minorEastAsia" w:cstheme="minorBidi"/>
          <w:sz w:val="22"/>
          <w:szCs w:val="22"/>
          <w:lang w:val="en-GB"/>
        </w:rPr>
      </w:pPr>
      <w:hyperlink w:anchor="_Toc161657870" w:history="1">
        <w:r w:rsidR="009C5180" w:rsidRPr="007F04EF">
          <w:rPr>
            <w:rStyle w:val="Hiperpovezava"/>
            <w:lang w:val="en-GB"/>
          </w:rPr>
          <w:t>Table 8:</w:t>
        </w:r>
        <w:r w:rsidR="00B76866" w:rsidRPr="007F04EF">
          <w:rPr>
            <w:rStyle w:val="Hiperpovezava"/>
            <w:lang w:val="en-GB"/>
          </w:rPr>
          <w:tab/>
        </w:r>
        <w:r w:rsidR="009C5180" w:rsidRPr="007F04EF">
          <w:rPr>
            <w:rStyle w:val="Hiperpovezava"/>
            <w:lang w:val="en-GB"/>
          </w:rPr>
          <w:t>Statistics of PPP</w:t>
        </w:r>
        <w:r w:rsidR="00AC27CD" w:rsidRPr="007F04EF">
          <w:rPr>
            <w:rStyle w:val="Hiperpovezava"/>
            <w:lang w:val="en-GB"/>
          </w:rPr>
          <w:t>-</w:t>
        </w:r>
        <w:r w:rsidR="009C5180" w:rsidRPr="007F04EF">
          <w:rPr>
            <w:rStyle w:val="Hiperpovezava"/>
            <w:lang w:val="en-GB"/>
          </w:rPr>
          <w:t>application equipment inspections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_Toc161657870 \h </w:instrText>
        </w:r>
        <w:r w:rsidR="009C5180" w:rsidRPr="007F04EF">
          <w:rPr>
            <w:webHidden/>
            <w:lang w:val="en-GB"/>
          </w:rPr>
        </w:r>
        <w:r w:rsidR="009C5180" w:rsidRPr="007F04EF">
          <w:rPr>
            <w:webHidden/>
            <w:lang w:val="en-GB"/>
          </w:rPr>
          <w:fldChar w:fldCharType="separate"/>
        </w:r>
        <w:r w:rsidR="009C5180" w:rsidRPr="007F04EF">
          <w:rPr>
            <w:webHidden/>
            <w:lang w:val="en-GB"/>
          </w:rPr>
          <w:t>12</w:t>
        </w:r>
        <w:r w:rsidR="009C5180" w:rsidRPr="007F04EF">
          <w:rPr>
            <w:webHidden/>
            <w:lang w:val="en-GB"/>
          </w:rPr>
          <w:fldChar w:fldCharType="end"/>
        </w:r>
      </w:hyperlink>
    </w:p>
    <w:p w14:paraId="0829D8C9" w14:textId="132F7159" w:rsidR="009C5180" w:rsidRPr="007F04EF" w:rsidRDefault="00C46EFB" w:rsidP="00B76866">
      <w:pPr>
        <w:pStyle w:val="Kazaloslik"/>
        <w:ind w:left="851" w:hanging="851"/>
        <w:rPr>
          <w:rFonts w:eastAsiaTheme="minorEastAsia" w:cstheme="minorBidi"/>
          <w:sz w:val="22"/>
          <w:szCs w:val="22"/>
          <w:lang w:val="en-GB"/>
        </w:rPr>
      </w:pPr>
      <w:hyperlink w:anchor="_Toc161657871" w:history="1">
        <w:r w:rsidR="009C5180" w:rsidRPr="007F04EF">
          <w:rPr>
            <w:rStyle w:val="Hiperpovezava"/>
            <w:lang w:val="en-GB"/>
          </w:rPr>
          <w:t>Table 9:</w:t>
        </w:r>
        <w:r w:rsidR="00B76866" w:rsidRPr="007F04EF">
          <w:rPr>
            <w:rStyle w:val="Hiperpovezava"/>
            <w:lang w:val="en-GB"/>
          </w:rPr>
          <w:tab/>
        </w:r>
        <w:r w:rsidR="009C5180" w:rsidRPr="007F04EF">
          <w:rPr>
            <w:rStyle w:val="Hiperpovezava"/>
            <w:lang w:val="en-GB"/>
          </w:rPr>
          <w:t>Number of valid certificates</w:t>
        </w:r>
        <w:r w:rsidR="00EE25D2" w:rsidRPr="007F04EF">
          <w:rPr>
            <w:rStyle w:val="Hiperpovezava"/>
            <w:lang w:val="en-GB"/>
          </w:rPr>
          <w:t xml:space="preserve"> on t</w:t>
        </w:r>
        <w:r w:rsidR="009C5180" w:rsidRPr="007F04EF">
          <w:rPr>
            <w:rStyle w:val="Hiperpovezava"/>
            <w:lang w:val="en-GB"/>
          </w:rPr>
          <w:t>raining</w:t>
        </w:r>
        <w:r w:rsidR="00EE25D2" w:rsidRPr="007F04EF">
          <w:rPr>
            <w:rStyle w:val="Hiperpovezava"/>
            <w:lang w:val="en-GB"/>
          </w:rPr>
          <w:t xml:space="preserve"> i</w:t>
        </w:r>
        <w:r w:rsidR="009C5180" w:rsidRPr="007F04EF">
          <w:rPr>
            <w:rStyle w:val="Hiperpovezava"/>
            <w:lang w:val="en-GB"/>
          </w:rPr>
          <w:t>n</w:t>
        </w:r>
        <w:r w:rsidR="00EE25D2" w:rsidRPr="007F04EF">
          <w:rPr>
            <w:rStyle w:val="Hiperpovezava"/>
            <w:lang w:val="en-GB"/>
          </w:rPr>
          <w:t xml:space="preserve"> </w:t>
        </w:r>
        <w:r w:rsidR="009C5180" w:rsidRPr="007F04EF">
          <w:rPr>
            <w:rStyle w:val="Hiperpovezava"/>
            <w:lang w:val="en-GB"/>
          </w:rPr>
          <w:t>PPPs</w:t>
        </w:r>
        <w:r w:rsidR="00EE25D2" w:rsidRPr="007F04EF">
          <w:rPr>
            <w:rStyle w:val="Hiperpovezava"/>
            <w:lang w:val="en-GB"/>
          </w:rPr>
          <w:t xml:space="preserve"> per </w:t>
        </w:r>
        <w:r w:rsidR="009C5180" w:rsidRPr="007F04EF">
          <w:rPr>
            <w:rStyle w:val="Hiperpovezava"/>
            <w:lang w:val="en-GB"/>
          </w:rPr>
          <w:t>year</w:t>
        </w:r>
        <w:r w:rsidR="00EE25D2" w:rsidRPr="007F04EF">
          <w:rPr>
            <w:rStyle w:val="Hiperpovezava"/>
            <w:lang w:val="en-GB"/>
          </w:rPr>
          <w:t xml:space="preserve">, </w:t>
        </w:r>
        <w:r w:rsidR="009C5180" w:rsidRPr="007F04EF">
          <w:rPr>
            <w:rStyle w:val="Hiperpovezava"/>
            <w:lang w:val="en-GB"/>
          </w:rPr>
          <w:t>and</w:t>
        </w:r>
        <w:r w:rsidR="00EE25D2" w:rsidRPr="007F04EF">
          <w:rPr>
            <w:rStyle w:val="Hiperpovezava"/>
            <w:lang w:val="en-GB"/>
          </w:rPr>
          <w:t xml:space="preserve"> </w:t>
        </w:r>
        <w:r w:rsidR="009C5180" w:rsidRPr="007F04EF">
          <w:rPr>
            <w:rStyle w:val="Hiperpovezava"/>
            <w:lang w:val="en-GB"/>
          </w:rPr>
          <w:t xml:space="preserve">proportion of certificates issued to </w:t>
        </w:r>
        <w:r w:rsidR="00EE25D2" w:rsidRPr="007F04EF">
          <w:rPr>
            <w:rStyle w:val="Hiperpovezava"/>
            <w:lang w:val="en-GB"/>
          </w:rPr>
          <w:t>PPP-</w:t>
        </w:r>
        <w:r w:rsidR="009C5180" w:rsidRPr="007F04EF">
          <w:rPr>
            <w:rStyle w:val="Hiperpovezava"/>
            <w:lang w:val="en-GB"/>
          </w:rPr>
          <w:t>advisors, PPP</w:t>
        </w:r>
        <w:r w:rsidR="00EE25D2" w:rsidRPr="007F04EF">
          <w:rPr>
            <w:rStyle w:val="Hiperpovezava"/>
            <w:lang w:val="en-GB"/>
          </w:rPr>
          <w:t>-</w:t>
        </w:r>
        <w:r w:rsidR="009C5180" w:rsidRPr="007F04EF">
          <w:rPr>
            <w:rStyle w:val="Hiperpovezava"/>
            <w:lang w:val="en-GB"/>
          </w:rPr>
          <w:t>sellers and PPP</w:t>
        </w:r>
        <w:r w:rsidR="00EE25D2" w:rsidRPr="007F04EF">
          <w:rPr>
            <w:rStyle w:val="Hiperpovezava"/>
            <w:lang w:val="en-GB"/>
          </w:rPr>
          <w:t>-</w:t>
        </w:r>
        <w:r w:rsidR="009C5180" w:rsidRPr="007F04EF">
          <w:rPr>
            <w:rStyle w:val="Hiperpovezava"/>
            <w:lang w:val="en-GB"/>
          </w:rPr>
          <w:t>users.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_Toc161657871 \h </w:instrText>
        </w:r>
        <w:r w:rsidR="009C5180" w:rsidRPr="007F04EF">
          <w:rPr>
            <w:webHidden/>
            <w:lang w:val="en-GB"/>
          </w:rPr>
        </w:r>
        <w:r w:rsidR="009C5180" w:rsidRPr="007F04EF">
          <w:rPr>
            <w:webHidden/>
            <w:lang w:val="en-GB"/>
          </w:rPr>
          <w:fldChar w:fldCharType="separate"/>
        </w:r>
        <w:r w:rsidR="009C5180" w:rsidRPr="007F04EF">
          <w:rPr>
            <w:webHidden/>
            <w:lang w:val="en-GB"/>
          </w:rPr>
          <w:t>13</w:t>
        </w:r>
        <w:r w:rsidR="009C5180" w:rsidRPr="007F04EF">
          <w:rPr>
            <w:webHidden/>
            <w:lang w:val="en-GB"/>
          </w:rPr>
          <w:fldChar w:fldCharType="end"/>
        </w:r>
      </w:hyperlink>
    </w:p>
    <w:p w14:paraId="486E3E35" w14:textId="391678AE" w:rsidR="009C5180" w:rsidRPr="007F04EF" w:rsidRDefault="00C46EFB" w:rsidP="00B76866">
      <w:pPr>
        <w:pStyle w:val="Kazaloslik"/>
        <w:ind w:left="851" w:hanging="851"/>
        <w:rPr>
          <w:rFonts w:eastAsiaTheme="minorEastAsia" w:cstheme="minorBidi"/>
          <w:sz w:val="22"/>
          <w:szCs w:val="22"/>
          <w:lang w:val="en-GB"/>
        </w:rPr>
      </w:pPr>
      <w:hyperlink w:anchor="_Toc161657872" w:history="1">
        <w:r w:rsidR="009C5180" w:rsidRPr="007F04EF">
          <w:rPr>
            <w:rStyle w:val="Hiperpovezava"/>
            <w:lang w:val="en-GB"/>
          </w:rPr>
          <w:t>Table 10:</w:t>
        </w:r>
        <w:r w:rsidR="00B76866" w:rsidRPr="007F04EF">
          <w:rPr>
            <w:rStyle w:val="Hiperpovezava"/>
            <w:lang w:val="en-GB"/>
          </w:rPr>
          <w:tab/>
        </w:r>
        <w:r w:rsidR="009C5180" w:rsidRPr="007F04EF">
          <w:rPr>
            <w:rStyle w:val="Hiperpovezava"/>
            <w:lang w:val="en-GB"/>
          </w:rPr>
          <w:t xml:space="preserve">The number of courses performed </w:t>
        </w:r>
        <w:r w:rsidR="008C4C40" w:rsidRPr="007F04EF">
          <w:rPr>
            <w:rStyle w:val="Hiperpovezava"/>
            <w:lang w:val="en-GB"/>
          </w:rPr>
          <w:t xml:space="preserve">per </w:t>
        </w:r>
        <w:r w:rsidR="009C5180" w:rsidRPr="007F04EF">
          <w:rPr>
            <w:rStyle w:val="Hiperpovezava"/>
            <w:lang w:val="en-GB"/>
          </w:rPr>
          <w:t>year and</w:t>
        </w:r>
        <w:r w:rsidR="008C4C40" w:rsidRPr="007F04EF">
          <w:rPr>
            <w:rStyle w:val="Hiperpovezava"/>
            <w:lang w:val="en-GB"/>
          </w:rPr>
          <w:t xml:space="preserve"> per training </w:t>
        </w:r>
        <w:r w:rsidR="009C5180" w:rsidRPr="007F04EF">
          <w:rPr>
            <w:rStyle w:val="Hiperpovezava"/>
            <w:lang w:val="en-GB"/>
          </w:rPr>
          <w:t>program.</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_Toc161657872 \h </w:instrText>
        </w:r>
        <w:r w:rsidR="009C5180" w:rsidRPr="007F04EF">
          <w:rPr>
            <w:webHidden/>
            <w:lang w:val="en-GB"/>
          </w:rPr>
        </w:r>
        <w:r w:rsidR="009C5180" w:rsidRPr="007F04EF">
          <w:rPr>
            <w:webHidden/>
            <w:lang w:val="en-GB"/>
          </w:rPr>
          <w:fldChar w:fldCharType="separate"/>
        </w:r>
        <w:r w:rsidR="009C5180" w:rsidRPr="007F04EF">
          <w:rPr>
            <w:webHidden/>
            <w:lang w:val="en-GB"/>
          </w:rPr>
          <w:t>14</w:t>
        </w:r>
        <w:r w:rsidR="009C5180" w:rsidRPr="007F04EF">
          <w:rPr>
            <w:webHidden/>
            <w:lang w:val="en-GB"/>
          </w:rPr>
          <w:fldChar w:fldCharType="end"/>
        </w:r>
      </w:hyperlink>
    </w:p>
    <w:p w14:paraId="48555105" w14:textId="2E24B1D9" w:rsidR="009C5180" w:rsidRPr="007F04EF" w:rsidRDefault="00C46EFB" w:rsidP="00B76866">
      <w:pPr>
        <w:pStyle w:val="Kazaloslik"/>
        <w:ind w:left="851" w:hanging="851"/>
        <w:rPr>
          <w:rFonts w:eastAsiaTheme="minorEastAsia" w:cstheme="minorBidi"/>
          <w:sz w:val="22"/>
          <w:szCs w:val="22"/>
          <w:lang w:val="en-GB"/>
        </w:rPr>
      </w:pPr>
      <w:hyperlink w:anchor="_Toc161657873" w:history="1">
        <w:r w:rsidR="009C5180" w:rsidRPr="007F04EF">
          <w:rPr>
            <w:rStyle w:val="Hiperpovezava"/>
            <w:lang w:val="en-GB"/>
          </w:rPr>
          <w:t>Table 11:</w:t>
        </w:r>
        <w:r w:rsidR="00B76866" w:rsidRPr="007F04EF">
          <w:rPr>
            <w:rStyle w:val="Hiperpovezava"/>
            <w:lang w:val="en-GB"/>
          </w:rPr>
          <w:tab/>
        </w:r>
        <w:r w:rsidR="009C5180" w:rsidRPr="007F04EF">
          <w:rPr>
            <w:rStyle w:val="Hiperpovezava"/>
            <w:lang w:val="en-GB"/>
          </w:rPr>
          <w:t>The total number of inspections; and the number and proportion of irregularities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_Toc161657873 \h </w:instrText>
        </w:r>
        <w:r w:rsidR="009C5180" w:rsidRPr="007F04EF">
          <w:rPr>
            <w:webHidden/>
            <w:lang w:val="en-GB"/>
          </w:rPr>
        </w:r>
        <w:r w:rsidR="009C5180" w:rsidRPr="007F04EF">
          <w:rPr>
            <w:webHidden/>
            <w:lang w:val="en-GB"/>
          </w:rPr>
          <w:fldChar w:fldCharType="separate"/>
        </w:r>
        <w:r w:rsidR="009C5180" w:rsidRPr="007F04EF">
          <w:rPr>
            <w:webHidden/>
            <w:lang w:val="en-GB"/>
          </w:rPr>
          <w:t>17</w:t>
        </w:r>
        <w:r w:rsidR="009C5180" w:rsidRPr="007F04EF">
          <w:rPr>
            <w:webHidden/>
            <w:lang w:val="en-GB"/>
          </w:rPr>
          <w:fldChar w:fldCharType="end"/>
        </w:r>
      </w:hyperlink>
    </w:p>
    <w:p w14:paraId="0C11F786" w14:textId="14E41040" w:rsidR="009C5180" w:rsidRPr="007F04EF" w:rsidRDefault="00C46EFB" w:rsidP="00B76866">
      <w:pPr>
        <w:pStyle w:val="Kazaloslik"/>
        <w:ind w:left="851" w:hanging="851"/>
        <w:rPr>
          <w:rFonts w:eastAsiaTheme="minorEastAsia" w:cstheme="minorBidi"/>
          <w:sz w:val="22"/>
          <w:szCs w:val="22"/>
          <w:lang w:val="en-GB"/>
        </w:rPr>
      </w:pPr>
      <w:hyperlink w:anchor="_Toc161657874" w:history="1">
        <w:r w:rsidR="009C5180" w:rsidRPr="007F04EF">
          <w:rPr>
            <w:rStyle w:val="Hiperpovezava"/>
            <w:lang w:val="en-GB"/>
          </w:rPr>
          <w:t>Table 12:</w:t>
        </w:r>
        <w:r w:rsidR="00B76866" w:rsidRPr="007F04EF">
          <w:rPr>
            <w:rStyle w:val="Hiperpovezava"/>
            <w:lang w:val="en-GB"/>
          </w:rPr>
          <w:tab/>
        </w:r>
        <w:r w:rsidR="009C5180" w:rsidRPr="007F04EF">
          <w:rPr>
            <w:rStyle w:val="Hiperpovezava"/>
            <w:lang w:val="en-GB"/>
          </w:rPr>
          <w:t>The number of controls on PPP</w:t>
        </w:r>
        <w:r w:rsidR="00B76866" w:rsidRPr="007F04EF">
          <w:rPr>
            <w:rStyle w:val="Hiperpovezava"/>
            <w:lang w:val="en-GB"/>
          </w:rPr>
          <w:t>-</w:t>
        </w:r>
        <w:r w:rsidR="009C5180" w:rsidRPr="007F04EF">
          <w:rPr>
            <w:rStyle w:val="Hiperpovezava"/>
            <w:lang w:val="en-GB"/>
          </w:rPr>
          <w:t>users and the number of sanctions</w:t>
        </w:r>
        <w:r w:rsidR="00B76866" w:rsidRPr="007F04EF">
          <w:rPr>
            <w:rStyle w:val="Hiperpovezava"/>
            <w:lang w:val="en-GB"/>
          </w:rPr>
          <w:t xml:space="preserve"> imposed </w:t>
        </w:r>
        <w:r w:rsidR="009C5180" w:rsidRPr="007F04EF">
          <w:rPr>
            <w:rStyle w:val="Hiperpovezava"/>
            <w:lang w:val="en-GB"/>
          </w:rPr>
          <w:t>on PPP</w:t>
        </w:r>
        <w:r w:rsidR="00B76866" w:rsidRPr="007F04EF">
          <w:rPr>
            <w:rStyle w:val="Hiperpovezava"/>
            <w:lang w:val="en-GB"/>
          </w:rPr>
          <w:t>-</w:t>
        </w:r>
        <w:r w:rsidR="009C5180" w:rsidRPr="007F04EF">
          <w:rPr>
            <w:rStyle w:val="Hiperpovezava"/>
            <w:lang w:val="en-GB"/>
          </w:rPr>
          <w:t>users in the period 2018 – 2022.</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_Toc161657874 \h </w:instrText>
        </w:r>
        <w:r w:rsidR="009C5180" w:rsidRPr="007F04EF">
          <w:rPr>
            <w:webHidden/>
            <w:lang w:val="en-GB"/>
          </w:rPr>
        </w:r>
        <w:r w:rsidR="009C5180" w:rsidRPr="007F04EF">
          <w:rPr>
            <w:webHidden/>
            <w:lang w:val="en-GB"/>
          </w:rPr>
          <w:fldChar w:fldCharType="separate"/>
        </w:r>
        <w:r w:rsidR="009C5180" w:rsidRPr="007F04EF">
          <w:rPr>
            <w:webHidden/>
            <w:lang w:val="en-GB"/>
          </w:rPr>
          <w:t>17</w:t>
        </w:r>
        <w:r w:rsidR="009C5180" w:rsidRPr="007F04EF">
          <w:rPr>
            <w:webHidden/>
            <w:lang w:val="en-GB"/>
          </w:rPr>
          <w:fldChar w:fldCharType="end"/>
        </w:r>
      </w:hyperlink>
    </w:p>
    <w:p w14:paraId="285186D4" w14:textId="77212E9F" w:rsidR="009C5180" w:rsidRPr="007F04EF" w:rsidRDefault="00C46EFB" w:rsidP="00B76866">
      <w:pPr>
        <w:pStyle w:val="Kazaloslik"/>
        <w:ind w:left="851" w:hanging="851"/>
        <w:rPr>
          <w:rFonts w:eastAsiaTheme="minorEastAsia" w:cstheme="minorBidi"/>
          <w:sz w:val="22"/>
          <w:szCs w:val="22"/>
          <w:lang w:val="en-GB"/>
        </w:rPr>
      </w:pPr>
      <w:hyperlink w:anchor="_Toc161657875" w:history="1">
        <w:r w:rsidR="009C5180" w:rsidRPr="007F04EF">
          <w:rPr>
            <w:rStyle w:val="Hiperpovezava"/>
            <w:lang w:val="en-GB"/>
          </w:rPr>
          <w:t>Table 13:</w:t>
        </w:r>
        <w:r w:rsidR="00B76866" w:rsidRPr="007F04EF">
          <w:rPr>
            <w:rStyle w:val="Hiperpovezava"/>
            <w:lang w:val="en-GB"/>
          </w:rPr>
          <w:tab/>
          <w:t xml:space="preserve">Proportion </w:t>
        </w:r>
        <w:r w:rsidR="009C5180" w:rsidRPr="007F04EF">
          <w:rPr>
            <w:rStyle w:val="Hiperpovezava"/>
            <w:lang w:val="en-GB"/>
          </w:rPr>
          <w:t>of</w:t>
        </w:r>
        <w:r w:rsidR="00B76866" w:rsidRPr="007F04EF">
          <w:rPr>
            <w:rStyle w:val="Hiperpovezava"/>
            <w:lang w:val="en-GB"/>
          </w:rPr>
          <w:t xml:space="preserve"> </w:t>
        </w:r>
        <w:r w:rsidR="009C5180" w:rsidRPr="007F04EF">
          <w:rPr>
            <w:rStyle w:val="Hiperpovezava"/>
            <w:lang w:val="en-GB"/>
          </w:rPr>
          <w:t>organic farms and areas under organic production in Slovenia.</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_Toc161657875 \h </w:instrText>
        </w:r>
        <w:r w:rsidR="009C5180" w:rsidRPr="007F04EF">
          <w:rPr>
            <w:webHidden/>
            <w:lang w:val="en-GB"/>
          </w:rPr>
        </w:r>
        <w:r w:rsidR="009C5180" w:rsidRPr="007F04EF">
          <w:rPr>
            <w:webHidden/>
            <w:lang w:val="en-GB"/>
          </w:rPr>
          <w:fldChar w:fldCharType="separate"/>
        </w:r>
        <w:r w:rsidR="009C5180" w:rsidRPr="007F04EF">
          <w:rPr>
            <w:webHidden/>
            <w:lang w:val="en-GB"/>
          </w:rPr>
          <w:t>17</w:t>
        </w:r>
        <w:r w:rsidR="009C5180" w:rsidRPr="007F04EF">
          <w:rPr>
            <w:webHidden/>
            <w:lang w:val="en-GB"/>
          </w:rPr>
          <w:fldChar w:fldCharType="end"/>
        </w:r>
      </w:hyperlink>
    </w:p>
    <w:p w14:paraId="22EB26CA" w14:textId="5AAE40DD" w:rsidR="003F53BA" w:rsidRPr="007F04EF" w:rsidRDefault="00624A1C" w:rsidP="00B76866">
      <w:pPr>
        <w:spacing w:beforeLines="60" w:before="144" w:afterLines="60" w:after="144"/>
        <w:ind w:left="851" w:hanging="851"/>
        <w:rPr>
          <w:rFonts w:cs="Arial"/>
          <w:lang w:val="en-GB"/>
        </w:rPr>
      </w:pPr>
      <w:r w:rsidRPr="007F04EF">
        <w:rPr>
          <w:rFonts w:cs="Arial"/>
          <w:szCs w:val="22"/>
          <w:lang w:val="en-GB"/>
        </w:rPr>
        <w:fldChar w:fldCharType="end"/>
      </w:r>
    </w:p>
    <w:p w14:paraId="21FBF978" w14:textId="062DAD11" w:rsidR="00CD5A14" w:rsidRPr="007F04EF" w:rsidRDefault="00CD5A14" w:rsidP="00CD5A14">
      <w:pPr>
        <w:spacing w:beforeLines="60" w:before="144" w:afterLines="60" w:after="144"/>
        <w:rPr>
          <w:rFonts w:cs="Arial"/>
          <w:lang w:val="en-GB"/>
        </w:rPr>
      </w:pPr>
    </w:p>
    <w:p w14:paraId="04C59F92" w14:textId="77777777" w:rsidR="00CD5A14" w:rsidRPr="007F04EF" w:rsidRDefault="00CD5A14">
      <w:pPr>
        <w:rPr>
          <w:rFonts w:cs="Arial"/>
          <w:lang w:val="en-GB"/>
        </w:rPr>
      </w:pPr>
      <w:r w:rsidRPr="007F04EF">
        <w:rPr>
          <w:rFonts w:cs="Arial"/>
          <w:lang w:val="en-GB"/>
        </w:rPr>
        <w:br w:type="page"/>
      </w:r>
    </w:p>
    <w:p w14:paraId="0F0DB0BD" w14:textId="5A9E44E3" w:rsidR="00D94D5F" w:rsidRPr="007F04EF" w:rsidRDefault="00D94D5F" w:rsidP="00CD5A14">
      <w:pPr>
        <w:spacing w:beforeLines="60" w:before="144" w:afterLines="60" w:after="144"/>
        <w:rPr>
          <w:rFonts w:cs="Arial"/>
          <w:lang w:val="en-GB"/>
        </w:rPr>
      </w:pPr>
      <w:r w:rsidRPr="007F04EF">
        <w:rPr>
          <w:rFonts w:cs="Arial"/>
          <w:i/>
          <w:iCs/>
          <w:sz w:val="20"/>
          <w:lang w:val="en-GB"/>
        </w:rPr>
        <w:lastRenderedPageBreak/>
        <w:fldChar w:fldCharType="begin"/>
      </w:r>
      <w:r w:rsidRPr="007F04EF">
        <w:rPr>
          <w:rFonts w:cs="Arial"/>
          <w:lang w:val="en-GB"/>
        </w:rPr>
        <w:instrText xml:space="preserve"> TOC \h \z \c "Tabela" </w:instrText>
      </w:r>
      <w:r w:rsidRPr="007F04EF">
        <w:rPr>
          <w:rFonts w:cs="Arial"/>
          <w:i/>
          <w:iCs/>
          <w:sz w:val="20"/>
          <w:lang w:val="en-GB"/>
        </w:rPr>
        <w:fldChar w:fldCharType="separate"/>
      </w:r>
    </w:p>
    <w:p w14:paraId="0F875D95" w14:textId="4FE6F7F6" w:rsidR="0031010F" w:rsidRPr="007F04EF" w:rsidRDefault="00D94D5F" w:rsidP="00B44C1B">
      <w:pPr>
        <w:spacing w:beforeLines="60" w:before="144" w:afterLines="60" w:after="144"/>
        <w:ind w:left="709" w:hanging="709"/>
        <w:jc w:val="both"/>
        <w:rPr>
          <w:noProof/>
          <w:lang w:val="en-GB"/>
        </w:rPr>
      </w:pPr>
      <w:r w:rsidRPr="007F04EF">
        <w:rPr>
          <w:rFonts w:cs="Arial"/>
          <w:lang w:val="en-GB"/>
        </w:rPr>
        <w:fldChar w:fldCharType="end"/>
      </w:r>
      <w:r w:rsidR="00F92624" w:rsidRPr="007F04EF">
        <w:rPr>
          <w:rFonts w:asciiTheme="majorHAnsi" w:eastAsiaTheme="majorEastAsia" w:hAnsiTheme="majorHAnsi" w:cstheme="majorBidi"/>
          <w:color w:val="365F91" w:themeColor="accent1" w:themeShade="BF"/>
          <w:sz w:val="32"/>
          <w:szCs w:val="32"/>
          <w:lang w:val="en-GB"/>
        </w:rPr>
        <w:t>G</w:t>
      </w:r>
      <w:r w:rsidR="009C5180" w:rsidRPr="007F04EF">
        <w:rPr>
          <w:rFonts w:asciiTheme="majorHAnsi" w:eastAsiaTheme="majorEastAsia" w:hAnsiTheme="majorHAnsi" w:cstheme="majorBidi"/>
          <w:color w:val="365F91" w:themeColor="accent1" w:themeShade="BF"/>
          <w:sz w:val="32"/>
          <w:szCs w:val="32"/>
          <w:lang w:val="en-GB"/>
        </w:rPr>
        <w:t>raphs</w:t>
      </w:r>
      <w:r w:rsidR="009B5ADD" w:rsidRPr="007F04EF">
        <w:rPr>
          <w:rFonts w:cs="Arial"/>
          <w:szCs w:val="22"/>
          <w:lang w:val="en-GB"/>
        </w:rPr>
        <w:fldChar w:fldCharType="begin"/>
      </w:r>
      <w:r w:rsidR="009B5ADD" w:rsidRPr="007F04EF">
        <w:rPr>
          <w:rFonts w:cs="Arial"/>
          <w:szCs w:val="22"/>
          <w:lang w:val="en-GB"/>
        </w:rPr>
        <w:instrText xml:space="preserve"> TOC \h \z \c "Slika" </w:instrText>
      </w:r>
      <w:r w:rsidR="009B5ADD" w:rsidRPr="007F04EF">
        <w:rPr>
          <w:rFonts w:cs="Arial"/>
          <w:szCs w:val="22"/>
          <w:lang w:val="en-GB"/>
        </w:rPr>
        <w:fldChar w:fldCharType="separate"/>
      </w:r>
    </w:p>
    <w:p w14:paraId="571DE73B" w14:textId="5757D087" w:rsidR="0031010F" w:rsidRPr="007F04EF" w:rsidRDefault="00C46EFB" w:rsidP="00B44C1B">
      <w:pPr>
        <w:pStyle w:val="Kazaloslik"/>
        <w:jc w:val="both"/>
        <w:rPr>
          <w:rFonts w:eastAsiaTheme="minorEastAsia" w:cstheme="minorBidi"/>
          <w:noProof/>
          <w:sz w:val="22"/>
          <w:szCs w:val="22"/>
          <w:lang w:val="en-GB"/>
        </w:rPr>
      </w:pPr>
      <w:hyperlink w:anchor="_Toc161658225" w:history="1">
        <w:r w:rsidR="0031010F" w:rsidRPr="007F04EF">
          <w:rPr>
            <w:rStyle w:val="Hiperpovezava"/>
            <w:noProof/>
            <w:lang w:val="en-GB"/>
          </w:rPr>
          <w:t>Graph 1: Risk indicator 1 movement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_Toc161658225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6</w:t>
        </w:r>
        <w:r w:rsidR="0031010F" w:rsidRPr="007F04EF">
          <w:rPr>
            <w:noProof/>
            <w:webHidden/>
            <w:lang w:val="en-GB"/>
          </w:rPr>
          <w:fldChar w:fldCharType="end"/>
        </w:r>
      </w:hyperlink>
    </w:p>
    <w:p w14:paraId="313CB4ED" w14:textId="16063959" w:rsidR="0031010F" w:rsidRPr="007F04EF" w:rsidRDefault="00C46EFB" w:rsidP="00B44C1B">
      <w:pPr>
        <w:pStyle w:val="Kazaloslik"/>
        <w:jc w:val="both"/>
        <w:rPr>
          <w:rFonts w:eastAsiaTheme="minorEastAsia" w:cstheme="minorBidi"/>
          <w:noProof/>
          <w:sz w:val="22"/>
          <w:szCs w:val="22"/>
          <w:lang w:val="en-GB"/>
        </w:rPr>
      </w:pPr>
      <w:hyperlink w:anchor="_Toc161658226" w:history="1">
        <w:r w:rsidR="0031010F" w:rsidRPr="007F04EF">
          <w:rPr>
            <w:rStyle w:val="Hiperpovezava"/>
            <w:noProof/>
            <w:lang w:val="en-GB"/>
          </w:rPr>
          <w:t>Graph 2: Harmonised risk indicator</w:t>
        </w:r>
        <w:r w:rsidR="00236B37" w:rsidRPr="007F04EF">
          <w:rPr>
            <w:rStyle w:val="Hiperpovezava"/>
            <w:noProof/>
            <w:lang w:val="en-GB"/>
          </w:rPr>
          <w:t xml:space="preserve"> 2 </w:t>
        </w:r>
        <w:r w:rsidR="0031010F" w:rsidRPr="007F04EF">
          <w:rPr>
            <w:rStyle w:val="Hiperpovezava"/>
            <w:noProof/>
            <w:lang w:val="en-GB"/>
          </w:rPr>
          <w:t>movement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_Toc161658226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7</w:t>
        </w:r>
        <w:r w:rsidR="0031010F" w:rsidRPr="007F04EF">
          <w:rPr>
            <w:noProof/>
            <w:webHidden/>
            <w:lang w:val="en-GB"/>
          </w:rPr>
          <w:fldChar w:fldCharType="end"/>
        </w:r>
      </w:hyperlink>
    </w:p>
    <w:p w14:paraId="00F5B08F" w14:textId="4B3B84EA" w:rsidR="0031010F" w:rsidRPr="007F04EF" w:rsidRDefault="00C46EFB" w:rsidP="00B44C1B">
      <w:pPr>
        <w:pStyle w:val="Kazaloslik"/>
        <w:jc w:val="both"/>
        <w:rPr>
          <w:rFonts w:eastAsiaTheme="minorEastAsia" w:cstheme="minorBidi"/>
          <w:noProof/>
          <w:sz w:val="22"/>
          <w:szCs w:val="22"/>
          <w:lang w:val="en-GB"/>
        </w:rPr>
      </w:pPr>
      <w:hyperlink w:anchor="_Toc161658227" w:history="1">
        <w:r w:rsidR="0031010F" w:rsidRPr="007F04EF">
          <w:rPr>
            <w:rStyle w:val="Hiperpovezava"/>
            <w:noProof/>
            <w:lang w:val="en-GB"/>
          </w:rPr>
          <w:t>Graph 3: Sales of candidates for substitution in kg by year</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_Toc161658227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8</w:t>
        </w:r>
        <w:r w:rsidR="0031010F" w:rsidRPr="007F04EF">
          <w:rPr>
            <w:noProof/>
            <w:webHidden/>
            <w:lang w:val="en-GB"/>
          </w:rPr>
          <w:fldChar w:fldCharType="end"/>
        </w:r>
      </w:hyperlink>
    </w:p>
    <w:p w14:paraId="6C8303DC" w14:textId="5E7B3953" w:rsidR="0031010F" w:rsidRPr="007F04EF" w:rsidRDefault="00C46EFB" w:rsidP="00B44C1B">
      <w:pPr>
        <w:pStyle w:val="Kazaloslik"/>
        <w:jc w:val="both"/>
        <w:rPr>
          <w:rFonts w:eastAsiaTheme="minorEastAsia" w:cstheme="minorBidi"/>
          <w:noProof/>
          <w:sz w:val="22"/>
          <w:szCs w:val="22"/>
          <w:lang w:val="en-GB"/>
        </w:rPr>
      </w:pPr>
      <w:hyperlink w:anchor="_Toc161658228" w:history="1">
        <w:r w:rsidR="0031010F" w:rsidRPr="007F04EF">
          <w:rPr>
            <w:rStyle w:val="Hiperpovezava"/>
            <w:noProof/>
            <w:lang w:val="en-GB"/>
          </w:rPr>
          <w:t>Graph 4: Sales of AS in PPP</w:t>
        </w:r>
        <w:r w:rsidR="00872F4A" w:rsidRPr="007F04EF">
          <w:rPr>
            <w:rStyle w:val="Hiperpovezava"/>
            <w:noProof/>
            <w:lang w:val="en-GB"/>
          </w:rPr>
          <w:t>s</w:t>
        </w:r>
        <w:r w:rsidR="0031010F" w:rsidRPr="007F04EF">
          <w:rPr>
            <w:rStyle w:val="Hiperpovezava"/>
            <w:noProof/>
            <w:lang w:val="en-GB"/>
          </w:rPr>
          <w:t xml:space="preserve"> containing MO</w:t>
        </w:r>
        <w:r w:rsidR="00872F4A" w:rsidRPr="007F04EF">
          <w:rPr>
            <w:rStyle w:val="Hiperpovezava"/>
            <w:noProof/>
            <w:lang w:val="en-GB"/>
          </w:rPr>
          <w:t>s</w:t>
        </w:r>
        <w:r w:rsidR="0031010F" w:rsidRPr="007F04EF">
          <w:rPr>
            <w:rStyle w:val="Hiperpovezava"/>
            <w:noProof/>
            <w:lang w:val="en-GB"/>
          </w:rPr>
          <w: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_Toc161658228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9</w:t>
        </w:r>
        <w:r w:rsidR="0031010F" w:rsidRPr="007F04EF">
          <w:rPr>
            <w:noProof/>
            <w:webHidden/>
            <w:lang w:val="en-GB"/>
          </w:rPr>
          <w:fldChar w:fldCharType="end"/>
        </w:r>
      </w:hyperlink>
    </w:p>
    <w:p w14:paraId="79380BAD" w14:textId="3C227F2C" w:rsidR="0031010F" w:rsidRPr="007F04EF" w:rsidRDefault="00C46EFB" w:rsidP="00B44C1B">
      <w:pPr>
        <w:pStyle w:val="Kazaloslik"/>
        <w:jc w:val="both"/>
        <w:rPr>
          <w:rFonts w:eastAsiaTheme="minorEastAsia" w:cstheme="minorBidi"/>
          <w:noProof/>
          <w:sz w:val="22"/>
          <w:szCs w:val="22"/>
          <w:lang w:val="en-GB"/>
        </w:rPr>
      </w:pPr>
      <w:hyperlink w:anchor="_Toc161658229" w:history="1">
        <w:r w:rsidR="0031010F" w:rsidRPr="007F04EF">
          <w:rPr>
            <w:rStyle w:val="Hiperpovezava"/>
            <w:noProof/>
            <w:lang w:val="en-GB"/>
          </w:rPr>
          <w:t>Graph 5: The number of PPP</w:t>
        </w:r>
        <w:r w:rsidR="008D32F4" w:rsidRPr="007F04EF">
          <w:rPr>
            <w:rStyle w:val="Hiperpovezava"/>
            <w:noProof/>
            <w:lang w:val="en-GB"/>
          </w:rPr>
          <w:t>-</w:t>
        </w:r>
        <w:r w:rsidR="0031010F" w:rsidRPr="007F04EF">
          <w:rPr>
            <w:rStyle w:val="Hiperpovezava"/>
            <w:noProof/>
            <w:lang w:val="en-GB"/>
          </w:rPr>
          <w:t>equipment in the Registry and the number of inspected PPP</w:t>
        </w:r>
        <w:r w:rsidR="008D32F4" w:rsidRPr="007F04EF">
          <w:rPr>
            <w:rStyle w:val="Hiperpovezava"/>
            <w:noProof/>
            <w:lang w:val="en-GB"/>
          </w:rPr>
          <w:t>-</w:t>
        </w:r>
        <w:r w:rsidR="0031010F" w:rsidRPr="007F04EF">
          <w:rPr>
            <w:rStyle w:val="Hiperpovezava"/>
            <w:noProof/>
            <w:lang w:val="en-GB"/>
          </w:rPr>
          <w:t>equipment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_Toc161658229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13</w:t>
        </w:r>
        <w:r w:rsidR="0031010F" w:rsidRPr="007F04EF">
          <w:rPr>
            <w:noProof/>
            <w:webHidden/>
            <w:lang w:val="en-GB"/>
          </w:rPr>
          <w:fldChar w:fldCharType="end"/>
        </w:r>
      </w:hyperlink>
    </w:p>
    <w:p w14:paraId="7624E1DB" w14:textId="28063DF9" w:rsidR="0031010F" w:rsidRPr="007F04EF" w:rsidRDefault="00C46EFB" w:rsidP="00B44C1B">
      <w:pPr>
        <w:pStyle w:val="Kazaloslik"/>
        <w:jc w:val="both"/>
        <w:rPr>
          <w:noProof/>
          <w:lang w:val="en-GB"/>
        </w:rPr>
      </w:pPr>
      <w:hyperlink w:anchor="_Toc161658230" w:history="1">
        <w:r w:rsidR="0031010F" w:rsidRPr="007F04EF">
          <w:rPr>
            <w:rStyle w:val="Hiperpovezava"/>
            <w:noProof/>
            <w:lang w:val="en-GB"/>
          </w:rPr>
          <w:t>Graph 6: Declining trend in numbers of valid training certificates</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_Toc161658230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14</w:t>
        </w:r>
        <w:r w:rsidR="0031010F" w:rsidRPr="007F04EF">
          <w:rPr>
            <w:noProof/>
            <w:webHidden/>
            <w:lang w:val="en-GB"/>
          </w:rPr>
          <w:fldChar w:fldCharType="end"/>
        </w:r>
      </w:hyperlink>
    </w:p>
    <w:p w14:paraId="2D3DFD6E" w14:textId="7AADEA22" w:rsidR="008C4C40" w:rsidRPr="007F04EF" w:rsidRDefault="008C4C40" w:rsidP="00B44C1B">
      <w:pPr>
        <w:pStyle w:val="Kazaloslik"/>
        <w:jc w:val="both"/>
        <w:rPr>
          <w:rStyle w:val="Hiperpovezava"/>
          <w:noProof/>
          <w:color w:val="000000" w:themeColor="text1"/>
          <w:u w:val="none"/>
          <w:lang w:val="en-GB"/>
        </w:rPr>
      </w:pPr>
      <w:r w:rsidRPr="007F04EF">
        <w:rPr>
          <w:rStyle w:val="Hiperpovezava"/>
          <w:noProof/>
          <w:color w:val="000000" w:themeColor="text1"/>
          <w:u w:val="none"/>
          <w:lang w:val="en-GB"/>
        </w:rPr>
        <w:t xml:space="preserve">Graph </w:t>
      </w:r>
      <w:r w:rsidRPr="007F04EF">
        <w:rPr>
          <w:rStyle w:val="Hiperpovezava"/>
          <w:noProof/>
          <w:color w:val="000000" w:themeColor="text1"/>
          <w:u w:val="none"/>
          <w:lang w:val="en-GB"/>
        </w:rPr>
        <w:fldChar w:fldCharType="begin"/>
      </w:r>
      <w:r w:rsidRPr="007F04EF">
        <w:rPr>
          <w:rStyle w:val="Hiperpovezava"/>
          <w:noProof/>
          <w:color w:val="000000" w:themeColor="text1"/>
          <w:u w:val="none"/>
          <w:lang w:val="en-GB"/>
        </w:rPr>
        <w:instrText xml:space="preserve"> SEQ Slika \* ARABIC </w:instrText>
      </w:r>
      <w:r w:rsidRPr="007F04EF">
        <w:rPr>
          <w:rStyle w:val="Hiperpovezava"/>
          <w:noProof/>
          <w:color w:val="000000" w:themeColor="text1"/>
          <w:u w:val="none"/>
          <w:lang w:val="en-GB"/>
        </w:rPr>
        <w:fldChar w:fldCharType="separate"/>
      </w:r>
      <w:r w:rsidRPr="007F04EF">
        <w:rPr>
          <w:rStyle w:val="Hiperpovezava"/>
          <w:noProof/>
          <w:color w:val="000000" w:themeColor="text1"/>
          <w:u w:val="none"/>
          <w:lang w:val="en-GB"/>
        </w:rPr>
        <w:t>7</w:t>
      </w:r>
      <w:r w:rsidRPr="007F04EF">
        <w:rPr>
          <w:rStyle w:val="Hiperpovezava"/>
          <w:noProof/>
          <w:color w:val="000000" w:themeColor="text1"/>
          <w:u w:val="none"/>
          <w:lang w:val="en-GB"/>
        </w:rPr>
        <w:fldChar w:fldCharType="end"/>
      </w:r>
      <w:r w:rsidRPr="007F04EF">
        <w:rPr>
          <w:rStyle w:val="Hiperpovezava"/>
          <w:noProof/>
          <w:color w:val="000000" w:themeColor="text1"/>
          <w:u w:val="none"/>
          <w:lang w:val="en-GB"/>
        </w:rPr>
        <w:t>: Number of visits to the IPM Portal</w:t>
      </w:r>
      <w:r w:rsidR="00B44C1B" w:rsidRPr="007F04EF">
        <w:rPr>
          <w:rStyle w:val="Hiperpovezava"/>
          <w:noProof/>
          <w:color w:val="000000" w:themeColor="text1"/>
          <w:u w:val="none"/>
          <w:lang w:val="en-GB"/>
        </w:rPr>
        <w:t>.</w:t>
      </w:r>
      <w:r w:rsidR="00B76866" w:rsidRPr="007F04EF">
        <w:rPr>
          <w:rStyle w:val="Hiperpovezava"/>
          <w:noProof/>
          <w:color w:val="000000" w:themeColor="text1"/>
          <w:u w:val="none"/>
          <w:lang w:val="en-GB"/>
        </w:rPr>
        <w:t>………..</w:t>
      </w:r>
      <w:r w:rsidRPr="007F04EF">
        <w:rPr>
          <w:rStyle w:val="Hiperpovezava"/>
          <w:noProof/>
          <w:color w:val="000000" w:themeColor="text1"/>
          <w:u w:val="none"/>
          <w:lang w:val="en-GB"/>
        </w:rPr>
        <w:t>………………</w:t>
      </w:r>
      <w:r w:rsidR="00B76866" w:rsidRPr="007F04EF">
        <w:rPr>
          <w:rStyle w:val="Hiperpovezava"/>
          <w:noProof/>
          <w:color w:val="000000" w:themeColor="text1"/>
          <w:u w:val="none"/>
          <w:lang w:val="en-GB"/>
        </w:rPr>
        <w:t>..</w:t>
      </w:r>
      <w:r w:rsidRPr="007F04EF">
        <w:rPr>
          <w:rStyle w:val="Hiperpovezava"/>
          <w:noProof/>
          <w:color w:val="000000" w:themeColor="text1"/>
          <w:u w:val="none"/>
          <w:lang w:val="en-GB"/>
        </w:rPr>
        <w:t xml:space="preserve">………………………………………………………………………..…15 </w:t>
      </w:r>
    </w:p>
    <w:p w14:paraId="7251247D" w14:textId="21263122" w:rsidR="00D94D5F" w:rsidRPr="007F04EF" w:rsidRDefault="009B5ADD" w:rsidP="00B44C1B">
      <w:pPr>
        <w:spacing w:beforeLines="60" w:before="144" w:afterLines="60" w:after="144"/>
        <w:ind w:left="709"/>
        <w:jc w:val="both"/>
        <w:rPr>
          <w:rFonts w:cs="Arial"/>
          <w:lang w:val="en-GB"/>
        </w:rPr>
      </w:pPr>
      <w:r w:rsidRPr="007F04EF">
        <w:rPr>
          <w:rFonts w:cs="Arial"/>
          <w:szCs w:val="22"/>
          <w:lang w:val="en-GB"/>
        </w:rPr>
        <w:fldChar w:fldCharType="end"/>
      </w:r>
    </w:p>
    <w:p w14:paraId="48C63DE2" w14:textId="0F8A5753" w:rsidR="003D3549" w:rsidRPr="007F04EF" w:rsidRDefault="00F92624" w:rsidP="00F92624">
      <w:pPr>
        <w:spacing w:beforeLines="60" w:before="144" w:afterLines="60" w:after="144"/>
        <w:ind w:left="709" w:hanging="709"/>
        <w:rPr>
          <w:rFonts w:cs="Arial"/>
          <w:lang w:val="en-GB"/>
        </w:rPr>
      </w:pPr>
      <w:r w:rsidRPr="007F04EF">
        <w:rPr>
          <w:rFonts w:asciiTheme="majorHAnsi" w:eastAsiaTheme="majorEastAsia" w:hAnsiTheme="majorHAnsi" w:cstheme="majorBidi"/>
          <w:color w:val="365F91" w:themeColor="accent1" w:themeShade="BF"/>
          <w:sz w:val="32"/>
          <w:szCs w:val="32"/>
          <w:lang w:val="en-GB"/>
        </w:rPr>
        <w:t>Ab</w:t>
      </w:r>
      <w:r w:rsidR="0031010F" w:rsidRPr="007F04EF">
        <w:rPr>
          <w:rFonts w:asciiTheme="majorHAnsi" w:eastAsiaTheme="majorEastAsia" w:hAnsiTheme="majorHAnsi" w:cstheme="majorBidi"/>
          <w:color w:val="365F91" w:themeColor="accent1" w:themeShade="BF"/>
          <w:sz w:val="32"/>
          <w:szCs w:val="32"/>
          <w:lang w:val="en-GB"/>
        </w:rPr>
        <w:t>breviations</w:t>
      </w:r>
    </w:p>
    <w:p w14:paraId="5C6DBA98" w14:textId="64CCCAD8" w:rsidR="00FD03BF" w:rsidRPr="007F04EF" w:rsidRDefault="00FD03BF" w:rsidP="00000A2F">
      <w:pPr>
        <w:pStyle w:val="Napis"/>
        <w:rPr>
          <w:rFonts w:cs="Arial"/>
          <w:lang w:val="en-GB"/>
        </w:rPr>
      </w:pPr>
    </w:p>
    <w:tbl>
      <w:tblPr>
        <w:tblW w:w="9072" w:type="dxa"/>
        <w:tblCellMar>
          <w:left w:w="70" w:type="dxa"/>
          <w:right w:w="70" w:type="dxa"/>
        </w:tblCellMar>
        <w:tblLook w:val="04A0" w:firstRow="1" w:lastRow="0" w:firstColumn="1" w:lastColumn="0" w:noHBand="0" w:noVBand="1"/>
      </w:tblPr>
      <w:tblGrid>
        <w:gridCol w:w="1700"/>
        <w:gridCol w:w="7372"/>
      </w:tblGrid>
      <w:tr w:rsidR="00BB4332" w:rsidRPr="007F04EF" w14:paraId="5F60E869" w14:textId="77777777" w:rsidTr="00F92624">
        <w:trPr>
          <w:trHeight w:val="290"/>
        </w:trPr>
        <w:tc>
          <w:tcPr>
            <w:tcW w:w="1700" w:type="dxa"/>
            <w:tcBorders>
              <w:top w:val="nil"/>
              <w:left w:val="nil"/>
              <w:bottom w:val="nil"/>
              <w:right w:val="nil"/>
            </w:tcBorders>
            <w:shd w:val="clear" w:color="auto" w:fill="auto"/>
            <w:noWrap/>
            <w:vAlign w:val="bottom"/>
            <w:hideMark/>
          </w:tcPr>
          <w:p w14:paraId="374C7B54" w14:textId="4944B38A"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AFSV</w:t>
            </w:r>
            <w:r w:rsidR="00F92624" w:rsidRPr="007F04EF">
              <w:rPr>
                <w:rFonts w:ascii="Calibri" w:eastAsia="Times New Roman" w:hAnsi="Calibri" w:cs="Calibri"/>
                <w:color w:val="000000"/>
                <w:szCs w:val="22"/>
                <w:lang w:val="en-GB"/>
              </w:rPr>
              <w:t>S</w:t>
            </w:r>
            <w:r w:rsidRPr="007F04EF">
              <w:rPr>
                <w:rFonts w:ascii="Calibri" w:eastAsia="Times New Roman" w:hAnsi="Calibri" w:cs="Calibri"/>
                <w:color w:val="000000"/>
                <w:szCs w:val="22"/>
                <w:lang w:val="en-GB"/>
              </w:rPr>
              <w:t>PP</w:t>
            </w:r>
          </w:p>
        </w:tc>
        <w:tc>
          <w:tcPr>
            <w:tcW w:w="7372" w:type="dxa"/>
            <w:tcBorders>
              <w:top w:val="nil"/>
              <w:left w:val="nil"/>
              <w:bottom w:val="nil"/>
              <w:right w:val="nil"/>
            </w:tcBorders>
            <w:shd w:val="clear" w:color="auto" w:fill="auto"/>
            <w:noWrap/>
            <w:vAlign w:val="bottom"/>
            <w:hideMark/>
          </w:tcPr>
          <w:p w14:paraId="0C2415B1" w14:textId="62AB7D41"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Administration for</w:t>
            </w:r>
            <w:r w:rsidR="00F92624" w:rsidRPr="007F04EF">
              <w:rPr>
                <w:rFonts w:ascii="Calibri" w:eastAsia="Times New Roman" w:hAnsi="Calibri" w:cs="Calibri"/>
                <w:color w:val="000000"/>
                <w:szCs w:val="22"/>
                <w:lang w:val="en-GB"/>
              </w:rPr>
              <w:t xml:space="preserve"> F</w:t>
            </w:r>
            <w:r w:rsidRPr="007F04EF">
              <w:rPr>
                <w:rFonts w:ascii="Calibri" w:eastAsia="Times New Roman" w:hAnsi="Calibri" w:cs="Calibri"/>
                <w:color w:val="000000"/>
                <w:szCs w:val="22"/>
                <w:lang w:val="en-GB"/>
              </w:rPr>
              <w:t>ood</w:t>
            </w:r>
            <w:r w:rsidR="00F92624" w:rsidRPr="007F04EF">
              <w:rPr>
                <w:rFonts w:ascii="Calibri" w:eastAsia="Times New Roman" w:hAnsi="Calibri" w:cs="Calibri"/>
                <w:color w:val="000000"/>
                <w:szCs w:val="22"/>
                <w:lang w:val="en-GB"/>
              </w:rPr>
              <w:t xml:space="preserve"> S</w:t>
            </w:r>
            <w:r w:rsidRPr="007F04EF">
              <w:rPr>
                <w:rFonts w:ascii="Calibri" w:eastAsia="Times New Roman" w:hAnsi="Calibri" w:cs="Calibri"/>
                <w:color w:val="000000"/>
                <w:szCs w:val="22"/>
                <w:lang w:val="en-GB"/>
              </w:rPr>
              <w:t>afety,</w:t>
            </w:r>
            <w:r w:rsidR="00F92624" w:rsidRPr="007F04EF">
              <w:rPr>
                <w:rFonts w:ascii="Calibri" w:eastAsia="Times New Roman" w:hAnsi="Calibri" w:cs="Calibri"/>
                <w:color w:val="000000"/>
                <w:szCs w:val="22"/>
                <w:lang w:val="en-GB"/>
              </w:rPr>
              <w:t xml:space="preserve"> V</w:t>
            </w:r>
            <w:r w:rsidRPr="007F04EF">
              <w:rPr>
                <w:rFonts w:ascii="Calibri" w:eastAsia="Times New Roman" w:hAnsi="Calibri" w:cs="Calibri"/>
                <w:color w:val="000000"/>
                <w:szCs w:val="22"/>
                <w:lang w:val="en-GB"/>
              </w:rPr>
              <w:t>eterinary</w:t>
            </w:r>
            <w:r w:rsidR="00F92624" w:rsidRPr="007F04EF">
              <w:rPr>
                <w:rFonts w:ascii="Calibri" w:eastAsia="Times New Roman" w:hAnsi="Calibri" w:cs="Calibri"/>
                <w:color w:val="000000"/>
                <w:szCs w:val="22"/>
                <w:lang w:val="en-GB"/>
              </w:rPr>
              <w:t xml:space="preserve"> Sector </w:t>
            </w:r>
            <w:r w:rsidRPr="007F04EF">
              <w:rPr>
                <w:rFonts w:ascii="Calibri" w:eastAsia="Times New Roman" w:hAnsi="Calibri" w:cs="Calibri"/>
                <w:color w:val="000000"/>
                <w:szCs w:val="22"/>
                <w:lang w:val="en-GB"/>
              </w:rPr>
              <w:t>and</w:t>
            </w:r>
            <w:r w:rsidR="00F92624" w:rsidRPr="007F04EF">
              <w:rPr>
                <w:rFonts w:ascii="Calibri" w:eastAsia="Times New Roman" w:hAnsi="Calibri" w:cs="Calibri"/>
                <w:color w:val="000000"/>
                <w:szCs w:val="22"/>
                <w:lang w:val="en-GB"/>
              </w:rPr>
              <w:t xml:space="preserve"> P</w:t>
            </w:r>
            <w:r w:rsidRPr="007F04EF">
              <w:rPr>
                <w:rFonts w:ascii="Calibri" w:eastAsia="Times New Roman" w:hAnsi="Calibri" w:cs="Calibri"/>
                <w:color w:val="000000"/>
                <w:szCs w:val="22"/>
                <w:lang w:val="en-GB"/>
              </w:rPr>
              <w:t>lant</w:t>
            </w:r>
            <w:r w:rsidR="00F92624" w:rsidRPr="007F04EF">
              <w:rPr>
                <w:rFonts w:ascii="Calibri" w:eastAsia="Times New Roman" w:hAnsi="Calibri" w:cs="Calibri"/>
                <w:color w:val="000000"/>
                <w:szCs w:val="22"/>
                <w:lang w:val="en-GB"/>
              </w:rPr>
              <w:t xml:space="preserve"> P</w:t>
            </w:r>
            <w:r w:rsidRPr="007F04EF">
              <w:rPr>
                <w:rFonts w:ascii="Calibri" w:eastAsia="Times New Roman" w:hAnsi="Calibri" w:cs="Calibri"/>
                <w:color w:val="000000"/>
                <w:szCs w:val="22"/>
                <w:lang w:val="en-GB"/>
              </w:rPr>
              <w:t>rotection</w:t>
            </w:r>
          </w:p>
        </w:tc>
      </w:tr>
      <w:tr w:rsidR="00BB4332" w:rsidRPr="007F04EF" w14:paraId="5C42FE64" w14:textId="77777777" w:rsidTr="00F92624">
        <w:trPr>
          <w:trHeight w:val="290"/>
        </w:trPr>
        <w:tc>
          <w:tcPr>
            <w:tcW w:w="1700" w:type="dxa"/>
            <w:tcBorders>
              <w:top w:val="nil"/>
              <w:left w:val="nil"/>
              <w:bottom w:val="nil"/>
              <w:right w:val="nil"/>
            </w:tcBorders>
            <w:shd w:val="clear" w:color="auto" w:fill="auto"/>
            <w:noWrap/>
            <w:vAlign w:val="bottom"/>
            <w:hideMark/>
          </w:tcPr>
          <w:p w14:paraId="23C0FE6E"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EC</w:t>
            </w:r>
          </w:p>
        </w:tc>
        <w:tc>
          <w:tcPr>
            <w:tcW w:w="7372" w:type="dxa"/>
            <w:tcBorders>
              <w:top w:val="nil"/>
              <w:left w:val="nil"/>
              <w:bottom w:val="nil"/>
              <w:right w:val="nil"/>
            </w:tcBorders>
            <w:shd w:val="clear" w:color="auto" w:fill="auto"/>
            <w:noWrap/>
            <w:vAlign w:val="bottom"/>
            <w:hideMark/>
          </w:tcPr>
          <w:p w14:paraId="3DED8639"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European Commission</w:t>
            </w:r>
          </w:p>
        </w:tc>
      </w:tr>
      <w:tr w:rsidR="00BB4332" w:rsidRPr="007F04EF" w14:paraId="6C2DB1CA" w14:textId="77777777" w:rsidTr="00F92624">
        <w:trPr>
          <w:trHeight w:val="290"/>
        </w:trPr>
        <w:tc>
          <w:tcPr>
            <w:tcW w:w="1700" w:type="dxa"/>
            <w:tcBorders>
              <w:top w:val="nil"/>
              <w:left w:val="nil"/>
              <w:bottom w:val="nil"/>
              <w:right w:val="nil"/>
            </w:tcBorders>
            <w:shd w:val="clear" w:color="auto" w:fill="auto"/>
            <w:noWrap/>
            <w:vAlign w:val="bottom"/>
            <w:hideMark/>
          </w:tcPr>
          <w:p w14:paraId="11261953"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w:t>
            </w:r>
          </w:p>
        </w:tc>
        <w:tc>
          <w:tcPr>
            <w:tcW w:w="7372" w:type="dxa"/>
            <w:tcBorders>
              <w:top w:val="nil"/>
              <w:left w:val="nil"/>
              <w:bottom w:val="nil"/>
              <w:right w:val="nil"/>
            </w:tcBorders>
            <w:shd w:val="clear" w:color="auto" w:fill="auto"/>
            <w:noWrap/>
            <w:vAlign w:val="bottom"/>
            <w:hideMark/>
          </w:tcPr>
          <w:p w14:paraId="7DA63434"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European Union</w:t>
            </w:r>
          </w:p>
        </w:tc>
      </w:tr>
      <w:tr w:rsidR="00BB4332" w:rsidRPr="007F04EF" w14:paraId="79A8F820" w14:textId="77777777" w:rsidTr="00F92624">
        <w:trPr>
          <w:trHeight w:val="290"/>
        </w:trPr>
        <w:tc>
          <w:tcPr>
            <w:tcW w:w="1700" w:type="dxa"/>
            <w:tcBorders>
              <w:top w:val="nil"/>
              <w:left w:val="nil"/>
              <w:bottom w:val="nil"/>
              <w:right w:val="nil"/>
            </w:tcBorders>
            <w:shd w:val="clear" w:color="auto" w:fill="auto"/>
            <w:noWrap/>
            <w:vAlign w:val="bottom"/>
            <w:hideMark/>
          </w:tcPr>
          <w:p w14:paraId="300A78D0"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EUROSTAT</w:t>
            </w:r>
          </w:p>
        </w:tc>
        <w:tc>
          <w:tcPr>
            <w:tcW w:w="7372" w:type="dxa"/>
            <w:tcBorders>
              <w:top w:val="nil"/>
              <w:left w:val="nil"/>
              <w:bottom w:val="nil"/>
              <w:right w:val="nil"/>
            </w:tcBorders>
            <w:shd w:val="clear" w:color="auto" w:fill="auto"/>
            <w:noWrap/>
            <w:vAlign w:val="bottom"/>
            <w:hideMark/>
          </w:tcPr>
          <w:p w14:paraId="1CC982BB" w14:textId="3DB81A5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European </w:t>
            </w:r>
            <w:r w:rsidR="00407E4F" w:rsidRPr="007F04EF">
              <w:rPr>
                <w:rFonts w:ascii="Calibri" w:eastAsia="Times New Roman" w:hAnsi="Calibri" w:cs="Calibri"/>
                <w:color w:val="000000"/>
                <w:szCs w:val="22"/>
                <w:lang w:val="en-GB"/>
              </w:rPr>
              <w:t>S</w:t>
            </w:r>
            <w:r w:rsidRPr="007F04EF">
              <w:rPr>
                <w:rFonts w:ascii="Calibri" w:eastAsia="Times New Roman" w:hAnsi="Calibri" w:cs="Calibri"/>
                <w:color w:val="000000"/>
                <w:szCs w:val="22"/>
                <w:lang w:val="en-GB"/>
              </w:rPr>
              <w:t>tatistical</w:t>
            </w:r>
            <w:r w:rsidR="00407E4F" w:rsidRPr="007F04EF">
              <w:rPr>
                <w:rFonts w:ascii="Calibri" w:eastAsia="Times New Roman" w:hAnsi="Calibri" w:cs="Calibri"/>
                <w:color w:val="000000"/>
                <w:szCs w:val="22"/>
                <w:lang w:val="en-GB"/>
              </w:rPr>
              <w:t xml:space="preserve"> O</w:t>
            </w:r>
            <w:r w:rsidRPr="007F04EF">
              <w:rPr>
                <w:rFonts w:ascii="Calibri" w:eastAsia="Times New Roman" w:hAnsi="Calibri" w:cs="Calibri"/>
                <w:color w:val="000000"/>
                <w:szCs w:val="22"/>
                <w:lang w:val="en-GB"/>
              </w:rPr>
              <w:t>ffice</w:t>
            </w:r>
          </w:p>
        </w:tc>
      </w:tr>
      <w:tr w:rsidR="00BB4332" w:rsidRPr="007F04EF" w14:paraId="0FF9A14D" w14:textId="77777777" w:rsidTr="00F92624">
        <w:trPr>
          <w:trHeight w:val="290"/>
        </w:trPr>
        <w:tc>
          <w:tcPr>
            <w:tcW w:w="1700" w:type="dxa"/>
            <w:tcBorders>
              <w:top w:val="nil"/>
              <w:left w:val="nil"/>
              <w:bottom w:val="nil"/>
              <w:right w:val="nil"/>
            </w:tcBorders>
            <w:shd w:val="clear" w:color="auto" w:fill="auto"/>
            <w:noWrap/>
            <w:vAlign w:val="bottom"/>
            <w:hideMark/>
          </w:tcPr>
          <w:p w14:paraId="6243ECAB"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IPM</w:t>
            </w:r>
          </w:p>
        </w:tc>
        <w:tc>
          <w:tcPr>
            <w:tcW w:w="7372" w:type="dxa"/>
            <w:tcBorders>
              <w:top w:val="nil"/>
              <w:left w:val="nil"/>
              <w:bottom w:val="nil"/>
              <w:right w:val="nil"/>
            </w:tcBorders>
            <w:shd w:val="clear" w:color="auto" w:fill="auto"/>
            <w:noWrap/>
            <w:vAlign w:val="bottom"/>
            <w:hideMark/>
          </w:tcPr>
          <w:p w14:paraId="62DB3E80" w14:textId="7190FAB6"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Integrated </w:t>
            </w:r>
            <w:r w:rsidR="00711DAE" w:rsidRPr="007F04EF">
              <w:rPr>
                <w:rFonts w:ascii="Calibri" w:eastAsia="Times New Roman" w:hAnsi="Calibri" w:cs="Calibri"/>
                <w:color w:val="000000"/>
                <w:szCs w:val="22"/>
                <w:lang w:val="en-GB"/>
              </w:rPr>
              <w:t>Pest Management</w:t>
            </w:r>
          </w:p>
        </w:tc>
      </w:tr>
      <w:tr w:rsidR="00BB4332" w:rsidRPr="007F04EF" w14:paraId="45613EC0" w14:textId="77777777" w:rsidTr="00F92624">
        <w:trPr>
          <w:trHeight w:val="290"/>
        </w:trPr>
        <w:tc>
          <w:tcPr>
            <w:tcW w:w="1700" w:type="dxa"/>
            <w:tcBorders>
              <w:top w:val="nil"/>
              <w:left w:val="nil"/>
              <w:bottom w:val="nil"/>
              <w:right w:val="nil"/>
            </w:tcBorders>
            <w:shd w:val="clear" w:color="auto" w:fill="auto"/>
            <w:noWrap/>
            <w:vAlign w:val="bottom"/>
            <w:hideMark/>
          </w:tcPr>
          <w:p w14:paraId="76ADB08E"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MAFF</w:t>
            </w:r>
          </w:p>
        </w:tc>
        <w:tc>
          <w:tcPr>
            <w:tcW w:w="7372" w:type="dxa"/>
            <w:tcBorders>
              <w:top w:val="nil"/>
              <w:left w:val="nil"/>
              <w:bottom w:val="nil"/>
              <w:right w:val="nil"/>
            </w:tcBorders>
            <w:shd w:val="clear" w:color="auto" w:fill="auto"/>
            <w:noWrap/>
            <w:vAlign w:val="bottom"/>
            <w:hideMark/>
          </w:tcPr>
          <w:p w14:paraId="005B3086" w14:textId="713AEF50"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Ministry of </w:t>
            </w:r>
            <w:r w:rsidR="00F92624" w:rsidRPr="007F04EF">
              <w:rPr>
                <w:rFonts w:ascii="Calibri" w:eastAsia="Times New Roman" w:hAnsi="Calibri" w:cs="Calibri"/>
                <w:color w:val="000000"/>
                <w:szCs w:val="22"/>
                <w:lang w:val="en-GB"/>
              </w:rPr>
              <w:t>A</w:t>
            </w:r>
            <w:r w:rsidRPr="007F04EF">
              <w:rPr>
                <w:rFonts w:ascii="Calibri" w:eastAsia="Times New Roman" w:hAnsi="Calibri" w:cs="Calibri"/>
                <w:color w:val="000000"/>
                <w:szCs w:val="22"/>
                <w:lang w:val="en-GB"/>
              </w:rPr>
              <w:t xml:space="preserve">griculture, </w:t>
            </w:r>
            <w:r w:rsidR="00F92624" w:rsidRPr="007F04EF">
              <w:rPr>
                <w:rFonts w:ascii="Calibri" w:eastAsia="Times New Roman" w:hAnsi="Calibri" w:cs="Calibri"/>
                <w:color w:val="000000"/>
                <w:szCs w:val="22"/>
                <w:lang w:val="en-GB"/>
              </w:rPr>
              <w:t>F</w:t>
            </w:r>
            <w:r w:rsidRPr="007F04EF">
              <w:rPr>
                <w:rFonts w:ascii="Calibri" w:eastAsia="Times New Roman" w:hAnsi="Calibri" w:cs="Calibri"/>
                <w:color w:val="000000"/>
                <w:szCs w:val="22"/>
                <w:lang w:val="en-GB"/>
              </w:rPr>
              <w:t xml:space="preserve">orestry and </w:t>
            </w:r>
            <w:r w:rsidR="00F92624" w:rsidRPr="007F04EF">
              <w:rPr>
                <w:rFonts w:ascii="Calibri" w:eastAsia="Times New Roman" w:hAnsi="Calibri" w:cs="Calibri"/>
                <w:color w:val="000000"/>
                <w:szCs w:val="22"/>
                <w:lang w:val="en-GB"/>
              </w:rPr>
              <w:t>F</w:t>
            </w:r>
            <w:r w:rsidRPr="007F04EF">
              <w:rPr>
                <w:rFonts w:ascii="Calibri" w:eastAsia="Times New Roman" w:hAnsi="Calibri" w:cs="Calibri"/>
                <w:color w:val="000000"/>
                <w:szCs w:val="22"/>
                <w:lang w:val="en-GB"/>
              </w:rPr>
              <w:t>ood</w:t>
            </w:r>
          </w:p>
        </w:tc>
      </w:tr>
      <w:tr w:rsidR="00BB4332" w:rsidRPr="007F04EF" w14:paraId="724E0D64" w14:textId="77777777" w:rsidTr="00F92624">
        <w:trPr>
          <w:trHeight w:val="290"/>
        </w:trPr>
        <w:tc>
          <w:tcPr>
            <w:tcW w:w="1700" w:type="dxa"/>
            <w:tcBorders>
              <w:top w:val="nil"/>
              <w:left w:val="nil"/>
              <w:bottom w:val="nil"/>
              <w:right w:val="nil"/>
            </w:tcBorders>
            <w:shd w:val="clear" w:color="auto" w:fill="auto"/>
            <w:noWrap/>
            <w:vAlign w:val="bottom"/>
            <w:hideMark/>
          </w:tcPr>
          <w:p w14:paraId="3EB11CD3" w14:textId="2F9DA9BD"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MO</w:t>
            </w:r>
            <w:r w:rsidR="008E7200" w:rsidRPr="007F04EF">
              <w:rPr>
                <w:rFonts w:ascii="Calibri" w:eastAsia="Times New Roman" w:hAnsi="Calibri" w:cs="Calibri"/>
                <w:color w:val="000000"/>
                <w:szCs w:val="22"/>
                <w:lang w:val="en-GB"/>
              </w:rPr>
              <w:t>s</w:t>
            </w:r>
          </w:p>
        </w:tc>
        <w:tc>
          <w:tcPr>
            <w:tcW w:w="7372" w:type="dxa"/>
            <w:tcBorders>
              <w:top w:val="nil"/>
              <w:left w:val="nil"/>
              <w:bottom w:val="nil"/>
              <w:right w:val="nil"/>
            </w:tcBorders>
            <w:shd w:val="clear" w:color="auto" w:fill="auto"/>
            <w:noWrap/>
            <w:vAlign w:val="bottom"/>
            <w:hideMark/>
          </w:tcPr>
          <w:p w14:paraId="2BABA10C"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Microorganisms</w:t>
            </w:r>
          </w:p>
        </w:tc>
      </w:tr>
      <w:tr w:rsidR="00BB4332" w:rsidRPr="007F04EF" w14:paraId="44807876" w14:textId="77777777" w:rsidTr="00F92624">
        <w:trPr>
          <w:trHeight w:val="290"/>
        </w:trPr>
        <w:tc>
          <w:tcPr>
            <w:tcW w:w="1700" w:type="dxa"/>
            <w:tcBorders>
              <w:top w:val="nil"/>
              <w:left w:val="nil"/>
              <w:bottom w:val="nil"/>
              <w:right w:val="nil"/>
            </w:tcBorders>
            <w:shd w:val="clear" w:color="auto" w:fill="auto"/>
            <w:noWrap/>
            <w:vAlign w:val="bottom"/>
            <w:hideMark/>
          </w:tcPr>
          <w:p w14:paraId="3764B2D5"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NAP</w:t>
            </w:r>
          </w:p>
        </w:tc>
        <w:tc>
          <w:tcPr>
            <w:tcW w:w="7372" w:type="dxa"/>
            <w:tcBorders>
              <w:top w:val="nil"/>
              <w:left w:val="nil"/>
              <w:bottom w:val="nil"/>
              <w:right w:val="nil"/>
            </w:tcBorders>
            <w:shd w:val="clear" w:color="auto" w:fill="auto"/>
            <w:noWrap/>
            <w:vAlign w:val="bottom"/>
            <w:hideMark/>
          </w:tcPr>
          <w:p w14:paraId="2D2D78CF" w14:textId="398162AE"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National </w:t>
            </w:r>
            <w:r w:rsidR="00F92624" w:rsidRPr="007F04EF">
              <w:rPr>
                <w:rFonts w:ascii="Calibri" w:eastAsia="Times New Roman" w:hAnsi="Calibri" w:cs="Calibri"/>
                <w:color w:val="000000"/>
                <w:szCs w:val="22"/>
                <w:lang w:val="en-GB"/>
              </w:rPr>
              <w:t xml:space="preserve">Action Plan </w:t>
            </w:r>
            <w:r w:rsidRPr="007F04EF">
              <w:rPr>
                <w:rFonts w:ascii="Calibri" w:eastAsia="Times New Roman" w:hAnsi="Calibri" w:cs="Calibri"/>
                <w:color w:val="000000"/>
                <w:szCs w:val="22"/>
                <w:lang w:val="en-GB"/>
              </w:rPr>
              <w:t xml:space="preserve">for </w:t>
            </w:r>
            <w:r w:rsidR="00F92624" w:rsidRPr="007F04EF">
              <w:rPr>
                <w:rFonts w:ascii="Calibri" w:eastAsia="Times New Roman" w:hAnsi="Calibri" w:cs="Calibri"/>
                <w:color w:val="000000"/>
                <w:szCs w:val="22"/>
                <w:lang w:val="en-GB"/>
              </w:rPr>
              <w:t xml:space="preserve">Sustainable Use </w:t>
            </w:r>
            <w:r w:rsidRPr="007F04EF">
              <w:rPr>
                <w:rFonts w:ascii="Calibri" w:eastAsia="Times New Roman" w:hAnsi="Calibri" w:cs="Calibri"/>
                <w:color w:val="000000"/>
                <w:szCs w:val="22"/>
                <w:lang w:val="en-GB"/>
              </w:rPr>
              <w:t>of PPPs</w:t>
            </w:r>
          </w:p>
        </w:tc>
      </w:tr>
      <w:tr w:rsidR="00BB4332" w:rsidRPr="007F04EF" w14:paraId="5D9752A6" w14:textId="77777777" w:rsidTr="00F92624">
        <w:trPr>
          <w:trHeight w:val="290"/>
        </w:trPr>
        <w:tc>
          <w:tcPr>
            <w:tcW w:w="1700" w:type="dxa"/>
            <w:tcBorders>
              <w:top w:val="nil"/>
              <w:left w:val="nil"/>
              <w:bottom w:val="nil"/>
              <w:right w:val="nil"/>
            </w:tcBorders>
            <w:shd w:val="clear" w:color="auto" w:fill="auto"/>
            <w:noWrap/>
            <w:vAlign w:val="bottom"/>
            <w:hideMark/>
          </w:tcPr>
          <w:p w14:paraId="0F9A29DA"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PPPs</w:t>
            </w:r>
          </w:p>
        </w:tc>
        <w:tc>
          <w:tcPr>
            <w:tcW w:w="7372" w:type="dxa"/>
            <w:tcBorders>
              <w:top w:val="nil"/>
              <w:left w:val="nil"/>
              <w:bottom w:val="nil"/>
              <w:right w:val="nil"/>
            </w:tcBorders>
            <w:shd w:val="clear" w:color="auto" w:fill="auto"/>
            <w:noWrap/>
            <w:vAlign w:val="bottom"/>
            <w:hideMark/>
          </w:tcPr>
          <w:p w14:paraId="284441A6" w14:textId="7376C0D4"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Plant </w:t>
            </w:r>
            <w:r w:rsidR="008E7200" w:rsidRPr="007F04EF">
              <w:rPr>
                <w:rFonts w:ascii="Calibri" w:eastAsia="Times New Roman" w:hAnsi="Calibri" w:cs="Calibri"/>
                <w:color w:val="000000"/>
                <w:szCs w:val="22"/>
                <w:lang w:val="en-GB"/>
              </w:rPr>
              <w:t>Protection Products</w:t>
            </w:r>
          </w:p>
        </w:tc>
      </w:tr>
      <w:tr w:rsidR="00BB4332" w:rsidRPr="007F04EF" w14:paraId="2FD30B28" w14:textId="77777777" w:rsidTr="00F92624">
        <w:trPr>
          <w:trHeight w:val="290"/>
        </w:trPr>
        <w:tc>
          <w:tcPr>
            <w:tcW w:w="1700" w:type="dxa"/>
            <w:tcBorders>
              <w:top w:val="nil"/>
              <w:left w:val="nil"/>
              <w:bottom w:val="nil"/>
              <w:right w:val="nil"/>
            </w:tcBorders>
            <w:shd w:val="clear" w:color="auto" w:fill="auto"/>
            <w:noWrap/>
            <w:vAlign w:val="bottom"/>
            <w:hideMark/>
          </w:tcPr>
          <w:p w14:paraId="114A7FE0"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RS</w:t>
            </w:r>
          </w:p>
        </w:tc>
        <w:tc>
          <w:tcPr>
            <w:tcW w:w="7372" w:type="dxa"/>
            <w:tcBorders>
              <w:top w:val="nil"/>
              <w:left w:val="nil"/>
              <w:bottom w:val="nil"/>
              <w:right w:val="nil"/>
            </w:tcBorders>
            <w:shd w:val="clear" w:color="auto" w:fill="auto"/>
            <w:noWrap/>
            <w:vAlign w:val="bottom"/>
            <w:hideMark/>
          </w:tcPr>
          <w:p w14:paraId="7218787B"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Republic of Slovenia</w:t>
            </w:r>
          </w:p>
        </w:tc>
      </w:tr>
      <w:tr w:rsidR="00BB4332" w:rsidRPr="007F04EF" w14:paraId="2FC49198" w14:textId="77777777" w:rsidTr="00F92624">
        <w:trPr>
          <w:trHeight w:val="290"/>
        </w:trPr>
        <w:tc>
          <w:tcPr>
            <w:tcW w:w="1700" w:type="dxa"/>
            <w:tcBorders>
              <w:top w:val="nil"/>
              <w:left w:val="nil"/>
              <w:bottom w:val="nil"/>
              <w:right w:val="nil"/>
            </w:tcBorders>
            <w:shd w:val="clear" w:color="auto" w:fill="auto"/>
            <w:noWrap/>
            <w:vAlign w:val="bottom"/>
            <w:hideMark/>
          </w:tcPr>
          <w:p w14:paraId="4E5FDCC4"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SORS</w:t>
            </w:r>
          </w:p>
        </w:tc>
        <w:tc>
          <w:tcPr>
            <w:tcW w:w="7372" w:type="dxa"/>
            <w:tcBorders>
              <w:top w:val="nil"/>
              <w:left w:val="nil"/>
              <w:bottom w:val="nil"/>
              <w:right w:val="nil"/>
            </w:tcBorders>
            <w:shd w:val="clear" w:color="auto" w:fill="auto"/>
            <w:noWrap/>
            <w:vAlign w:val="bottom"/>
            <w:hideMark/>
          </w:tcPr>
          <w:p w14:paraId="4EA51FDF" w14:textId="4B7FC4C4"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Statistical </w:t>
            </w:r>
            <w:r w:rsidR="00407E4F" w:rsidRPr="007F04EF">
              <w:rPr>
                <w:rFonts w:ascii="Calibri" w:eastAsia="Times New Roman" w:hAnsi="Calibri" w:cs="Calibri"/>
                <w:color w:val="000000"/>
                <w:szCs w:val="22"/>
                <w:lang w:val="en-GB"/>
              </w:rPr>
              <w:t>O</w:t>
            </w:r>
            <w:r w:rsidRPr="007F04EF">
              <w:rPr>
                <w:rFonts w:ascii="Calibri" w:eastAsia="Times New Roman" w:hAnsi="Calibri" w:cs="Calibri"/>
                <w:color w:val="000000"/>
                <w:szCs w:val="22"/>
                <w:lang w:val="en-GB"/>
              </w:rPr>
              <w:t>ffice of the Republic of Slovenia</w:t>
            </w:r>
          </w:p>
        </w:tc>
      </w:tr>
      <w:tr w:rsidR="00BB4332" w:rsidRPr="007F04EF" w14:paraId="2C94ED38" w14:textId="77777777" w:rsidTr="00F92624">
        <w:trPr>
          <w:trHeight w:val="290"/>
        </w:trPr>
        <w:tc>
          <w:tcPr>
            <w:tcW w:w="1700" w:type="dxa"/>
            <w:tcBorders>
              <w:top w:val="nil"/>
              <w:left w:val="nil"/>
              <w:bottom w:val="nil"/>
              <w:right w:val="nil"/>
            </w:tcBorders>
            <w:shd w:val="clear" w:color="auto" w:fill="auto"/>
            <w:noWrap/>
            <w:vAlign w:val="bottom"/>
            <w:hideMark/>
          </w:tcPr>
          <w:p w14:paraId="2312370F"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SUD</w:t>
            </w:r>
          </w:p>
        </w:tc>
        <w:tc>
          <w:tcPr>
            <w:tcW w:w="7372" w:type="dxa"/>
            <w:tcBorders>
              <w:top w:val="nil"/>
              <w:left w:val="nil"/>
              <w:bottom w:val="nil"/>
              <w:right w:val="nil"/>
            </w:tcBorders>
            <w:shd w:val="clear" w:color="auto" w:fill="auto"/>
            <w:noWrap/>
            <w:vAlign w:val="bottom"/>
            <w:hideMark/>
          </w:tcPr>
          <w:p w14:paraId="0CD6EED4" w14:textId="2FA5745B"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Sustainable </w:t>
            </w:r>
            <w:r w:rsidR="008E7200" w:rsidRPr="007F04EF">
              <w:rPr>
                <w:rFonts w:ascii="Calibri" w:eastAsia="Times New Roman" w:hAnsi="Calibri" w:cs="Calibri"/>
                <w:color w:val="000000"/>
                <w:szCs w:val="22"/>
                <w:lang w:val="en-GB"/>
              </w:rPr>
              <w:t>U</w:t>
            </w:r>
            <w:r w:rsidRPr="007F04EF">
              <w:rPr>
                <w:rFonts w:ascii="Calibri" w:eastAsia="Times New Roman" w:hAnsi="Calibri" w:cs="Calibri"/>
                <w:color w:val="000000"/>
                <w:szCs w:val="22"/>
                <w:lang w:val="en-GB"/>
              </w:rPr>
              <w:t>se Directive</w:t>
            </w:r>
          </w:p>
        </w:tc>
      </w:tr>
    </w:tbl>
    <w:p w14:paraId="789C4723" w14:textId="77777777" w:rsidR="00FD03BF" w:rsidRPr="007F04EF" w:rsidRDefault="00FD03BF">
      <w:pPr>
        <w:rPr>
          <w:rFonts w:cs="Arial"/>
          <w:lang w:val="en-GB"/>
        </w:rPr>
      </w:pPr>
    </w:p>
    <w:p w14:paraId="4BB8C7BD" w14:textId="30F5913A" w:rsidR="00FD03BF" w:rsidRPr="007F04EF" w:rsidRDefault="00245456">
      <w:pPr>
        <w:rPr>
          <w:rFonts w:cs="Arial"/>
          <w:lang w:val="en-GB"/>
        </w:rPr>
      </w:pPr>
      <w:r w:rsidRPr="007F04EF">
        <w:rPr>
          <w:rFonts w:cs="Arial"/>
          <w:lang w:val="en-GB"/>
        </w:rPr>
        <w:br w:type="page"/>
      </w:r>
    </w:p>
    <w:p w14:paraId="2447C9CC" w14:textId="2B11CD72" w:rsidR="00254EBE" w:rsidRPr="007F04EF" w:rsidRDefault="00254EBE" w:rsidP="00535C80">
      <w:pPr>
        <w:rPr>
          <w:lang w:val="en-GB"/>
        </w:rPr>
      </w:pPr>
      <w:r w:rsidRPr="007F04EF">
        <w:rPr>
          <w:lang w:val="en-GB"/>
        </w:rPr>
        <w:lastRenderedPageBreak/>
        <w:t xml:space="preserve">Based on </w:t>
      </w:r>
      <w:r w:rsidR="004B362C" w:rsidRPr="007F04EF">
        <w:rPr>
          <w:lang w:val="en-GB"/>
        </w:rPr>
        <w:t>point</w:t>
      </w:r>
      <w:r w:rsidRPr="007F04EF">
        <w:rPr>
          <w:lang w:val="en-GB"/>
        </w:rPr>
        <w:t xml:space="preserve"> 8 of the National </w:t>
      </w:r>
      <w:r w:rsidR="000D39D7" w:rsidRPr="007F04EF">
        <w:rPr>
          <w:lang w:val="en-GB"/>
        </w:rPr>
        <w:t xml:space="preserve">Action Plan </w:t>
      </w:r>
      <w:r w:rsidR="00FF1795" w:rsidRPr="007F04EF">
        <w:rPr>
          <w:lang w:val="en-GB"/>
        </w:rPr>
        <w:t>to achieve</w:t>
      </w:r>
      <w:r w:rsidRPr="007F04EF">
        <w:rPr>
          <w:lang w:val="en-GB"/>
        </w:rPr>
        <w:t xml:space="preserve"> sustainable use of plant protection products for the period 201</w:t>
      </w:r>
      <w:r w:rsidR="00D90FF8" w:rsidRPr="007F04EF">
        <w:rPr>
          <w:lang w:val="en-GB"/>
        </w:rPr>
        <w:t>2</w:t>
      </w:r>
      <w:r w:rsidRPr="007F04EF">
        <w:rPr>
          <w:lang w:val="en-GB"/>
        </w:rPr>
        <w:t xml:space="preserve"> – 2022, the Ministry of </w:t>
      </w:r>
      <w:r w:rsidR="000D39D7" w:rsidRPr="007F04EF">
        <w:rPr>
          <w:lang w:val="en-GB"/>
        </w:rPr>
        <w:t xml:space="preserve">Agriculture, Forestry </w:t>
      </w:r>
      <w:r w:rsidRPr="007F04EF">
        <w:rPr>
          <w:lang w:val="en-GB"/>
        </w:rPr>
        <w:t xml:space="preserve">and </w:t>
      </w:r>
      <w:r w:rsidR="000D39D7" w:rsidRPr="007F04EF">
        <w:rPr>
          <w:lang w:val="en-GB"/>
        </w:rPr>
        <w:t xml:space="preserve">Food </w:t>
      </w:r>
      <w:r w:rsidRPr="007F04EF">
        <w:rPr>
          <w:lang w:val="en-GB"/>
        </w:rPr>
        <w:t>adopted</w:t>
      </w:r>
      <w:r w:rsidR="000D39D7" w:rsidRPr="007F04EF">
        <w:rPr>
          <w:lang w:val="en-GB"/>
        </w:rPr>
        <w:t xml:space="preserve"> the</w:t>
      </w:r>
      <w:r w:rsidRPr="007F04EF">
        <w:rPr>
          <w:lang w:val="en-GB"/>
        </w:rPr>
        <w:t xml:space="preserve"> </w:t>
      </w:r>
    </w:p>
    <w:p w14:paraId="72C4688B" w14:textId="77777777" w:rsidR="00407E4F" w:rsidRPr="007F04EF" w:rsidRDefault="00407E4F" w:rsidP="00535C80">
      <w:pPr>
        <w:rPr>
          <w:lang w:val="en-GB"/>
        </w:rPr>
      </w:pPr>
    </w:p>
    <w:p w14:paraId="1268C2EA" w14:textId="77777777" w:rsidR="00407E4F" w:rsidRPr="007F04EF" w:rsidRDefault="00407E4F" w:rsidP="00535C80">
      <w:pPr>
        <w:rPr>
          <w:lang w:val="en-GB"/>
        </w:rPr>
      </w:pPr>
    </w:p>
    <w:p w14:paraId="593CE9C4" w14:textId="0A9CD334" w:rsidR="00254EBE" w:rsidRPr="007F04EF" w:rsidRDefault="00254EBE" w:rsidP="00D90FF8">
      <w:pPr>
        <w:jc w:val="center"/>
        <w:rPr>
          <w:b/>
          <w:bCs/>
          <w:lang w:val="en-GB"/>
        </w:rPr>
      </w:pPr>
      <w:r w:rsidRPr="007F04EF">
        <w:rPr>
          <w:b/>
          <w:bCs/>
          <w:lang w:val="en-GB"/>
        </w:rPr>
        <w:t xml:space="preserve">Final report </w:t>
      </w:r>
      <w:r w:rsidR="00D90FF8" w:rsidRPr="007F04EF">
        <w:rPr>
          <w:b/>
          <w:bCs/>
          <w:lang w:val="en-GB"/>
        </w:rPr>
        <w:t xml:space="preserve">on the progress of </w:t>
      </w:r>
      <w:r w:rsidR="00870DF1" w:rsidRPr="007F04EF">
        <w:rPr>
          <w:b/>
          <w:bCs/>
          <w:lang w:val="en-GB"/>
        </w:rPr>
        <w:t>reaching</w:t>
      </w:r>
      <w:r w:rsidR="00D90FF8" w:rsidRPr="007F04EF">
        <w:rPr>
          <w:b/>
          <w:bCs/>
          <w:lang w:val="en-GB"/>
        </w:rPr>
        <w:t xml:space="preserve"> targets defined by National </w:t>
      </w:r>
      <w:r w:rsidR="000D39D7" w:rsidRPr="007F04EF">
        <w:rPr>
          <w:b/>
          <w:bCs/>
          <w:lang w:val="en-GB"/>
        </w:rPr>
        <w:t xml:space="preserve">Action Plan </w:t>
      </w:r>
      <w:r w:rsidR="00D90FF8" w:rsidRPr="007F04EF">
        <w:rPr>
          <w:b/>
          <w:bCs/>
          <w:lang w:val="en-GB"/>
        </w:rPr>
        <w:t>to achieve sustainable use of plant protection products for the period 2018</w:t>
      </w:r>
      <w:r w:rsidR="000D39D7" w:rsidRPr="007F04EF">
        <w:rPr>
          <w:b/>
          <w:bCs/>
          <w:lang w:val="en-GB"/>
        </w:rPr>
        <w:t xml:space="preserve"> – </w:t>
      </w:r>
      <w:r w:rsidR="00D90FF8" w:rsidRPr="007F04EF">
        <w:rPr>
          <w:b/>
          <w:bCs/>
          <w:lang w:val="en-GB"/>
        </w:rPr>
        <w:t>2022.</w:t>
      </w:r>
    </w:p>
    <w:p w14:paraId="2E5B367B" w14:textId="77777777" w:rsidR="007737DA" w:rsidRPr="007F04EF" w:rsidRDefault="007737DA" w:rsidP="003D47F9">
      <w:pPr>
        <w:pStyle w:val="Odstavekseznama"/>
        <w:spacing w:beforeLines="60" w:before="144" w:afterLines="60" w:after="144"/>
        <w:ind w:left="0"/>
        <w:rPr>
          <w:rFonts w:cs="Arial"/>
          <w:lang w:val="en-GB"/>
        </w:rPr>
      </w:pPr>
    </w:p>
    <w:p w14:paraId="2C8F8CA7" w14:textId="4B1AA854" w:rsidR="009B6EF4" w:rsidRPr="007F04EF" w:rsidRDefault="00D90FF8" w:rsidP="0036307E">
      <w:pPr>
        <w:pStyle w:val="Naslov3"/>
        <w:rPr>
          <w:lang w:val="en-GB"/>
        </w:rPr>
      </w:pPr>
      <w:bookmarkStart w:id="0" w:name="_Toc172027292"/>
      <w:r w:rsidRPr="007F04EF">
        <w:rPr>
          <w:lang w:val="en-GB"/>
        </w:rPr>
        <w:t>Introduction</w:t>
      </w:r>
      <w:bookmarkEnd w:id="0"/>
    </w:p>
    <w:p w14:paraId="20057EF1" w14:textId="77777777" w:rsidR="00407E4F" w:rsidRPr="007F04EF" w:rsidRDefault="00407E4F" w:rsidP="00407E4F">
      <w:pPr>
        <w:rPr>
          <w:lang w:val="en-GB"/>
        </w:rPr>
      </w:pPr>
    </w:p>
    <w:p w14:paraId="39BCE360" w14:textId="7E03B06D" w:rsidR="00D90FF8" w:rsidRPr="007F04EF" w:rsidRDefault="00FF1795" w:rsidP="00407E4F">
      <w:pPr>
        <w:jc w:val="both"/>
        <w:rPr>
          <w:lang w:val="en-GB"/>
        </w:rPr>
      </w:pPr>
      <w:r w:rsidRPr="007F04EF">
        <w:rPr>
          <w:lang w:val="en-GB"/>
        </w:rPr>
        <w:t xml:space="preserve">Act on </w:t>
      </w:r>
      <w:r w:rsidR="000D39D7" w:rsidRPr="007F04EF">
        <w:rPr>
          <w:lang w:val="en-GB"/>
        </w:rPr>
        <w:t xml:space="preserve">Plant Protection Products </w:t>
      </w:r>
      <w:r w:rsidR="005B2EA2" w:rsidRPr="007F04EF">
        <w:rPr>
          <w:lang w:val="en-GB"/>
        </w:rPr>
        <w:t xml:space="preserve">(APPPs) </w:t>
      </w:r>
      <w:r w:rsidRPr="007F04EF">
        <w:rPr>
          <w:lang w:val="en-GB"/>
        </w:rPr>
        <w:t>(</w:t>
      </w:r>
      <w:r w:rsidR="005B2EA2" w:rsidRPr="007F04EF">
        <w:rPr>
          <w:lang w:val="en-GB"/>
        </w:rPr>
        <w:t>UL RS</w:t>
      </w:r>
      <w:r w:rsidR="00C46565" w:rsidRPr="007F04EF">
        <w:rPr>
          <w:rStyle w:val="Sprotnaopomba-sklic"/>
          <w:lang w:val="en-GB"/>
        </w:rPr>
        <w:footnoteReference w:id="1"/>
      </w:r>
      <w:r w:rsidR="005B2EA2" w:rsidRPr="007F04EF">
        <w:rPr>
          <w:lang w:val="en-GB"/>
        </w:rPr>
        <w:t xml:space="preserve"> </w:t>
      </w:r>
      <w:r w:rsidRPr="007F04EF">
        <w:rPr>
          <w:lang w:val="en-GB"/>
        </w:rPr>
        <w:t>83/12</w:t>
      </w:r>
      <w:r w:rsidR="005B2EA2" w:rsidRPr="007F04EF">
        <w:rPr>
          <w:lang w:val="en-GB"/>
        </w:rPr>
        <w:t xml:space="preserve">, </w:t>
      </w:r>
      <w:r w:rsidRPr="007F04EF">
        <w:rPr>
          <w:color w:val="000000"/>
          <w:shd w:val="clear" w:color="auto" w:fill="FFFFFF"/>
          <w:lang w:val="en-GB"/>
        </w:rPr>
        <w:t>35/23)</w:t>
      </w:r>
      <w:r w:rsidR="005B2EA2" w:rsidRPr="007F04EF">
        <w:rPr>
          <w:color w:val="000000"/>
          <w:shd w:val="clear" w:color="auto" w:fill="FFFFFF"/>
          <w:lang w:val="en-GB"/>
        </w:rPr>
        <w:t xml:space="preserve"> </w:t>
      </w:r>
      <w:r w:rsidRPr="007F04EF">
        <w:rPr>
          <w:color w:val="000000"/>
          <w:shd w:val="clear" w:color="auto" w:fill="FFFFFF"/>
          <w:lang w:val="en-GB"/>
        </w:rPr>
        <w:t>established the</w:t>
      </w:r>
      <w:r w:rsidRPr="007F04EF">
        <w:rPr>
          <w:lang w:val="en-GB"/>
        </w:rPr>
        <w:t xml:space="preserve"> </w:t>
      </w:r>
      <w:r w:rsidR="00870DF1" w:rsidRPr="007F04EF">
        <w:rPr>
          <w:lang w:val="en-GB"/>
        </w:rPr>
        <w:t xml:space="preserve">National </w:t>
      </w:r>
      <w:r w:rsidR="000D39D7" w:rsidRPr="007F04EF">
        <w:rPr>
          <w:lang w:val="en-GB"/>
        </w:rPr>
        <w:t>Action Plan</w:t>
      </w:r>
      <w:r w:rsidR="00870DF1" w:rsidRPr="007F04EF">
        <w:rPr>
          <w:lang w:val="en-GB"/>
        </w:rPr>
        <w:t xml:space="preserve"> (hereinafter: NAP) </w:t>
      </w:r>
      <w:r w:rsidRPr="007F04EF">
        <w:rPr>
          <w:lang w:val="en-GB"/>
        </w:rPr>
        <w:t>to achieve</w:t>
      </w:r>
      <w:r w:rsidR="00870DF1" w:rsidRPr="007F04EF">
        <w:rPr>
          <w:lang w:val="en-GB"/>
        </w:rPr>
        <w:t xml:space="preserve"> sustainable use o</w:t>
      </w:r>
      <w:r w:rsidR="00470B46" w:rsidRPr="007F04EF">
        <w:rPr>
          <w:lang w:val="en-GB"/>
        </w:rPr>
        <w:t>f</w:t>
      </w:r>
      <w:r w:rsidR="00870DF1" w:rsidRPr="007F04EF">
        <w:rPr>
          <w:lang w:val="en-GB"/>
        </w:rPr>
        <w:t xml:space="preserve"> plant protection products (PPP</w:t>
      </w:r>
      <w:r w:rsidR="001A6882" w:rsidRPr="007F04EF">
        <w:rPr>
          <w:lang w:val="en-GB"/>
        </w:rPr>
        <w:t>s</w:t>
      </w:r>
      <w:r w:rsidR="00870DF1" w:rsidRPr="007F04EF">
        <w:rPr>
          <w:lang w:val="en-GB"/>
        </w:rPr>
        <w:t>)</w:t>
      </w:r>
      <w:r w:rsidRPr="007F04EF">
        <w:rPr>
          <w:lang w:val="en-GB"/>
        </w:rPr>
        <w:t>. APPP</w:t>
      </w:r>
      <w:r w:rsidR="00495FFF" w:rsidRPr="007F04EF">
        <w:rPr>
          <w:lang w:val="en-GB"/>
        </w:rPr>
        <w:t xml:space="preserve">s </w:t>
      </w:r>
      <w:r w:rsidRPr="007F04EF">
        <w:rPr>
          <w:lang w:val="en-GB"/>
        </w:rPr>
        <w:t>is harmonised with Directive 2009/128/EC of the European Parliament and of the Council of 21 October 2009 establishing a framework for Community action to achieve the sustainable use of pesticides</w:t>
      </w:r>
      <w:r w:rsidR="00470B46" w:rsidRPr="007F04EF">
        <w:rPr>
          <w:lang w:val="en-GB"/>
        </w:rPr>
        <w:t xml:space="preserve"> (SUD)</w:t>
      </w:r>
      <w:r w:rsidRPr="007F04EF">
        <w:rPr>
          <w:lang w:val="en-GB"/>
        </w:rPr>
        <w:t>.</w:t>
      </w:r>
    </w:p>
    <w:p w14:paraId="6EEC3BCC" w14:textId="77777777" w:rsidR="00407E4F" w:rsidRPr="007F04EF" w:rsidRDefault="00407E4F" w:rsidP="00407E4F">
      <w:pPr>
        <w:jc w:val="both"/>
        <w:rPr>
          <w:lang w:val="en-GB"/>
        </w:rPr>
      </w:pPr>
    </w:p>
    <w:p w14:paraId="02EA26B3" w14:textId="522106C7" w:rsidR="00244479" w:rsidRPr="007F04EF" w:rsidRDefault="00F402BA" w:rsidP="00407E4F">
      <w:pPr>
        <w:jc w:val="both"/>
        <w:rPr>
          <w:lang w:val="en-GB"/>
        </w:rPr>
      </w:pPr>
      <w:r w:rsidRPr="007F04EF">
        <w:rPr>
          <w:lang w:val="en-GB"/>
        </w:rPr>
        <w:t>The Government of the Republic of Slovenia adopted the NAP for the period 2012-2022 on 12 December 2012 (</w:t>
      </w:r>
      <w:r w:rsidR="000D39D7" w:rsidRPr="007F04EF">
        <w:rPr>
          <w:lang w:val="en-GB"/>
        </w:rPr>
        <w:t>D</w:t>
      </w:r>
      <w:r w:rsidRPr="007F04EF">
        <w:rPr>
          <w:lang w:val="en-GB"/>
        </w:rPr>
        <w:t>ecision No 34300-2/2012/3); and on 24</w:t>
      </w:r>
      <w:r w:rsidR="000D39D7" w:rsidRPr="007F04EF">
        <w:rPr>
          <w:lang w:val="en-GB"/>
        </w:rPr>
        <w:t xml:space="preserve"> </w:t>
      </w:r>
      <w:r w:rsidRPr="007F04EF">
        <w:rPr>
          <w:lang w:val="en-GB"/>
        </w:rPr>
        <w:t>May 2018</w:t>
      </w:r>
      <w:r w:rsidR="000D39D7" w:rsidRPr="007F04EF">
        <w:rPr>
          <w:lang w:val="en-GB"/>
        </w:rPr>
        <w:t xml:space="preserve">, </w:t>
      </w:r>
      <w:r w:rsidRPr="007F04EF">
        <w:rPr>
          <w:lang w:val="en-GB"/>
        </w:rPr>
        <w:t>the amendments to the NAP for the period 2018-2022 (</w:t>
      </w:r>
      <w:r w:rsidR="000D39D7" w:rsidRPr="007F04EF">
        <w:rPr>
          <w:lang w:val="en-GB"/>
        </w:rPr>
        <w:t>D</w:t>
      </w:r>
      <w:r w:rsidRPr="007F04EF">
        <w:rPr>
          <w:lang w:val="en-GB"/>
        </w:rPr>
        <w:t>ecision</w:t>
      </w:r>
      <w:r w:rsidR="000D39D7" w:rsidRPr="007F04EF">
        <w:rPr>
          <w:lang w:val="en-GB"/>
        </w:rPr>
        <w:t xml:space="preserve"> No </w:t>
      </w:r>
      <w:r w:rsidRPr="007F04EF">
        <w:rPr>
          <w:lang w:val="en-GB"/>
        </w:rPr>
        <w:t>34300-1/2018/7). NAP documents (the NAP</w:t>
      </w:r>
      <w:r w:rsidR="00470B46" w:rsidRPr="007F04EF">
        <w:rPr>
          <w:lang w:val="en-GB"/>
        </w:rPr>
        <w:t xml:space="preserve"> and</w:t>
      </w:r>
      <w:r w:rsidRPr="007F04EF">
        <w:rPr>
          <w:lang w:val="en-GB"/>
        </w:rPr>
        <w:t xml:space="preserve"> reports) are published on</w:t>
      </w:r>
      <w:r w:rsidR="00821D2B" w:rsidRPr="007F04EF">
        <w:rPr>
          <w:lang w:val="en-GB"/>
        </w:rPr>
        <w:t xml:space="preserve"> the</w:t>
      </w:r>
      <w:r w:rsidRPr="007F04EF">
        <w:rPr>
          <w:lang w:val="en-GB"/>
        </w:rPr>
        <w:t xml:space="preserve"> </w:t>
      </w:r>
      <w:r w:rsidR="00133C1A" w:rsidRPr="007F04EF">
        <w:rPr>
          <w:lang w:val="en-GB"/>
        </w:rPr>
        <w:t xml:space="preserve">website of the </w:t>
      </w:r>
      <w:r w:rsidRPr="007F04EF">
        <w:rPr>
          <w:lang w:val="en-GB"/>
        </w:rPr>
        <w:t>Administration</w:t>
      </w:r>
      <w:r w:rsidR="00133C1A" w:rsidRPr="007F04EF">
        <w:rPr>
          <w:lang w:val="en-GB"/>
        </w:rPr>
        <w:t xml:space="preserve"> of the Republic of Slovenia for Food Safety, Veterinary Sector and Plant Protection (hereinafter referred to as: AFSVSPP; in Slovenian: </w:t>
      </w:r>
      <w:r w:rsidR="00133C1A" w:rsidRPr="007F04EF">
        <w:t>Uprava za varno hrano, veterinarstvo in varstvo rastlin (UVHVVR</w:t>
      </w:r>
      <w:r w:rsidR="00133C1A" w:rsidRPr="007F04EF">
        <w:rPr>
          <w:lang w:val="en-GB"/>
        </w:rPr>
        <w:t>)</w:t>
      </w:r>
      <w:r w:rsidR="00644B6B" w:rsidRPr="007F04EF">
        <w:rPr>
          <w:lang w:val="en-GB"/>
        </w:rPr>
        <w:t>.</w:t>
      </w:r>
      <w:r w:rsidR="00644B6B" w:rsidRPr="007F04EF">
        <w:rPr>
          <w:rStyle w:val="Sprotnaopomba-sklic"/>
          <w:rFonts w:cs="Arial"/>
          <w:lang w:val="en-GB"/>
        </w:rPr>
        <w:footnoteReference w:id="2"/>
      </w:r>
    </w:p>
    <w:p w14:paraId="766B62C1" w14:textId="77777777" w:rsidR="00407E4F" w:rsidRPr="007F04EF" w:rsidRDefault="00407E4F" w:rsidP="00407E4F">
      <w:pPr>
        <w:jc w:val="both"/>
        <w:rPr>
          <w:lang w:val="en-GB"/>
        </w:rPr>
      </w:pPr>
    </w:p>
    <w:p w14:paraId="44A74785" w14:textId="4D4FD901" w:rsidR="001E1886" w:rsidRPr="007F04EF" w:rsidRDefault="00133C1A" w:rsidP="00407E4F">
      <w:pPr>
        <w:jc w:val="both"/>
        <w:rPr>
          <w:lang w:val="en-GB"/>
        </w:rPr>
      </w:pPr>
      <w:r w:rsidRPr="007F04EF">
        <w:rPr>
          <w:lang w:val="en-GB"/>
        </w:rPr>
        <w:t xml:space="preserve">Based on SUD </w:t>
      </w:r>
      <w:r w:rsidR="00470B46" w:rsidRPr="007F04EF">
        <w:rPr>
          <w:lang w:val="en-GB"/>
        </w:rPr>
        <w:t>requirements,</w:t>
      </w:r>
      <w:r w:rsidRPr="007F04EF">
        <w:rPr>
          <w:lang w:val="en-GB"/>
        </w:rPr>
        <w:t xml:space="preserve"> </w:t>
      </w:r>
      <w:r w:rsidR="00470B46" w:rsidRPr="007F04EF">
        <w:rPr>
          <w:lang w:val="en-GB"/>
        </w:rPr>
        <w:t xml:space="preserve">all </w:t>
      </w:r>
      <w:r w:rsidRPr="007F04EF">
        <w:rPr>
          <w:lang w:val="en-GB"/>
        </w:rPr>
        <w:t xml:space="preserve">the </w:t>
      </w:r>
      <w:r w:rsidR="00470B46" w:rsidRPr="007F04EF">
        <w:rPr>
          <w:lang w:val="en-GB"/>
        </w:rPr>
        <w:t xml:space="preserve">EU Member </w:t>
      </w:r>
      <w:r w:rsidRPr="007F04EF">
        <w:rPr>
          <w:lang w:val="en-GB"/>
        </w:rPr>
        <w:t>S</w:t>
      </w:r>
      <w:r w:rsidR="00470B46" w:rsidRPr="007F04EF">
        <w:rPr>
          <w:lang w:val="en-GB"/>
        </w:rPr>
        <w:t xml:space="preserve">tates had to publish their </w:t>
      </w:r>
      <w:r w:rsidRPr="007F04EF">
        <w:rPr>
          <w:lang w:val="en-GB"/>
        </w:rPr>
        <w:t xml:space="preserve">respective </w:t>
      </w:r>
      <w:r w:rsidR="00470B46" w:rsidRPr="007F04EF">
        <w:rPr>
          <w:lang w:val="en-GB"/>
        </w:rPr>
        <w:t>NAP</w:t>
      </w:r>
      <w:r w:rsidRPr="007F04EF">
        <w:rPr>
          <w:lang w:val="en-GB"/>
        </w:rPr>
        <w:t xml:space="preserve">s </w:t>
      </w:r>
      <w:r w:rsidR="00470B46" w:rsidRPr="007F04EF">
        <w:rPr>
          <w:lang w:val="en-GB"/>
        </w:rPr>
        <w:t>concerning the use of PPP</w:t>
      </w:r>
      <w:r w:rsidRPr="007F04EF">
        <w:rPr>
          <w:lang w:val="en-GB"/>
        </w:rPr>
        <w:t>s</w:t>
      </w:r>
      <w:r w:rsidR="00470B46" w:rsidRPr="007F04EF">
        <w:rPr>
          <w:lang w:val="en-GB"/>
        </w:rPr>
        <w:t xml:space="preserve">. </w:t>
      </w:r>
      <w:r w:rsidRPr="007F04EF">
        <w:rPr>
          <w:lang w:val="en-GB"/>
        </w:rPr>
        <w:t>I</w:t>
      </w:r>
      <w:r w:rsidR="00470B46" w:rsidRPr="007F04EF">
        <w:rPr>
          <w:lang w:val="en-GB"/>
        </w:rPr>
        <w:t xml:space="preserve">nformation on implementation of SUD in the </w:t>
      </w:r>
      <w:r w:rsidRPr="007F04EF">
        <w:rPr>
          <w:lang w:val="en-GB"/>
        </w:rPr>
        <w:t xml:space="preserve">respective </w:t>
      </w:r>
      <w:r w:rsidR="00470B46" w:rsidRPr="007F04EF">
        <w:rPr>
          <w:lang w:val="en-GB"/>
        </w:rPr>
        <w:t xml:space="preserve">EU </w:t>
      </w:r>
      <w:r w:rsidR="00821D2B" w:rsidRPr="007F04EF">
        <w:rPr>
          <w:lang w:val="en-GB"/>
        </w:rPr>
        <w:t>M</w:t>
      </w:r>
      <w:r w:rsidR="00470B46" w:rsidRPr="007F04EF">
        <w:rPr>
          <w:lang w:val="en-GB"/>
        </w:rPr>
        <w:t>ember</w:t>
      </w:r>
      <w:r w:rsidRPr="007F04EF">
        <w:rPr>
          <w:lang w:val="en-GB"/>
        </w:rPr>
        <w:t xml:space="preserve"> S</w:t>
      </w:r>
      <w:r w:rsidR="00470B46" w:rsidRPr="007F04EF">
        <w:rPr>
          <w:lang w:val="en-GB"/>
        </w:rPr>
        <w:t>tates is available on</w:t>
      </w:r>
      <w:r w:rsidRPr="007F04EF">
        <w:rPr>
          <w:lang w:val="en-GB"/>
        </w:rPr>
        <w:t xml:space="preserve"> the European </w:t>
      </w:r>
      <w:r w:rsidR="00470B46" w:rsidRPr="007F04EF">
        <w:rPr>
          <w:lang w:val="en-GB"/>
        </w:rPr>
        <w:t>Commission</w:t>
      </w:r>
      <w:r w:rsidRPr="007F04EF">
        <w:rPr>
          <w:lang w:val="en-GB"/>
        </w:rPr>
        <w:t xml:space="preserve"> </w:t>
      </w:r>
      <w:r w:rsidR="00470B46" w:rsidRPr="007F04EF">
        <w:rPr>
          <w:lang w:val="en-GB"/>
        </w:rPr>
        <w:t>web</w:t>
      </w:r>
      <w:r w:rsidRPr="007F04EF">
        <w:rPr>
          <w:lang w:val="en-GB"/>
        </w:rPr>
        <w:t xml:space="preserve">site, as from </w:t>
      </w:r>
      <w:r w:rsidR="00470B46" w:rsidRPr="007F04EF">
        <w:rPr>
          <w:lang w:val="en-GB"/>
        </w:rPr>
        <w:t>2016</w:t>
      </w:r>
      <w:r w:rsidR="00644B6B" w:rsidRPr="007F04EF">
        <w:rPr>
          <w:lang w:val="en-GB"/>
        </w:rPr>
        <w:t>.</w:t>
      </w:r>
      <w:r w:rsidR="00644B6B" w:rsidRPr="007F04EF">
        <w:rPr>
          <w:rStyle w:val="Sprotnaopomba-sklic"/>
          <w:rFonts w:cs="Arial"/>
          <w:lang w:val="en-GB"/>
        </w:rPr>
        <w:footnoteReference w:id="3"/>
      </w:r>
    </w:p>
    <w:p w14:paraId="1005FA32" w14:textId="77777777" w:rsidR="00407E4F" w:rsidRPr="007F04EF" w:rsidRDefault="00407E4F" w:rsidP="00407E4F">
      <w:pPr>
        <w:jc w:val="both"/>
        <w:rPr>
          <w:lang w:val="en-GB"/>
        </w:rPr>
      </w:pPr>
    </w:p>
    <w:p w14:paraId="4FCB05CC" w14:textId="13483F43" w:rsidR="00470B46" w:rsidRPr="007F04EF" w:rsidRDefault="00470B46" w:rsidP="00407E4F">
      <w:pPr>
        <w:jc w:val="both"/>
        <w:rPr>
          <w:lang w:val="en-GB"/>
        </w:rPr>
      </w:pPr>
      <w:r w:rsidRPr="007F04EF">
        <w:rPr>
          <w:lang w:val="en-GB"/>
        </w:rPr>
        <w:t xml:space="preserve">This is the final report on implementation of the NAP </w:t>
      </w:r>
      <w:r w:rsidR="002709BA" w:rsidRPr="007F04EF">
        <w:rPr>
          <w:lang w:val="en-GB"/>
        </w:rPr>
        <w:t xml:space="preserve">in </w:t>
      </w:r>
      <w:r w:rsidR="001A6882" w:rsidRPr="007F04EF">
        <w:rPr>
          <w:lang w:val="en-GB"/>
        </w:rPr>
        <w:t xml:space="preserve">the </w:t>
      </w:r>
      <w:r w:rsidRPr="007F04EF">
        <w:rPr>
          <w:lang w:val="en-GB"/>
        </w:rPr>
        <w:t xml:space="preserve">period 2018-2022. The report consists of </w:t>
      </w:r>
      <w:r w:rsidR="00821D2B" w:rsidRPr="007F04EF">
        <w:rPr>
          <w:lang w:val="en-GB"/>
        </w:rPr>
        <w:t xml:space="preserve">evaluation of the progress towards targets on reducing the use and risk </w:t>
      </w:r>
      <w:r w:rsidR="000F65A4" w:rsidRPr="007F04EF">
        <w:rPr>
          <w:lang w:val="en-GB"/>
        </w:rPr>
        <w:t>of PPP</w:t>
      </w:r>
      <w:r w:rsidR="001A6882" w:rsidRPr="007F04EF">
        <w:rPr>
          <w:lang w:val="en-GB"/>
        </w:rPr>
        <w:t>s</w:t>
      </w:r>
      <w:r w:rsidR="000F65A4" w:rsidRPr="007F04EF">
        <w:rPr>
          <w:lang w:val="en-GB"/>
        </w:rPr>
        <w:t xml:space="preserve">; and other related data concerning </w:t>
      </w:r>
      <w:r w:rsidR="00B83CCA" w:rsidRPr="007F04EF">
        <w:rPr>
          <w:lang w:val="en-GB"/>
        </w:rPr>
        <w:t xml:space="preserve">the </w:t>
      </w:r>
      <w:r w:rsidR="000F65A4" w:rsidRPr="007F04EF">
        <w:rPr>
          <w:lang w:val="en-GB"/>
        </w:rPr>
        <w:t xml:space="preserve">training of users, </w:t>
      </w:r>
      <w:r w:rsidR="00B454EC" w:rsidRPr="007F04EF">
        <w:rPr>
          <w:lang w:val="en-GB"/>
        </w:rPr>
        <w:t>sellers,</w:t>
      </w:r>
      <w:r w:rsidR="000F65A4" w:rsidRPr="007F04EF">
        <w:rPr>
          <w:lang w:val="en-GB"/>
        </w:rPr>
        <w:t xml:space="preserve"> and advisors, testing of PPP</w:t>
      </w:r>
      <w:r w:rsidR="002709BA" w:rsidRPr="007F04EF">
        <w:rPr>
          <w:lang w:val="en-GB"/>
        </w:rPr>
        <w:t>-</w:t>
      </w:r>
      <w:r w:rsidR="000F65A4" w:rsidRPr="007F04EF">
        <w:rPr>
          <w:lang w:val="en-GB"/>
        </w:rPr>
        <w:t>application equipment, progress in organic farming</w:t>
      </w:r>
      <w:r w:rsidR="002709BA" w:rsidRPr="007F04EF">
        <w:rPr>
          <w:lang w:val="en-GB"/>
        </w:rPr>
        <w:t>,</w:t>
      </w:r>
      <w:r w:rsidR="000F65A4" w:rsidRPr="007F04EF">
        <w:rPr>
          <w:lang w:val="en-GB"/>
        </w:rPr>
        <w:t xml:space="preserve"> and similar. </w:t>
      </w:r>
    </w:p>
    <w:p w14:paraId="76B0C8FA" w14:textId="77777777" w:rsidR="00407E4F" w:rsidRPr="007F04EF" w:rsidRDefault="00407E4F" w:rsidP="00535C80">
      <w:pPr>
        <w:rPr>
          <w:lang w:val="en-GB"/>
        </w:rPr>
      </w:pPr>
    </w:p>
    <w:p w14:paraId="23A9CCCC" w14:textId="5CB9ECE7" w:rsidR="00045618" w:rsidRPr="007F04EF" w:rsidRDefault="00B454EC" w:rsidP="00535C80">
      <w:pPr>
        <w:pStyle w:val="Naslov3"/>
        <w:rPr>
          <w:lang w:val="en-GB"/>
        </w:rPr>
      </w:pPr>
      <w:bookmarkStart w:id="1" w:name="_Toc422912708"/>
      <w:bookmarkStart w:id="2" w:name="_Toc422912740"/>
      <w:bookmarkStart w:id="3" w:name="_Toc146287355"/>
      <w:bookmarkStart w:id="4" w:name="_Toc149826477"/>
      <w:bookmarkStart w:id="5" w:name="_Toc172027293"/>
      <w:r w:rsidRPr="007F04EF">
        <w:rPr>
          <w:rStyle w:val="Naslov5Znak"/>
          <w:rFonts w:ascii="Arial" w:hAnsi="Arial" w:cs="Times New Roman"/>
          <w:color w:val="auto"/>
          <w:sz w:val="26"/>
          <w:szCs w:val="26"/>
          <w:lang w:eastAsia="sl-SI"/>
        </w:rPr>
        <w:t xml:space="preserve">Targets in the NAP </w:t>
      </w:r>
      <w:r w:rsidR="002709BA" w:rsidRPr="007F04EF">
        <w:rPr>
          <w:rStyle w:val="Naslov5Znak"/>
          <w:rFonts w:ascii="Arial" w:hAnsi="Arial" w:cs="Times New Roman"/>
          <w:color w:val="auto"/>
          <w:sz w:val="26"/>
          <w:szCs w:val="26"/>
          <w:lang w:eastAsia="sl-SI"/>
        </w:rPr>
        <w:t>in</w:t>
      </w:r>
      <w:r w:rsidRPr="007F04EF">
        <w:rPr>
          <w:rStyle w:val="Naslov5Znak"/>
          <w:rFonts w:ascii="Arial" w:hAnsi="Arial" w:cs="Times New Roman"/>
          <w:color w:val="auto"/>
          <w:sz w:val="26"/>
          <w:szCs w:val="26"/>
          <w:lang w:eastAsia="sl-SI"/>
        </w:rPr>
        <w:t xml:space="preserve"> </w:t>
      </w:r>
      <w:r w:rsidR="001A6882" w:rsidRPr="007F04EF">
        <w:rPr>
          <w:rStyle w:val="Naslov5Znak"/>
          <w:rFonts w:ascii="Arial" w:hAnsi="Arial" w:cs="Times New Roman"/>
          <w:color w:val="auto"/>
          <w:sz w:val="26"/>
          <w:szCs w:val="26"/>
          <w:lang w:eastAsia="sl-SI"/>
        </w:rPr>
        <w:t xml:space="preserve">the </w:t>
      </w:r>
      <w:r w:rsidRPr="007F04EF">
        <w:rPr>
          <w:rStyle w:val="Naslov5Znak"/>
          <w:rFonts w:ascii="Arial" w:hAnsi="Arial" w:cs="Times New Roman"/>
          <w:color w:val="auto"/>
          <w:sz w:val="26"/>
          <w:szCs w:val="26"/>
          <w:lang w:eastAsia="sl-SI"/>
        </w:rPr>
        <w:t xml:space="preserve">period </w:t>
      </w:r>
      <w:r w:rsidR="0036307E" w:rsidRPr="007F04EF">
        <w:rPr>
          <w:rStyle w:val="Naslov5Znak"/>
          <w:rFonts w:ascii="Arial" w:hAnsi="Arial" w:cs="Times New Roman"/>
          <w:color w:val="auto"/>
          <w:sz w:val="26"/>
          <w:szCs w:val="26"/>
          <w:lang w:eastAsia="sl-SI"/>
        </w:rPr>
        <w:t>2018</w:t>
      </w:r>
      <w:r w:rsidR="00D867ED" w:rsidRPr="007F04EF">
        <w:rPr>
          <w:rStyle w:val="Naslov5Znak"/>
          <w:rFonts w:ascii="Arial" w:hAnsi="Arial" w:cs="Times New Roman"/>
          <w:color w:val="auto"/>
          <w:sz w:val="26"/>
          <w:szCs w:val="26"/>
          <w:lang w:eastAsia="sl-SI"/>
        </w:rPr>
        <w:t xml:space="preserve"> – </w:t>
      </w:r>
      <w:r w:rsidR="0036307E" w:rsidRPr="007F04EF">
        <w:rPr>
          <w:rStyle w:val="Naslov5Znak"/>
          <w:rFonts w:ascii="Arial" w:hAnsi="Arial" w:cs="Times New Roman"/>
          <w:color w:val="auto"/>
          <w:sz w:val="26"/>
          <w:szCs w:val="26"/>
          <w:lang w:eastAsia="sl-SI"/>
        </w:rPr>
        <w:t>2022</w:t>
      </w:r>
      <w:r w:rsidR="004D477A" w:rsidRPr="007F04EF">
        <w:rPr>
          <w:lang w:val="en-GB"/>
        </w:rPr>
        <w:t>:</w:t>
      </w:r>
      <w:bookmarkEnd w:id="1"/>
      <w:bookmarkEnd w:id="2"/>
      <w:bookmarkEnd w:id="3"/>
      <w:bookmarkEnd w:id="4"/>
      <w:bookmarkEnd w:id="5"/>
    </w:p>
    <w:p w14:paraId="66681C2A" w14:textId="77777777" w:rsidR="00407E4F" w:rsidRPr="007F04EF" w:rsidRDefault="00407E4F" w:rsidP="00407E4F">
      <w:pPr>
        <w:rPr>
          <w:lang w:val="en-GB"/>
        </w:rPr>
      </w:pPr>
    </w:p>
    <w:p w14:paraId="061E3A79" w14:textId="47BCDD49" w:rsidR="00F31C93" w:rsidRPr="007F04EF" w:rsidRDefault="00B454EC" w:rsidP="00407E4F">
      <w:pPr>
        <w:jc w:val="both"/>
        <w:rPr>
          <w:lang w:val="en-GB"/>
        </w:rPr>
      </w:pPr>
      <w:bookmarkStart w:id="6" w:name="_Toc422912709"/>
      <w:bookmarkStart w:id="7" w:name="_Toc422912741"/>
      <w:r w:rsidRPr="007F04EF">
        <w:rPr>
          <w:bCs/>
          <w:lang w:val="en-GB"/>
        </w:rPr>
        <w:t>Reducing possible impact</w:t>
      </w:r>
      <w:r w:rsidR="00ED4519" w:rsidRPr="007F04EF">
        <w:rPr>
          <w:bCs/>
          <w:lang w:val="en-GB"/>
        </w:rPr>
        <w:t>s</w:t>
      </w:r>
      <w:r w:rsidRPr="007F04EF">
        <w:rPr>
          <w:bCs/>
          <w:lang w:val="en-GB"/>
        </w:rPr>
        <w:t xml:space="preserve"> from the use of PPP</w:t>
      </w:r>
      <w:r w:rsidR="001A6882" w:rsidRPr="007F04EF">
        <w:rPr>
          <w:bCs/>
          <w:lang w:val="en-GB"/>
        </w:rPr>
        <w:t>s</w:t>
      </w:r>
      <w:r w:rsidRPr="007F04EF">
        <w:rPr>
          <w:bCs/>
          <w:lang w:val="en-GB"/>
        </w:rPr>
        <w:t xml:space="preserve"> </w:t>
      </w:r>
      <w:r w:rsidR="003A328B" w:rsidRPr="007F04EF">
        <w:rPr>
          <w:bCs/>
          <w:lang w:val="en-GB"/>
        </w:rPr>
        <w:t xml:space="preserve">to human health and the environment </w:t>
      </w:r>
      <w:r w:rsidR="00ED4519" w:rsidRPr="007F04EF">
        <w:rPr>
          <w:bCs/>
          <w:lang w:val="en-GB"/>
        </w:rPr>
        <w:t>wa</w:t>
      </w:r>
      <w:r w:rsidRPr="007F04EF">
        <w:rPr>
          <w:bCs/>
          <w:lang w:val="en-GB"/>
        </w:rPr>
        <w:t>s</w:t>
      </w:r>
      <w:r w:rsidRPr="007F04EF">
        <w:rPr>
          <w:b/>
          <w:lang w:val="en-GB"/>
        </w:rPr>
        <w:t xml:space="preserve"> a general target of the NAP. </w:t>
      </w:r>
      <w:r w:rsidR="00B83CCA" w:rsidRPr="007F04EF">
        <w:rPr>
          <w:lang w:val="en-GB"/>
        </w:rPr>
        <w:t xml:space="preserve">More </w:t>
      </w:r>
      <w:r w:rsidR="00B83CCA" w:rsidRPr="007F04EF">
        <w:rPr>
          <w:b/>
          <w:bCs/>
          <w:lang w:val="en-GB"/>
        </w:rPr>
        <w:t>detailed targets</w:t>
      </w:r>
      <w:r w:rsidR="00B83CCA" w:rsidRPr="007F04EF">
        <w:rPr>
          <w:lang w:val="en-GB"/>
        </w:rPr>
        <w:t xml:space="preserve"> </w:t>
      </w:r>
      <w:r w:rsidR="002709BA" w:rsidRPr="007F04EF">
        <w:rPr>
          <w:lang w:val="en-GB"/>
        </w:rPr>
        <w:t>included</w:t>
      </w:r>
      <w:r w:rsidR="00B83CCA" w:rsidRPr="007F04EF">
        <w:rPr>
          <w:lang w:val="en-GB"/>
        </w:rPr>
        <w:t>:</w:t>
      </w:r>
    </w:p>
    <w:p w14:paraId="00088B92" w14:textId="77777777" w:rsidR="00407E4F" w:rsidRPr="007F04EF" w:rsidRDefault="00407E4F" w:rsidP="00535C80">
      <w:pPr>
        <w:rPr>
          <w:lang w:val="en-GB"/>
        </w:rPr>
      </w:pPr>
    </w:p>
    <w:p w14:paraId="50B5F405" w14:textId="4519FB60" w:rsidR="00F31C93" w:rsidRPr="007F04EF" w:rsidRDefault="00B83CCA" w:rsidP="00535C80">
      <w:pPr>
        <w:pStyle w:val="Odstavekseznama"/>
        <w:numPr>
          <w:ilvl w:val="0"/>
          <w:numId w:val="13"/>
        </w:numPr>
        <w:rPr>
          <w:lang w:val="en-GB"/>
        </w:rPr>
      </w:pPr>
      <w:r w:rsidRPr="007F04EF">
        <w:rPr>
          <w:lang w:val="en-GB"/>
        </w:rPr>
        <w:t xml:space="preserve">Reducing the risk from the use of </w:t>
      </w:r>
      <w:r w:rsidR="00A80347" w:rsidRPr="007F04EF">
        <w:rPr>
          <w:lang w:val="en-GB"/>
        </w:rPr>
        <w:t>PPPs.</w:t>
      </w:r>
    </w:p>
    <w:p w14:paraId="6F5F4944" w14:textId="658A0640" w:rsidR="00F31C93" w:rsidRPr="007F04EF" w:rsidRDefault="00B83CCA" w:rsidP="00535C80">
      <w:pPr>
        <w:pStyle w:val="Odstavekseznama"/>
        <w:numPr>
          <w:ilvl w:val="0"/>
          <w:numId w:val="13"/>
        </w:numPr>
        <w:rPr>
          <w:lang w:val="en-GB"/>
        </w:rPr>
      </w:pPr>
      <w:r w:rsidRPr="007F04EF">
        <w:rPr>
          <w:lang w:val="en-GB"/>
        </w:rPr>
        <w:t>Restricting the use of certain PPP</w:t>
      </w:r>
      <w:r w:rsidR="001A6882" w:rsidRPr="007F04EF">
        <w:rPr>
          <w:lang w:val="en-GB"/>
        </w:rPr>
        <w:t>s</w:t>
      </w:r>
      <w:r w:rsidRPr="007F04EF">
        <w:rPr>
          <w:lang w:val="en-GB"/>
        </w:rPr>
        <w:t xml:space="preserve"> in public </w:t>
      </w:r>
      <w:r w:rsidR="00A80347" w:rsidRPr="007F04EF">
        <w:rPr>
          <w:lang w:val="en-GB"/>
        </w:rPr>
        <w:t>areas.</w:t>
      </w:r>
    </w:p>
    <w:p w14:paraId="2DCC7634" w14:textId="7E25A668" w:rsidR="00ED4519" w:rsidRPr="007F04EF" w:rsidRDefault="00ED4519" w:rsidP="00535C80">
      <w:pPr>
        <w:pStyle w:val="Odstavekseznama"/>
        <w:numPr>
          <w:ilvl w:val="0"/>
          <w:numId w:val="13"/>
        </w:numPr>
        <w:rPr>
          <w:lang w:val="en-GB"/>
        </w:rPr>
      </w:pPr>
      <w:bookmarkStart w:id="8" w:name="_Hlk148350504"/>
      <w:r w:rsidRPr="007F04EF">
        <w:rPr>
          <w:lang w:val="en-GB"/>
        </w:rPr>
        <w:t>Restricting the availability of PPP</w:t>
      </w:r>
      <w:r w:rsidR="001A6882" w:rsidRPr="007F04EF">
        <w:rPr>
          <w:lang w:val="en-GB"/>
        </w:rPr>
        <w:t>s</w:t>
      </w:r>
      <w:r w:rsidRPr="007F04EF">
        <w:rPr>
          <w:lang w:val="en-GB"/>
        </w:rPr>
        <w:t xml:space="preserve"> to unprofessional </w:t>
      </w:r>
      <w:r w:rsidR="00A80347" w:rsidRPr="007F04EF">
        <w:rPr>
          <w:lang w:val="en-GB"/>
        </w:rPr>
        <w:t>users.</w:t>
      </w:r>
      <w:r w:rsidRPr="007F04EF">
        <w:rPr>
          <w:lang w:val="en-GB"/>
        </w:rPr>
        <w:t xml:space="preserve"> </w:t>
      </w:r>
      <w:bookmarkEnd w:id="8"/>
    </w:p>
    <w:p w14:paraId="358AB3A9" w14:textId="4EB5AC4C" w:rsidR="00F31C93" w:rsidRPr="007F04EF" w:rsidRDefault="00FA5E8B" w:rsidP="00535C80">
      <w:pPr>
        <w:pStyle w:val="Odstavekseznama"/>
        <w:numPr>
          <w:ilvl w:val="0"/>
          <w:numId w:val="13"/>
        </w:numPr>
        <w:rPr>
          <w:lang w:val="en-GB"/>
        </w:rPr>
      </w:pPr>
      <w:r w:rsidRPr="007F04EF">
        <w:rPr>
          <w:lang w:val="en-GB"/>
        </w:rPr>
        <w:t>Considering the possibilities for reducing risk</w:t>
      </w:r>
      <w:r w:rsidR="00292007" w:rsidRPr="007F04EF">
        <w:rPr>
          <w:lang w:val="en-GB"/>
        </w:rPr>
        <w:t xml:space="preserve"> </w:t>
      </w:r>
      <w:r w:rsidRPr="007F04EF">
        <w:rPr>
          <w:lang w:val="en-GB"/>
        </w:rPr>
        <w:t>a</w:t>
      </w:r>
      <w:r w:rsidR="00292007" w:rsidRPr="007F04EF">
        <w:rPr>
          <w:lang w:val="en-GB"/>
        </w:rPr>
        <w:t>ris</w:t>
      </w:r>
      <w:r w:rsidRPr="007F04EF">
        <w:rPr>
          <w:lang w:val="en-GB"/>
        </w:rPr>
        <w:t>ing</w:t>
      </w:r>
      <w:r w:rsidR="00292007" w:rsidRPr="007F04EF">
        <w:rPr>
          <w:lang w:val="en-GB"/>
        </w:rPr>
        <w:t xml:space="preserve"> </w:t>
      </w:r>
      <w:r w:rsidRPr="007F04EF">
        <w:rPr>
          <w:lang w:val="en-GB"/>
        </w:rPr>
        <w:t>f</w:t>
      </w:r>
      <w:r w:rsidR="00CF357F" w:rsidRPr="007F04EF">
        <w:rPr>
          <w:lang w:val="en-GB"/>
        </w:rPr>
        <w:t>ro</w:t>
      </w:r>
      <w:r w:rsidRPr="007F04EF">
        <w:rPr>
          <w:lang w:val="en-GB"/>
        </w:rPr>
        <w:t>m</w:t>
      </w:r>
      <w:r w:rsidR="00292007" w:rsidRPr="007F04EF">
        <w:rPr>
          <w:lang w:val="en-GB"/>
        </w:rPr>
        <w:t xml:space="preserve"> </w:t>
      </w:r>
      <w:r w:rsidRPr="007F04EF">
        <w:rPr>
          <w:lang w:val="en-GB"/>
        </w:rPr>
        <w:t>the use of PPP</w:t>
      </w:r>
      <w:r w:rsidR="001A6882" w:rsidRPr="007F04EF">
        <w:rPr>
          <w:lang w:val="en-GB"/>
        </w:rPr>
        <w:t>s</w:t>
      </w:r>
      <w:r w:rsidRPr="007F04EF">
        <w:rPr>
          <w:lang w:val="en-GB"/>
        </w:rPr>
        <w:t xml:space="preserve"> containing the substances of concern, where there are alternatives available</w:t>
      </w:r>
      <w:r w:rsidR="00A80347" w:rsidRPr="007F04EF">
        <w:rPr>
          <w:lang w:val="en-GB"/>
        </w:rPr>
        <w:t>.</w:t>
      </w:r>
    </w:p>
    <w:p w14:paraId="251B1AE9" w14:textId="4DB0B1EF" w:rsidR="00F31C93" w:rsidRPr="007F04EF" w:rsidRDefault="00FA5E8B" w:rsidP="00535C80">
      <w:pPr>
        <w:pStyle w:val="Odstavekseznama"/>
        <w:numPr>
          <w:ilvl w:val="0"/>
          <w:numId w:val="13"/>
        </w:numPr>
        <w:rPr>
          <w:lang w:val="en-GB"/>
        </w:rPr>
      </w:pPr>
      <w:r w:rsidRPr="007F04EF">
        <w:rPr>
          <w:lang w:val="en-GB"/>
        </w:rPr>
        <w:t xml:space="preserve">Monitoring the risk and trends </w:t>
      </w:r>
      <w:r w:rsidR="0073160F" w:rsidRPr="007F04EF">
        <w:rPr>
          <w:lang w:val="en-GB"/>
        </w:rPr>
        <w:t xml:space="preserve">of pesticide residue quantities in food and feed from </w:t>
      </w:r>
      <w:r w:rsidR="00CF357F" w:rsidRPr="007F04EF">
        <w:rPr>
          <w:lang w:val="en-GB"/>
        </w:rPr>
        <w:t xml:space="preserve">the </w:t>
      </w:r>
      <w:r w:rsidR="0073160F" w:rsidRPr="007F04EF">
        <w:rPr>
          <w:lang w:val="en-GB"/>
        </w:rPr>
        <w:t xml:space="preserve">EU </w:t>
      </w:r>
      <w:r w:rsidR="00CF357F" w:rsidRPr="007F04EF">
        <w:rPr>
          <w:lang w:val="en-GB"/>
        </w:rPr>
        <w:t>Member States</w:t>
      </w:r>
      <w:r w:rsidR="0073160F" w:rsidRPr="007F04EF">
        <w:rPr>
          <w:lang w:val="en-GB"/>
        </w:rPr>
        <w:t>, third countries</w:t>
      </w:r>
      <w:r w:rsidR="00CF357F" w:rsidRPr="007F04EF">
        <w:rPr>
          <w:lang w:val="en-GB"/>
        </w:rPr>
        <w:t>,</w:t>
      </w:r>
      <w:r w:rsidR="0073160F" w:rsidRPr="007F04EF">
        <w:rPr>
          <w:lang w:val="en-GB"/>
        </w:rPr>
        <w:t xml:space="preserve"> and in domestic </w:t>
      </w:r>
      <w:r w:rsidR="00A80347" w:rsidRPr="007F04EF">
        <w:rPr>
          <w:lang w:val="en-GB"/>
        </w:rPr>
        <w:t>produce.</w:t>
      </w:r>
      <w:r w:rsidR="0073160F" w:rsidRPr="007F04EF">
        <w:rPr>
          <w:lang w:val="en-GB"/>
        </w:rPr>
        <w:t xml:space="preserve"> </w:t>
      </w:r>
    </w:p>
    <w:p w14:paraId="385C45CE" w14:textId="6FB01866" w:rsidR="00B01267" w:rsidRPr="007F04EF" w:rsidRDefault="0073160F" w:rsidP="001A5702">
      <w:pPr>
        <w:pStyle w:val="Odstavekseznama"/>
        <w:numPr>
          <w:ilvl w:val="0"/>
          <w:numId w:val="13"/>
        </w:numPr>
        <w:rPr>
          <w:lang w:val="en-GB"/>
        </w:rPr>
      </w:pPr>
      <w:r w:rsidRPr="007F04EF">
        <w:rPr>
          <w:lang w:val="en-GB"/>
        </w:rPr>
        <w:t xml:space="preserve">Reducing </w:t>
      </w:r>
      <w:r w:rsidR="00B01267" w:rsidRPr="007F04EF">
        <w:rPr>
          <w:lang w:val="en-GB"/>
        </w:rPr>
        <w:t>the level of active substances harmful to health in drinking water, reducing the number of underground water measurement points where environmental quality</w:t>
      </w:r>
      <w:r w:rsidR="001F797E" w:rsidRPr="007F04EF">
        <w:rPr>
          <w:lang w:val="en-GB"/>
        </w:rPr>
        <w:t xml:space="preserve"> </w:t>
      </w:r>
      <w:r w:rsidR="00B01267" w:rsidRPr="007F04EF">
        <w:rPr>
          <w:lang w:val="en-GB"/>
        </w:rPr>
        <w:lastRenderedPageBreak/>
        <w:t>standards regarding PPP</w:t>
      </w:r>
      <w:r w:rsidR="001A6882" w:rsidRPr="007F04EF">
        <w:rPr>
          <w:lang w:val="en-GB"/>
        </w:rPr>
        <w:t>s</w:t>
      </w:r>
      <w:r w:rsidR="00B01267" w:rsidRPr="007F04EF">
        <w:rPr>
          <w:lang w:val="en-GB"/>
        </w:rPr>
        <w:t xml:space="preserve"> are exceeded, the monitoring of surface water pollution with PPP</w:t>
      </w:r>
      <w:r w:rsidR="001A6882" w:rsidRPr="007F04EF">
        <w:rPr>
          <w:lang w:val="en-GB"/>
        </w:rPr>
        <w:t>s</w:t>
      </w:r>
      <w:r w:rsidR="00A80347" w:rsidRPr="007F04EF">
        <w:rPr>
          <w:lang w:val="en-GB"/>
        </w:rPr>
        <w:t>.</w:t>
      </w:r>
    </w:p>
    <w:p w14:paraId="692ACDB6" w14:textId="79E4D12A" w:rsidR="00B01267" w:rsidRPr="007F04EF" w:rsidRDefault="00292007" w:rsidP="007D0188">
      <w:pPr>
        <w:pStyle w:val="Odstavekseznama"/>
        <w:numPr>
          <w:ilvl w:val="0"/>
          <w:numId w:val="13"/>
        </w:numPr>
        <w:rPr>
          <w:lang w:val="en-GB"/>
        </w:rPr>
      </w:pPr>
      <w:r w:rsidRPr="007F04EF">
        <w:rPr>
          <w:lang w:val="en-GB"/>
        </w:rPr>
        <w:t>P</w:t>
      </w:r>
      <w:r w:rsidR="00B01267" w:rsidRPr="007F04EF">
        <w:rPr>
          <w:lang w:val="en-GB"/>
        </w:rPr>
        <w:t>romoting agricultural production using the principles of IPM in a way that chemical PPP</w:t>
      </w:r>
      <w:r w:rsidR="001A6882" w:rsidRPr="007F04EF">
        <w:rPr>
          <w:lang w:val="en-GB"/>
        </w:rPr>
        <w:t>s</w:t>
      </w:r>
      <w:r w:rsidR="00B01267" w:rsidRPr="007F04EF">
        <w:rPr>
          <w:lang w:val="en-GB"/>
        </w:rPr>
        <w:t xml:space="preserve"> are used only when necessary or economically justifiable, especially by increasing the awareness of users</w:t>
      </w:r>
      <w:r w:rsidR="00EB3276" w:rsidRPr="007F04EF">
        <w:rPr>
          <w:lang w:val="en-GB"/>
        </w:rPr>
        <w:t xml:space="preserve"> as to </w:t>
      </w:r>
      <w:r w:rsidR="00B01267" w:rsidRPr="007F04EF">
        <w:rPr>
          <w:lang w:val="en-GB"/>
        </w:rPr>
        <w:t>the safe use of PPP</w:t>
      </w:r>
      <w:r w:rsidR="001A6882" w:rsidRPr="007F04EF">
        <w:rPr>
          <w:lang w:val="en-GB"/>
        </w:rPr>
        <w:t>s</w:t>
      </w:r>
      <w:r w:rsidR="00B01267" w:rsidRPr="007F04EF">
        <w:rPr>
          <w:lang w:val="en-GB"/>
        </w:rPr>
        <w:t xml:space="preserve">, promoting organic production and other </w:t>
      </w:r>
      <w:r w:rsidR="001A6882" w:rsidRPr="007F04EF">
        <w:rPr>
          <w:lang w:val="en-GB"/>
        </w:rPr>
        <w:t>env</w:t>
      </w:r>
      <w:r w:rsidR="00A80347" w:rsidRPr="007F04EF">
        <w:rPr>
          <w:lang w:val="en-GB"/>
        </w:rPr>
        <w:t>i</w:t>
      </w:r>
      <w:r w:rsidR="001A6882" w:rsidRPr="007F04EF">
        <w:rPr>
          <w:lang w:val="en-GB"/>
        </w:rPr>
        <w:t>ronment</w:t>
      </w:r>
      <w:r w:rsidR="00B01267" w:rsidRPr="007F04EF">
        <w:rPr>
          <w:lang w:val="en-GB"/>
        </w:rPr>
        <w:t xml:space="preserve"> friendly farming </w:t>
      </w:r>
      <w:r w:rsidR="00A80347" w:rsidRPr="007F04EF">
        <w:rPr>
          <w:lang w:val="en-GB"/>
        </w:rPr>
        <w:t>practices.</w:t>
      </w:r>
    </w:p>
    <w:p w14:paraId="1E2C9F68" w14:textId="49D47C56" w:rsidR="00B01267" w:rsidRPr="007F04EF" w:rsidRDefault="00292007" w:rsidP="008C6E42">
      <w:pPr>
        <w:pStyle w:val="Odstavekseznama"/>
        <w:numPr>
          <w:ilvl w:val="0"/>
          <w:numId w:val="13"/>
        </w:numPr>
        <w:rPr>
          <w:lang w:val="en-GB"/>
        </w:rPr>
      </w:pPr>
      <w:r w:rsidRPr="007F04EF">
        <w:rPr>
          <w:lang w:val="en-GB"/>
        </w:rPr>
        <w:t>P</w:t>
      </w:r>
      <w:r w:rsidR="00B01267" w:rsidRPr="007F04EF">
        <w:rPr>
          <w:lang w:val="en-GB"/>
        </w:rPr>
        <w:t xml:space="preserve">roviding information </w:t>
      </w:r>
      <w:r w:rsidRPr="007F04EF">
        <w:rPr>
          <w:lang w:val="en-GB"/>
        </w:rPr>
        <w:t xml:space="preserve">to </w:t>
      </w:r>
      <w:r w:rsidR="00B01267" w:rsidRPr="007F04EF">
        <w:rPr>
          <w:lang w:val="en-GB"/>
        </w:rPr>
        <w:t>and training of PPP</w:t>
      </w:r>
      <w:r w:rsidRPr="007F04EF">
        <w:rPr>
          <w:lang w:val="en-GB"/>
        </w:rPr>
        <w:t>-</w:t>
      </w:r>
      <w:r w:rsidR="00B01267" w:rsidRPr="007F04EF">
        <w:rPr>
          <w:lang w:val="en-GB"/>
        </w:rPr>
        <w:t>users, inspecting PPP</w:t>
      </w:r>
      <w:r w:rsidRPr="007F04EF">
        <w:rPr>
          <w:lang w:val="en-GB"/>
        </w:rPr>
        <w:t>-</w:t>
      </w:r>
      <w:r w:rsidR="00B01267" w:rsidRPr="007F04EF">
        <w:rPr>
          <w:lang w:val="en-GB"/>
        </w:rPr>
        <w:t xml:space="preserve">application </w:t>
      </w:r>
      <w:r w:rsidR="001A6882" w:rsidRPr="007F04EF">
        <w:rPr>
          <w:lang w:val="en-GB"/>
        </w:rPr>
        <w:t>equipment</w:t>
      </w:r>
      <w:r w:rsidR="00B01267" w:rsidRPr="007F04EF">
        <w:rPr>
          <w:lang w:val="en-GB"/>
        </w:rPr>
        <w:t xml:space="preserve">, and promoting the use of advanced spraying techniques to reduce the risk </w:t>
      </w:r>
      <w:r w:rsidR="004B362C" w:rsidRPr="007F04EF">
        <w:rPr>
          <w:lang w:val="en-GB"/>
        </w:rPr>
        <w:t>arising</w:t>
      </w:r>
      <w:r w:rsidR="00A80347" w:rsidRPr="007F04EF">
        <w:rPr>
          <w:lang w:val="en-GB"/>
        </w:rPr>
        <w:t xml:space="preserve"> from</w:t>
      </w:r>
      <w:r w:rsidR="00B01267" w:rsidRPr="007F04EF">
        <w:rPr>
          <w:lang w:val="en-GB"/>
        </w:rPr>
        <w:t xml:space="preserve"> </w:t>
      </w:r>
      <w:r w:rsidRPr="007F04EF">
        <w:rPr>
          <w:lang w:val="en-GB"/>
        </w:rPr>
        <w:t xml:space="preserve">the use of </w:t>
      </w:r>
      <w:r w:rsidR="00B01267" w:rsidRPr="007F04EF">
        <w:rPr>
          <w:lang w:val="en-GB"/>
        </w:rPr>
        <w:t>PPP</w:t>
      </w:r>
      <w:r w:rsidR="001A6882" w:rsidRPr="007F04EF">
        <w:rPr>
          <w:lang w:val="en-GB"/>
        </w:rPr>
        <w:t>s</w:t>
      </w:r>
      <w:r w:rsidR="00B01267" w:rsidRPr="007F04EF">
        <w:rPr>
          <w:lang w:val="en-GB"/>
        </w:rPr>
        <w:t xml:space="preserve">. </w:t>
      </w:r>
    </w:p>
    <w:p w14:paraId="733E5695" w14:textId="77777777" w:rsidR="00495FFF" w:rsidRPr="007F04EF" w:rsidRDefault="00495FFF" w:rsidP="00495FFF">
      <w:pPr>
        <w:pStyle w:val="Odstavekseznama"/>
        <w:rPr>
          <w:lang w:val="en-GB"/>
        </w:rPr>
      </w:pPr>
    </w:p>
    <w:p w14:paraId="5E91F2BF" w14:textId="77777777" w:rsidR="00495FFF" w:rsidRPr="007F04EF" w:rsidRDefault="00495FFF" w:rsidP="00495FFF">
      <w:pPr>
        <w:pStyle w:val="Odstavekseznama"/>
        <w:rPr>
          <w:lang w:val="en-GB"/>
        </w:rPr>
      </w:pPr>
    </w:p>
    <w:p w14:paraId="60D0D54B" w14:textId="008ACF18" w:rsidR="004D477A" w:rsidRPr="007F04EF" w:rsidRDefault="008C6E42" w:rsidP="008C6E42">
      <w:pPr>
        <w:pStyle w:val="Naslov3"/>
        <w:rPr>
          <w:lang w:val="en-GB"/>
        </w:rPr>
      </w:pPr>
      <w:bookmarkStart w:id="9" w:name="_Toc172027294"/>
      <w:r w:rsidRPr="007F04EF">
        <w:rPr>
          <w:lang w:val="en-GB"/>
        </w:rPr>
        <w:t>Placing on the market</w:t>
      </w:r>
      <w:r w:rsidR="00E95BC8" w:rsidRPr="007F04EF">
        <w:rPr>
          <w:lang w:val="en-GB"/>
        </w:rPr>
        <w:t xml:space="preserve"> and use of PPP</w:t>
      </w:r>
      <w:r w:rsidR="001A6882" w:rsidRPr="007F04EF">
        <w:rPr>
          <w:lang w:val="en-GB"/>
        </w:rPr>
        <w:t>s</w:t>
      </w:r>
      <w:bookmarkEnd w:id="9"/>
      <w:r w:rsidR="00E95BC8" w:rsidRPr="007F04EF">
        <w:rPr>
          <w:lang w:val="en-GB"/>
        </w:rPr>
        <w:t xml:space="preserve"> </w:t>
      </w:r>
    </w:p>
    <w:p w14:paraId="3E3925C5" w14:textId="77777777" w:rsidR="00495FFF" w:rsidRPr="007F04EF" w:rsidRDefault="00495FFF" w:rsidP="007D0188">
      <w:pPr>
        <w:rPr>
          <w:b/>
          <w:bCs/>
          <w:lang w:val="en-GB"/>
        </w:rPr>
      </w:pPr>
    </w:p>
    <w:p w14:paraId="5AA7403C" w14:textId="69292650" w:rsidR="00590BC6" w:rsidRPr="007F04EF" w:rsidRDefault="00D10333" w:rsidP="007D0188">
      <w:pPr>
        <w:rPr>
          <w:b/>
          <w:bCs/>
          <w:lang w:val="en-GB"/>
        </w:rPr>
      </w:pPr>
      <w:r w:rsidRPr="007F04EF">
        <w:rPr>
          <w:b/>
          <w:bCs/>
          <w:lang w:val="en-GB"/>
        </w:rPr>
        <w:t>PPP</w:t>
      </w:r>
      <w:r w:rsidR="00292007" w:rsidRPr="007F04EF">
        <w:rPr>
          <w:b/>
          <w:bCs/>
          <w:lang w:val="en-GB"/>
        </w:rPr>
        <w:t>-</w:t>
      </w:r>
      <w:r w:rsidRPr="007F04EF">
        <w:rPr>
          <w:b/>
          <w:bCs/>
          <w:lang w:val="en-GB"/>
        </w:rPr>
        <w:t>use</w:t>
      </w:r>
      <w:r w:rsidR="00495FFF" w:rsidRPr="007F04EF">
        <w:rPr>
          <w:b/>
          <w:bCs/>
          <w:lang w:val="en-GB"/>
        </w:rPr>
        <w:t xml:space="preserve">, </w:t>
      </w:r>
      <w:r w:rsidRPr="007F04EF">
        <w:rPr>
          <w:b/>
          <w:bCs/>
          <w:lang w:val="en-GB"/>
        </w:rPr>
        <w:t xml:space="preserve">and risk reduction </w:t>
      </w:r>
      <w:r w:rsidR="00E95BC8" w:rsidRPr="007F04EF">
        <w:rPr>
          <w:b/>
          <w:bCs/>
          <w:lang w:val="en-GB"/>
        </w:rPr>
        <w:t xml:space="preserve">evaluation </w:t>
      </w:r>
      <w:r w:rsidR="00633AD2" w:rsidRPr="007F04EF">
        <w:rPr>
          <w:b/>
          <w:bCs/>
          <w:lang w:val="en-GB"/>
        </w:rPr>
        <w:t>trends</w:t>
      </w:r>
    </w:p>
    <w:p w14:paraId="238685EB" w14:textId="77777777" w:rsidR="00407E4F" w:rsidRPr="007F04EF" w:rsidRDefault="00407E4F" w:rsidP="007D0188">
      <w:pPr>
        <w:rPr>
          <w:b/>
          <w:bCs/>
          <w:lang w:val="en-GB"/>
        </w:rPr>
      </w:pPr>
    </w:p>
    <w:p w14:paraId="3BC30E17" w14:textId="18430B8A" w:rsidR="00D10333" w:rsidRPr="007F04EF" w:rsidRDefault="00292007" w:rsidP="00407E4F">
      <w:pPr>
        <w:jc w:val="both"/>
        <w:rPr>
          <w:shd w:val="clear" w:color="auto" w:fill="FFFFFF"/>
          <w:lang w:val="en-GB"/>
        </w:rPr>
      </w:pPr>
      <w:r w:rsidRPr="007F04EF">
        <w:rPr>
          <w:shd w:val="clear" w:color="auto" w:fill="FFFFFF"/>
          <w:lang w:val="en-GB"/>
        </w:rPr>
        <w:t>The PPP-use and r</w:t>
      </w:r>
      <w:r w:rsidR="00D10333" w:rsidRPr="007F04EF">
        <w:rPr>
          <w:shd w:val="clear" w:color="auto" w:fill="FFFFFF"/>
          <w:lang w:val="en-GB"/>
        </w:rPr>
        <w:t>isk reduction trend</w:t>
      </w:r>
      <w:r w:rsidRPr="007F04EF">
        <w:rPr>
          <w:shd w:val="clear" w:color="auto" w:fill="FFFFFF"/>
          <w:lang w:val="en-GB"/>
        </w:rPr>
        <w:t xml:space="preserve">s are </w:t>
      </w:r>
      <w:r w:rsidR="00D10333" w:rsidRPr="007F04EF">
        <w:rPr>
          <w:shd w:val="clear" w:color="auto" w:fill="FFFFFF"/>
          <w:lang w:val="en-GB"/>
        </w:rPr>
        <w:t>currently assessed indirectly</w:t>
      </w:r>
      <w:r w:rsidRPr="007F04EF">
        <w:rPr>
          <w:shd w:val="clear" w:color="auto" w:fill="FFFFFF"/>
          <w:lang w:val="en-GB"/>
        </w:rPr>
        <w:t xml:space="preserve">, based on </w:t>
      </w:r>
      <w:r w:rsidR="00D10333" w:rsidRPr="007F04EF">
        <w:rPr>
          <w:shd w:val="clear" w:color="auto" w:fill="FFFFFF"/>
          <w:lang w:val="en-GB"/>
        </w:rPr>
        <w:t>the turnover of PPP</w:t>
      </w:r>
      <w:r w:rsidR="001A6882" w:rsidRPr="007F04EF">
        <w:rPr>
          <w:shd w:val="clear" w:color="auto" w:fill="FFFFFF"/>
          <w:lang w:val="en-GB"/>
        </w:rPr>
        <w:t>s</w:t>
      </w:r>
      <w:r w:rsidR="00D10333" w:rsidRPr="007F04EF">
        <w:rPr>
          <w:shd w:val="clear" w:color="auto" w:fill="FFFFFF"/>
          <w:lang w:val="en-GB"/>
        </w:rPr>
        <w:t xml:space="preserve">, </w:t>
      </w:r>
      <w:proofErr w:type="gramStart"/>
      <w:r w:rsidRPr="007F04EF">
        <w:rPr>
          <w:shd w:val="clear" w:color="auto" w:fill="FFFFFF"/>
          <w:lang w:val="en-GB"/>
        </w:rPr>
        <w:t>i.e.</w:t>
      </w:r>
      <w:proofErr w:type="gramEnd"/>
      <w:r w:rsidRPr="007F04EF">
        <w:rPr>
          <w:shd w:val="clear" w:color="auto" w:fill="FFFFFF"/>
          <w:lang w:val="en-GB"/>
        </w:rPr>
        <w:t xml:space="preserve"> </w:t>
      </w:r>
      <w:r w:rsidR="00D10333" w:rsidRPr="007F04EF">
        <w:rPr>
          <w:shd w:val="clear" w:color="auto" w:fill="FFFFFF"/>
          <w:lang w:val="en-GB"/>
        </w:rPr>
        <w:t>using two risk indicators calculated according to the EC methodology.</w:t>
      </w:r>
      <w:r w:rsidRPr="007F04EF">
        <w:rPr>
          <w:shd w:val="clear" w:color="auto" w:fill="FFFFFF"/>
          <w:lang w:val="en-GB"/>
        </w:rPr>
        <w:t xml:space="preserve"> The </w:t>
      </w:r>
      <w:r w:rsidR="00B755E7" w:rsidRPr="007F04EF">
        <w:rPr>
          <w:shd w:val="clear" w:color="auto" w:fill="FFFFFF"/>
          <w:lang w:val="en-GB"/>
        </w:rPr>
        <w:t xml:space="preserve">European Statistical Office (EUROSTAT) </w:t>
      </w:r>
      <w:r w:rsidR="00D10333" w:rsidRPr="007F04EF">
        <w:rPr>
          <w:shd w:val="clear" w:color="auto" w:fill="FFFFFF"/>
          <w:lang w:val="en-GB"/>
        </w:rPr>
        <w:t>calculate</w:t>
      </w:r>
      <w:r w:rsidR="00B755E7" w:rsidRPr="007F04EF">
        <w:rPr>
          <w:shd w:val="clear" w:color="auto" w:fill="FFFFFF"/>
          <w:lang w:val="en-GB"/>
        </w:rPr>
        <w:t>s risk indicators</w:t>
      </w:r>
      <w:r w:rsidR="00D10333" w:rsidRPr="007F04EF">
        <w:rPr>
          <w:shd w:val="clear" w:color="auto" w:fill="FFFFFF"/>
          <w:lang w:val="en-GB"/>
        </w:rPr>
        <w:t xml:space="preserve"> </w:t>
      </w:r>
      <w:r w:rsidRPr="007F04EF">
        <w:rPr>
          <w:shd w:val="clear" w:color="auto" w:fill="FFFFFF"/>
          <w:lang w:val="en-GB"/>
        </w:rPr>
        <w:t xml:space="preserve">on an </w:t>
      </w:r>
      <w:r w:rsidR="00D10333" w:rsidRPr="007F04EF">
        <w:rPr>
          <w:shd w:val="clear" w:color="auto" w:fill="FFFFFF"/>
          <w:lang w:val="en-GB"/>
        </w:rPr>
        <w:t>annual</w:t>
      </w:r>
      <w:r w:rsidRPr="007F04EF">
        <w:rPr>
          <w:shd w:val="clear" w:color="auto" w:fill="FFFFFF"/>
          <w:lang w:val="en-GB"/>
        </w:rPr>
        <w:t xml:space="preserve"> basis, u</w:t>
      </w:r>
      <w:r w:rsidR="00B755E7" w:rsidRPr="007F04EF">
        <w:rPr>
          <w:shd w:val="clear" w:color="auto" w:fill="FFFFFF"/>
          <w:lang w:val="en-GB"/>
        </w:rPr>
        <w:t>sing</w:t>
      </w:r>
      <w:r w:rsidR="00D10333" w:rsidRPr="007F04EF">
        <w:rPr>
          <w:shd w:val="clear" w:color="auto" w:fill="FFFFFF"/>
          <w:lang w:val="en-GB"/>
        </w:rPr>
        <w:t xml:space="preserve"> sales data</w:t>
      </w:r>
      <w:r w:rsidRPr="007F04EF">
        <w:rPr>
          <w:shd w:val="clear" w:color="auto" w:fill="FFFFFF"/>
          <w:lang w:val="en-GB"/>
        </w:rPr>
        <w:t xml:space="preserve"> sourced by the European Commission from the EU </w:t>
      </w:r>
      <w:r w:rsidR="00D10333" w:rsidRPr="007F04EF">
        <w:rPr>
          <w:shd w:val="clear" w:color="auto" w:fill="FFFFFF"/>
          <w:lang w:val="en-GB"/>
        </w:rPr>
        <w:t xml:space="preserve">Member States. </w:t>
      </w:r>
    </w:p>
    <w:p w14:paraId="0BFAB926" w14:textId="77777777" w:rsidR="00407E4F" w:rsidRPr="007F04EF" w:rsidRDefault="00407E4F" w:rsidP="00407E4F">
      <w:pPr>
        <w:jc w:val="both"/>
        <w:rPr>
          <w:shd w:val="clear" w:color="auto" w:fill="FFFFFF"/>
          <w:lang w:val="en-GB"/>
        </w:rPr>
      </w:pPr>
    </w:p>
    <w:p w14:paraId="2A81605A" w14:textId="72DE471C" w:rsidR="00A87C9F" w:rsidRPr="007F04EF" w:rsidRDefault="00B755E7" w:rsidP="00407E4F">
      <w:pPr>
        <w:jc w:val="both"/>
        <w:rPr>
          <w:shd w:val="clear" w:color="auto" w:fill="FFFFFF"/>
          <w:lang w:val="en-GB"/>
        </w:rPr>
      </w:pPr>
      <w:r w:rsidRPr="007F04EF">
        <w:rPr>
          <w:shd w:val="clear" w:color="auto" w:fill="FFFFFF"/>
          <w:lang w:val="en-GB"/>
        </w:rPr>
        <w:t>Statistical Office of the Republic of Slovenia (hereinafter</w:t>
      </w:r>
      <w:r w:rsidR="00292007" w:rsidRPr="007F04EF">
        <w:rPr>
          <w:shd w:val="clear" w:color="auto" w:fill="FFFFFF"/>
          <w:lang w:val="en-GB"/>
        </w:rPr>
        <w:t xml:space="preserve"> referred to as</w:t>
      </w:r>
      <w:r w:rsidRPr="007F04EF">
        <w:rPr>
          <w:shd w:val="clear" w:color="auto" w:fill="FFFFFF"/>
          <w:lang w:val="en-GB"/>
        </w:rPr>
        <w:t xml:space="preserve">: SORS) </w:t>
      </w:r>
      <w:r w:rsidR="00A80347" w:rsidRPr="007F04EF">
        <w:rPr>
          <w:shd w:val="clear" w:color="auto" w:fill="FFFFFF"/>
          <w:lang w:val="en-GB"/>
        </w:rPr>
        <w:t>gather</w:t>
      </w:r>
      <w:r w:rsidR="00292007" w:rsidRPr="007F04EF">
        <w:rPr>
          <w:shd w:val="clear" w:color="auto" w:fill="FFFFFF"/>
          <w:lang w:val="en-GB"/>
        </w:rPr>
        <w:t xml:space="preserve">s </w:t>
      </w:r>
      <w:r w:rsidRPr="007F04EF">
        <w:rPr>
          <w:shd w:val="clear" w:color="auto" w:fill="FFFFFF"/>
          <w:lang w:val="en-GB"/>
        </w:rPr>
        <w:t>data on actual use of</w:t>
      </w:r>
      <w:r w:rsidR="001A6882" w:rsidRPr="007F04EF">
        <w:rPr>
          <w:shd w:val="clear" w:color="auto" w:fill="FFFFFF"/>
          <w:lang w:val="en-GB"/>
        </w:rPr>
        <w:t xml:space="preserve"> PPPs</w:t>
      </w:r>
      <w:r w:rsidRPr="007F04EF">
        <w:rPr>
          <w:shd w:val="clear" w:color="auto" w:fill="FFFFFF"/>
          <w:lang w:val="en-GB"/>
        </w:rPr>
        <w:t xml:space="preserve"> </w:t>
      </w:r>
      <w:r w:rsidR="00A80347" w:rsidRPr="007F04EF">
        <w:rPr>
          <w:shd w:val="clear" w:color="auto" w:fill="FFFFFF"/>
          <w:lang w:val="en-GB"/>
        </w:rPr>
        <w:t xml:space="preserve">in the period 2010-2025 </w:t>
      </w:r>
      <w:r w:rsidR="00292007" w:rsidRPr="007F04EF">
        <w:rPr>
          <w:shd w:val="clear" w:color="auto" w:fill="FFFFFF"/>
          <w:lang w:val="en-GB"/>
        </w:rPr>
        <w:t>via</w:t>
      </w:r>
      <w:r w:rsidRPr="007F04EF">
        <w:rPr>
          <w:shd w:val="clear" w:color="auto" w:fill="FFFFFF"/>
          <w:lang w:val="en-GB"/>
        </w:rPr>
        <w:t xml:space="preserve"> </w:t>
      </w:r>
      <w:r w:rsidR="00A80347" w:rsidRPr="007F04EF">
        <w:rPr>
          <w:shd w:val="clear" w:color="auto" w:fill="FFFFFF"/>
          <w:lang w:val="en-GB"/>
        </w:rPr>
        <w:t xml:space="preserve">sample research </w:t>
      </w:r>
      <w:r w:rsidRPr="007F04EF">
        <w:rPr>
          <w:shd w:val="clear" w:color="auto" w:fill="FFFFFF"/>
          <w:lang w:val="en-GB"/>
        </w:rPr>
        <w:t>at certain interval</w:t>
      </w:r>
      <w:r w:rsidR="00292007" w:rsidRPr="007F04EF">
        <w:rPr>
          <w:shd w:val="clear" w:color="auto" w:fill="FFFFFF"/>
          <w:lang w:val="en-GB"/>
        </w:rPr>
        <w:t xml:space="preserve">s </w:t>
      </w:r>
      <w:r w:rsidRPr="007F04EF">
        <w:rPr>
          <w:shd w:val="clear" w:color="auto" w:fill="FFFFFF"/>
          <w:lang w:val="en-GB"/>
        </w:rPr>
        <w:t xml:space="preserve">determined by </w:t>
      </w:r>
      <w:r w:rsidR="0057622A" w:rsidRPr="007F04EF">
        <w:rPr>
          <w:shd w:val="clear" w:color="auto" w:fill="FFFFFF"/>
          <w:lang w:val="en-GB"/>
        </w:rPr>
        <w:t xml:space="preserve">the </w:t>
      </w:r>
      <w:r w:rsidRPr="007F04EF">
        <w:rPr>
          <w:shd w:val="clear" w:color="auto" w:fill="FFFFFF"/>
          <w:lang w:val="en-GB"/>
        </w:rPr>
        <w:t xml:space="preserve">EU </w:t>
      </w:r>
      <w:r w:rsidR="004861B9" w:rsidRPr="007F04EF">
        <w:rPr>
          <w:shd w:val="clear" w:color="auto" w:fill="FFFFFF"/>
          <w:lang w:val="en-GB"/>
        </w:rPr>
        <w:t>R</w:t>
      </w:r>
      <w:r w:rsidRPr="007F04EF">
        <w:rPr>
          <w:shd w:val="clear" w:color="auto" w:fill="FFFFFF"/>
          <w:lang w:val="en-GB"/>
        </w:rPr>
        <w:t xml:space="preserve">egulation </w:t>
      </w:r>
      <w:r w:rsidR="004861B9" w:rsidRPr="007F04EF">
        <w:rPr>
          <w:shd w:val="clear" w:color="auto" w:fill="FFFFFF"/>
          <w:lang w:val="en-GB"/>
        </w:rPr>
        <w:t>concerning</w:t>
      </w:r>
      <w:r w:rsidRPr="007F04EF">
        <w:rPr>
          <w:shd w:val="clear" w:color="auto" w:fill="FFFFFF"/>
          <w:lang w:val="en-GB"/>
        </w:rPr>
        <w:t xml:space="preserve"> statistics</w:t>
      </w:r>
      <w:r w:rsidR="004861B9" w:rsidRPr="007F04EF">
        <w:rPr>
          <w:shd w:val="clear" w:color="auto" w:fill="FFFFFF"/>
          <w:lang w:val="en-GB"/>
        </w:rPr>
        <w:t xml:space="preserve"> o</w:t>
      </w:r>
      <w:r w:rsidR="0057622A" w:rsidRPr="007F04EF">
        <w:rPr>
          <w:shd w:val="clear" w:color="auto" w:fill="FFFFFF"/>
          <w:lang w:val="en-GB"/>
        </w:rPr>
        <w:t>n pesticides.</w:t>
      </w:r>
      <w:r w:rsidR="004861B9" w:rsidRPr="007F04EF">
        <w:rPr>
          <w:shd w:val="clear" w:color="auto" w:fill="FFFFFF"/>
          <w:lang w:val="en-GB"/>
        </w:rPr>
        <w:t xml:space="preserve"> </w:t>
      </w:r>
      <w:r w:rsidR="004861B9" w:rsidRPr="007F04EF">
        <w:rPr>
          <w:rStyle w:val="Sprotnaopomba-sklic"/>
          <w:shd w:val="clear" w:color="auto" w:fill="FFFFFF"/>
          <w:lang w:val="en-GB"/>
        </w:rPr>
        <w:footnoteReference w:id="4"/>
      </w:r>
      <w:r w:rsidR="0057622A" w:rsidRPr="007F04EF">
        <w:rPr>
          <w:shd w:val="clear" w:color="auto" w:fill="FFFFFF"/>
          <w:lang w:val="en-GB"/>
        </w:rPr>
        <w:t xml:space="preserve"> </w:t>
      </w:r>
      <w:r w:rsidRPr="007F04EF">
        <w:rPr>
          <w:shd w:val="clear" w:color="auto" w:fill="FFFFFF"/>
          <w:lang w:val="en-GB"/>
        </w:rPr>
        <w:t xml:space="preserve">SORS </w:t>
      </w:r>
      <w:r w:rsidR="0057622A" w:rsidRPr="007F04EF">
        <w:rPr>
          <w:shd w:val="clear" w:color="auto" w:fill="FFFFFF"/>
          <w:lang w:val="en-GB"/>
        </w:rPr>
        <w:t>had already collect</w:t>
      </w:r>
      <w:r w:rsidR="004861B9" w:rsidRPr="007F04EF">
        <w:rPr>
          <w:shd w:val="clear" w:color="auto" w:fill="FFFFFF"/>
          <w:lang w:val="en-GB"/>
        </w:rPr>
        <w:t>ed the data on use</w:t>
      </w:r>
      <w:r w:rsidR="0057622A" w:rsidRPr="007F04EF">
        <w:rPr>
          <w:shd w:val="clear" w:color="auto" w:fill="FFFFFF"/>
          <w:lang w:val="en-GB"/>
        </w:rPr>
        <w:t xml:space="preserve"> of PPPs </w:t>
      </w:r>
      <w:r w:rsidRPr="007F04EF">
        <w:rPr>
          <w:shd w:val="clear" w:color="auto" w:fill="FFFFFF"/>
          <w:lang w:val="en-GB"/>
        </w:rPr>
        <w:t xml:space="preserve">for </w:t>
      </w:r>
      <w:r w:rsidR="004861B9" w:rsidRPr="007F04EF">
        <w:rPr>
          <w:shd w:val="clear" w:color="auto" w:fill="FFFFFF"/>
          <w:lang w:val="en-GB"/>
        </w:rPr>
        <w:t>years</w:t>
      </w:r>
      <w:r w:rsidRPr="007F04EF">
        <w:rPr>
          <w:shd w:val="clear" w:color="auto" w:fill="FFFFFF"/>
          <w:lang w:val="en-GB"/>
        </w:rPr>
        <w:t xml:space="preserve"> </w:t>
      </w:r>
      <w:r w:rsidR="004861B9" w:rsidRPr="007F04EF">
        <w:rPr>
          <w:shd w:val="clear" w:color="auto" w:fill="FFFFFF"/>
          <w:lang w:val="en-GB"/>
        </w:rPr>
        <w:t xml:space="preserve">2014 and </w:t>
      </w:r>
      <w:r w:rsidRPr="007F04EF">
        <w:rPr>
          <w:shd w:val="clear" w:color="auto" w:fill="FFFFFF"/>
          <w:lang w:val="en-GB"/>
        </w:rPr>
        <w:t>2017</w:t>
      </w:r>
      <w:r w:rsidR="004861B9" w:rsidRPr="007F04EF">
        <w:rPr>
          <w:shd w:val="clear" w:color="auto" w:fill="FFFFFF"/>
          <w:lang w:val="en-GB"/>
        </w:rPr>
        <w:t xml:space="preserve">, </w:t>
      </w:r>
      <w:r w:rsidR="0057622A" w:rsidRPr="007F04EF">
        <w:rPr>
          <w:shd w:val="clear" w:color="auto" w:fill="FFFFFF"/>
          <w:lang w:val="en-GB"/>
        </w:rPr>
        <w:t xml:space="preserve">whilst the </w:t>
      </w:r>
      <w:r w:rsidR="004861B9" w:rsidRPr="007F04EF">
        <w:rPr>
          <w:shd w:val="clear" w:color="auto" w:fill="FFFFFF"/>
          <w:lang w:val="en-GB"/>
        </w:rPr>
        <w:t>research for</w:t>
      </w:r>
      <w:r w:rsidR="0057622A" w:rsidRPr="007F04EF">
        <w:rPr>
          <w:shd w:val="clear" w:color="auto" w:fill="FFFFFF"/>
          <w:lang w:val="en-GB"/>
        </w:rPr>
        <w:t xml:space="preserve"> </w:t>
      </w:r>
      <w:r w:rsidR="004861B9" w:rsidRPr="007F04EF">
        <w:rPr>
          <w:shd w:val="clear" w:color="auto" w:fill="FFFFFF"/>
          <w:lang w:val="en-GB"/>
        </w:rPr>
        <w:t xml:space="preserve">2023 is still </w:t>
      </w:r>
      <w:r w:rsidR="0057622A" w:rsidRPr="007F04EF">
        <w:rPr>
          <w:shd w:val="clear" w:color="auto" w:fill="FFFFFF"/>
          <w:lang w:val="en-GB"/>
        </w:rPr>
        <w:t xml:space="preserve">under way. </w:t>
      </w:r>
      <w:r w:rsidR="008722AE" w:rsidRPr="007F04EF">
        <w:rPr>
          <w:rStyle w:val="Sprotnaopomba-sklic"/>
          <w:shd w:val="clear" w:color="auto" w:fill="FFFFFF"/>
          <w:lang w:val="en-GB"/>
        </w:rPr>
        <w:footnoteReference w:id="5"/>
      </w:r>
      <w:r w:rsidR="0057622A" w:rsidRPr="007F04EF">
        <w:rPr>
          <w:shd w:val="clear" w:color="auto" w:fill="FFFFFF"/>
          <w:lang w:val="en-GB"/>
        </w:rPr>
        <w:t xml:space="preserve"> </w:t>
      </w:r>
      <w:r w:rsidRPr="007F04EF">
        <w:rPr>
          <w:shd w:val="clear" w:color="auto" w:fill="FFFFFF"/>
          <w:lang w:val="en-GB"/>
        </w:rPr>
        <w:t xml:space="preserve">In accordance with </w:t>
      </w:r>
      <w:r w:rsidR="0057622A" w:rsidRPr="007F04EF">
        <w:rPr>
          <w:shd w:val="clear" w:color="auto" w:fill="FFFFFF"/>
          <w:lang w:val="en-GB"/>
        </w:rPr>
        <w:t>the A</w:t>
      </w:r>
      <w:r w:rsidRPr="007F04EF">
        <w:rPr>
          <w:shd w:val="clear" w:color="auto" w:fill="FFFFFF"/>
          <w:lang w:val="en-GB"/>
        </w:rPr>
        <w:t>PPP</w:t>
      </w:r>
      <w:r w:rsidR="00495FFF" w:rsidRPr="007F04EF">
        <w:rPr>
          <w:shd w:val="clear" w:color="auto" w:fill="FFFFFF"/>
          <w:lang w:val="en-GB"/>
        </w:rPr>
        <w:t>s</w:t>
      </w:r>
      <w:r w:rsidRPr="007F04EF">
        <w:rPr>
          <w:shd w:val="clear" w:color="auto" w:fill="FFFFFF"/>
          <w:lang w:val="en-GB"/>
        </w:rPr>
        <w:t>,</w:t>
      </w:r>
      <w:r w:rsidR="0057622A" w:rsidRPr="007F04EF">
        <w:rPr>
          <w:shd w:val="clear" w:color="auto" w:fill="FFFFFF"/>
          <w:lang w:val="en-GB"/>
        </w:rPr>
        <w:t xml:space="preserve"> </w:t>
      </w:r>
      <w:r w:rsidRPr="007F04EF">
        <w:rPr>
          <w:shd w:val="clear" w:color="auto" w:fill="FFFFFF"/>
          <w:lang w:val="en-GB"/>
        </w:rPr>
        <w:t>professional users of PPP</w:t>
      </w:r>
      <w:r w:rsidR="004B362C" w:rsidRPr="007F04EF">
        <w:rPr>
          <w:shd w:val="clear" w:color="auto" w:fill="FFFFFF"/>
          <w:lang w:val="en-GB"/>
        </w:rPr>
        <w:t>s</w:t>
      </w:r>
      <w:r w:rsidRPr="007F04EF">
        <w:rPr>
          <w:shd w:val="clear" w:color="auto" w:fill="FFFFFF"/>
          <w:lang w:val="en-GB"/>
        </w:rPr>
        <w:t xml:space="preserve"> are obliged </w:t>
      </w:r>
      <w:r w:rsidR="00797C03" w:rsidRPr="007F04EF">
        <w:rPr>
          <w:shd w:val="clear" w:color="auto" w:fill="FFFFFF"/>
          <w:lang w:val="en-GB"/>
        </w:rPr>
        <w:t xml:space="preserve">to </w:t>
      </w:r>
      <w:r w:rsidRPr="007F04EF">
        <w:rPr>
          <w:shd w:val="clear" w:color="auto" w:fill="FFFFFF"/>
          <w:lang w:val="en-GB"/>
        </w:rPr>
        <w:t xml:space="preserve">keep data on </w:t>
      </w:r>
      <w:r w:rsidR="00797C03" w:rsidRPr="007F04EF">
        <w:rPr>
          <w:shd w:val="clear" w:color="auto" w:fill="FFFFFF"/>
          <w:lang w:val="en-GB"/>
        </w:rPr>
        <w:t>PPP</w:t>
      </w:r>
      <w:r w:rsidR="0057622A" w:rsidRPr="007F04EF">
        <w:rPr>
          <w:shd w:val="clear" w:color="auto" w:fill="FFFFFF"/>
          <w:lang w:val="en-GB"/>
        </w:rPr>
        <w:t>-</w:t>
      </w:r>
      <w:r w:rsidR="00797C03" w:rsidRPr="007F04EF">
        <w:rPr>
          <w:shd w:val="clear" w:color="auto" w:fill="FFFFFF"/>
          <w:lang w:val="en-GB"/>
        </w:rPr>
        <w:t>use</w:t>
      </w:r>
      <w:r w:rsidRPr="007F04EF">
        <w:rPr>
          <w:shd w:val="clear" w:color="auto" w:fill="FFFFFF"/>
          <w:lang w:val="en-GB"/>
        </w:rPr>
        <w:t xml:space="preserve"> for 3 years and s</w:t>
      </w:r>
      <w:r w:rsidR="0057622A" w:rsidRPr="007F04EF">
        <w:rPr>
          <w:shd w:val="clear" w:color="auto" w:fill="FFFFFF"/>
          <w:lang w:val="en-GB"/>
        </w:rPr>
        <w:t xml:space="preserve">ubmit </w:t>
      </w:r>
      <w:r w:rsidRPr="007F04EF">
        <w:rPr>
          <w:shd w:val="clear" w:color="auto" w:fill="FFFFFF"/>
          <w:lang w:val="en-GB"/>
        </w:rPr>
        <w:t xml:space="preserve">them to the </w:t>
      </w:r>
      <w:r w:rsidR="0057622A" w:rsidRPr="007F04EF">
        <w:rPr>
          <w:shd w:val="clear" w:color="auto" w:fill="FFFFFF"/>
          <w:lang w:val="en-GB"/>
        </w:rPr>
        <w:t xml:space="preserve">Competent Authority </w:t>
      </w:r>
      <w:r w:rsidRPr="007F04EF">
        <w:rPr>
          <w:shd w:val="clear" w:color="auto" w:fill="FFFFFF"/>
          <w:lang w:val="en-GB"/>
        </w:rPr>
        <w:t>upon request</w:t>
      </w:r>
      <w:r w:rsidR="0057622A" w:rsidRPr="007F04EF">
        <w:rPr>
          <w:shd w:val="clear" w:color="auto" w:fill="FFFFFF"/>
          <w:lang w:val="en-GB"/>
        </w:rPr>
        <w:t xml:space="preserve">, </w:t>
      </w:r>
      <w:r w:rsidRPr="007F04EF">
        <w:rPr>
          <w:shd w:val="clear" w:color="auto" w:fill="FFFFFF"/>
          <w:lang w:val="en-GB"/>
        </w:rPr>
        <w:t xml:space="preserve">or during on-site inspections. </w:t>
      </w:r>
      <w:r w:rsidR="0057622A" w:rsidRPr="007F04EF">
        <w:rPr>
          <w:shd w:val="clear" w:color="auto" w:fill="FFFFFF"/>
          <w:lang w:val="en-GB"/>
        </w:rPr>
        <w:t>M</w:t>
      </w:r>
      <w:r w:rsidRPr="007F04EF">
        <w:rPr>
          <w:shd w:val="clear" w:color="auto" w:fill="FFFFFF"/>
          <w:lang w:val="en-GB"/>
        </w:rPr>
        <w:t>anagement and storage of data in electronic form</w:t>
      </w:r>
      <w:r w:rsidR="00797C03" w:rsidRPr="007F04EF">
        <w:rPr>
          <w:shd w:val="clear" w:color="auto" w:fill="FFFFFF"/>
          <w:lang w:val="en-GB"/>
        </w:rPr>
        <w:t>at</w:t>
      </w:r>
      <w:r w:rsidRPr="007F04EF">
        <w:rPr>
          <w:shd w:val="clear" w:color="auto" w:fill="FFFFFF"/>
          <w:lang w:val="en-GB"/>
        </w:rPr>
        <w:t xml:space="preserve"> ha</w:t>
      </w:r>
      <w:r w:rsidR="0057622A" w:rsidRPr="007F04EF">
        <w:rPr>
          <w:shd w:val="clear" w:color="auto" w:fill="FFFFFF"/>
          <w:lang w:val="en-GB"/>
        </w:rPr>
        <w:t xml:space="preserve">d in the past </w:t>
      </w:r>
      <w:r w:rsidRPr="007F04EF">
        <w:rPr>
          <w:shd w:val="clear" w:color="auto" w:fill="FFFFFF"/>
          <w:lang w:val="en-GB"/>
        </w:rPr>
        <w:t>not been re</w:t>
      </w:r>
      <w:r w:rsidR="0057622A" w:rsidRPr="007F04EF">
        <w:rPr>
          <w:shd w:val="clear" w:color="auto" w:fill="FFFFFF"/>
          <w:lang w:val="en-GB"/>
        </w:rPr>
        <w:t>quired.</w:t>
      </w:r>
      <w:r w:rsidR="00A87C9F" w:rsidRPr="007F04EF">
        <w:rPr>
          <w:shd w:val="clear" w:color="auto" w:fill="FFFFFF"/>
          <w:lang w:val="en-GB"/>
        </w:rPr>
        <w:t xml:space="preserve"> </w:t>
      </w:r>
    </w:p>
    <w:p w14:paraId="1FCDD09B" w14:textId="77777777" w:rsidR="00407E4F" w:rsidRPr="007F04EF" w:rsidRDefault="00407E4F" w:rsidP="00407E4F">
      <w:pPr>
        <w:jc w:val="both"/>
        <w:rPr>
          <w:shd w:val="clear" w:color="auto" w:fill="FFFFFF"/>
          <w:lang w:val="en-GB"/>
        </w:rPr>
      </w:pPr>
    </w:p>
    <w:p w14:paraId="53DD74CA" w14:textId="0E3C8F24" w:rsidR="0033171C" w:rsidRPr="007F04EF" w:rsidRDefault="00A87C9F" w:rsidP="00407E4F">
      <w:pPr>
        <w:jc w:val="both"/>
        <w:rPr>
          <w:color w:val="000000"/>
          <w:lang w:val="en-GB"/>
        </w:rPr>
      </w:pPr>
      <w:r w:rsidRPr="007F04EF">
        <w:rPr>
          <w:color w:val="000000"/>
          <w:lang w:val="en-GB"/>
        </w:rPr>
        <w:t>O</w:t>
      </w:r>
      <w:r w:rsidR="00B755E7" w:rsidRPr="007F04EF">
        <w:rPr>
          <w:color w:val="000000"/>
          <w:lang w:val="en-GB"/>
        </w:rPr>
        <w:t>n</w:t>
      </w:r>
      <w:r w:rsidRPr="007F04EF">
        <w:rPr>
          <w:color w:val="000000"/>
          <w:lang w:val="en-GB"/>
        </w:rPr>
        <w:t xml:space="preserve"> 10 </w:t>
      </w:r>
      <w:r w:rsidR="00B755E7" w:rsidRPr="007F04EF">
        <w:rPr>
          <w:color w:val="000000"/>
          <w:lang w:val="en-GB"/>
        </w:rPr>
        <w:t>March 2023,</w:t>
      </w:r>
      <w:r w:rsidRPr="007F04EF">
        <w:rPr>
          <w:color w:val="000000"/>
          <w:lang w:val="en-GB"/>
        </w:rPr>
        <w:t xml:space="preserve"> </w:t>
      </w:r>
      <w:r w:rsidR="00B755E7" w:rsidRPr="007F04EF">
        <w:rPr>
          <w:color w:val="000000"/>
          <w:lang w:val="en-GB"/>
        </w:rPr>
        <w:t>Implementing Regulation</w:t>
      </w:r>
      <w:r w:rsidRPr="007F04EF">
        <w:rPr>
          <w:color w:val="000000"/>
          <w:lang w:val="en-GB"/>
        </w:rPr>
        <w:t xml:space="preserve"> (EU) </w:t>
      </w:r>
      <w:r w:rsidR="00B755E7" w:rsidRPr="007F04EF">
        <w:rPr>
          <w:color w:val="000000"/>
          <w:lang w:val="en-GB"/>
        </w:rPr>
        <w:t>2023/564</w:t>
      </w:r>
      <w:r w:rsidRPr="007F04EF">
        <w:rPr>
          <w:color w:val="000000"/>
          <w:lang w:val="en-GB"/>
        </w:rPr>
        <w:t xml:space="preserve"> of the European Parliament and of the Council as regards the content and format of the records of plant protection products kept by professional users pursuant to Regulation (EC) No 1107/2009 </w:t>
      </w:r>
      <w:r w:rsidR="008722AE" w:rsidRPr="007F04EF">
        <w:rPr>
          <w:rStyle w:val="Sprotnaopomba-sklic"/>
          <w:color w:val="000000"/>
          <w:lang w:val="en-GB"/>
        </w:rPr>
        <w:footnoteReference w:id="6"/>
      </w:r>
      <w:r w:rsidRPr="007F04EF">
        <w:rPr>
          <w:color w:val="000000"/>
          <w:lang w:val="en-GB"/>
        </w:rPr>
        <w:t xml:space="preserve"> was published, laying down the mandatory </w:t>
      </w:r>
      <w:r w:rsidR="00633AD2" w:rsidRPr="007F04EF">
        <w:rPr>
          <w:color w:val="000000"/>
          <w:lang w:val="en-GB"/>
        </w:rPr>
        <w:t xml:space="preserve">electronic data keeping </w:t>
      </w:r>
      <w:r w:rsidRPr="007F04EF">
        <w:rPr>
          <w:color w:val="000000"/>
          <w:lang w:val="en-GB"/>
        </w:rPr>
        <w:t xml:space="preserve">by </w:t>
      </w:r>
      <w:r w:rsidR="00633AD2" w:rsidRPr="007F04EF">
        <w:rPr>
          <w:color w:val="000000"/>
          <w:lang w:val="en-GB"/>
        </w:rPr>
        <w:t>professional PPP</w:t>
      </w:r>
      <w:r w:rsidRPr="007F04EF">
        <w:rPr>
          <w:color w:val="000000"/>
          <w:lang w:val="en-GB"/>
        </w:rPr>
        <w:t>-</w:t>
      </w:r>
      <w:r w:rsidR="00633AD2" w:rsidRPr="007F04EF">
        <w:rPr>
          <w:color w:val="000000"/>
          <w:lang w:val="en-GB"/>
        </w:rPr>
        <w:t xml:space="preserve">users. </w:t>
      </w:r>
      <w:r w:rsidRPr="007F04EF">
        <w:rPr>
          <w:color w:val="000000"/>
          <w:lang w:val="en-GB"/>
        </w:rPr>
        <w:t xml:space="preserve">Regulation </w:t>
      </w:r>
      <w:r w:rsidR="00633AD2" w:rsidRPr="007F04EF">
        <w:rPr>
          <w:color w:val="000000"/>
          <w:lang w:val="en-GB"/>
        </w:rPr>
        <w:t xml:space="preserve">shall apply </w:t>
      </w:r>
      <w:r w:rsidRPr="007F04EF">
        <w:rPr>
          <w:color w:val="000000"/>
          <w:lang w:val="en-GB"/>
        </w:rPr>
        <w:t xml:space="preserve">as </w:t>
      </w:r>
      <w:r w:rsidR="00633AD2" w:rsidRPr="007F04EF">
        <w:rPr>
          <w:color w:val="000000"/>
          <w:lang w:val="en-GB"/>
        </w:rPr>
        <w:t>from 1 January 2026</w:t>
      </w:r>
      <w:r w:rsidR="00B755E7" w:rsidRPr="007F04EF">
        <w:rPr>
          <w:color w:val="000000"/>
          <w:lang w:val="en-GB"/>
        </w:rPr>
        <w:t xml:space="preserve">, allowing for </w:t>
      </w:r>
      <w:r w:rsidR="00633AD2" w:rsidRPr="007F04EF">
        <w:rPr>
          <w:color w:val="000000"/>
          <w:lang w:val="en-GB"/>
        </w:rPr>
        <w:t xml:space="preserve">certain </w:t>
      </w:r>
      <w:r w:rsidR="00B755E7" w:rsidRPr="007F04EF">
        <w:rPr>
          <w:color w:val="000000"/>
          <w:lang w:val="en-GB"/>
        </w:rPr>
        <w:t>national derogations</w:t>
      </w:r>
      <w:r w:rsidRPr="007F04EF">
        <w:rPr>
          <w:color w:val="000000"/>
          <w:lang w:val="en-GB"/>
        </w:rPr>
        <w:t xml:space="preserve"> by 2030, to </w:t>
      </w:r>
      <w:r w:rsidR="00633AD2" w:rsidRPr="007F04EF">
        <w:rPr>
          <w:color w:val="000000"/>
          <w:lang w:val="en-GB"/>
        </w:rPr>
        <w:t>creat</w:t>
      </w:r>
      <w:r w:rsidRPr="007F04EF">
        <w:rPr>
          <w:color w:val="000000"/>
          <w:lang w:val="en-GB"/>
        </w:rPr>
        <w:t xml:space="preserve">e relevant </w:t>
      </w:r>
      <w:r w:rsidR="00797C03" w:rsidRPr="007F04EF">
        <w:rPr>
          <w:color w:val="000000"/>
          <w:lang w:val="en-GB"/>
        </w:rPr>
        <w:t>online</w:t>
      </w:r>
      <w:r w:rsidR="00633AD2" w:rsidRPr="007F04EF">
        <w:rPr>
          <w:color w:val="000000"/>
          <w:lang w:val="en-GB"/>
        </w:rPr>
        <w:t xml:space="preserve"> database</w:t>
      </w:r>
      <w:r w:rsidR="0033171C" w:rsidRPr="007F04EF">
        <w:rPr>
          <w:color w:val="000000"/>
          <w:lang w:val="en-GB"/>
        </w:rPr>
        <w:t>s</w:t>
      </w:r>
      <w:r w:rsidR="00B755E7" w:rsidRPr="007F04EF">
        <w:rPr>
          <w:color w:val="000000"/>
          <w:lang w:val="en-GB"/>
        </w:rPr>
        <w:t>.</w:t>
      </w:r>
    </w:p>
    <w:p w14:paraId="36094442" w14:textId="77777777" w:rsidR="00407E4F" w:rsidRPr="007F04EF" w:rsidRDefault="00407E4F" w:rsidP="00407E4F">
      <w:pPr>
        <w:jc w:val="both"/>
        <w:rPr>
          <w:color w:val="000000"/>
          <w:lang w:val="en-GB"/>
        </w:rPr>
      </w:pPr>
    </w:p>
    <w:p w14:paraId="6CD180C3" w14:textId="50BA9DDA" w:rsidR="00B755E7" w:rsidRPr="007F04EF" w:rsidRDefault="00B755E7" w:rsidP="00407E4F">
      <w:pPr>
        <w:jc w:val="both"/>
        <w:rPr>
          <w:color w:val="000000"/>
          <w:lang w:val="en-GB"/>
        </w:rPr>
      </w:pPr>
      <w:r w:rsidRPr="007F04EF">
        <w:rPr>
          <w:color w:val="000000"/>
          <w:lang w:val="en-GB"/>
        </w:rPr>
        <w:t>In 2023, the Ministry of Agriculture, Forestry and Food (hereinafter referred to as</w:t>
      </w:r>
      <w:r w:rsidR="0033171C" w:rsidRPr="007F04EF">
        <w:rPr>
          <w:color w:val="000000"/>
          <w:lang w:val="en-GB"/>
        </w:rPr>
        <w:t xml:space="preserve">: </w:t>
      </w:r>
      <w:r w:rsidR="00633AD2" w:rsidRPr="007F04EF">
        <w:rPr>
          <w:color w:val="000000"/>
          <w:lang w:val="en-GB"/>
        </w:rPr>
        <w:t>MAFF</w:t>
      </w:r>
      <w:r w:rsidRPr="007F04EF">
        <w:rPr>
          <w:color w:val="000000"/>
          <w:lang w:val="en-GB"/>
        </w:rPr>
        <w:t xml:space="preserve">) started preparing </w:t>
      </w:r>
      <w:r w:rsidR="00633AD2" w:rsidRPr="007F04EF">
        <w:rPr>
          <w:color w:val="000000"/>
          <w:lang w:val="en-GB"/>
        </w:rPr>
        <w:t>legislation</w:t>
      </w:r>
      <w:r w:rsidRPr="007F04EF">
        <w:rPr>
          <w:color w:val="000000"/>
          <w:lang w:val="en-GB"/>
        </w:rPr>
        <w:t xml:space="preserve"> </w:t>
      </w:r>
      <w:r w:rsidR="0033171C" w:rsidRPr="007F04EF">
        <w:rPr>
          <w:color w:val="000000"/>
          <w:lang w:val="en-GB"/>
        </w:rPr>
        <w:t>relevant t</w:t>
      </w:r>
      <w:r w:rsidRPr="007F04EF">
        <w:rPr>
          <w:color w:val="000000"/>
          <w:lang w:val="en-GB"/>
        </w:rPr>
        <w:t>o</w:t>
      </w:r>
      <w:r w:rsidR="0033171C" w:rsidRPr="007F04EF">
        <w:rPr>
          <w:color w:val="000000"/>
          <w:lang w:val="en-GB"/>
        </w:rPr>
        <w:t xml:space="preserve"> </w:t>
      </w:r>
      <w:r w:rsidRPr="007F04EF">
        <w:rPr>
          <w:color w:val="000000"/>
          <w:lang w:val="en-GB"/>
        </w:rPr>
        <w:t>the</w:t>
      </w:r>
      <w:r w:rsidR="0033171C" w:rsidRPr="007F04EF">
        <w:rPr>
          <w:color w:val="000000"/>
          <w:lang w:val="en-GB"/>
        </w:rPr>
        <w:t xml:space="preserve"> electronic PPP-use data </w:t>
      </w:r>
      <w:r w:rsidRPr="007F04EF">
        <w:rPr>
          <w:color w:val="000000"/>
          <w:lang w:val="en-GB"/>
        </w:rPr>
        <w:t>manag</w:t>
      </w:r>
      <w:r w:rsidR="0033171C" w:rsidRPr="007F04EF">
        <w:rPr>
          <w:color w:val="000000"/>
          <w:lang w:val="en-GB"/>
        </w:rPr>
        <w:t>ement</w:t>
      </w:r>
      <w:r w:rsidR="00633AD2" w:rsidRPr="007F04EF">
        <w:rPr>
          <w:color w:val="000000"/>
          <w:lang w:val="en-GB"/>
        </w:rPr>
        <w:t>.</w:t>
      </w:r>
      <w:r w:rsidR="0033171C" w:rsidRPr="007F04EF">
        <w:rPr>
          <w:color w:val="000000"/>
          <w:lang w:val="en-GB"/>
        </w:rPr>
        <w:t xml:space="preserve"> </w:t>
      </w:r>
      <w:r w:rsidR="00633AD2" w:rsidRPr="007F04EF">
        <w:rPr>
          <w:color w:val="000000"/>
          <w:lang w:val="en-GB"/>
        </w:rPr>
        <w:t>P</w:t>
      </w:r>
      <w:r w:rsidR="0033171C" w:rsidRPr="007F04EF">
        <w:rPr>
          <w:color w:val="000000"/>
          <w:lang w:val="en-GB"/>
        </w:rPr>
        <w:t>rofessional P</w:t>
      </w:r>
      <w:r w:rsidR="00633AD2" w:rsidRPr="007F04EF">
        <w:rPr>
          <w:color w:val="000000"/>
          <w:lang w:val="en-GB"/>
        </w:rPr>
        <w:t>PP</w:t>
      </w:r>
      <w:r w:rsidR="0033171C" w:rsidRPr="007F04EF">
        <w:rPr>
          <w:color w:val="000000"/>
          <w:lang w:val="en-GB"/>
        </w:rPr>
        <w:t>-</w:t>
      </w:r>
      <w:r w:rsidRPr="007F04EF">
        <w:rPr>
          <w:color w:val="000000"/>
          <w:lang w:val="en-GB"/>
        </w:rPr>
        <w:t>users</w:t>
      </w:r>
      <w:r w:rsidR="0033171C" w:rsidRPr="007F04EF">
        <w:rPr>
          <w:color w:val="000000"/>
          <w:lang w:val="en-GB"/>
        </w:rPr>
        <w:t xml:space="preserve"> shall </w:t>
      </w:r>
      <w:r w:rsidRPr="007F04EF">
        <w:rPr>
          <w:color w:val="000000"/>
          <w:lang w:val="en-GB"/>
        </w:rPr>
        <w:t>have to adapt</w:t>
      </w:r>
      <w:r w:rsidR="0033171C" w:rsidRPr="007F04EF">
        <w:rPr>
          <w:color w:val="000000"/>
          <w:lang w:val="en-GB"/>
        </w:rPr>
        <w:t xml:space="preserve"> </w:t>
      </w:r>
      <w:r w:rsidRPr="007F04EF">
        <w:rPr>
          <w:color w:val="000000"/>
          <w:lang w:val="en-GB"/>
        </w:rPr>
        <w:t>to</w:t>
      </w:r>
      <w:r w:rsidR="0033171C" w:rsidRPr="007F04EF">
        <w:rPr>
          <w:color w:val="000000"/>
          <w:lang w:val="en-GB"/>
        </w:rPr>
        <w:t xml:space="preserve"> these </w:t>
      </w:r>
      <w:r w:rsidR="00633AD2" w:rsidRPr="007F04EF">
        <w:rPr>
          <w:color w:val="000000"/>
          <w:lang w:val="en-GB"/>
        </w:rPr>
        <w:t>new</w:t>
      </w:r>
      <w:r w:rsidR="0033171C" w:rsidRPr="007F04EF">
        <w:rPr>
          <w:color w:val="000000"/>
          <w:lang w:val="en-GB"/>
        </w:rPr>
        <w:t xml:space="preserve"> requirements</w:t>
      </w:r>
      <w:r w:rsidRPr="007F04EF">
        <w:rPr>
          <w:color w:val="000000"/>
          <w:lang w:val="en-GB"/>
        </w:rPr>
        <w:t>.</w:t>
      </w:r>
    </w:p>
    <w:p w14:paraId="5330AE03" w14:textId="77777777" w:rsidR="00407E4F" w:rsidRPr="007F04EF" w:rsidRDefault="00407E4F" w:rsidP="00407E4F">
      <w:pPr>
        <w:jc w:val="both"/>
        <w:rPr>
          <w:shd w:val="clear" w:color="auto" w:fill="FFFFFF"/>
          <w:lang w:val="en-GB"/>
        </w:rPr>
      </w:pPr>
    </w:p>
    <w:p w14:paraId="6B2950C7" w14:textId="5D4473EF" w:rsidR="0033171C" w:rsidRPr="007F04EF" w:rsidRDefault="0033171C" w:rsidP="00407E4F">
      <w:pPr>
        <w:jc w:val="both"/>
        <w:rPr>
          <w:color w:val="000000"/>
          <w:lang w:val="en-GB"/>
        </w:rPr>
      </w:pPr>
      <w:r w:rsidRPr="007F04EF">
        <w:rPr>
          <w:color w:val="000000"/>
          <w:lang w:val="en-GB"/>
        </w:rPr>
        <w:t>On 23 November 2022, R</w:t>
      </w:r>
      <w:r w:rsidR="00967DD3" w:rsidRPr="007F04EF">
        <w:rPr>
          <w:color w:val="000000"/>
          <w:lang w:val="en-GB"/>
        </w:rPr>
        <w:t xml:space="preserve">egulation </w:t>
      </w:r>
      <w:r w:rsidRPr="007F04EF">
        <w:rPr>
          <w:color w:val="000000"/>
          <w:lang w:val="en-GB"/>
        </w:rPr>
        <w:t xml:space="preserve">(EU) </w:t>
      </w:r>
      <w:r w:rsidR="00967DD3" w:rsidRPr="007F04EF">
        <w:rPr>
          <w:color w:val="000000"/>
          <w:lang w:val="en-GB"/>
        </w:rPr>
        <w:t>2022/2379</w:t>
      </w:r>
      <w:r w:rsidR="00EB3276" w:rsidRPr="007F04EF">
        <w:rPr>
          <w:color w:val="000000"/>
          <w:lang w:val="en-GB"/>
        </w:rPr>
        <w:t xml:space="preserve"> of the European Parliament and of the Council </w:t>
      </w:r>
      <w:r w:rsidR="00967DD3" w:rsidRPr="007F04EF">
        <w:rPr>
          <w:color w:val="000000"/>
          <w:lang w:val="en-GB"/>
        </w:rPr>
        <w:t>on statistics on agricultural input and output</w:t>
      </w:r>
      <w:r w:rsidR="00EB3276" w:rsidRPr="007F04EF">
        <w:rPr>
          <w:color w:val="000000"/>
          <w:lang w:val="en-GB"/>
        </w:rPr>
        <w:t xml:space="preserve"> </w:t>
      </w:r>
      <w:r w:rsidR="00967DD3" w:rsidRPr="007F04EF">
        <w:rPr>
          <w:rStyle w:val="Sprotnaopomba-sklic"/>
          <w:color w:val="000000"/>
          <w:lang w:val="en-GB"/>
        </w:rPr>
        <w:footnoteReference w:id="7"/>
      </w:r>
      <w:r w:rsidR="00EB3276" w:rsidRPr="007F04EF">
        <w:rPr>
          <w:color w:val="000000"/>
          <w:lang w:val="en-GB"/>
        </w:rPr>
        <w:t xml:space="preserve"> was published, laying down </w:t>
      </w:r>
      <w:r w:rsidR="00967DD3" w:rsidRPr="007F04EF">
        <w:rPr>
          <w:color w:val="000000"/>
          <w:lang w:val="en-GB"/>
        </w:rPr>
        <w:t xml:space="preserve">new requirements </w:t>
      </w:r>
      <w:r w:rsidR="00EB3276" w:rsidRPr="007F04EF">
        <w:rPr>
          <w:color w:val="000000"/>
          <w:lang w:val="en-GB"/>
        </w:rPr>
        <w:t>f</w:t>
      </w:r>
      <w:r w:rsidR="00967DD3" w:rsidRPr="007F04EF">
        <w:rPr>
          <w:color w:val="000000"/>
          <w:lang w:val="en-GB"/>
        </w:rPr>
        <w:t>o</w:t>
      </w:r>
      <w:r w:rsidR="00EB3276" w:rsidRPr="007F04EF">
        <w:rPr>
          <w:color w:val="000000"/>
          <w:lang w:val="en-GB"/>
        </w:rPr>
        <w:t xml:space="preserve">r data management on </w:t>
      </w:r>
      <w:r w:rsidR="00A8299C" w:rsidRPr="007F04EF">
        <w:rPr>
          <w:color w:val="000000"/>
          <w:lang w:val="en-GB"/>
        </w:rPr>
        <w:t xml:space="preserve">the </w:t>
      </w:r>
      <w:r w:rsidR="00967DD3" w:rsidRPr="007F04EF">
        <w:rPr>
          <w:color w:val="000000"/>
          <w:lang w:val="en-GB"/>
        </w:rPr>
        <w:t>use of PPPs in agriculture</w:t>
      </w:r>
      <w:r w:rsidR="00EB3276" w:rsidRPr="007F04EF">
        <w:rPr>
          <w:color w:val="000000"/>
          <w:lang w:val="en-GB"/>
        </w:rPr>
        <w:t xml:space="preserve">, as from </w:t>
      </w:r>
      <w:r w:rsidR="00967DD3" w:rsidRPr="007F04EF">
        <w:rPr>
          <w:color w:val="000000"/>
          <w:lang w:val="en-GB"/>
        </w:rPr>
        <w:t>2025.</w:t>
      </w:r>
    </w:p>
    <w:p w14:paraId="7B1000BC" w14:textId="77777777" w:rsidR="00407E4F" w:rsidRPr="007F04EF" w:rsidRDefault="00407E4F" w:rsidP="00407E4F">
      <w:pPr>
        <w:jc w:val="both"/>
        <w:rPr>
          <w:color w:val="000000"/>
          <w:lang w:val="en-GB"/>
        </w:rPr>
      </w:pPr>
    </w:p>
    <w:p w14:paraId="42957CEE" w14:textId="038476BA" w:rsidR="008722AE" w:rsidRPr="007F04EF" w:rsidRDefault="00967DD3" w:rsidP="00407E4F">
      <w:pPr>
        <w:jc w:val="both"/>
        <w:rPr>
          <w:color w:val="000000"/>
          <w:lang w:val="en-GB"/>
        </w:rPr>
      </w:pPr>
      <w:r w:rsidRPr="007F04EF">
        <w:rPr>
          <w:color w:val="000000"/>
          <w:lang w:val="en-GB"/>
        </w:rPr>
        <w:t xml:space="preserve">All </w:t>
      </w:r>
      <w:r w:rsidR="00EB3276" w:rsidRPr="007F04EF">
        <w:rPr>
          <w:color w:val="000000"/>
          <w:lang w:val="en-GB"/>
        </w:rPr>
        <w:t xml:space="preserve">the EU </w:t>
      </w:r>
      <w:r w:rsidRPr="007F04EF">
        <w:rPr>
          <w:color w:val="000000"/>
          <w:lang w:val="en-GB"/>
        </w:rPr>
        <w:t>Member States will have to provide detailed statistics on the use of PPPs in agriculture annually</w:t>
      </w:r>
      <w:r w:rsidR="00EB3276" w:rsidRPr="007F04EF">
        <w:rPr>
          <w:color w:val="000000"/>
          <w:lang w:val="en-GB"/>
        </w:rPr>
        <w:t xml:space="preserve">, as </w:t>
      </w:r>
      <w:r w:rsidRPr="007F04EF">
        <w:rPr>
          <w:color w:val="000000"/>
          <w:lang w:val="en-GB"/>
        </w:rPr>
        <w:t>from</w:t>
      </w:r>
      <w:r w:rsidR="00EB3276" w:rsidRPr="007F04EF">
        <w:rPr>
          <w:color w:val="000000"/>
          <w:lang w:val="en-GB"/>
        </w:rPr>
        <w:t xml:space="preserve"> </w:t>
      </w:r>
      <w:r w:rsidRPr="007F04EF">
        <w:rPr>
          <w:color w:val="000000"/>
          <w:lang w:val="en-GB"/>
        </w:rPr>
        <w:t>2028</w:t>
      </w:r>
      <w:r w:rsidR="00EB3276" w:rsidRPr="007F04EF">
        <w:rPr>
          <w:color w:val="000000"/>
          <w:lang w:val="en-GB"/>
        </w:rPr>
        <w:t xml:space="preserve">, </w:t>
      </w:r>
      <w:r w:rsidRPr="007F04EF">
        <w:rPr>
          <w:color w:val="000000"/>
          <w:lang w:val="en-GB"/>
        </w:rPr>
        <w:t>based on 95</w:t>
      </w:r>
      <w:r w:rsidR="00EB3276" w:rsidRPr="007F04EF">
        <w:rPr>
          <w:color w:val="000000"/>
          <w:lang w:val="en-GB"/>
        </w:rPr>
        <w:t xml:space="preserve"> </w:t>
      </w:r>
      <w:r w:rsidRPr="007F04EF">
        <w:rPr>
          <w:color w:val="000000"/>
          <w:lang w:val="en-GB"/>
        </w:rPr>
        <w:t xml:space="preserve">% of the coverage in each reference year. However, there is a transitional period in place in 2026 during which Member States </w:t>
      </w:r>
      <w:r w:rsidR="00A8299C" w:rsidRPr="007F04EF">
        <w:rPr>
          <w:color w:val="000000"/>
          <w:lang w:val="en-GB"/>
        </w:rPr>
        <w:t>can</w:t>
      </w:r>
      <w:r w:rsidRPr="007F04EF">
        <w:rPr>
          <w:color w:val="000000"/>
          <w:lang w:val="en-GB"/>
        </w:rPr>
        <w:t xml:space="preserve"> provide data </w:t>
      </w:r>
      <w:r w:rsidR="004B362C" w:rsidRPr="007F04EF">
        <w:rPr>
          <w:color w:val="000000"/>
          <w:lang w:val="en-GB"/>
        </w:rPr>
        <w:t>based on</w:t>
      </w:r>
      <w:r w:rsidRPr="007F04EF">
        <w:rPr>
          <w:color w:val="000000"/>
          <w:lang w:val="en-GB"/>
        </w:rPr>
        <w:t xml:space="preserve"> a sample survey, but under new </w:t>
      </w:r>
      <w:r w:rsidR="00A8299C" w:rsidRPr="007F04EF">
        <w:rPr>
          <w:color w:val="000000"/>
          <w:lang w:val="en-GB"/>
        </w:rPr>
        <w:t>coverage requirements.</w:t>
      </w:r>
    </w:p>
    <w:p w14:paraId="040209B3" w14:textId="77777777" w:rsidR="00407E4F" w:rsidRPr="007F04EF" w:rsidRDefault="00407E4F" w:rsidP="008D1F7B">
      <w:pPr>
        <w:rPr>
          <w:color w:val="000000"/>
          <w:lang w:val="en-GB"/>
        </w:rPr>
      </w:pPr>
    </w:p>
    <w:p w14:paraId="611E26D2" w14:textId="5BCF02F9" w:rsidR="002E501B" w:rsidRPr="007F04EF" w:rsidRDefault="004861B9" w:rsidP="007D0188">
      <w:pPr>
        <w:rPr>
          <w:b/>
          <w:bCs/>
          <w:lang w:val="en-GB"/>
        </w:rPr>
      </w:pPr>
      <w:r w:rsidRPr="007F04EF">
        <w:rPr>
          <w:b/>
          <w:bCs/>
          <w:lang w:val="en-GB"/>
        </w:rPr>
        <w:t xml:space="preserve">Trend evaluation calculating </w:t>
      </w:r>
      <w:r w:rsidR="00797C03" w:rsidRPr="007F04EF">
        <w:rPr>
          <w:b/>
          <w:bCs/>
          <w:lang w:val="en-GB"/>
        </w:rPr>
        <w:t>Risk indicator 1 and Risk indicator 2</w:t>
      </w:r>
      <w:r w:rsidRPr="007F04EF">
        <w:rPr>
          <w:b/>
          <w:bCs/>
          <w:lang w:val="en-GB"/>
        </w:rPr>
        <w:t xml:space="preserve"> (EUROSTAT)</w:t>
      </w:r>
      <w:r w:rsidR="00D727BB" w:rsidRPr="007F04EF">
        <w:rPr>
          <w:rStyle w:val="Sprotnaopomba-sklic"/>
          <w:b/>
          <w:bCs/>
          <w:lang w:val="en-GB"/>
        </w:rPr>
        <w:footnoteReference w:id="8"/>
      </w:r>
    </w:p>
    <w:p w14:paraId="3594EEE7" w14:textId="77777777" w:rsidR="00407E4F" w:rsidRPr="007F04EF" w:rsidRDefault="00407E4F" w:rsidP="007D0188">
      <w:pPr>
        <w:rPr>
          <w:b/>
          <w:bCs/>
          <w:lang w:val="en-GB"/>
        </w:rPr>
      </w:pPr>
    </w:p>
    <w:p w14:paraId="07EEE65B" w14:textId="123808CF" w:rsidR="00797C03" w:rsidRPr="007F04EF" w:rsidRDefault="006C582D" w:rsidP="007D0188">
      <w:pPr>
        <w:rPr>
          <w:rStyle w:val="Krepko"/>
          <w:rFonts w:cs="Arial"/>
          <w:b w:val="0"/>
          <w:bCs w:val="0"/>
          <w:color w:val="111111"/>
          <w:szCs w:val="22"/>
          <w:bdr w:val="none" w:sz="0" w:space="0" w:color="auto" w:frame="1"/>
          <w:lang w:val="en-GB"/>
        </w:rPr>
      </w:pPr>
      <w:r w:rsidRPr="007F04EF">
        <w:rPr>
          <w:rStyle w:val="Krepko"/>
          <w:rFonts w:cs="Arial"/>
          <w:b w:val="0"/>
          <w:bCs w:val="0"/>
          <w:color w:val="111111"/>
          <w:szCs w:val="22"/>
          <w:bdr w:val="none" w:sz="0" w:space="0" w:color="auto" w:frame="1"/>
          <w:lang w:val="en-GB"/>
        </w:rPr>
        <w:t xml:space="preserve">EUROSTAT </w:t>
      </w:r>
      <w:r w:rsidR="00797C03" w:rsidRPr="007F04EF">
        <w:rPr>
          <w:rStyle w:val="Krepko"/>
          <w:rFonts w:cs="Arial"/>
          <w:b w:val="0"/>
          <w:bCs w:val="0"/>
          <w:color w:val="111111"/>
          <w:szCs w:val="22"/>
          <w:bdr w:val="none" w:sz="0" w:space="0" w:color="auto" w:frame="1"/>
          <w:lang w:val="en-GB"/>
        </w:rPr>
        <w:t>calculated risk indicators 1 and 2 for each Member State for the period 2011</w:t>
      </w:r>
      <w:r w:rsidR="00407E4F" w:rsidRPr="007F04EF">
        <w:rPr>
          <w:rStyle w:val="Krepko"/>
          <w:rFonts w:cs="Arial"/>
          <w:b w:val="0"/>
          <w:bCs w:val="0"/>
          <w:color w:val="111111"/>
          <w:szCs w:val="22"/>
          <w:bdr w:val="none" w:sz="0" w:space="0" w:color="auto" w:frame="1"/>
          <w:lang w:val="en-GB"/>
        </w:rPr>
        <w:t xml:space="preserve"> – </w:t>
      </w:r>
      <w:r w:rsidR="00797C03" w:rsidRPr="007F04EF">
        <w:rPr>
          <w:rStyle w:val="Krepko"/>
          <w:rFonts w:cs="Arial"/>
          <w:b w:val="0"/>
          <w:bCs w:val="0"/>
          <w:color w:val="111111"/>
          <w:szCs w:val="22"/>
          <w:bdr w:val="none" w:sz="0" w:space="0" w:color="auto" w:frame="1"/>
          <w:lang w:val="en-GB"/>
        </w:rPr>
        <w:t>2021.</w:t>
      </w:r>
      <w:r w:rsidR="00407E4F" w:rsidRPr="007F04EF">
        <w:rPr>
          <w:rStyle w:val="Krepko"/>
          <w:rFonts w:cs="Arial"/>
          <w:b w:val="0"/>
          <w:bCs w:val="0"/>
          <w:color w:val="111111"/>
          <w:szCs w:val="22"/>
          <w:bdr w:val="none" w:sz="0" w:space="0" w:color="auto" w:frame="1"/>
          <w:lang w:val="en-GB"/>
        </w:rPr>
        <w:t xml:space="preserve"> I</w:t>
      </w:r>
      <w:r w:rsidR="00797C03" w:rsidRPr="007F04EF">
        <w:rPr>
          <w:rStyle w:val="Krepko"/>
          <w:rFonts w:cs="Arial"/>
          <w:b w:val="0"/>
          <w:bCs w:val="0"/>
          <w:color w:val="111111"/>
          <w:szCs w:val="22"/>
          <w:bdr w:val="none" w:sz="0" w:space="0" w:color="auto" w:frame="1"/>
          <w:lang w:val="en-GB"/>
        </w:rPr>
        <w:t>ndicators for 2022 had not been calculated</w:t>
      </w:r>
      <w:r w:rsidR="00407E4F" w:rsidRPr="007F04EF">
        <w:rPr>
          <w:rStyle w:val="Krepko"/>
          <w:rFonts w:cs="Arial"/>
          <w:b w:val="0"/>
          <w:bCs w:val="0"/>
          <w:color w:val="111111"/>
          <w:szCs w:val="22"/>
          <w:bdr w:val="none" w:sz="0" w:space="0" w:color="auto" w:frame="1"/>
          <w:lang w:val="en-GB"/>
        </w:rPr>
        <w:t xml:space="preserve"> up to the time of preparation of this report</w:t>
      </w:r>
      <w:r w:rsidR="00797C03" w:rsidRPr="007F04EF">
        <w:rPr>
          <w:rStyle w:val="Krepko"/>
          <w:rFonts w:cs="Arial"/>
          <w:b w:val="0"/>
          <w:bCs w:val="0"/>
          <w:color w:val="111111"/>
          <w:szCs w:val="22"/>
          <w:bdr w:val="none" w:sz="0" w:space="0" w:color="auto" w:frame="1"/>
          <w:lang w:val="en-GB"/>
        </w:rPr>
        <w:t>.</w:t>
      </w:r>
      <w:r w:rsidR="00407E4F" w:rsidRPr="007F04EF">
        <w:rPr>
          <w:rStyle w:val="Krepko"/>
          <w:rFonts w:cs="Arial"/>
          <w:b w:val="0"/>
          <w:bCs w:val="0"/>
          <w:color w:val="111111"/>
          <w:szCs w:val="22"/>
          <w:bdr w:val="none" w:sz="0" w:space="0" w:color="auto" w:frame="1"/>
          <w:lang w:val="en-GB"/>
        </w:rPr>
        <w:t xml:space="preserve"> </w:t>
      </w:r>
      <w:r w:rsidR="00797C03" w:rsidRPr="007F04EF">
        <w:rPr>
          <w:rStyle w:val="Krepko"/>
          <w:rFonts w:cs="Arial"/>
          <w:b w:val="0"/>
          <w:bCs w:val="0"/>
          <w:color w:val="111111"/>
          <w:szCs w:val="22"/>
          <w:bdr w:val="none" w:sz="0" w:space="0" w:color="auto" w:frame="1"/>
          <w:lang w:val="en-GB"/>
        </w:rPr>
        <w:t xml:space="preserve"> </w:t>
      </w:r>
      <w:r w:rsidR="00407E4F" w:rsidRPr="007F04EF">
        <w:rPr>
          <w:rStyle w:val="Krepko"/>
          <w:rFonts w:cs="Arial"/>
          <w:b w:val="0"/>
          <w:bCs w:val="0"/>
          <w:color w:val="111111"/>
          <w:szCs w:val="22"/>
          <w:bdr w:val="none" w:sz="0" w:space="0" w:color="auto" w:frame="1"/>
          <w:lang w:val="en-GB"/>
        </w:rPr>
        <w:t>The two i</w:t>
      </w:r>
      <w:r w:rsidR="00797C03" w:rsidRPr="007F04EF">
        <w:rPr>
          <w:rStyle w:val="Krepko"/>
          <w:rFonts w:cs="Arial"/>
          <w:b w:val="0"/>
          <w:bCs w:val="0"/>
          <w:color w:val="111111"/>
          <w:szCs w:val="22"/>
          <w:bdr w:val="none" w:sz="0" w:space="0" w:color="auto" w:frame="1"/>
          <w:lang w:val="en-GB"/>
        </w:rPr>
        <w:t xml:space="preserve">ndicators calculated for the Republic of Slovenia are shown </w:t>
      </w:r>
      <w:r w:rsidR="00407E4F" w:rsidRPr="007F04EF">
        <w:rPr>
          <w:rStyle w:val="Krepko"/>
          <w:rFonts w:cs="Arial"/>
          <w:b w:val="0"/>
          <w:bCs w:val="0"/>
          <w:color w:val="111111"/>
          <w:szCs w:val="22"/>
          <w:bdr w:val="none" w:sz="0" w:space="0" w:color="auto" w:frame="1"/>
          <w:lang w:val="en-GB"/>
        </w:rPr>
        <w:t>hereinafter</w:t>
      </w:r>
      <w:r w:rsidR="00797C03" w:rsidRPr="007F04EF">
        <w:rPr>
          <w:rStyle w:val="Krepko"/>
          <w:rFonts w:cs="Arial"/>
          <w:b w:val="0"/>
          <w:bCs w:val="0"/>
          <w:color w:val="111111"/>
          <w:szCs w:val="22"/>
          <w:bdr w:val="none" w:sz="0" w:space="0" w:color="auto" w:frame="1"/>
          <w:lang w:val="en-GB"/>
        </w:rPr>
        <w:t>.</w:t>
      </w:r>
    </w:p>
    <w:p w14:paraId="5DDFD22A" w14:textId="77777777" w:rsidR="00C46565" w:rsidRPr="007F04EF" w:rsidRDefault="00C46565" w:rsidP="007D0188">
      <w:pPr>
        <w:rPr>
          <w:rStyle w:val="Krepko"/>
          <w:rFonts w:cs="Arial"/>
          <w:b w:val="0"/>
          <w:bCs w:val="0"/>
          <w:color w:val="111111"/>
          <w:szCs w:val="22"/>
          <w:bdr w:val="none" w:sz="0" w:space="0" w:color="auto" w:frame="1"/>
          <w:lang w:val="en-GB"/>
        </w:rPr>
      </w:pPr>
    </w:p>
    <w:p w14:paraId="247A7F88" w14:textId="10F6E639" w:rsidR="003F53BA" w:rsidRPr="007F04EF" w:rsidRDefault="008825C4" w:rsidP="007D0188">
      <w:pPr>
        <w:rPr>
          <w:lang w:val="en-GB"/>
        </w:rPr>
      </w:pPr>
      <w:r w:rsidRPr="007F04EF">
        <w:rPr>
          <w:rStyle w:val="Krepko"/>
          <w:rFonts w:cs="Arial"/>
          <w:color w:val="111111"/>
          <w:szCs w:val="22"/>
          <w:bdr w:val="none" w:sz="0" w:space="0" w:color="auto" w:frame="1"/>
          <w:lang w:val="en-GB"/>
        </w:rPr>
        <w:t>Risk indicator</w:t>
      </w:r>
      <w:r w:rsidR="001163B5" w:rsidRPr="007F04EF">
        <w:rPr>
          <w:rStyle w:val="Krepko"/>
          <w:rFonts w:cs="Arial"/>
          <w:color w:val="111111"/>
          <w:szCs w:val="22"/>
          <w:bdr w:val="none" w:sz="0" w:space="0" w:color="auto" w:frame="1"/>
          <w:lang w:val="en-GB"/>
        </w:rPr>
        <w:t xml:space="preserve"> 1</w:t>
      </w:r>
      <w:bookmarkStart w:id="10" w:name="_Toc149824891"/>
      <w:bookmarkStart w:id="11" w:name="_Toc149825600"/>
      <w:bookmarkStart w:id="12" w:name="_Toc151116349"/>
      <w:r w:rsidR="00177ADF" w:rsidRPr="007F04EF">
        <w:rPr>
          <w:rStyle w:val="Krepko"/>
          <w:rFonts w:cs="Arial"/>
          <w:color w:val="111111"/>
          <w:szCs w:val="22"/>
          <w:bdr w:val="none" w:sz="0" w:space="0" w:color="auto" w:frame="1"/>
          <w:lang w:val="en-GB"/>
        </w:rPr>
        <w:t>:</w:t>
      </w:r>
      <w:r w:rsidR="00017141" w:rsidRPr="007F04EF">
        <w:rPr>
          <w:rStyle w:val="Krepko"/>
          <w:rFonts w:cs="Arial"/>
          <w:color w:val="111111"/>
          <w:szCs w:val="22"/>
          <w:bdr w:val="none" w:sz="0" w:space="0" w:color="auto" w:frame="1"/>
          <w:lang w:val="en-GB"/>
        </w:rPr>
        <w:t xml:space="preserve"> </w:t>
      </w:r>
      <w:r w:rsidR="00177ADF" w:rsidRPr="007F04EF">
        <w:rPr>
          <w:rStyle w:val="Krepko"/>
          <w:rFonts w:cs="Arial"/>
          <w:b w:val="0"/>
          <w:bCs w:val="0"/>
          <w:color w:val="111111"/>
          <w:szCs w:val="22"/>
          <w:bdr w:val="none" w:sz="0" w:space="0" w:color="auto" w:frame="1"/>
          <w:lang w:val="en-GB"/>
        </w:rPr>
        <w:t>EUROSTAT</w:t>
      </w:r>
      <w:r w:rsidR="00177ADF" w:rsidRPr="007F04EF">
        <w:rPr>
          <w:rStyle w:val="Krepko"/>
          <w:rFonts w:cs="Arial"/>
          <w:color w:val="111111"/>
          <w:szCs w:val="22"/>
          <w:bdr w:val="none" w:sz="0" w:space="0" w:color="auto" w:frame="1"/>
          <w:lang w:val="en-GB"/>
        </w:rPr>
        <w:t xml:space="preserve"> </w:t>
      </w:r>
      <w:r w:rsidRPr="007F04EF">
        <w:rPr>
          <w:lang w:val="en-GB"/>
        </w:rPr>
        <w:t xml:space="preserve">calculated </w:t>
      </w:r>
      <w:r w:rsidR="00177ADF" w:rsidRPr="007F04EF">
        <w:rPr>
          <w:lang w:val="en-GB"/>
        </w:rPr>
        <w:t xml:space="preserve">Risk indicator 1 using </w:t>
      </w:r>
      <w:r w:rsidRPr="007F04EF">
        <w:rPr>
          <w:lang w:val="en-GB"/>
        </w:rPr>
        <w:t>sales data</w:t>
      </w:r>
      <w:r w:rsidR="00177ADF" w:rsidRPr="007F04EF">
        <w:rPr>
          <w:lang w:val="en-GB"/>
        </w:rPr>
        <w:t xml:space="preserve"> of active substances in PPP</w:t>
      </w:r>
      <w:r w:rsidR="001A6882" w:rsidRPr="007F04EF">
        <w:rPr>
          <w:lang w:val="en-GB"/>
        </w:rPr>
        <w:t>s</w:t>
      </w:r>
      <w:r w:rsidR="00177ADF" w:rsidRPr="007F04EF">
        <w:rPr>
          <w:lang w:val="en-GB"/>
        </w:rPr>
        <w:t xml:space="preserve"> and</w:t>
      </w:r>
      <w:r w:rsidRPr="007F04EF">
        <w:rPr>
          <w:lang w:val="en-GB"/>
        </w:rPr>
        <w:t xml:space="preserve"> using analysis factor</w:t>
      </w:r>
      <w:r w:rsidR="000677D3" w:rsidRPr="007F04EF">
        <w:rPr>
          <w:lang w:val="en-GB"/>
        </w:rPr>
        <w:t>s</w:t>
      </w:r>
      <w:r w:rsidRPr="007F04EF">
        <w:rPr>
          <w:lang w:val="en-GB"/>
        </w:rPr>
        <w:t xml:space="preserve"> based on the properties of PPP</w:t>
      </w:r>
      <w:r w:rsidR="001A6882" w:rsidRPr="007F04EF">
        <w:rPr>
          <w:lang w:val="en-GB"/>
        </w:rPr>
        <w:t>s</w:t>
      </w:r>
      <w:r w:rsidRPr="007F04EF">
        <w:rPr>
          <w:lang w:val="en-GB"/>
        </w:rPr>
        <w:t xml:space="preserve"> classified into 4 groups.</w:t>
      </w:r>
      <w:r w:rsidR="00A85E5C" w:rsidRPr="007F04EF">
        <w:rPr>
          <w:lang w:val="en-GB"/>
        </w:rPr>
        <w:t xml:space="preserve"> Baseline is average PPP sales from 2011 to 2013, indexed by 100.</w:t>
      </w:r>
      <w:r w:rsidR="00D727BB" w:rsidRPr="007F04EF">
        <w:rPr>
          <w:lang w:val="en-GB"/>
        </w:rPr>
        <w:t xml:space="preserve"> </w:t>
      </w:r>
    </w:p>
    <w:p w14:paraId="6AD2D40E" w14:textId="77777777" w:rsidR="00407E4F" w:rsidRPr="007F04EF" w:rsidRDefault="00407E4F" w:rsidP="007D0188">
      <w:pPr>
        <w:rPr>
          <w:szCs w:val="22"/>
          <w:lang w:val="en-GB"/>
        </w:rPr>
      </w:pPr>
    </w:p>
    <w:p w14:paraId="476C2610" w14:textId="5877AF20" w:rsidR="00885193" w:rsidRPr="007F04EF" w:rsidRDefault="00017141" w:rsidP="003F53BA">
      <w:pPr>
        <w:pStyle w:val="Napis"/>
        <w:rPr>
          <w:rFonts w:cs="Arial"/>
          <w:sz w:val="20"/>
          <w:szCs w:val="20"/>
          <w:lang w:val="en-GB"/>
        </w:rPr>
      </w:pPr>
      <w:bookmarkStart w:id="13" w:name="_Toc152153144"/>
      <w:bookmarkStart w:id="14" w:name="_Toc161657863"/>
      <w:r w:rsidRPr="007F04EF">
        <w:rPr>
          <w:rFonts w:cs="Arial"/>
          <w:sz w:val="20"/>
          <w:szCs w:val="20"/>
          <w:lang w:val="en-GB"/>
        </w:rPr>
        <w:t>Table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1</w:t>
      </w:r>
      <w:r w:rsidR="003F53BA" w:rsidRPr="007F04EF">
        <w:rPr>
          <w:rFonts w:cs="Arial"/>
          <w:sz w:val="20"/>
          <w:szCs w:val="20"/>
          <w:lang w:val="en-GB"/>
        </w:rPr>
        <w:fldChar w:fldCharType="end"/>
      </w:r>
      <w:r w:rsidR="003F53BA" w:rsidRPr="007F04EF">
        <w:rPr>
          <w:rFonts w:cs="Arial"/>
          <w:sz w:val="20"/>
          <w:szCs w:val="20"/>
          <w:lang w:val="en-GB"/>
        </w:rPr>
        <w:t xml:space="preserve">: </w:t>
      </w:r>
      <w:r w:rsidRPr="007F04EF">
        <w:rPr>
          <w:rFonts w:cs="Arial"/>
          <w:sz w:val="20"/>
          <w:szCs w:val="20"/>
          <w:lang w:val="en-GB"/>
        </w:rPr>
        <w:t>Risk indicator</w:t>
      </w:r>
      <w:r w:rsidR="00CA590B" w:rsidRPr="007F04EF">
        <w:rPr>
          <w:rFonts w:cs="Arial"/>
          <w:sz w:val="20"/>
          <w:szCs w:val="20"/>
          <w:lang w:val="en-GB"/>
        </w:rPr>
        <w:t xml:space="preserve"> 1</w:t>
      </w:r>
      <w:bookmarkEnd w:id="10"/>
      <w:bookmarkEnd w:id="11"/>
      <w:bookmarkEnd w:id="12"/>
      <w:bookmarkEnd w:id="13"/>
      <w:r w:rsidRPr="007F04EF">
        <w:rPr>
          <w:rFonts w:cs="Arial"/>
          <w:sz w:val="20"/>
          <w:szCs w:val="20"/>
          <w:lang w:val="en-GB"/>
        </w:rPr>
        <w:t xml:space="preserve"> movement</w:t>
      </w:r>
      <w:bookmarkEnd w:id="14"/>
    </w:p>
    <w:p w14:paraId="383411DD" w14:textId="77777777" w:rsidR="00407E4F" w:rsidRPr="007F04EF" w:rsidRDefault="00407E4F" w:rsidP="00407E4F">
      <w:pPr>
        <w:rPr>
          <w:lang w:val="en-GB"/>
        </w:rPr>
      </w:pPr>
    </w:p>
    <w:tbl>
      <w:tblPr>
        <w:tblStyle w:val="Tabelamre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82"/>
        <w:gridCol w:w="1464"/>
        <w:gridCol w:w="709"/>
        <w:gridCol w:w="712"/>
        <w:gridCol w:w="706"/>
        <w:gridCol w:w="712"/>
        <w:gridCol w:w="708"/>
        <w:gridCol w:w="708"/>
        <w:gridCol w:w="708"/>
        <w:gridCol w:w="817"/>
      </w:tblGrid>
      <w:tr w:rsidR="00760A5D" w:rsidRPr="007F04EF" w14:paraId="2CF1684A" w14:textId="77777777" w:rsidTr="00407E4F">
        <w:trPr>
          <w:trHeight w:val="289"/>
        </w:trPr>
        <w:tc>
          <w:tcPr>
            <w:tcW w:w="2127" w:type="dxa"/>
          </w:tcPr>
          <w:p w14:paraId="66444F47" w14:textId="0A851685" w:rsidR="00760A5D" w:rsidRPr="007F04EF" w:rsidRDefault="00407E4F" w:rsidP="004935E3">
            <w:pPr>
              <w:pStyle w:val="Brezrazmikov"/>
              <w:rPr>
                <w:lang w:val="en-GB"/>
              </w:rPr>
            </w:pPr>
            <w:r w:rsidRPr="007F04EF">
              <w:rPr>
                <w:lang w:val="en-GB"/>
              </w:rPr>
              <w:t>Y</w:t>
            </w:r>
            <w:r w:rsidR="00017141" w:rsidRPr="007F04EF">
              <w:rPr>
                <w:lang w:val="en-GB"/>
              </w:rPr>
              <w:t>ear</w:t>
            </w:r>
          </w:p>
        </w:tc>
        <w:tc>
          <w:tcPr>
            <w:tcW w:w="1687" w:type="dxa"/>
          </w:tcPr>
          <w:p w14:paraId="65A23FD7" w14:textId="695768CA" w:rsidR="00760A5D" w:rsidRPr="007F04EF" w:rsidRDefault="00760A5D" w:rsidP="004935E3">
            <w:pPr>
              <w:pStyle w:val="Brezrazmikov"/>
              <w:jc w:val="center"/>
              <w:rPr>
                <w:lang w:val="en-GB"/>
              </w:rPr>
            </w:pPr>
            <w:r w:rsidRPr="007F04EF">
              <w:rPr>
                <w:lang w:val="en-GB"/>
              </w:rPr>
              <w:t>2011</w:t>
            </w:r>
            <w:r w:rsidR="00407E4F" w:rsidRPr="007F04EF">
              <w:rPr>
                <w:lang w:val="en-GB"/>
              </w:rPr>
              <w:t xml:space="preserve"> – </w:t>
            </w:r>
            <w:r w:rsidRPr="007F04EF">
              <w:rPr>
                <w:lang w:val="en-GB"/>
              </w:rPr>
              <w:t>2013</w:t>
            </w:r>
          </w:p>
        </w:tc>
        <w:tc>
          <w:tcPr>
            <w:tcW w:w="710" w:type="dxa"/>
          </w:tcPr>
          <w:p w14:paraId="1C780E46" w14:textId="0DB6BB00" w:rsidR="00760A5D" w:rsidRPr="007F04EF" w:rsidRDefault="00760A5D" w:rsidP="004935E3">
            <w:pPr>
              <w:pStyle w:val="Brezrazmikov"/>
              <w:jc w:val="center"/>
              <w:rPr>
                <w:lang w:val="en-GB"/>
              </w:rPr>
            </w:pPr>
            <w:r w:rsidRPr="007F04EF">
              <w:rPr>
                <w:lang w:val="en-GB"/>
              </w:rPr>
              <w:t>2014</w:t>
            </w:r>
          </w:p>
        </w:tc>
        <w:tc>
          <w:tcPr>
            <w:tcW w:w="714" w:type="dxa"/>
          </w:tcPr>
          <w:p w14:paraId="44C84DE0" w14:textId="57A5E492" w:rsidR="00760A5D" w:rsidRPr="007F04EF" w:rsidRDefault="00760A5D" w:rsidP="004935E3">
            <w:pPr>
              <w:pStyle w:val="Brezrazmikov"/>
              <w:jc w:val="center"/>
              <w:rPr>
                <w:lang w:val="en-GB"/>
              </w:rPr>
            </w:pPr>
            <w:r w:rsidRPr="007F04EF">
              <w:rPr>
                <w:lang w:val="en-GB"/>
              </w:rPr>
              <w:t>2015</w:t>
            </w:r>
          </w:p>
        </w:tc>
        <w:tc>
          <w:tcPr>
            <w:tcW w:w="706" w:type="dxa"/>
          </w:tcPr>
          <w:p w14:paraId="536057ED" w14:textId="105EED09" w:rsidR="00760A5D" w:rsidRPr="007F04EF" w:rsidRDefault="00760A5D" w:rsidP="004935E3">
            <w:pPr>
              <w:pStyle w:val="Brezrazmikov"/>
              <w:jc w:val="center"/>
              <w:rPr>
                <w:lang w:val="en-GB"/>
              </w:rPr>
            </w:pPr>
            <w:r w:rsidRPr="007F04EF">
              <w:rPr>
                <w:lang w:val="en-GB"/>
              </w:rPr>
              <w:t>2016</w:t>
            </w:r>
          </w:p>
        </w:tc>
        <w:tc>
          <w:tcPr>
            <w:tcW w:w="714" w:type="dxa"/>
          </w:tcPr>
          <w:p w14:paraId="3219F8DD" w14:textId="0F4ED8E3" w:rsidR="00760A5D" w:rsidRPr="007F04EF" w:rsidRDefault="00760A5D" w:rsidP="004935E3">
            <w:pPr>
              <w:pStyle w:val="Brezrazmikov"/>
              <w:jc w:val="center"/>
              <w:rPr>
                <w:lang w:val="en-GB"/>
              </w:rPr>
            </w:pPr>
            <w:r w:rsidRPr="007F04EF">
              <w:rPr>
                <w:lang w:val="en-GB"/>
              </w:rPr>
              <w:t>2017</w:t>
            </w:r>
          </w:p>
        </w:tc>
        <w:tc>
          <w:tcPr>
            <w:tcW w:w="708" w:type="dxa"/>
          </w:tcPr>
          <w:p w14:paraId="296D00FE" w14:textId="4B704FB2" w:rsidR="00760A5D" w:rsidRPr="007F04EF" w:rsidRDefault="00760A5D" w:rsidP="004935E3">
            <w:pPr>
              <w:pStyle w:val="Brezrazmikov"/>
              <w:jc w:val="center"/>
              <w:rPr>
                <w:lang w:val="en-GB"/>
              </w:rPr>
            </w:pPr>
            <w:r w:rsidRPr="007F04EF">
              <w:rPr>
                <w:lang w:val="en-GB"/>
              </w:rPr>
              <w:t>2018</w:t>
            </w:r>
          </w:p>
        </w:tc>
        <w:tc>
          <w:tcPr>
            <w:tcW w:w="709" w:type="dxa"/>
          </w:tcPr>
          <w:p w14:paraId="55CBC76B" w14:textId="5C710C7C" w:rsidR="00760A5D" w:rsidRPr="007F04EF" w:rsidRDefault="00760A5D" w:rsidP="004935E3">
            <w:pPr>
              <w:pStyle w:val="Brezrazmikov"/>
              <w:jc w:val="center"/>
              <w:rPr>
                <w:lang w:val="en-GB"/>
              </w:rPr>
            </w:pPr>
            <w:r w:rsidRPr="007F04EF">
              <w:rPr>
                <w:lang w:val="en-GB"/>
              </w:rPr>
              <w:t>2019</w:t>
            </w:r>
          </w:p>
        </w:tc>
        <w:tc>
          <w:tcPr>
            <w:tcW w:w="709" w:type="dxa"/>
          </w:tcPr>
          <w:p w14:paraId="05AE4817" w14:textId="0B41C3D8" w:rsidR="00760A5D" w:rsidRPr="007F04EF" w:rsidRDefault="00760A5D" w:rsidP="004935E3">
            <w:pPr>
              <w:pStyle w:val="Brezrazmikov"/>
              <w:jc w:val="center"/>
              <w:rPr>
                <w:lang w:val="en-GB"/>
              </w:rPr>
            </w:pPr>
            <w:r w:rsidRPr="007F04EF">
              <w:rPr>
                <w:lang w:val="en-GB"/>
              </w:rPr>
              <w:t>2020</w:t>
            </w:r>
          </w:p>
        </w:tc>
        <w:tc>
          <w:tcPr>
            <w:tcW w:w="850" w:type="dxa"/>
          </w:tcPr>
          <w:p w14:paraId="0A104345" w14:textId="6ADB3B2A" w:rsidR="00760A5D" w:rsidRPr="007F04EF" w:rsidRDefault="00760A5D" w:rsidP="004935E3">
            <w:pPr>
              <w:pStyle w:val="Brezrazmikov"/>
              <w:jc w:val="center"/>
              <w:rPr>
                <w:lang w:val="en-GB"/>
              </w:rPr>
            </w:pPr>
            <w:r w:rsidRPr="007F04EF">
              <w:rPr>
                <w:lang w:val="en-GB"/>
              </w:rPr>
              <w:t>2021</w:t>
            </w:r>
          </w:p>
        </w:tc>
      </w:tr>
      <w:tr w:rsidR="00760A5D" w:rsidRPr="007F04EF" w14:paraId="1B540DE3" w14:textId="77777777" w:rsidTr="00407E4F">
        <w:trPr>
          <w:trHeight w:val="289"/>
        </w:trPr>
        <w:tc>
          <w:tcPr>
            <w:tcW w:w="2127" w:type="dxa"/>
          </w:tcPr>
          <w:p w14:paraId="443A9787" w14:textId="6DD08626" w:rsidR="00760A5D" w:rsidRPr="007F04EF" w:rsidRDefault="00017141" w:rsidP="004935E3">
            <w:pPr>
              <w:pStyle w:val="Brezrazmikov"/>
              <w:rPr>
                <w:lang w:val="en-GB"/>
              </w:rPr>
            </w:pPr>
            <w:r w:rsidRPr="007F04EF">
              <w:rPr>
                <w:lang w:val="en-GB"/>
              </w:rPr>
              <w:t>Risk indicator 1</w:t>
            </w:r>
          </w:p>
        </w:tc>
        <w:tc>
          <w:tcPr>
            <w:tcW w:w="1687" w:type="dxa"/>
          </w:tcPr>
          <w:p w14:paraId="16D3FC2C" w14:textId="3BC6604F" w:rsidR="00760A5D" w:rsidRPr="007F04EF" w:rsidRDefault="00760A5D" w:rsidP="004935E3">
            <w:pPr>
              <w:pStyle w:val="Brezrazmikov"/>
              <w:jc w:val="center"/>
              <w:rPr>
                <w:lang w:val="en-GB"/>
              </w:rPr>
            </w:pPr>
            <w:r w:rsidRPr="007F04EF">
              <w:rPr>
                <w:lang w:val="en-GB"/>
              </w:rPr>
              <w:t>100</w:t>
            </w:r>
          </w:p>
        </w:tc>
        <w:tc>
          <w:tcPr>
            <w:tcW w:w="710" w:type="dxa"/>
          </w:tcPr>
          <w:p w14:paraId="5D7DED90" w14:textId="22649E17" w:rsidR="00760A5D" w:rsidRPr="007F04EF" w:rsidRDefault="00760A5D" w:rsidP="004935E3">
            <w:pPr>
              <w:pStyle w:val="Brezrazmikov"/>
              <w:jc w:val="center"/>
              <w:rPr>
                <w:lang w:val="en-GB"/>
              </w:rPr>
            </w:pPr>
            <w:r w:rsidRPr="007F04EF">
              <w:rPr>
                <w:lang w:val="en-GB"/>
              </w:rPr>
              <w:t>98</w:t>
            </w:r>
          </w:p>
        </w:tc>
        <w:tc>
          <w:tcPr>
            <w:tcW w:w="714" w:type="dxa"/>
          </w:tcPr>
          <w:p w14:paraId="430F9563" w14:textId="45FE16EA" w:rsidR="00760A5D" w:rsidRPr="007F04EF" w:rsidRDefault="00760A5D" w:rsidP="004935E3">
            <w:pPr>
              <w:pStyle w:val="Brezrazmikov"/>
              <w:jc w:val="center"/>
              <w:rPr>
                <w:lang w:val="en-GB"/>
              </w:rPr>
            </w:pPr>
            <w:r w:rsidRPr="007F04EF">
              <w:rPr>
                <w:lang w:val="en-GB"/>
              </w:rPr>
              <w:t>100</w:t>
            </w:r>
          </w:p>
        </w:tc>
        <w:tc>
          <w:tcPr>
            <w:tcW w:w="706" w:type="dxa"/>
          </w:tcPr>
          <w:p w14:paraId="47E2DC45" w14:textId="1809A17E" w:rsidR="00760A5D" w:rsidRPr="007F04EF" w:rsidRDefault="00760A5D" w:rsidP="004935E3">
            <w:pPr>
              <w:pStyle w:val="Brezrazmikov"/>
              <w:jc w:val="center"/>
              <w:rPr>
                <w:lang w:val="en-GB"/>
              </w:rPr>
            </w:pPr>
            <w:r w:rsidRPr="007F04EF">
              <w:rPr>
                <w:lang w:val="en-GB"/>
              </w:rPr>
              <w:t>107</w:t>
            </w:r>
          </w:p>
        </w:tc>
        <w:tc>
          <w:tcPr>
            <w:tcW w:w="714" w:type="dxa"/>
          </w:tcPr>
          <w:p w14:paraId="65290CB8" w14:textId="400E7371" w:rsidR="00760A5D" w:rsidRPr="007F04EF" w:rsidRDefault="00760A5D" w:rsidP="004935E3">
            <w:pPr>
              <w:pStyle w:val="Brezrazmikov"/>
              <w:jc w:val="center"/>
              <w:rPr>
                <w:lang w:val="en-GB"/>
              </w:rPr>
            </w:pPr>
            <w:r w:rsidRPr="007F04EF">
              <w:rPr>
                <w:lang w:val="en-GB"/>
              </w:rPr>
              <w:t>98</w:t>
            </w:r>
          </w:p>
        </w:tc>
        <w:tc>
          <w:tcPr>
            <w:tcW w:w="708" w:type="dxa"/>
          </w:tcPr>
          <w:p w14:paraId="72D9DDE2" w14:textId="68CC9778" w:rsidR="00760A5D" w:rsidRPr="007F04EF" w:rsidRDefault="00760A5D" w:rsidP="004935E3">
            <w:pPr>
              <w:pStyle w:val="Brezrazmikov"/>
              <w:jc w:val="center"/>
              <w:rPr>
                <w:lang w:val="en-GB"/>
              </w:rPr>
            </w:pPr>
            <w:r w:rsidRPr="007F04EF">
              <w:rPr>
                <w:lang w:val="en-GB"/>
              </w:rPr>
              <w:t>103</w:t>
            </w:r>
          </w:p>
        </w:tc>
        <w:tc>
          <w:tcPr>
            <w:tcW w:w="709" w:type="dxa"/>
          </w:tcPr>
          <w:p w14:paraId="2B222EA6" w14:textId="0A92CFE2" w:rsidR="00760A5D" w:rsidRPr="007F04EF" w:rsidRDefault="00760A5D" w:rsidP="004935E3">
            <w:pPr>
              <w:pStyle w:val="Brezrazmikov"/>
              <w:jc w:val="center"/>
              <w:rPr>
                <w:lang w:val="en-GB"/>
              </w:rPr>
            </w:pPr>
            <w:r w:rsidRPr="007F04EF">
              <w:rPr>
                <w:lang w:val="en-GB"/>
              </w:rPr>
              <w:t>75</w:t>
            </w:r>
          </w:p>
        </w:tc>
        <w:tc>
          <w:tcPr>
            <w:tcW w:w="709" w:type="dxa"/>
          </w:tcPr>
          <w:p w14:paraId="59646068" w14:textId="03EDA77D" w:rsidR="00760A5D" w:rsidRPr="007F04EF" w:rsidRDefault="00760A5D" w:rsidP="004935E3">
            <w:pPr>
              <w:pStyle w:val="Brezrazmikov"/>
              <w:jc w:val="center"/>
              <w:rPr>
                <w:lang w:val="en-GB"/>
              </w:rPr>
            </w:pPr>
            <w:r w:rsidRPr="007F04EF">
              <w:rPr>
                <w:lang w:val="en-GB"/>
              </w:rPr>
              <w:t>72</w:t>
            </w:r>
          </w:p>
        </w:tc>
        <w:tc>
          <w:tcPr>
            <w:tcW w:w="850" w:type="dxa"/>
          </w:tcPr>
          <w:p w14:paraId="7AD36845" w14:textId="40BD2310" w:rsidR="00760A5D" w:rsidRPr="007F04EF" w:rsidRDefault="00760A5D" w:rsidP="004935E3">
            <w:pPr>
              <w:pStyle w:val="Brezrazmikov"/>
              <w:jc w:val="center"/>
              <w:rPr>
                <w:lang w:val="en-GB"/>
              </w:rPr>
            </w:pPr>
            <w:r w:rsidRPr="007F04EF">
              <w:rPr>
                <w:lang w:val="en-GB"/>
              </w:rPr>
              <w:t>68</w:t>
            </w:r>
          </w:p>
        </w:tc>
      </w:tr>
    </w:tbl>
    <w:p w14:paraId="35D56746" w14:textId="77777777" w:rsidR="00CA590B" w:rsidRPr="007F04EF"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lang w:val="en-GB"/>
        </w:rPr>
      </w:pPr>
    </w:p>
    <w:p w14:paraId="34CF7859" w14:textId="77777777" w:rsidR="00FE30D5" w:rsidRPr="007F04EF" w:rsidRDefault="00FE30D5"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lang w:val="en-GB"/>
        </w:rPr>
      </w:pPr>
    </w:p>
    <w:p w14:paraId="12E11094" w14:textId="78C19073" w:rsidR="00CA590B" w:rsidRPr="007F04EF" w:rsidRDefault="00CA590B"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lang w:val="en-GB"/>
        </w:rPr>
      </w:pPr>
      <w:r w:rsidRPr="007F04EF">
        <w:rPr>
          <w:rFonts w:ascii="Arial" w:hAnsi="Arial" w:cs="Arial"/>
          <w:noProof/>
          <w:sz w:val="22"/>
          <w:szCs w:val="22"/>
          <w:lang w:val="en-GB"/>
        </w:rPr>
        <w:drawing>
          <wp:inline distT="0" distB="0" distL="0" distR="0" wp14:anchorId="187F8D22" wp14:editId="72C60FA1">
            <wp:extent cx="4886325" cy="2641600"/>
            <wp:effectExtent l="0" t="0" r="9525" b="6350"/>
            <wp:docPr id="13" name="Grafikon 13">
              <a:extLst xmlns:a="http://schemas.openxmlformats.org/drawingml/2006/main">
                <a:ext uri="{FF2B5EF4-FFF2-40B4-BE49-F238E27FC236}">
                  <a16:creationId xmlns:a16="http://schemas.microsoft.com/office/drawing/2014/main" id="{5EC0FA7C-2E76-C8F5-787A-43EF223B7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736941" w14:textId="3F4F932E" w:rsidR="00CA590B" w:rsidRPr="007F04EF" w:rsidRDefault="00017141" w:rsidP="00C2407F">
      <w:pPr>
        <w:pStyle w:val="Napis"/>
        <w:jc w:val="center"/>
        <w:rPr>
          <w:rStyle w:val="Krepko"/>
          <w:rFonts w:cs="Arial"/>
          <w:color w:val="111111"/>
          <w:sz w:val="20"/>
          <w:szCs w:val="20"/>
          <w:bdr w:val="none" w:sz="0" w:space="0" w:color="auto" w:frame="1"/>
          <w:lang w:val="en-GB"/>
        </w:rPr>
      </w:pPr>
      <w:bookmarkStart w:id="15" w:name="_Toc161658225"/>
      <w:r w:rsidRPr="007F04EF">
        <w:rPr>
          <w:rFonts w:cs="Arial"/>
          <w:sz w:val="20"/>
          <w:szCs w:val="20"/>
          <w:lang w:val="en-GB"/>
        </w:rPr>
        <w:t>Graph</w:t>
      </w:r>
      <w:r w:rsidR="00C2407F" w:rsidRPr="007F04EF">
        <w:rPr>
          <w:rFonts w:cs="Arial"/>
          <w:sz w:val="20"/>
          <w:szCs w:val="20"/>
          <w:lang w:val="en-GB"/>
        </w:rPr>
        <w:t xml:space="preserve"> </w:t>
      </w:r>
      <w:r w:rsidR="00C2407F" w:rsidRPr="007F04EF">
        <w:rPr>
          <w:rFonts w:cs="Arial"/>
          <w:sz w:val="20"/>
          <w:szCs w:val="20"/>
          <w:lang w:val="en-GB"/>
        </w:rPr>
        <w:fldChar w:fldCharType="begin"/>
      </w:r>
      <w:r w:rsidR="00C2407F" w:rsidRPr="007F04EF">
        <w:rPr>
          <w:rFonts w:cs="Arial"/>
          <w:sz w:val="20"/>
          <w:szCs w:val="20"/>
          <w:lang w:val="en-GB"/>
        </w:rPr>
        <w:instrText xml:space="preserve"> SEQ Slika \* ARABIC </w:instrText>
      </w:r>
      <w:r w:rsidR="00C2407F" w:rsidRPr="007F04EF">
        <w:rPr>
          <w:rFonts w:cs="Arial"/>
          <w:sz w:val="20"/>
          <w:szCs w:val="20"/>
          <w:lang w:val="en-GB"/>
        </w:rPr>
        <w:fldChar w:fldCharType="separate"/>
      </w:r>
      <w:r w:rsidR="001A6882" w:rsidRPr="007F04EF">
        <w:rPr>
          <w:rFonts w:cs="Arial"/>
          <w:sz w:val="20"/>
          <w:szCs w:val="20"/>
          <w:lang w:val="en-GB"/>
        </w:rPr>
        <w:t>1</w:t>
      </w:r>
      <w:r w:rsidR="00C2407F" w:rsidRPr="007F04EF">
        <w:rPr>
          <w:rFonts w:cs="Arial"/>
          <w:sz w:val="20"/>
          <w:szCs w:val="20"/>
          <w:lang w:val="en-GB"/>
        </w:rPr>
        <w:fldChar w:fldCharType="end"/>
      </w:r>
      <w:r w:rsidR="00CA590B" w:rsidRPr="007F04EF">
        <w:rPr>
          <w:rFonts w:cs="Arial"/>
          <w:sz w:val="20"/>
          <w:szCs w:val="20"/>
          <w:lang w:val="en-GB"/>
        </w:rPr>
        <w:t xml:space="preserve">: </w:t>
      </w:r>
      <w:r w:rsidRPr="007F04EF">
        <w:rPr>
          <w:rFonts w:cs="Arial"/>
          <w:sz w:val="20"/>
          <w:szCs w:val="20"/>
          <w:lang w:val="en-GB"/>
        </w:rPr>
        <w:t>Risk indicator</w:t>
      </w:r>
      <w:r w:rsidR="00F9332B" w:rsidRPr="007F04EF">
        <w:rPr>
          <w:rFonts w:cs="Arial"/>
          <w:sz w:val="20"/>
          <w:szCs w:val="20"/>
          <w:lang w:val="en-GB"/>
        </w:rPr>
        <w:t xml:space="preserve"> </w:t>
      </w:r>
      <w:r w:rsidR="00CA590B" w:rsidRPr="007F04EF">
        <w:rPr>
          <w:rFonts w:cs="Arial"/>
          <w:sz w:val="20"/>
          <w:szCs w:val="20"/>
          <w:lang w:val="en-GB"/>
        </w:rPr>
        <w:t>1</w:t>
      </w:r>
      <w:r w:rsidRPr="007F04EF">
        <w:rPr>
          <w:rFonts w:cs="Arial"/>
          <w:sz w:val="20"/>
          <w:szCs w:val="20"/>
          <w:lang w:val="en-GB"/>
        </w:rPr>
        <w:t xml:space="preserve"> movement</w:t>
      </w:r>
      <w:bookmarkEnd w:id="15"/>
    </w:p>
    <w:p w14:paraId="51BD83E5" w14:textId="77777777" w:rsidR="00CA590B" w:rsidRPr="007F04EF"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lang w:val="en-GB"/>
        </w:rPr>
      </w:pPr>
    </w:p>
    <w:p w14:paraId="23BA09DF" w14:textId="66A43C05" w:rsidR="00F75BA3" w:rsidRPr="007F04EF" w:rsidRDefault="00FA4DA2" w:rsidP="00407E4F">
      <w:pPr>
        <w:jc w:val="both"/>
        <w:rPr>
          <w:lang w:val="en-GB"/>
        </w:rPr>
      </w:pPr>
      <w:r w:rsidRPr="007F04EF">
        <w:rPr>
          <w:lang w:val="en-GB"/>
        </w:rPr>
        <w:t xml:space="preserve">As from </w:t>
      </w:r>
      <w:r w:rsidR="00F75BA3" w:rsidRPr="007F04EF">
        <w:rPr>
          <w:lang w:val="en-GB"/>
        </w:rPr>
        <w:t>2018, the turnover</w:t>
      </w:r>
      <w:r w:rsidRPr="007F04EF">
        <w:rPr>
          <w:lang w:val="en-GB"/>
        </w:rPr>
        <w:t xml:space="preserve"> in </w:t>
      </w:r>
      <w:r w:rsidR="00F75BA3" w:rsidRPr="007F04EF">
        <w:rPr>
          <w:lang w:val="en-GB"/>
        </w:rPr>
        <w:t>PPP</w:t>
      </w:r>
      <w:r w:rsidR="001A6882" w:rsidRPr="007F04EF">
        <w:rPr>
          <w:lang w:val="en-GB"/>
        </w:rPr>
        <w:t>s</w:t>
      </w:r>
      <w:r w:rsidR="00F75BA3" w:rsidRPr="007F04EF">
        <w:rPr>
          <w:lang w:val="en-GB"/>
        </w:rPr>
        <w:t xml:space="preserve"> has been decreasing</w:t>
      </w:r>
      <w:r w:rsidRPr="007F04EF">
        <w:rPr>
          <w:lang w:val="en-GB"/>
        </w:rPr>
        <w:t xml:space="preserve"> in the Republic of Slovenia</w:t>
      </w:r>
      <w:r w:rsidR="00F75BA3" w:rsidRPr="007F04EF">
        <w:rPr>
          <w:lang w:val="en-GB"/>
        </w:rPr>
        <w:t>, a</w:t>
      </w:r>
      <w:r w:rsidRPr="007F04EF">
        <w:rPr>
          <w:lang w:val="en-GB"/>
        </w:rPr>
        <w:t xml:space="preserve">long </w:t>
      </w:r>
      <w:r w:rsidR="00F75BA3" w:rsidRPr="007F04EF">
        <w:rPr>
          <w:lang w:val="en-GB"/>
        </w:rPr>
        <w:t>with</w:t>
      </w:r>
      <w:r w:rsidRPr="007F04EF">
        <w:rPr>
          <w:lang w:val="en-GB"/>
        </w:rPr>
        <w:t xml:space="preserve"> </w:t>
      </w:r>
      <w:r w:rsidR="00F75BA3" w:rsidRPr="007F04EF">
        <w:rPr>
          <w:lang w:val="en-GB"/>
        </w:rPr>
        <w:t xml:space="preserve">the calculated risk indicator 1. </w:t>
      </w:r>
      <w:r w:rsidRPr="007F04EF">
        <w:rPr>
          <w:lang w:val="en-GB"/>
        </w:rPr>
        <w:t xml:space="preserve">From </w:t>
      </w:r>
      <w:r w:rsidR="00F75BA3" w:rsidRPr="007F04EF">
        <w:rPr>
          <w:lang w:val="en-GB"/>
        </w:rPr>
        <w:t xml:space="preserve">the starting value of 100 in the </w:t>
      </w:r>
      <w:r w:rsidRPr="007F04EF">
        <w:rPr>
          <w:lang w:val="en-GB"/>
        </w:rPr>
        <w:t xml:space="preserve">period </w:t>
      </w:r>
      <w:r w:rsidR="00F75BA3" w:rsidRPr="007F04EF">
        <w:rPr>
          <w:lang w:val="en-GB"/>
        </w:rPr>
        <w:t>2011</w:t>
      </w:r>
      <w:r w:rsidRPr="007F04EF">
        <w:rPr>
          <w:lang w:val="en-GB"/>
        </w:rPr>
        <w:t xml:space="preserve"> – </w:t>
      </w:r>
      <w:r w:rsidR="00F75BA3" w:rsidRPr="007F04EF">
        <w:rPr>
          <w:lang w:val="en-GB"/>
        </w:rPr>
        <w:t xml:space="preserve">2013, it decreased by 32 percent </w:t>
      </w:r>
      <w:r w:rsidRPr="007F04EF">
        <w:rPr>
          <w:lang w:val="en-GB"/>
        </w:rPr>
        <w:t xml:space="preserve">by </w:t>
      </w:r>
      <w:r w:rsidR="00F75BA3" w:rsidRPr="007F04EF">
        <w:rPr>
          <w:lang w:val="en-GB"/>
        </w:rPr>
        <w:t>2021.</w:t>
      </w:r>
    </w:p>
    <w:p w14:paraId="39238074" w14:textId="77777777" w:rsidR="00407E4F" w:rsidRPr="007F04EF" w:rsidRDefault="00407E4F" w:rsidP="00407E4F">
      <w:pPr>
        <w:jc w:val="both"/>
        <w:rPr>
          <w:lang w:val="en-GB"/>
        </w:rPr>
      </w:pPr>
    </w:p>
    <w:p w14:paraId="550AD046" w14:textId="0706AEC8" w:rsidR="00A85E5C" w:rsidRPr="007F04EF" w:rsidRDefault="00F75BA3" w:rsidP="00407E4F">
      <w:pPr>
        <w:jc w:val="both"/>
        <w:rPr>
          <w:lang w:val="en-GB"/>
        </w:rPr>
      </w:pPr>
      <w:r w:rsidRPr="007F04EF">
        <w:rPr>
          <w:lang w:val="en-GB"/>
        </w:rPr>
        <w:t>In 2021, we recorded the lowest PPP sale</w:t>
      </w:r>
      <w:r w:rsidR="00A85E5C" w:rsidRPr="007F04EF">
        <w:rPr>
          <w:lang w:val="en-GB"/>
        </w:rPr>
        <w:t>s</w:t>
      </w:r>
      <w:r w:rsidRPr="007F04EF">
        <w:rPr>
          <w:lang w:val="en-GB"/>
        </w:rPr>
        <w:t xml:space="preserve"> data </w:t>
      </w:r>
      <w:r w:rsidR="00FA4DA2" w:rsidRPr="007F04EF">
        <w:rPr>
          <w:lang w:val="en-GB"/>
        </w:rPr>
        <w:t xml:space="preserve">in the </w:t>
      </w:r>
      <w:r w:rsidR="00E439D6" w:rsidRPr="007F04EF">
        <w:rPr>
          <w:lang w:val="en-GB"/>
        </w:rPr>
        <w:t xml:space="preserve">entire </w:t>
      </w:r>
      <w:r w:rsidRPr="007F04EF">
        <w:rPr>
          <w:lang w:val="en-GB"/>
        </w:rPr>
        <w:t>official</w:t>
      </w:r>
      <w:r w:rsidR="00FA4DA2" w:rsidRPr="007F04EF">
        <w:rPr>
          <w:lang w:val="en-GB"/>
        </w:rPr>
        <w:t xml:space="preserve"> </w:t>
      </w:r>
      <w:r w:rsidRPr="007F04EF">
        <w:rPr>
          <w:lang w:val="en-GB"/>
        </w:rPr>
        <w:t>monitori</w:t>
      </w:r>
      <w:r w:rsidR="00FA4DA2" w:rsidRPr="007F04EF">
        <w:rPr>
          <w:lang w:val="en-GB"/>
        </w:rPr>
        <w:t>ng thereof</w:t>
      </w:r>
      <w:r w:rsidRPr="007F04EF">
        <w:rPr>
          <w:lang w:val="en-GB"/>
        </w:rPr>
        <w:t>.</w:t>
      </w:r>
      <w:r w:rsidR="00FA4DA2" w:rsidRPr="007F04EF">
        <w:rPr>
          <w:lang w:val="en-GB"/>
        </w:rPr>
        <w:t xml:space="preserve"> </w:t>
      </w:r>
      <w:r w:rsidRPr="007F04EF">
        <w:rPr>
          <w:lang w:val="en-GB"/>
        </w:rPr>
        <w:t>The main reason for lower sale</w:t>
      </w:r>
      <w:r w:rsidR="00A85E5C" w:rsidRPr="007F04EF">
        <w:rPr>
          <w:lang w:val="en-GB"/>
        </w:rPr>
        <w:t>s</w:t>
      </w:r>
      <w:r w:rsidRPr="007F04EF">
        <w:rPr>
          <w:lang w:val="en-GB"/>
        </w:rPr>
        <w:t xml:space="preserve"> and use is probably the drought in 2021, </w:t>
      </w:r>
      <w:r w:rsidR="00D04974" w:rsidRPr="007F04EF">
        <w:rPr>
          <w:lang w:val="en-GB"/>
        </w:rPr>
        <w:t>causing lower</w:t>
      </w:r>
      <w:r w:rsidRPr="007F04EF">
        <w:rPr>
          <w:lang w:val="en-GB"/>
        </w:rPr>
        <w:t xml:space="preserve"> use of fungicides </w:t>
      </w:r>
      <w:r w:rsidR="00D04974" w:rsidRPr="007F04EF">
        <w:rPr>
          <w:lang w:val="en-GB"/>
        </w:rPr>
        <w:t xml:space="preserve">in </w:t>
      </w:r>
      <w:r w:rsidRPr="007F04EF">
        <w:rPr>
          <w:lang w:val="en-GB"/>
        </w:rPr>
        <w:t>permanent plantations. The use</w:t>
      </w:r>
      <w:r w:rsidR="002935CC" w:rsidRPr="007F04EF">
        <w:rPr>
          <w:lang w:val="en-GB"/>
        </w:rPr>
        <w:t xml:space="preserve"> </w:t>
      </w:r>
      <w:r w:rsidR="00FA4DA2" w:rsidRPr="007F04EF">
        <w:rPr>
          <w:lang w:val="en-GB"/>
        </w:rPr>
        <w:t xml:space="preserve">of </w:t>
      </w:r>
      <w:r w:rsidR="002935CC" w:rsidRPr="007F04EF">
        <w:rPr>
          <w:lang w:val="en-GB"/>
        </w:rPr>
        <w:t>fungicides</w:t>
      </w:r>
      <w:r w:rsidRPr="007F04EF">
        <w:rPr>
          <w:lang w:val="en-GB"/>
        </w:rPr>
        <w:t xml:space="preserve"> in permanent plantations (orchards and vineyards) represents over 90</w:t>
      </w:r>
      <w:r w:rsidR="00FA4DA2" w:rsidRPr="007F04EF">
        <w:rPr>
          <w:lang w:val="en-GB"/>
        </w:rPr>
        <w:t xml:space="preserve"> </w:t>
      </w:r>
      <w:r w:rsidRPr="007F04EF">
        <w:rPr>
          <w:lang w:val="en-GB"/>
        </w:rPr>
        <w:t xml:space="preserve">% of all fungicide </w:t>
      </w:r>
      <w:r w:rsidR="00D04974" w:rsidRPr="007F04EF">
        <w:rPr>
          <w:lang w:val="en-GB"/>
        </w:rPr>
        <w:t>use</w:t>
      </w:r>
      <w:r w:rsidRPr="007F04EF">
        <w:rPr>
          <w:lang w:val="en-GB"/>
        </w:rPr>
        <w:t xml:space="preserve"> in Slovenia. Fluctuations in </w:t>
      </w:r>
      <w:r w:rsidR="00D04974" w:rsidRPr="007F04EF">
        <w:rPr>
          <w:lang w:val="en-GB"/>
        </w:rPr>
        <w:t>PPP</w:t>
      </w:r>
      <w:r w:rsidRPr="007F04EF">
        <w:rPr>
          <w:lang w:val="en-GB"/>
        </w:rPr>
        <w:t xml:space="preserve"> sales depend on weather conditions in each growing season, pressure from harmful organisms, type</w:t>
      </w:r>
      <w:r w:rsidR="00E439D6" w:rsidRPr="007F04EF">
        <w:rPr>
          <w:lang w:val="en-GB"/>
        </w:rPr>
        <w:t>s</w:t>
      </w:r>
      <w:r w:rsidRPr="007F04EF">
        <w:rPr>
          <w:lang w:val="en-GB"/>
        </w:rPr>
        <w:t xml:space="preserve"> of active substances in </w:t>
      </w:r>
      <w:r w:rsidR="00D04974" w:rsidRPr="007F04EF">
        <w:rPr>
          <w:lang w:val="en-GB"/>
        </w:rPr>
        <w:t>PPP</w:t>
      </w:r>
      <w:r w:rsidR="002935CC" w:rsidRPr="007F04EF">
        <w:rPr>
          <w:lang w:val="en-GB"/>
        </w:rPr>
        <w:t>s</w:t>
      </w:r>
      <w:r w:rsidR="00FA4DA2" w:rsidRPr="007F04EF">
        <w:rPr>
          <w:lang w:val="en-GB"/>
        </w:rPr>
        <w:t xml:space="preserve">, </w:t>
      </w:r>
      <w:r w:rsidRPr="007F04EF">
        <w:rPr>
          <w:lang w:val="en-GB"/>
        </w:rPr>
        <w:t xml:space="preserve">and economic reasons. </w:t>
      </w:r>
    </w:p>
    <w:p w14:paraId="025294C0" w14:textId="77777777" w:rsidR="00407E4F" w:rsidRPr="007F04EF" w:rsidRDefault="00407E4F" w:rsidP="00407E4F">
      <w:pPr>
        <w:jc w:val="both"/>
        <w:rPr>
          <w:lang w:val="en-GB"/>
        </w:rPr>
      </w:pPr>
    </w:p>
    <w:p w14:paraId="5FE23858" w14:textId="785245D6" w:rsidR="00D04974" w:rsidRPr="007F04EF" w:rsidRDefault="00D04974" w:rsidP="00407E4F">
      <w:pPr>
        <w:jc w:val="both"/>
        <w:rPr>
          <w:lang w:val="en-GB"/>
        </w:rPr>
      </w:pPr>
      <w:r w:rsidRPr="007F04EF">
        <w:rPr>
          <w:lang w:val="en-GB"/>
        </w:rPr>
        <w:t>However, the data should be evaluated with caution, as not all the PPP</w:t>
      </w:r>
      <w:r w:rsidR="002935CC" w:rsidRPr="007F04EF">
        <w:rPr>
          <w:lang w:val="en-GB"/>
        </w:rPr>
        <w:t>s</w:t>
      </w:r>
      <w:r w:rsidRPr="007F04EF">
        <w:rPr>
          <w:lang w:val="en-GB"/>
        </w:rPr>
        <w:t xml:space="preserve"> sold have been used solely in agriculture. Certain active substances can also be used on other surfaces, for example for the maintenance of public surfaces, including roads and railways. All purchased quantities may not</w:t>
      </w:r>
      <w:r w:rsidR="00F760C6" w:rsidRPr="007F04EF">
        <w:rPr>
          <w:lang w:val="en-GB"/>
        </w:rPr>
        <w:t xml:space="preserve"> have been </w:t>
      </w:r>
      <w:r w:rsidRPr="007F04EF">
        <w:rPr>
          <w:lang w:val="en-GB"/>
        </w:rPr>
        <w:t>used in</w:t>
      </w:r>
      <w:r w:rsidR="00F760C6" w:rsidRPr="007F04EF">
        <w:rPr>
          <w:lang w:val="en-GB"/>
        </w:rPr>
        <w:t xml:space="preserve"> the same </w:t>
      </w:r>
      <w:proofErr w:type="gramStart"/>
      <w:r w:rsidRPr="007F04EF">
        <w:rPr>
          <w:lang w:val="en-GB"/>
        </w:rPr>
        <w:t xml:space="preserve">year, </w:t>
      </w:r>
      <w:r w:rsidR="00F760C6" w:rsidRPr="007F04EF">
        <w:rPr>
          <w:lang w:val="en-GB"/>
        </w:rPr>
        <w:t>but</w:t>
      </w:r>
      <w:proofErr w:type="gramEnd"/>
      <w:r w:rsidR="00F760C6" w:rsidRPr="007F04EF">
        <w:rPr>
          <w:lang w:val="en-GB"/>
        </w:rPr>
        <w:t xml:space="preserve"> </w:t>
      </w:r>
      <w:r w:rsidRPr="007F04EF">
        <w:rPr>
          <w:lang w:val="en-GB"/>
        </w:rPr>
        <w:t>may</w:t>
      </w:r>
      <w:r w:rsidR="00F760C6" w:rsidRPr="007F04EF">
        <w:rPr>
          <w:lang w:val="en-GB"/>
        </w:rPr>
        <w:t xml:space="preserve"> have </w:t>
      </w:r>
      <w:r w:rsidRPr="007F04EF">
        <w:rPr>
          <w:lang w:val="en-GB"/>
        </w:rPr>
        <w:t>remain</w:t>
      </w:r>
      <w:r w:rsidR="00F760C6" w:rsidRPr="007F04EF">
        <w:rPr>
          <w:lang w:val="en-GB"/>
        </w:rPr>
        <w:t xml:space="preserve">ed </w:t>
      </w:r>
      <w:r w:rsidRPr="007F04EF">
        <w:rPr>
          <w:lang w:val="en-GB"/>
        </w:rPr>
        <w:t xml:space="preserve">in stock at the grower for use in the following year. We estimate that PPP use in agriculture is lower than the data on </w:t>
      </w:r>
      <w:r w:rsidRPr="007F04EF">
        <w:rPr>
          <w:lang w:val="en-GB"/>
        </w:rPr>
        <w:lastRenderedPageBreak/>
        <w:t>PPP turnover</w:t>
      </w:r>
      <w:r w:rsidR="00A8299C" w:rsidRPr="007F04EF">
        <w:rPr>
          <w:lang w:val="en-GB"/>
        </w:rPr>
        <w:t>. SORS evaluated the actual use of PPPs</w:t>
      </w:r>
      <w:r w:rsidR="00996FD7" w:rsidRPr="007F04EF">
        <w:rPr>
          <w:lang w:val="en-GB"/>
        </w:rPr>
        <w:t xml:space="preserve">, </w:t>
      </w:r>
      <w:r w:rsidR="00A8299C" w:rsidRPr="007F04EF">
        <w:rPr>
          <w:lang w:val="en-GB"/>
        </w:rPr>
        <w:t xml:space="preserve">and a share of PPPs sold in agriculture for the year </w:t>
      </w:r>
      <w:r w:rsidR="00996FD7" w:rsidRPr="007F04EF">
        <w:rPr>
          <w:lang w:val="en-GB"/>
        </w:rPr>
        <w:t xml:space="preserve">of </w:t>
      </w:r>
      <w:r w:rsidR="00A8299C" w:rsidRPr="007F04EF">
        <w:rPr>
          <w:lang w:val="en-GB"/>
        </w:rPr>
        <w:t>2014. SORS estimated</w:t>
      </w:r>
      <w:r w:rsidR="00996FD7" w:rsidRPr="007F04EF">
        <w:rPr>
          <w:lang w:val="en-GB"/>
        </w:rPr>
        <w:t xml:space="preserve"> </w:t>
      </w:r>
      <w:r w:rsidR="00A8299C" w:rsidRPr="007F04EF">
        <w:rPr>
          <w:lang w:val="en-GB"/>
        </w:rPr>
        <w:t xml:space="preserve">that 71 % </w:t>
      </w:r>
      <w:r w:rsidR="00996FD7" w:rsidRPr="007F04EF">
        <w:rPr>
          <w:lang w:val="en-GB"/>
        </w:rPr>
        <w:t xml:space="preserve">of </w:t>
      </w:r>
      <w:r w:rsidR="00A8299C" w:rsidRPr="007F04EF">
        <w:rPr>
          <w:lang w:val="en-GB"/>
        </w:rPr>
        <w:t>active substances</w:t>
      </w:r>
      <w:r w:rsidR="00996FD7" w:rsidRPr="007F04EF">
        <w:rPr>
          <w:lang w:val="en-GB"/>
        </w:rPr>
        <w:t xml:space="preserve"> – </w:t>
      </w:r>
      <w:r w:rsidR="00A8299C" w:rsidRPr="007F04EF">
        <w:rPr>
          <w:lang w:val="en-GB"/>
        </w:rPr>
        <w:t>fungicides, 56 % active substances</w:t>
      </w:r>
      <w:r w:rsidR="00996FD7" w:rsidRPr="007F04EF">
        <w:rPr>
          <w:lang w:val="en-GB"/>
        </w:rPr>
        <w:t xml:space="preserve"> </w:t>
      </w:r>
      <w:r w:rsidR="00A8299C" w:rsidRPr="007F04EF">
        <w:rPr>
          <w:lang w:val="en-GB"/>
        </w:rPr>
        <w:t>–</w:t>
      </w:r>
      <w:r w:rsidR="00996FD7" w:rsidRPr="007F04EF">
        <w:rPr>
          <w:lang w:val="en-GB"/>
        </w:rPr>
        <w:t xml:space="preserve"> </w:t>
      </w:r>
      <w:r w:rsidR="00A8299C" w:rsidRPr="007F04EF">
        <w:rPr>
          <w:lang w:val="en-GB"/>
        </w:rPr>
        <w:t>herbicides</w:t>
      </w:r>
      <w:r w:rsidR="00996FD7" w:rsidRPr="007F04EF">
        <w:rPr>
          <w:lang w:val="en-GB"/>
        </w:rPr>
        <w:t xml:space="preserve">, </w:t>
      </w:r>
      <w:r w:rsidR="00A8299C" w:rsidRPr="007F04EF">
        <w:rPr>
          <w:lang w:val="en-GB"/>
        </w:rPr>
        <w:t>and 65 % active substances – insecticides ha</w:t>
      </w:r>
      <w:r w:rsidR="00996FD7" w:rsidRPr="007F04EF">
        <w:rPr>
          <w:lang w:val="en-GB"/>
        </w:rPr>
        <w:t>d b</w:t>
      </w:r>
      <w:r w:rsidR="00A8299C" w:rsidRPr="007F04EF">
        <w:rPr>
          <w:lang w:val="en-GB"/>
        </w:rPr>
        <w:t>een used in agriculture in</w:t>
      </w:r>
      <w:r w:rsidR="00996FD7" w:rsidRPr="007F04EF">
        <w:rPr>
          <w:lang w:val="en-GB"/>
        </w:rPr>
        <w:t xml:space="preserve"> </w:t>
      </w:r>
      <w:r w:rsidR="00A8299C" w:rsidRPr="007F04EF">
        <w:rPr>
          <w:lang w:val="en-GB"/>
        </w:rPr>
        <w:t>2014</w:t>
      </w:r>
      <w:r w:rsidR="00996FD7" w:rsidRPr="007F04EF">
        <w:rPr>
          <w:lang w:val="en-GB"/>
        </w:rPr>
        <w:t xml:space="preserve">. </w:t>
      </w:r>
      <w:r w:rsidR="000E6770" w:rsidRPr="007F04EF">
        <w:rPr>
          <w:rStyle w:val="Sprotnaopomba-sklic"/>
          <w:lang w:val="en-GB"/>
        </w:rPr>
        <w:footnoteReference w:id="9"/>
      </w:r>
    </w:p>
    <w:p w14:paraId="57398B9D" w14:textId="77777777" w:rsidR="00407E4F" w:rsidRPr="007F04EF" w:rsidRDefault="00407E4F" w:rsidP="00407E4F">
      <w:pPr>
        <w:jc w:val="both"/>
        <w:rPr>
          <w:lang w:val="en-GB"/>
        </w:rPr>
      </w:pPr>
    </w:p>
    <w:p w14:paraId="510C5920" w14:textId="3FD5690C" w:rsidR="009134FF" w:rsidRPr="007F04EF" w:rsidRDefault="003D4E9B" w:rsidP="009134FF">
      <w:pPr>
        <w:jc w:val="both"/>
        <w:rPr>
          <w:lang w:val="en-GB"/>
        </w:rPr>
      </w:pPr>
      <w:r w:rsidRPr="007F04EF">
        <w:rPr>
          <w:lang w:val="en-GB"/>
        </w:rPr>
        <w:t>Sulphur</w:t>
      </w:r>
      <w:r w:rsidR="00770985" w:rsidRPr="007F04EF">
        <w:rPr>
          <w:lang w:val="en-GB"/>
        </w:rPr>
        <w:t xml:space="preserve"> contributes the largest share to the value of harmonized risk indicator 1 in </w:t>
      </w:r>
      <w:r w:rsidRPr="007F04EF">
        <w:rPr>
          <w:lang w:val="en-GB"/>
        </w:rPr>
        <w:t xml:space="preserve">the entire </w:t>
      </w:r>
      <w:r w:rsidR="00177ADF" w:rsidRPr="007F04EF">
        <w:rPr>
          <w:lang w:val="en-GB"/>
        </w:rPr>
        <w:t xml:space="preserve">analysed </w:t>
      </w:r>
      <w:r w:rsidRPr="007F04EF">
        <w:rPr>
          <w:lang w:val="en-GB"/>
        </w:rPr>
        <w:t>period</w:t>
      </w:r>
      <w:r w:rsidR="00770985" w:rsidRPr="007F04EF">
        <w:rPr>
          <w:lang w:val="en-GB"/>
        </w:rPr>
        <w:t>, representing more than 35</w:t>
      </w:r>
      <w:r w:rsidR="00056A7E" w:rsidRPr="007F04EF">
        <w:rPr>
          <w:lang w:val="en-GB"/>
        </w:rPr>
        <w:t xml:space="preserve"> </w:t>
      </w:r>
      <w:r w:rsidR="00770985" w:rsidRPr="007F04EF">
        <w:rPr>
          <w:lang w:val="en-GB"/>
        </w:rPr>
        <w:t>% of all chemical PPP</w:t>
      </w:r>
      <w:r w:rsidR="002935CC" w:rsidRPr="007F04EF">
        <w:rPr>
          <w:lang w:val="en-GB"/>
        </w:rPr>
        <w:t>s</w:t>
      </w:r>
      <w:r w:rsidR="00770985" w:rsidRPr="007F04EF">
        <w:rPr>
          <w:lang w:val="en-GB"/>
        </w:rPr>
        <w:t xml:space="preserve"> sold. </w:t>
      </w:r>
      <w:r w:rsidRPr="007F04EF">
        <w:rPr>
          <w:lang w:val="en-GB"/>
        </w:rPr>
        <w:t>Sulphur</w:t>
      </w:r>
      <w:r w:rsidR="00770985" w:rsidRPr="007F04EF">
        <w:rPr>
          <w:lang w:val="en-GB"/>
        </w:rPr>
        <w:t xml:space="preserve"> is used in much higher doses than other PPP</w:t>
      </w:r>
      <w:r w:rsidR="002935CC" w:rsidRPr="007F04EF">
        <w:rPr>
          <w:lang w:val="en-GB"/>
        </w:rPr>
        <w:t>s</w:t>
      </w:r>
      <w:r w:rsidR="00770985" w:rsidRPr="007F04EF">
        <w:rPr>
          <w:lang w:val="en-GB"/>
        </w:rPr>
        <w:t xml:space="preserve"> and therefore contributes a significant</w:t>
      </w:r>
      <w:r w:rsidR="00056A7E" w:rsidRPr="007F04EF">
        <w:rPr>
          <w:lang w:val="en-GB"/>
        </w:rPr>
        <w:t xml:space="preserve"> portion in the </w:t>
      </w:r>
      <w:r w:rsidR="00770985" w:rsidRPr="007F04EF">
        <w:rPr>
          <w:lang w:val="en-GB"/>
        </w:rPr>
        <w:t xml:space="preserve">calculation of risk indicator 1. </w:t>
      </w:r>
      <w:bookmarkStart w:id="17" w:name="_Hlk160441451"/>
      <w:r w:rsidR="00770985" w:rsidRPr="007F04EF">
        <w:rPr>
          <w:lang w:val="en-GB"/>
        </w:rPr>
        <w:t>Copper, paraffin oil and potassium hydrogen carbonate</w:t>
      </w:r>
      <w:bookmarkEnd w:id="17"/>
      <w:r w:rsidR="00770985" w:rsidRPr="007F04EF">
        <w:rPr>
          <w:lang w:val="en-GB"/>
        </w:rPr>
        <w:t xml:space="preserve"> together contribute a</w:t>
      </w:r>
      <w:r w:rsidR="009134FF" w:rsidRPr="007F04EF">
        <w:rPr>
          <w:lang w:val="en-GB"/>
        </w:rPr>
        <w:t xml:space="preserve">round </w:t>
      </w:r>
      <w:r w:rsidR="00770985" w:rsidRPr="007F04EF">
        <w:rPr>
          <w:lang w:val="en-GB"/>
        </w:rPr>
        <w:t>9</w:t>
      </w:r>
      <w:r w:rsidR="009134FF" w:rsidRPr="007F04EF">
        <w:rPr>
          <w:lang w:val="en-GB"/>
        </w:rPr>
        <w:t xml:space="preserve"> </w:t>
      </w:r>
      <w:r w:rsidR="00770985" w:rsidRPr="007F04EF">
        <w:rPr>
          <w:lang w:val="en-GB"/>
        </w:rPr>
        <w:t>% to the value of risk indicator 1.</w:t>
      </w:r>
    </w:p>
    <w:p w14:paraId="1308D8A7" w14:textId="0BE4FBD9" w:rsidR="00770985" w:rsidRPr="007F04EF" w:rsidRDefault="00770985" w:rsidP="009134FF">
      <w:pPr>
        <w:jc w:val="both"/>
        <w:rPr>
          <w:lang w:val="en-GB"/>
        </w:rPr>
      </w:pPr>
      <w:r w:rsidRPr="007F04EF">
        <w:rPr>
          <w:lang w:val="en-GB"/>
        </w:rPr>
        <w:t xml:space="preserve">Copper is a substance that is also a candidate for </w:t>
      </w:r>
      <w:r w:rsidR="003D4E9B" w:rsidRPr="007F04EF">
        <w:rPr>
          <w:lang w:val="en-GB"/>
        </w:rPr>
        <w:t>substitution,</w:t>
      </w:r>
      <w:r w:rsidRPr="007F04EF">
        <w:rPr>
          <w:lang w:val="en-GB"/>
        </w:rPr>
        <w:t xml:space="preserve"> and we </w:t>
      </w:r>
      <w:r w:rsidR="003D4E9B" w:rsidRPr="007F04EF">
        <w:rPr>
          <w:lang w:val="en-GB"/>
        </w:rPr>
        <w:t>must</w:t>
      </w:r>
      <w:r w:rsidRPr="007F04EF">
        <w:rPr>
          <w:lang w:val="en-GB"/>
        </w:rPr>
        <w:t xml:space="preserve"> therefore significantly reduce its use in accordance with the requirements of the "</w:t>
      </w:r>
      <w:r w:rsidR="009134FF" w:rsidRPr="007F04EF">
        <w:rPr>
          <w:lang w:val="en-GB"/>
        </w:rPr>
        <w:t>F</w:t>
      </w:r>
      <w:r w:rsidRPr="007F04EF">
        <w:rPr>
          <w:lang w:val="en-GB"/>
        </w:rPr>
        <w:t>arm</w:t>
      </w:r>
      <w:r w:rsidR="009134FF" w:rsidRPr="007F04EF">
        <w:rPr>
          <w:lang w:val="en-GB"/>
        </w:rPr>
        <w:t>-</w:t>
      </w:r>
      <w:r w:rsidRPr="007F04EF">
        <w:rPr>
          <w:lang w:val="en-GB"/>
        </w:rPr>
        <w:t>to</w:t>
      </w:r>
      <w:r w:rsidR="009134FF" w:rsidRPr="007F04EF">
        <w:rPr>
          <w:lang w:val="en-GB"/>
        </w:rPr>
        <w:t>-F</w:t>
      </w:r>
      <w:r w:rsidRPr="007F04EF">
        <w:rPr>
          <w:lang w:val="en-GB"/>
        </w:rPr>
        <w:t>ork" Strategy.</w:t>
      </w:r>
    </w:p>
    <w:p w14:paraId="6C3D071C" w14:textId="77777777" w:rsidR="009134FF" w:rsidRPr="007F04EF" w:rsidRDefault="009134FF" w:rsidP="009134FF">
      <w:pPr>
        <w:jc w:val="both"/>
        <w:rPr>
          <w:lang w:val="en-GB"/>
        </w:rPr>
      </w:pPr>
    </w:p>
    <w:p w14:paraId="1134E62A" w14:textId="77777777" w:rsidR="009134FF" w:rsidRPr="007F04EF" w:rsidRDefault="003D4E9B" w:rsidP="009134FF">
      <w:pPr>
        <w:jc w:val="both"/>
        <w:rPr>
          <w:lang w:val="en-GB"/>
        </w:rPr>
      </w:pPr>
      <w:r w:rsidRPr="007F04EF">
        <w:rPr>
          <w:lang w:val="en-GB"/>
        </w:rPr>
        <w:t>Sulphur, copper, paraffin oil and potassium hydrogen carbonate contribute more than 40</w:t>
      </w:r>
      <w:r w:rsidR="009134FF" w:rsidRPr="007F04EF">
        <w:rPr>
          <w:lang w:val="en-GB"/>
        </w:rPr>
        <w:t xml:space="preserve"> </w:t>
      </w:r>
      <w:r w:rsidRPr="007F04EF">
        <w:rPr>
          <w:lang w:val="en-GB"/>
        </w:rPr>
        <w:t xml:space="preserve">% to </w:t>
      </w:r>
      <w:r w:rsidR="009134FF" w:rsidRPr="007F04EF">
        <w:rPr>
          <w:lang w:val="en-GB"/>
        </w:rPr>
        <w:t xml:space="preserve">the </w:t>
      </w:r>
      <w:r w:rsidRPr="007F04EF">
        <w:rPr>
          <w:lang w:val="en-GB"/>
        </w:rPr>
        <w:t>sales figure of chemical PPP</w:t>
      </w:r>
      <w:r w:rsidR="002935CC" w:rsidRPr="007F04EF">
        <w:rPr>
          <w:lang w:val="en-GB"/>
        </w:rPr>
        <w:t>s</w:t>
      </w:r>
      <w:r w:rsidRPr="007F04EF">
        <w:rPr>
          <w:lang w:val="en-GB"/>
        </w:rPr>
        <w:t>.</w:t>
      </w:r>
    </w:p>
    <w:p w14:paraId="7F36E90F" w14:textId="7E5B412E" w:rsidR="009134FF" w:rsidRPr="007F04EF" w:rsidRDefault="003D4E9B" w:rsidP="009134FF">
      <w:pPr>
        <w:jc w:val="both"/>
        <w:rPr>
          <w:lang w:val="en-GB"/>
        </w:rPr>
      </w:pPr>
      <w:r w:rsidRPr="007F04EF">
        <w:rPr>
          <w:lang w:val="en-GB"/>
        </w:rPr>
        <w:t xml:space="preserve">These substances </w:t>
      </w:r>
      <w:r w:rsidR="00AF0377" w:rsidRPr="007F04EF">
        <w:rPr>
          <w:lang w:val="en-GB"/>
        </w:rPr>
        <w:t>a</w:t>
      </w:r>
      <w:r w:rsidR="009134FF" w:rsidRPr="007F04EF">
        <w:rPr>
          <w:lang w:val="en-GB"/>
        </w:rPr>
        <w:t>r</w:t>
      </w:r>
      <w:r w:rsidR="00AF0377" w:rsidRPr="007F04EF">
        <w:rPr>
          <w:lang w:val="en-GB"/>
        </w:rPr>
        <w:t>e</w:t>
      </w:r>
      <w:r w:rsidR="009134FF" w:rsidRPr="007F04EF">
        <w:rPr>
          <w:lang w:val="en-GB"/>
        </w:rPr>
        <w:t xml:space="preserve"> us</w:t>
      </w:r>
      <w:r w:rsidR="00AF0377" w:rsidRPr="007F04EF">
        <w:rPr>
          <w:lang w:val="en-GB"/>
        </w:rPr>
        <w:t xml:space="preserve">ed in organic farming and </w:t>
      </w:r>
      <w:r w:rsidR="00FD3C7E" w:rsidRPr="007F04EF">
        <w:rPr>
          <w:lang w:val="en-GB"/>
        </w:rPr>
        <w:t xml:space="preserve">represent </w:t>
      </w:r>
      <w:r w:rsidR="009134FF" w:rsidRPr="007F04EF">
        <w:rPr>
          <w:lang w:val="en-GB"/>
        </w:rPr>
        <w:t xml:space="preserve">essential </w:t>
      </w:r>
      <w:r w:rsidR="00FD3C7E" w:rsidRPr="007F04EF">
        <w:rPr>
          <w:lang w:val="en-GB"/>
        </w:rPr>
        <w:t xml:space="preserve">plant protection in cases where </w:t>
      </w:r>
      <w:r w:rsidR="009C76B4" w:rsidRPr="007F04EF">
        <w:rPr>
          <w:lang w:val="en-GB"/>
        </w:rPr>
        <w:t xml:space="preserve">other </w:t>
      </w:r>
      <w:r w:rsidR="00FD3C7E" w:rsidRPr="007F04EF">
        <w:rPr>
          <w:lang w:val="en-GB"/>
        </w:rPr>
        <w:t xml:space="preserve">alternatives </w:t>
      </w:r>
      <w:r w:rsidR="00A829EB" w:rsidRPr="007F04EF">
        <w:rPr>
          <w:lang w:val="en-GB"/>
        </w:rPr>
        <w:t xml:space="preserve">for plant protection </w:t>
      </w:r>
      <w:r w:rsidR="00FD3C7E" w:rsidRPr="007F04EF">
        <w:rPr>
          <w:lang w:val="en-GB"/>
        </w:rPr>
        <w:t>are not available.</w:t>
      </w:r>
    </w:p>
    <w:p w14:paraId="7701D57A" w14:textId="77777777" w:rsidR="009134FF" w:rsidRPr="007F04EF" w:rsidRDefault="009134FF" w:rsidP="009134FF">
      <w:pPr>
        <w:jc w:val="both"/>
        <w:rPr>
          <w:lang w:val="en-GB"/>
        </w:rPr>
      </w:pPr>
    </w:p>
    <w:p w14:paraId="0E3B343B" w14:textId="40C74F4B" w:rsidR="003D4E9B" w:rsidRPr="007F04EF" w:rsidRDefault="009C76B4" w:rsidP="009134FF">
      <w:pPr>
        <w:jc w:val="both"/>
        <w:rPr>
          <w:lang w:val="en-GB"/>
        </w:rPr>
      </w:pPr>
      <w:r w:rsidRPr="007F04EF">
        <w:rPr>
          <w:lang w:val="en-GB"/>
        </w:rPr>
        <w:t>Sales figure</w:t>
      </w:r>
      <w:r w:rsidR="00A829EB" w:rsidRPr="007F04EF">
        <w:rPr>
          <w:lang w:val="en-GB"/>
        </w:rPr>
        <w:t>s</w:t>
      </w:r>
      <w:r w:rsidRPr="007F04EF">
        <w:rPr>
          <w:lang w:val="en-GB"/>
        </w:rPr>
        <w:t xml:space="preserve"> of substances like sulphur and copper </w:t>
      </w:r>
      <w:r w:rsidR="009134FF" w:rsidRPr="007F04EF">
        <w:rPr>
          <w:lang w:val="en-GB"/>
        </w:rPr>
        <w:t xml:space="preserve">should </w:t>
      </w:r>
      <w:r w:rsidRPr="007F04EF">
        <w:rPr>
          <w:lang w:val="en-GB"/>
        </w:rPr>
        <w:t xml:space="preserve">be analysed </w:t>
      </w:r>
      <w:r w:rsidR="009134FF" w:rsidRPr="007F04EF">
        <w:rPr>
          <w:lang w:val="en-GB"/>
        </w:rPr>
        <w:t xml:space="preserve">in a </w:t>
      </w:r>
      <w:r w:rsidRPr="007F04EF">
        <w:rPr>
          <w:lang w:val="en-GB"/>
        </w:rPr>
        <w:t>different</w:t>
      </w:r>
      <w:r w:rsidR="009134FF" w:rsidRPr="007F04EF">
        <w:rPr>
          <w:lang w:val="en-GB"/>
        </w:rPr>
        <w:t xml:space="preserve"> way, using a </w:t>
      </w:r>
      <w:r w:rsidRPr="007F04EF">
        <w:rPr>
          <w:lang w:val="en-GB"/>
        </w:rPr>
        <w:t>different analysis factor</w:t>
      </w:r>
      <w:r w:rsidR="009134FF" w:rsidRPr="007F04EF">
        <w:rPr>
          <w:lang w:val="en-GB"/>
        </w:rPr>
        <w:t>. P</w:t>
      </w:r>
      <w:r w:rsidR="00A829EB" w:rsidRPr="007F04EF">
        <w:rPr>
          <w:lang w:val="en-GB"/>
        </w:rPr>
        <w:t>lans for increasing surfaces under organic production</w:t>
      </w:r>
      <w:r w:rsidR="009134FF" w:rsidRPr="007F04EF">
        <w:rPr>
          <w:lang w:val="en-GB"/>
        </w:rPr>
        <w:t xml:space="preserve"> are </w:t>
      </w:r>
      <w:r w:rsidR="00A829EB" w:rsidRPr="007F04EF">
        <w:rPr>
          <w:lang w:val="en-GB"/>
        </w:rPr>
        <w:t>in</w:t>
      </w:r>
      <w:r w:rsidR="009134FF" w:rsidRPr="007F04EF">
        <w:rPr>
          <w:lang w:val="en-GB"/>
        </w:rPr>
        <w:t xml:space="preserve"> </w:t>
      </w:r>
      <w:r w:rsidR="00A829EB" w:rsidRPr="007F04EF">
        <w:rPr>
          <w:lang w:val="en-GB"/>
        </w:rPr>
        <w:t xml:space="preserve">contradiction with </w:t>
      </w:r>
      <w:r w:rsidR="009134FF" w:rsidRPr="007F04EF">
        <w:rPr>
          <w:lang w:val="en-GB"/>
        </w:rPr>
        <w:t xml:space="preserve">the </w:t>
      </w:r>
      <w:r w:rsidR="00A829EB" w:rsidRPr="007F04EF">
        <w:rPr>
          <w:lang w:val="en-GB"/>
        </w:rPr>
        <w:t>PPP</w:t>
      </w:r>
      <w:r w:rsidR="009134FF" w:rsidRPr="007F04EF">
        <w:rPr>
          <w:lang w:val="en-GB"/>
        </w:rPr>
        <w:t>-</w:t>
      </w:r>
      <w:r w:rsidR="00A829EB" w:rsidRPr="007F04EF">
        <w:rPr>
          <w:lang w:val="en-GB"/>
        </w:rPr>
        <w:t>use</w:t>
      </w:r>
      <w:r w:rsidR="009134FF" w:rsidRPr="007F04EF">
        <w:rPr>
          <w:lang w:val="en-GB"/>
        </w:rPr>
        <w:t>-reduction goals</w:t>
      </w:r>
      <w:r w:rsidR="00A829EB" w:rsidRPr="007F04EF">
        <w:rPr>
          <w:lang w:val="en-GB"/>
        </w:rPr>
        <w:t xml:space="preserve">, </w:t>
      </w:r>
      <w:r w:rsidR="009134FF" w:rsidRPr="007F04EF">
        <w:rPr>
          <w:lang w:val="en-GB"/>
        </w:rPr>
        <w:t>particular</w:t>
      </w:r>
      <w:r w:rsidR="00A829EB" w:rsidRPr="007F04EF">
        <w:rPr>
          <w:lang w:val="en-GB"/>
        </w:rPr>
        <w:t xml:space="preserve">ly </w:t>
      </w:r>
      <w:r w:rsidR="009134FF" w:rsidRPr="007F04EF">
        <w:rPr>
          <w:lang w:val="en-GB"/>
        </w:rPr>
        <w:t xml:space="preserve">as regards the </w:t>
      </w:r>
      <w:r w:rsidR="00A829EB" w:rsidRPr="007F04EF">
        <w:rPr>
          <w:lang w:val="en-GB"/>
        </w:rPr>
        <w:t xml:space="preserve">candidates for substitution. </w:t>
      </w:r>
    </w:p>
    <w:p w14:paraId="067953F9" w14:textId="77777777" w:rsidR="00631205" w:rsidRPr="007F04EF" w:rsidRDefault="00631205" w:rsidP="009134FF">
      <w:pPr>
        <w:jc w:val="both"/>
        <w:rPr>
          <w:lang w:val="en-GB"/>
        </w:rPr>
      </w:pPr>
    </w:p>
    <w:p w14:paraId="0C070A1F" w14:textId="0C3CF999" w:rsidR="00177ADF" w:rsidRPr="007F04EF" w:rsidRDefault="00177ADF" w:rsidP="009134FF">
      <w:pPr>
        <w:jc w:val="both"/>
        <w:rPr>
          <w:rStyle w:val="Krepko"/>
          <w:rFonts w:cs="Arial"/>
          <w:b w:val="0"/>
          <w:bCs w:val="0"/>
          <w:color w:val="111111"/>
          <w:szCs w:val="22"/>
          <w:bdr w:val="none" w:sz="0" w:space="0" w:color="auto" w:frame="1"/>
          <w:lang w:val="en-GB"/>
        </w:rPr>
      </w:pPr>
      <w:r w:rsidRPr="007F04EF">
        <w:rPr>
          <w:rStyle w:val="Krepko"/>
          <w:rFonts w:cs="Arial"/>
          <w:color w:val="111111"/>
          <w:szCs w:val="22"/>
          <w:bdr w:val="none" w:sz="0" w:space="0" w:color="auto" w:frame="1"/>
          <w:lang w:val="en-GB"/>
        </w:rPr>
        <w:t xml:space="preserve">Risk indicator 2: </w:t>
      </w:r>
      <w:r w:rsidRPr="007F04EF">
        <w:rPr>
          <w:rStyle w:val="Krepko"/>
          <w:rFonts w:cs="Arial"/>
          <w:b w:val="0"/>
          <w:bCs w:val="0"/>
          <w:color w:val="111111"/>
          <w:szCs w:val="22"/>
          <w:bdr w:val="none" w:sz="0" w:space="0" w:color="auto" w:frame="1"/>
          <w:lang w:val="en-GB"/>
        </w:rPr>
        <w:t>EUROSTAT calculate</w:t>
      </w:r>
      <w:r w:rsidR="000677D3" w:rsidRPr="007F04EF">
        <w:rPr>
          <w:rStyle w:val="Krepko"/>
          <w:rFonts w:cs="Arial"/>
          <w:b w:val="0"/>
          <w:bCs w:val="0"/>
          <w:color w:val="111111"/>
          <w:szCs w:val="22"/>
          <w:bdr w:val="none" w:sz="0" w:space="0" w:color="auto" w:frame="1"/>
          <w:lang w:val="en-GB"/>
        </w:rPr>
        <w:t>d</w:t>
      </w:r>
      <w:r w:rsidRPr="007F04EF">
        <w:rPr>
          <w:rStyle w:val="Krepko"/>
          <w:rFonts w:cs="Arial"/>
          <w:b w:val="0"/>
          <w:bCs w:val="0"/>
          <w:color w:val="111111"/>
          <w:szCs w:val="22"/>
          <w:bdr w:val="none" w:sz="0" w:space="0" w:color="auto" w:frame="1"/>
          <w:lang w:val="en-GB"/>
        </w:rPr>
        <w:t xml:space="preserve"> Risk indicator 2</w:t>
      </w:r>
      <w:r w:rsidR="000677D3" w:rsidRPr="007F04EF">
        <w:rPr>
          <w:rStyle w:val="Krepko"/>
          <w:rFonts w:cs="Arial"/>
          <w:b w:val="0"/>
          <w:bCs w:val="0"/>
          <w:color w:val="111111"/>
          <w:szCs w:val="22"/>
          <w:bdr w:val="none" w:sz="0" w:space="0" w:color="auto" w:frame="1"/>
          <w:lang w:val="en-GB"/>
        </w:rPr>
        <w:t xml:space="preserve"> from the number of PPP emergency use </w:t>
      </w:r>
      <w:r w:rsidR="002935CC" w:rsidRPr="007F04EF">
        <w:rPr>
          <w:rStyle w:val="Krepko"/>
          <w:rFonts w:cs="Arial"/>
          <w:b w:val="0"/>
          <w:bCs w:val="0"/>
          <w:color w:val="111111"/>
          <w:szCs w:val="22"/>
          <w:bdr w:val="none" w:sz="0" w:space="0" w:color="auto" w:frame="1"/>
          <w:lang w:val="en-GB"/>
        </w:rPr>
        <w:t>authorisations</w:t>
      </w:r>
      <w:r w:rsidR="000677D3" w:rsidRPr="007F04EF">
        <w:rPr>
          <w:rStyle w:val="Krepko"/>
          <w:rFonts w:cs="Arial"/>
          <w:b w:val="0"/>
          <w:bCs w:val="0"/>
          <w:color w:val="111111"/>
          <w:szCs w:val="22"/>
          <w:bdr w:val="none" w:sz="0" w:space="0" w:color="auto" w:frame="1"/>
          <w:lang w:val="en-GB"/>
        </w:rPr>
        <w:t xml:space="preserve"> issued in each year, adding analysis factors based on the properties of PPP</w:t>
      </w:r>
      <w:r w:rsidR="002935CC" w:rsidRPr="007F04EF">
        <w:rPr>
          <w:rStyle w:val="Krepko"/>
          <w:rFonts w:cs="Arial"/>
          <w:b w:val="0"/>
          <w:bCs w:val="0"/>
          <w:color w:val="111111"/>
          <w:szCs w:val="22"/>
          <w:bdr w:val="none" w:sz="0" w:space="0" w:color="auto" w:frame="1"/>
          <w:lang w:val="en-GB"/>
        </w:rPr>
        <w:t>s</w:t>
      </w:r>
      <w:r w:rsidR="000677D3" w:rsidRPr="007F04EF">
        <w:rPr>
          <w:rStyle w:val="Krepko"/>
          <w:rFonts w:cs="Arial"/>
          <w:b w:val="0"/>
          <w:bCs w:val="0"/>
          <w:color w:val="111111"/>
          <w:szCs w:val="22"/>
          <w:bdr w:val="none" w:sz="0" w:space="0" w:color="auto" w:frame="1"/>
          <w:lang w:val="en-GB"/>
        </w:rPr>
        <w:t xml:space="preserve"> classified into 4 groups. The E</w:t>
      </w:r>
      <w:r w:rsidR="009134FF" w:rsidRPr="007F04EF">
        <w:rPr>
          <w:rStyle w:val="Krepko"/>
          <w:rFonts w:cs="Arial"/>
          <w:b w:val="0"/>
          <w:bCs w:val="0"/>
          <w:color w:val="111111"/>
          <w:szCs w:val="22"/>
          <w:bdr w:val="none" w:sz="0" w:space="0" w:color="auto" w:frame="1"/>
          <w:lang w:val="en-GB"/>
        </w:rPr>
        <w:t xml:space="preserve">uropean </w:t>
      </w:r>
      <w:r w:rsidR="000677D3" w:rsidRPr="007F04EF">
        <w:rPr>
          <w:rStyle w:val="Krepko"/>
          <w:rFonts w:cs="Arial"/>
          <w:b w:val="0"/>
          <w:bCs w:val="0"/>
          <w:color w:val="111111"/>
          <w:szCs w:val="22"/>
          <w:bdr w:val="none" w:sz="0" w:space="0" w:color="auto" w:frame="1"/>
          <w:lang w:val="en-GB"/>
        </w:rPr>
        <w:t>Commission de</w:t>
      </w:r>
      <w:r w:rsidR="009134FF" w:rsidRPr="007F04EF">
        <w:rPr>
          <w:rStyle w:val="Krepko"/>
          <w:rFonts w:cs="Arial"/>
          <w:b w:val="0"/>
          <w:bCs w:val="0"/>
          <w:color w:val="111111"/>
          <w:szCs w:val="22"/>
          <w:bdr w:val="none" w:sz="0" w:space="0" w:color="auto" w:frame="1"/>
          <w:lang w:val="en-GB"/>
        </w:rPr>
        <w:t>f</w:t>
      </w:r>
      <w:r w:rsidR="000677D3" w:rsidRPr="007F04EF">
        <w:rPr>
          <w:rStyle w:val="Krepko"/>
          <w:rFonts w:cs="Arial"/>
          <w:b w:val="0"/>
          <w:bCs w:val="0"/>
          <w:color w:val="111111"/>
          <w:szCs w:val="22"/>
          <w:bdr w:val="none" w:sz="0" w:space="0" w:color="auto" w:frame="1"/>
          <w:lang w:val="en-GB"/>
        </w:rPr>
        <w:t xml:space="preserve">ined a starting value (index 100) as the average number of </w:t>
      </w:r>
      <w:r w:rsidR="002935CC" w:rsidRPr="007F04EF">
        <w:rPr>
          <w:rStyle w:val="Krepko"/>
          <w:rFonts w:cs="Arial"/>
          <w:b w:val="0"/>
          <w:bCs w:val="0"/>
          <w:color w:val="111111"/>
          <w:szCs w:val="22"/>
          <w:bdr w:val="none" w:sz="0" w:space="0" w:color="auto" w:frame="1"/>
          <w:lang w:val="en-GB"/>
        </w:rPr>
        <w:t>authorisations</w:t>
      </w:r>
      <w:r w:rsidR="000677D3" w:rsidRPr="007F04EF">
        <w:rPr>
          <w:rStyle w:val="Krepko"/>
          <w:rFonts w:cs="Arial"/>
          <w:b w:val="0"/>
          <w:bCs w:val="0"/>
          <w:color w:val="111111"/>
          <w:szCs w:val="22"/>
          <w:bdr w:val="none" w:sz="0" w:space="0" w:color="auto" w:frame="1"/>
          <w:lang w:val="en-GB"/>
        </w:rPr>
        <w:t xml:space="preserve"> issued in the period 2011</w:t>
      </w:r>
      <w:r w:rsidR="005737AE" w:rsidRPr="007F04EF">
        <w:rPr>
          <w:rStyle w:val="Krepko"/>
          <w:rFonts w:cs="Arial"/>
          <w:b w:val="0"/>
          <w:bCs w:val="0"/>
          <w:color w:val="111111"/>
          <w:szCs w:val="22"/>
          <w:bdr w:val="none" w:sz="0" w:space="0" w:color="auto" w:frame="1"/>
          <w:lang w:val="en-GB"/>
        </w:rPr>
        <w:t xml:space="preserve"> – </w:t>
      </w:r>
      <w:r w:rsidR="000677D3" w:rsidRPr="007F04EF">
        <w:rPr>
          <w:rStyle w:val="Krepko"/>
          <w:rFonts w:cs="Arial"/>
          <w:b w:val="0"/>
          <w:bCs w:val="0"/>
          <w:color w:val="111111"/>
          <w:szCs w:val="22"/>
          <w:bdr w:val="none" w:sz="0" w:space="0" w:color="auto" w:frame="1"/>
          <w:lang w:val="en-GB"/>
        </w:rPr>
        <w:t>2013.</w:t>
      </w:r>
    </w:p>
    <w:p w14:paraId="7FE09E42" w14:textId="77777777" w:rsidR="00631205" w:rsidRPr="007F04EF" w:rsidRDefault="00631205" w:rsidP="004935E3">
      <w:pPr>
        <w:rPr>
          <w:rStyle w:val="Krepko"/>
          <w:rFonts w:cs="Arial"/>
          <w:b w:val="0"/>
          <w:bCs w:val="0"/>
          <w:color w:val="111111"/>
          <w:szCs w:val="22"/>
          <w:bdr w:val="none" w:sz="0" w:space="0" w:color="auto" w:frame="1"/>
          <w:lang w:val="en-GB"/>
        </w:rPr>
      </w:pPr>
    </w:p>
    <w:p w14:paraId="120BE486" w14:textId="468CF14E" w:rsidR="000677D3" w:rsidRPr="007F04EF" w:rsidRDefault="000677D3" w:rsidP="004935E3">
      <w:pPr>
        <w:rPr>
          <w:rStyle w:val="Krepko"/>
          <w:rFonts w:cs="Arial"/>
          <w:b w:val="0"/>
          <w:bCs w:val="0"/>
          <w:color w:val="111111"/>
          <w:szCs w:val="22"/>
          <w:bdr w:val="none" w:sz="0" w:space="0" w:color="auto" w:frame="1"/>
          <w:lang w:val="en-GB"/>
        </w:rPr>
      </w:pPr>
      <w:r w:rsidRPr="007F04EF">
        <w:rPr>
          <w:rStyle w:val="Krepko"/>
          <w:rFonts w:cs="Arial"/>
          <w:b w:val="0"/>
          <w:bCs w:val="0"/>
          <w:color w:val="111111"/>
          <w:szCs w:val="22"/>
          <w:bdr w:val="none" w:sz="0" w:space="0" w:color="auto" w:frame="1"/>
          <w:lang w:val="en-GB"/>
        </w:rPr>
        <w:t xml:space="preserve">Table 2 and Graph 2 show Risk </w:t>
      </w:r>
      <w:r w:rsidR="00830D67" w:rsidRPr="007F04EF">
        <w:rPr>
          <w:rStyle w:val="Krepko"/>
          <w:rFonts w:cs="Arial"/>
          <w:b w:val="0"/>
          <w:bCs w:val="0"/>
          <w:color w:val="111111"/>
          <w:szCs w:val="22"/>
          <w:bdr w:val="none" w:sz="0" w:space="0" w:color="auto" w:frame="1"/>
          <w:lang w:val="en-GB"/>
        </w:rPr>
        <w:t>indicator</w:t>
      </w:r>
      <w:r w:rsidRPr="007F04EF">
        <w:rPr>
          <w:rStyle w:val="Krepko"/>
          <w:rFonts w:cs="Arial"/>
          <w:b w:val="0"/>
          <w:bCs w:val="0"/>
          <w:color w:val="111111"/>
          <w:szCs w:val="22"/>
          <w:bdr w:val="none" w:sz="0" w:space="0" w:color="auto" w:frame="1"/>
          <w:lang w:val="en-GB"/>
        </w:rPr>
        <w:t xml:space="preserve"> 2 movement.  </w:t>
      </w:r>
    </w:p>
    <w:p w14:paraId="76B19348" w14:textId="77777777" w:rsidR="00631205" w:rsidRPr="007F04EF" w:rsidRDefault="00631205" w:rsidP="004935E3">
      <w:pPr>
        <w:rPr>
          <w:rStyle w:val="Krepko"/>
          <w:rFonts w:cs="Arial"/>
          <w:b w:val="0"/>
          <w:bCs w:val="0"/>
          <w:color w:val="111111"/>
          <w:szCs w:val="22"/>
          <w:bdr w:val="none" w:sz="0" w:space="0" w:color="auto" w:frame="1"/>
          <w:lang w:val="en-GB"/>
        </w:rPr>
      </w:pPr>
    </w:p>
    <w:p w14:paraId="71FE3F84" w14:textId="1E27A188" w:rsidR="00795828" w:rsidRPr="007F04EF" w:rsidRDefault="00830D67" w:rsidP="003F53BA">
      <w:pPr>
        <w:pStyle w:val="Napis"/>
        <w:rPr>
          <w:rFonts w:cs="Arial"/>
          <w:sz w:val="20"/>
          <w:szCs w:val="20"/>
          <w:lang w:val="en-GB"/>
        </w:rPr>
      </w:pPr>
      <w:bookmarkStart w:id="18" w:name="_Toc149824892"/>
      <w:bookmarkStart w:id="19" w:name="_Toc149825601"/>
      <w:bookmarkStart w:id="20" w:name="_Toc151116350"/>
      <w:bookmarkStart w:id="21" w:name="_Toc152153145"/>
      <w:bookmarkStart w:id="22" w:name="_Toc161657864"/>
      <w:r w:rsidRPr="007F04EF">
        <w:rPr>
          <w:rFonts w:cs="Arial"/>
          <w:sz w:val="20"/>
          <w:szCs w:val="20"/>
          <w:lang w:val="en-GB"/>
        </w:rPr>
        <w:t>Table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2</w:t>
      </w:r>
      <w:r w:rsidR="003F53BA" w:rsidRPr="007F04EF">
        <w:rPr>
          <w:rFonts w:cs="Arial"/>
          <w:sz w:val="20"/>
          <w:szCs w:val="20"/>
          <w:lang w:val="en-GB"/>
        </w:rPr>
        <w:fldChar w:fldCharType="end"/>
      </w:r>
      <w:r w:rsidR="003F53BA" w:rsidRPr="007F04EF">
        <w:rPr>
          <w:rFonts w:cs="Arial"/>
          <w:sz w:val="20"/>
          <w:szCs w:val="20"/>
          <w:lang w:val="en-GB"/>
        </w:rPr>
        <w:t>:</w:t>
      </w:r>
      <w:r w:rsidR="003F53BA" w:rsidRPr="007F04EF">
        <w:rPr>
          <w:sz w:val="16"/>
          <w:szCs w:val="16"/>
          <w:lang w:val="en-GB"/>
        </w:rPr>
        <w:t xml:space="preserve"> </w:t>
      </w:r>
      <w:r w:rsidRPr="007F04EF">
        <w:rPr>
          <w:rFonts w:cs="Arial"/>
          <w:sz w:val="20"/>
          <w:szCs w:val="20"/>
          <w:lang w:val="en-GB"/>
        </w:rPr>
        <w:t xml:space="preserve">Risk indicator </w:t>
      </w:r>
      <w:r w:rsidR="008162A9" w:rsidRPr="007F04EF">
        <w:rPr>
          <w:rFonts w:cs="Arial"/>
          <w:sz w:val="20"/>
          <w:szCs w:val="20"/>
          <w:lang w:val="en-GB"/>
        </w:rPr>
        <w:t>2</w:t>
      </w:r>
      <w:bookmarkEnd w:id="18"/>
      <w:bookmarkEnd w:id="19"/>
      <w:bookmarkEnd w:id="20"/>
      <w:bookmarkEnd w:id="21"/>
      <w:r w:rsidRPr="007F04EF">
        <w:rPr>
          <w:rFonts w:cs="Arial"/>
          <w:sz w:val="20"/>
          <w:szCs w:val="20"/>
          <w:lang w:val="en-GB"/>
        </w:rPr>
        <w:t xml:space="preserve"> movement</w:t>
      </w:r>
      <w:bookmarkEnd w:id="22"/>
    </w:p>
    <w:p w14:paraId="71F390A6" w14:textId="77777777" w:rsidR="00631205" w:rsidRPr="007F04EF" w:rsidRDefault="00631205" w:rsidP="00631205">
      <w:pPr>
        <w:rPr>
          <w:lang w:val="en-GB"/>
        </w:rPr>
      </w:pP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77"/>
        <w:gridCol w:w="124"/>
        <w:gridCol w:w="1077"/>
        <w:gridCol w:w="706"/>
        <w:gridCol w:w="706"/>
        <w:gridCol w:w="706"/>
        <w:gridCol w:w="706"/>
        <w:gridCol w:w="706"/>
        <w:gridCol w:w="706"/>
        <w:gridCol w:w="706"/>
        <w:gridCol w:w="706"/>
      </w:tblGrid>
      <w:tr w:rsidR="008162A9" w:rsidRPr="007F04EF" w14:paraId="3DC6F715" w14:textId="77777777" w:rsidTr="00321FE3">
        <w:trPr>
          <w:trHeight w:val="289"/>
        </w:trPr>
        <w:tc>
          <w:tcPr>
            <w:tcW w:w="1309" w:type="pct"/>
          </w:tcPr>
          <w:p w14:paraId="003CF4CF" w14:textId="6C62E48A" w:rsidR="008162A9" w:rsidRPr="007F04EF" w:rsidRDefault="00830D67" w:rsidP="004935E3">
            <w:pPr>
              <w:pStyle w:val="Brezrazmikov"/>
              <w:rPr>
                <w:rFonts w:eastAsia="Times New Roman"/>
                <w:lang w:val="en-GB"/>
              </w:rPr>
            </w:pPr>
            <w:r w:rsidRPr="007F04EF">
              <w:rPr>
                <w:rFonts w:eastAsia="Times New Roman"/>
                <w:lang w:val="en-GB"/>
              </w:rPr>
              <w:t>Year</w:t>
            </w:r>
          </w:p>
        </w:tc>
        <w:tc>
          <w:tcPr>
            <w:tcW w:w="779" w:type="pct"/>
            <w:gridSpan w:val="2"/>
          </w:tcPr>
          <w:p w14:paraId="3D8863C0" w14:textId="7A8BBDE7" w:rsidR="008162A9" w:rsidRPr="007F04EF" w:rsidRDefault="008162A9" w:rsidP="004935E3">
            <w:pPr>
              <w:pStyle w:val="Brezrazmikov"/>
              <w:jc w:val="center"/>
              <w:rPr>
                <w:rFonts w:eastAsia="Times New Roman"/>
                <w:lang w:val="en-GB"/>
              </w:rPr>
            </w:pPr>
            <w:r w:rsidRPr="007F04EF">
              <w:rPr>
                <w:rFonts w:eastAsia="Times New Roman"/>
                <w:lang w:val="en-GB"/>
              </w:rPr>
              <w:t>2011</w:t>
            </w:r>
            <w:r w:rsidR="00321FE3" w:rsidRPr="007F04EF">
              <w:rPr>
                <w:rFonts w:eastAsia="Times New Roman"/>
                <w:lang w:val="en-GB"/>
              </w:rPr>
              <w:t xml:space="preserve"> – </w:t>
            </w:r>
            <w:r w:rsidRPr="007F04EF">
              <w:rPr>
                <w:rFonts w:eastAsia="Times New Roman"/>
                <w:lang w:val="en-GB"/>
              </w:rPr>
              <w:t>2013</w:t>
            </w:r>
            <w:r w:rsidR="00321FE3" w:rsidRPr="007F04EF">
              <w:rPr>
                <w:rFonts w:eastAsia="Times New Roman"/>
                <w:lang w:val="en-GB"/>
              </w:rPr>
              <w:t xml:space="preserve"> </w:t>
            </w:r>
          </w:p>
        </w:tc>
        <w:tc>
          <w:tcPr>
            <w:tcW w:w="364" w:type="pct"/>
          </w:tcPr>
          <w:p w14:paraId="3467A04F" w14:textId="75498551" w:rsidR="008162A9" w:rsidRPr="007F04EF" w:rsidRDefault="008162A9" w:rsidP="004935E3">
            <w:pPr>
              <w:pStyle w:val="Brezrazmikov"/>
              <w:jc w:val="center"/>
              <w:rPr>
                <w:rFonts w:eastAsia="Times New Roman"/>
                <w:lang w:val="en-GB"/>
              </w:rPr>
            </w:pPr>
            <w:r w:rsidRPr="007F04EF">
              <w:rPr>
                <w:rFonts w:eastAsia="Times New Roman"/>
                <w:lang w:val="en-GB"/>
              </w:rPr>
              <w:t>2014</w:t>
            </w:r>
          </w:p>
        </w:tc>
        <w:tc>
          <w:tcPr>
            <w:tcW w:w="364" w:type="pct"/>
          </w:tcPr>
          <w:p w14:paraId="067DC826" w14:textId="32665C6D" w:rsidR="008162A9" w:rsidRPr="007F04EF" w:rsidRDefault="008162A9" w:rsidP="004935E3">
            <w:pPr>
              <w:pStyle w:val="Brezrazmikov"/>
              <w:jc w:val="center"/>
              <w:rPr>
                <w:rFonts w:eastAsia="Times New Roman"/>
                <w:lang w:val="en-GB"/>
              </w:rPr>
            </w:pPr>
            <w:r w:rsidRPr="007F04EF">
              <w:rPr>
                <w:rFonts w:eastAsia="Times New Roman"/>
                <w:lang w:val="en-GB"/>
              </w:rPr>
              <w:t>2015</w:t>
            </w:r>
          </w:p>
        </w:tc>
        <w:tc>
          <w:tcPr>
            <w:tcW w:w="364" w:type="pct"/>
          </w:tcPr>
          <w:p w14:paraId="22741E4B" w14:textId="7836C0B2" w:rsidR="008162A9" w:rsidRPr="007F04EF" w:rsidRDefault="008162A9" w:rsidP="004935E3">
            <w:pPr>
              <w:pStyle w:val="Brezrazmikov"/>
              <w:jc w:val="center"/>
              <w:rPr>
                <w:rFonts w:eastAsia="Times New Roman"/>
                <w:lang w:val="en-GB"/>
              </w:rPr>
            </w:pPr>
            <w:r w:rsidRPr="007F04EF">
              <w:rPr>
                <w:rFonts w:eastAsia="Times New Roman"/>
                <w:lang w:val="en-GB"/>
              </w:rPr>
              <w:t>2016</w:t>
            </w:r>
          </w:p>
        </w:tc>
        <w:tc>
          <w:tcPr>
            <w:tcW w:w="364" w:type="pct"/>
          </w:tcPr>
          <w:p w14:paraId="5BBAD778" w14:textId="06256E95" w:rsidR="008162A9" w:rsidRPr="007F04EF" w:rsidRDefault="008162A9" w:rsidP="004935E3">
            <w:pPr>
              <w:pStyle w:val="Brezrazmikov"/>
              <w:jc w:val="center"/>
              <w:rPr>
                <w:rFonts w:eastAsia="Times New Roman"/>
                <w:lang w:val="en-GB"/>
              </w:rPr>
            </w:pPr>
            <w:r w:rsidRPr="007F04EF">
              <w:rPr>
                <w:rFonts w:eastAsia="Times New Roman"/>
                <w:lang w:val="en-GB"/>
              </w:rPr>
              <w:t>2017</w:t>
            </w:r>
          </w:p>
        </w:tc>
        <w:tc>
          <w:tcPr>
            <w:tcW w:w="364" w:type="pct"/>
          </w:tcPr>
          <w:p w14:paraId="29E90796" w14:textId="54E5B009" w:rsidR="008162A9" w:rsidRPr="007F04EF" w:rsidRDefault="008162A9" w:rsidP="004935E3">
            <w:pPr>
              <w:pStyle w:val="Brezrazmikov"/>
              <w:jc w:val="center"/>
              <w:rPr>
                <w:rFonts w:eastAsia="Times New Roman"/>
                <w:lang w:val="en-GB"/>
              </w:rPr>
            </w:pPr>
            <w:r w:rsidRPr="007F04EF">
              <w:rPr>
                <w:rFonts w:eastAsia="Times New Roman"/>
                <w:lang w:val="en-GB"/>
              </w:rPr>
              <w:t>2018</w:t>
            </w:r>
          </w:p>
        </w:tc>
        <w:tc>
          <w:tcPr>
            <w:tcW w:w="364" w:type="pct"/>
          </w:tcPr>
          <w:p w14:paraId="6BD4DC08" w14:textId="7D7B33BB" w:rsidR="008162A9" w:rsidRPr="007F04EF" w:rsidRDefault="008162A9" w:rsidP="004935E3">
            <w:pPr>
              <w:pStyle w:val="Brezrazmikov"/>
              <w:jc w:val="center"/>
              <w:rPr>
                <w:rFonts w:eastAsia="Times New Roman"/>
                <w:lang w:val="en-GB"/>
              </w:rPr>
            </w:pPr>
            <w:r w:rsidRPr="007F04EF">
              <w:rPr>
                <w:rFonts w:eastAsia="Times New Roman"/>
                <w:lang w:val="en-GB"/>
              </w:rPr>
              <w:t>2019</w:t>
            </w:r>
          </w:p>
        </w:tc>
        <w:tc>
          <w:tcPr>
            <w:tcW w:w="364" w:type="pct"/>
          </w:tcPr>
          <w:p w14:paraId="600A173D" w14:textId="15B4A1D4" w:rsidR="008162A9" w:rsidRPr="007F04EF" w:rsidRDefault="008162A9" w:rsidP="004935E3">
            <w:pPr>
              <w:pStyle w:val="Brezrazmikov"/>
              <w:jc w:val="center"/>
              <w:rPr>
                <w:rFonts w:eastAsia="Times New Roman"/>
                <w:lang w:val="en-GB"/>
              </w:rPr>
            </w:pPr>
            <w:r w:rsidRPr="007F04EF">
              <w:rPr>
                <w:rFonts w:eastAsia="Times New Roman"/>
                <w:lang w:val="en-GB"/>
              </w:rPr>
              <w:t>2020</w:t>
            </w:r>
          </w:p>
        </w:tc>
        <w:tc>
          <w:tcPr>
            <w:tcW w:w="362" w:type="pct"/>
          </w:tcPr>
          <w:p w14:paraId="7E2A7492" w14:textId="422176A1" w:rsidR="008162A9" w:rsidRPr="007F04EF" w:rsidRDefault="008162A9" w:rsidP="004935E3">
            <w:pPr>
              <w:pStyle w:val="Brezrazmikov"/>
              <w:jc w:val="center"/>
              <w:rPr>
                <w:rFonts w:eastAsia="Times New Roman"/>
                <w:lang w:val="en-GB"/>
              </w:rPr>
            </w:pPr>
            <w:r w:rsidRPr="007F04EF">
              <w:rPr>
                <w:rFonts w:eastAsia="Times New Roman"/>
                <w:lang w:val="en-GB"/>
              </w:rPr>
              <w:t>2021</w:t>
            </w:r>
          </w:p>
        </w:tc>
      </w:tr>
      <w:tr w:rsidR="008162A9" w:rsidRPr="007F04EF" w14:paraId="1392CF2D" w14:textId="77777777" w:rsidTr="00321FE3">
        <w:trPr>
          <w:trHeight w:val="289"/>
        </w:trPr>
        <w:tc>
          <w:tcPr>
            <w:tcW w:w="1438" w:type="pct"/>
            <w:gridSpan w:val="2"/>
          </w:tcPr>
          <w:p w14:paraId="1501A5CA" w14:textId="70428039" w:rsidR="008162A9" w:rsidRPr="007F04EF" w:rsidRDefault="00830D67" w:rsidP="004935E3">
            <w:pPr>
              <w:pStyle w:val="Brezrazmikov"/>
              <w:rPr>
                <w:rFonts w:eastAsia="Times New Roman"/>
                <w:lang w:val="en-GB"/>
              </w:rPr>
            </w:pPr>
            <w:r w:rsidRPr="007F04EF">
              <w:rPr>
                <w:rFonts w:eastAsia="Times New Roman"/>
                <w:lang w:val="en-GB"/>
              </w:rPr>
              <w:t>Risk indicator</w:t>
            </w:r>
            <w:r w:rsidR="008162A9" w:rsidRPr="007F04EF">
              <w:rPr>
                <w:rFonts w:eastAsia="Times New Roman"/>
                <w:lang w:val="en-GB"/>
              </w:rPr>
              <w:t xml:space="preserve"> 2</w:t>
            </w:r>
          </w:p>
        </w:tc>
        <w:tc>
          <w:tcPr>
            <w:tcW w:w="651" w:type="pct"/>
          </w:tcPr>
          <w:p w14:paraId="7B4202F5" w14:textId="72C7DBBD" w:rsidR="008162A9" w:rsidRPr="007F04EF" w:rsidRDefault="008162A9" w:rsidP="004935E3">
            <w:pPr>
              <w:pStyle w:val="Brezrazmikov"/>
              <w:jc w:val="center"/>
              <w:rPr>
                <w:rFonts w:eastAsia="Times New Roman"/>
                <w:lang w:val="en-GB"/>
              </w:rPr>
            </w:pPr>
            <w:r w:rsidRPr="007F04EF">
              <w:rPr>
                <w:rFonts w:eastAsia="Times New Roman"/>
                <w:lang w:val="en-GB"/>
              </w:rPr>
              <w:t>100</w:t>
            </w:r>
          </w:p>
        </w:tc>
        <w:tc>
          <w:tcPr>
            <w:tcW w:w="364" w:type="pct"/>
          </w:tcPr>
          <w:p w14:paraId="2E786345" w14:textId="01A733FC" w:rsidR="008162A9" w:rsidRPr="007F04EF" w:rsidRDefault="008162A9" w:rsidP="004935E3">
            <w:pPr>
              <w:pStyle w:val="Brezrazmikov"/>
              <w:jc w:val="center"/>
              <w:rPr>
                <w:rFonts w:eastAsia="Times New Roman"/>
                <w:lang w:val="en-GB"/>
              </w:rPr>
            </w:pPr>
            <w:r w:rsidRPr="007F04EF">
              <w:rPr>
                <w:rFonts w:eastAsia="Times New Roman"/>
                <w:lang w:val="en-GB"/>
              </w:rPr>
              <w:t>182</w:t>
            </w:r>
          </w:p>
        </w:tc>
        <w:tc>
          <w:tcPr>
            <w:tcW w:w="364" w:type="pct"/>
          </w:tcPr>
          <w:p w14:paraId="5B85280E" w14:textId="540DC684" w:rsidR="008162A9" w:rsidRPr="007F04EF" w:rsidRDefault="008162A9" w:rsidP="004935E3">
            <w:pPr>
              <w:pStyle w:val="Brezrazmikov"/>
              <w:jc w:val="center"/>
              <w:rPr>
                <w:rFonts w:eastAsia="Times New Roman"/>
                <w:lang w:val="en-GB"/>
              </w:rPr>
            </w:pPr>
            <w:r w:rsidRPr="007F04EF">
              <w:rPr>
                <w:rFonts w:eastAsia="Times New Roman"/>
                <w:lang w:val="en-GB"/>
              </w:rPr>
              <w:t>39</w:t>
            </w:r>
          </w:p>
        </w:tc>
        <w:tc>
          <w:tcPr>
            <w:tcW w:w="364" w:type="pct"/>
          </w:tcPr>
          <w:p w14:paraId="1E5E80B2" w14:textId="49275FAA" w:rsidR="008162A9" w:rsidRPr="007F04EF" w:rsidRDefault="008162A9" w:rsidP="004935E3">
            <w:pPr>
              <w:pStyle w:val="Brezrazmikov"/>
              <w:jc w:val="center"/>
              <w:rPr>
                <w:rFonts w:eastAsia="Times New Roman"/>
                <w:lang w:val="en-GB"/>
              </w:rPr>
            </w:pPr>
            <w:r w:rsidRPr="007F04EF">
              <w:rPr>
                <w:rFonts w:eastAsia="Times New Roman"/>
                <w:lang w:val="en-GB"/>
              </w:rPr>
              <w:t>150</w:t>
            </w:r>
          </w:p>
        </w:tc>
        <w:tc>
          <w:tcPr>
            <w:tcW w:w="364" w:type="pct"/>
          </w:tcPr>
          <w:p w14:paraId="2A7BFDD0" w14:textId="6E8339D5" w:rsidR="008162A9" w:rsidRPr="007F04EF" w:rsidRDefault="008162A9" w:rsidP="004935E3">
            <w:pPr>
              <w:pStyle w:val="Brezrazmikov"/>
              <w:jc w:val="center"/>
              <w:rPr>
                <w:rFonts w:eastAsia="Times New Roman"/>
                <w:lang w:val="en-GB"/>
              </w:rPr>
            </w:pPr>
            <w:r w:rsidRPr="007F04EF">
              <w:rPr>
                <w:rFonts w:eastAsia="Times New Roman"/>
                <w:lang w:val="en-GB"/>
              </w:rPr>
              <w:t>150</w:t>
            </w:r>
          </w:p>
        </w:tc>
        <w:tc>
          <w:tcPr>
            <w:tcW w:w="364" w:type="pct"/>
          </w:tcPr>
          <w:p w14:paraId="71C4E389" w14:textId="22A2C485" w:rsidR="008162A9" w:rsidRPr="007F04EF" w:rsidRDefault="008162A9" w:rsidP="004935E3">
            <w:pPr>
              <w:pStyle w:val="Brezrazmikov"/>
              <w:jc w:val="center"/>
              <w:rPr>
                <w:rFonts w:eastAsia="Times New Roman"/>
                <w:lang w:val="en-GB"/>
              </w:rPr>
            </w:pPr>
            <w:r w:rsidRPr="007F04EF">
              <w:rPr>
                <w:rFonts w:eastAsia="Times New Roman"/>
                <w:lang w:val="en-GB"/>
              </w:rPr>
              <w:t>111</w:t>
            </w:r>
          </w:p>
        </w:tc>
        <w:tc>
          <w:tcPr>
            <w:tcW w:w="364" w:type="pct"/>
          </w:tcPr>
          <w:p w14:paraId="2959E9D8" w14:textId="196A5350" w:rsidR="008162A9" w:rsidRPr="007F04EF" w:rsidRDefault="008162A9" w:rsidP="004935E3">
            <w:pPr>
              <w:pStyle w:val="Brezrazmikov"/>
              <w:jc w:val="center"/>
              <w:rPr>
                <w:rFonts w:eastAsia="Times New Roman"/>
                <w:lang w:val="en-GB"/>
              </w:rPr>
            </w:pPr>
            <w:r w:rsidRPr="007F04EF">
              <w:rPr>
                <w:rFonts w:eastAsia="Times New Roman"/>
                <w:lang w:val="en-GB"/>
              </w:rPr>
              <w:t>150</w:t>
            </w:r>
          </w:p>
        </w:tc>
        <w:tc>
          <w:tcPr>
            <w:tcW w:w="364" w:type="pct"/>
          </w:tcPr>
          <w:p w14:paraId="796CCCAC" w14:textId="0D357EBC" w:rsidR="008162A9" w:rsidRPr="007F04EF" w:rsidRDefault="008162A9" w:rsidP="004935E3">
            <w:pPr>
              <w:pStyle w:val="Brezrazmikov"/>
              <w:jc w:val="center"/>
              <w:rPr>
                <w:rFonts w:eastAsia="Times New Roman"/>
                <w:lang w:val="en-GB"/>
              </w:rPr>
            </w:pPr>
            <w:r w:rsidRPr="007F04EF">
              <w:rPr>
                <w:rFonts w:eastAsia="Times New Roman"/>
                <w:lang w:val="en-GB"/>
              </w:rPr>
              <w:t>316</w:t>
            </w:r>
          </w:p>
        </w:tc>
        <w:tc>
          <w:tcPr>
            <w:tcW w:w="362" w:type="pct"/>
          </w:tcPr>
          <w:p w14:paraId="5DF4CE14" w14:textId="13DFE740" w:rsidR="008162A9" w:rsidRPr="007F04EF" w:rsidRDefault="008162A9" w:rsidP="004935E3">
            <w:pPr>
              <w:pStyle w:val="Brezrazmikov"/>
              <w:jc w:val="center"/>
              <w:rPr>
                <w:rFonts w:eastAsia="Times New Roman"/>
                <w:lang w:val="en-GB"/>
              </w:rPr>
            </w:pPr>
            <w:r w:rsidRPr="007F04EF">
              <w:rPr>
                <w:rFonts w:eastAsia="Times New Roman"/>
                <w:lang w:val="en-GB"/>
              </w:rPr>
              <w:t>205</w:t>
            </w:r>
          </w:p>
        </w:tc>
      </w:tr>
    </w:tbl>
    <w:p w14:paraId="52BA662B" w14:textId="3A6E02C0" w:rsidR="001163B5" w:rsidRPr="007F04EF" w:rsidRDefault="001163B5" w:rsidP="00F31C93">
      <w:pPr>
        <w:spacing w:before="80" w:after="80" w:line="220" w:lineRule="atLeast"/>
        <w:rPr>
          <w:rFonts w:eastAsia="Times New Roman" w:cs="Arial"/>
          <w:lang w:val="en-GB"/>
        </w:rPr>
      </w:pPr>
    </w:p>
    <w:p w14:paraId="296C4223" w14:textId="3ECC03A0" w:rsidR="008162A9" w:rsidRPr="007F04EF" w:rsidRDefault="00C7488B" w:rsidP="000B6183">
      <w:pPr>
        <w:spacing w:before="80" w:after="80" w:line="220" w:lineRule="atLeast"/>
        <w:jc w:val="center"/>
        <w:rPr>
          <w:rFonts w:eastAsia="Times New Roman" w:cs="Arial"/>
          <w:lang w:val="en-GB"/>
        </w:rPr>
      </w:pPr>
      <w:r w:rsidRPr="007F04EF">
        <w:rPr>
          <w:rFonts w:cs="Arial"/>
          <w:noProof/>
          <w:lang w:val="en-GB"/>
        </w:rPr>
        <w:lastRenderedPageBreak/>
        <w:drawing>
          <wp:inline distT="0" distB="0" distL="0" distR="0" wp14:anchorId="33B3E0A0" wp14:editId="2DE71D30">
            <wp:extent cx="4572000" cy="2743200"/>
            <wp:effectExtent l="0" t="0" r="0" b="0"/>
            <wp:docPr id="15" name="Grafikon 15">
              <a:extLst xmlns:a="http://schemas.openxmlformats.org/drawingml/2006/main">
                <a:ext uri="{FF2B5EF4-FFF2-40B4-BE49-F238E27FC236}">
                  <a16:creationId xmlns:a16="http://schemas.microsoft.com/office/drawing/2014/main" id="{B9E1FB44-74BC-5AE2-28BA-A5C47167E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D2ED0" w14:textId="69F1F803" w:rsidR="001163B5" w:rsidRPr="007F04EF" w:rsidRDefault="00830D67" w:rsidP="00C2407F">
      <w:pPr>
        <w:pStyle w:val="Napis"/>
        <w:jc w:val="center"/>
        <w:rPr>
          <w:rFonts w:eastAsia="Times New Roman" w:cs="Arial"/>
          <w:sz w:val="20"/>
          <w:szCs w:val="20"/>
          <w:lang w:val="en-GB"/>
        </w:rPr>
      </w:pPr>
      <w:bookmarkStart w:id="23" w:name="_Toc161658226"/>
      <w:r w:rsidRPr="007F04EF">
        <w:rPr>
          <w:rFonts w:cs="Arial"/>
          <w:sz w:val="20"/>
          <w:szCs w:val="20"/>
          <w:lang w:val="en-GB"/>
        </w:rPr>
        <w:t>Graph</w:t>
      </w:r>
      <w:r w:rsidR="00C2407F" w:rsidRPr="007F04EF">
        <w:rPr>
          <w:rFonts w:cs="Arial"/>
          <w:sz w:val="20"/>
          <w:szCs w:val="20"/>
          <w:lang w:val="en-GB"/>
        </w:rPr>
        <w:t xml:space="preserve"> </w:t>
      </w:r>
      <w:r w:rsidR="00C2407F" w:rsidRPr="007F04EF">
        <w:rPr>
          <w:rFonts w:cs="Arial"/>
          <w:sz w:val="20"/>
          <w:szCs w:val="20"/>
          <w:lang w:val="en-GB"/>
        </w:rPr>
        <w:fldChar w:fldCharType="begin"/>
      </w:r>
      <w:r w:rsidR="00C2407F" w:rsidRPr="007F04EF">
        <w:rPr>
          <w:rFonts w:cs="Arial"/>
          <w:sz w:val="20"/>
          <w:szCs w:val="20"/>
          <w:lang w:val="en-GB"/>
        </w:rPr>
        <w:instrText xml:space="preserve"> SEQ Slika \* ARABIC </w:instrText>
      </w:r>
      <w:r w:rsidR="00C2407F" w:rsidRPr="007F04EF">
        <w:rPr>
          <w:rFonts w:cs="Arial"/>
          <w:sz w:val="20"/>
          <w:szCs w:val="20"/>
          <w:lang w:val="en-GB"/>
        </w:rPr>
        <w:fldChar w:fldCharType="separate"/>
      </w:r>
      <w:r w:rsidR="001A6882" w:rsidRPr="007F04EF">
        <w:rPr>
          <w:rFonts w:cs="Arial"/>
          <w:sz w:val="20"/>
          <w:szCs w:val="20"/>
          <w:lang w:val="en-GB"/>
        </w:rPr>
        <w:t>2</w:t>
      </w:r>
      <w:r w:rsidR="00C2407F" w:rsidRPr="007F04EF">
        <w:rPr>
          <w:rFonts w:cs="Arial"/>
          <w:sz w:val="20"/>
          <w:szCs w:val="20"/>
          <w:lang w:val="en-GB"/>
        </w:rPr>
        <w:fldChar w:fldCharType="end"/>
      </w:r>
      <w:r w:rsidR="00C7488B" w:rsidRPr="007F04EF">
        <w:rPr>
          <w:rFonts w:cs="Arial"/>
          <w:sz w:val="20"/>
          <w:szCs w:val="20"/>
          <w:lang w:val="en-GB"/>
        </w:rPr>
        <w:t xml:space="preserve">: </w:t>
      </w:r>
      <w:r w:rsidRPr="007F04EF">
        <w:rPr>
          <w:rFonts w:cs="Arial"/>
          <w:sz w:val="20"/>
          <w:szCs w:val="20"/>
          <w:lang w:val="en-GB"/>
        </w:rPr>
        <w:t>Harmonised risk indicator</w:t>
      </w:r>
      <w:r w:rsidR="00894CAE" w:rsidRPr="007F04EF">
        <w:rPr>
          <w:rFonts w:cs="Arial"/>
          <w:sz w:val="20"/>
          <w:szCs w:val="20"/>
          <w:lang w:val="en-GB"/>
        </w:rPr>
        <w:t xml:space="preserve"> 2 </w:t>
      </w:r>
      <w:r w:rsidRPr="007F04EF">
        <w:rPr>
          <w:rFonts w:cs="Arial"/>
          <w:sz w:val="20"/>
          <w:szCs w:val="20"/>
          <w:lang w:val="en-GB"/>
        </w:rPr>
        <w:t>movement</w:t>
      </w:r>
      <w:bookmarkEnd w:id="23"/>
    </w:p>
    <w:p w14:paraId="2F4CBC7C" w14:textId="77777777" w:rsidR="00EE3617" w:rsidRPr="007F04EF" w:rsidRDefault="00EE3617" w:rsidP="004935E3">
      <w:pPr>
        <w:rPr>
          <w:lang w:val="en-GB"/>
        </w:rPr>
      </w:pPr>
    </w:p>
    <w:p w14:paraId="7420E808" w14:textId="7F7FB3B4" w:rsidR="00EE3617" w:rsidRPr="007F04EF" w:rsidRDefault="00EE3617" w:rsidP="00EE3617">
      <w:pPr>
        <w:jc w:val="both"/>
        <w:rPr>
          <w:lang w:val="en-GB"/>
        </w:rPr>
      </w:pPr>
      <w:r w:rsidRPr="007F04EF">
        <w:rPr>
          <w:lang w:val="en-GB"/>
        </w:rPr>
        <w:t>I</w:t>
      </w:r>
      <w:r w:rsidR="00830D67" w:rsidRPr="007F04EF">
        <w:rPr>
          <w:lang w:val="en-GB"/>
        </w:rPr>
        <w:t>n the past</w:t>
      </w:r>
      <w:r w:rsidRPr="007F04EF">
        <w:rPr>
          <w:lang w:val="en-GB"/>
        </w:rPr>
        <w:t>, few PPP-emergency use authorisations were granted in the Republic of Slovenia. M</w:t>
      </w:r>
      <w:r w:rsidR="00D84C79" w:rsidRPr="007F04EF">
        <w:rPr>
          <w:lang w:val="en-GB"/>
        </w:rPr>
        <w:t>ore</w:t>
      </w:r>
      <w:r w:rsidRPr="007F04EF">
        <w:rPr>
          <w:lang w:val="en-GB"/>
        </w:rPr>
        <w:t xml:space="preserve"> authorisations were granted more recently. This </w:t>
      </w:r>
      <w:r w:rsidR="00E12B8F" w:rsidRPr="007F04EF">
        <w:rPr>
          <w:lang w:val="en-GB"/>
        </w:rPr>
        <w:t>is why</w:t>
      </w:r>
      <w:r w:rsidRPr="007F04EF">
        <w:rPr>
          <w:lang w:val="en-GB"/>
        </w:rPr>
        <w:t xml:space="preserve"> R</w:t>
      </w:r>
      <w:r w:rsidR="00830D67" w:rsidRPr="007F04EF">
        <w:rPr>
          <w:lang w:val="en-GB"/>
        </w:rPr>
        <w:t xml:space="preserve">isk indicator 2 fluctuated </w:t>
      </w:r>
      <w:r w:rsidR="00E12B8F" w:rsidRPr="007F04EF">
        <w:rPr>
          <w:lang w:val="en-GB"/>
        </w:rPr>
        <w:t>greatly over the past years</w:t>
      </w:r>
      <w:r w:rsidR="00830D67" w:rsidRPr="007F04EF">
        <w:rPr>
          <w:lang w:val="en-GB"/>
        </w:rPr>
        <w:t xml:space="preserve">. </w:t>
      </w:r>
    </w:p>
    <w:p w14:paraId="195490AB" w14:textId="77777777" w:rsidR="00EE3617" w:rsidRPr="007F04EF" w:rsidRDefault="00EE3617" w:rsidP="00EE3617">
      <w:pPr>
        <w:jc w:val="both"/>
        <w:rPr>
          <w:lang w:val="en-GB"/>
        </w:rPr>
      </w:pPr>
    </w:p>
    <w:p w14:paraId="622C0755" w14:textId="65AC7865" w:rsidR="00EE3617" w:rsidRPr="007F04EF" w:rsidRDefault="00EE3617" w:rsidP="00EE3617">
      <w:pPr>
        <w:jc w:val="both"/>
        <w:rPr>
          <w:lang w:val="en-GB"/>
        </w:rPr>
      </w:pPr>
      <w:r w:rsidRPr="007F04EF">
        <w:rPr>
          <w:lang w:val="en-GB"/>
        </w:rPr>
        <w:t xml:space="preserve">As from </w:t>
      </w:r>
      <w:r w:rsidR="00E12B8F" w:rsidRPr="007F04EF">
        <w:rPr>
          <w:lang w:val="en-GB"/>
        </w:rPr>
        <w:t xml:space="preserve">2018, the total number of </w:t>
      </w:r>
      <w:r w:rsidRPr="007F04EF">
        <w:rPr>
          <w:lang w:val="en-GB"/>
        </w:rPr>
        <w:t xml:space="preserve">PPP-emergency use authorisations </w:t>
      </w:r>
      <w:r w:rsidR="00E12B8F" w:rsidRPr="007F04EF">
        <w:rPr>
          <w:lang w:val="en-GB"/>
        </w:rPr>
        <w:t>has</w:t>
      </w:r>
      <w:r w:rsidRPr="007F04EF">
        <w:rPr>
          <w:lang w:val="en-GB"/>
        </w:rPr>
        <w:t xml:space="preserve"> </w:t>
      </w:r>
      <w:r w:rsidR="00E12B8F" w:rsidRPr="007F04EF">
        <w:rPr>
          <w:lang w:val="en-GB"/>
        </w:rPr>
        <w:t>increas</w:t>
      </w:r>
      <w:r w:rsidRPr="007F04EF">
        <w:rPr>
          <w:lang w:val="en-GB"/>
        </w:rPr>
        <w:t>ed</w:t>
      </w:r>
      <w:r w:rsidR="00E12B8F" w:rsidRPr="007F04EF">
        <w:rPr>
          <w:lang w:val="en-GB"/>
        </w:rPr>
        <w:t>, a</w:t>
      </w:r>
      <w:r w:rsidRPr="007F04EF">
        <w:rPr>
          <w:lang w:val="en-GB"/>
        </w:rPr>
        <w:t>long with R</w:t>
      </w:r>
      <w:r w:rsidR="00E12B8F" w:rsidRPr="007F04EF">
        <w:rPr>
          <w:lang w:val="en-GB"/>
        </w:rPr>
        <w:t>isk indicator 2.</w:t>
      </w:r>
      <w:r w:rsidRPr="007F04EF">
        <w:rPr>
          <w:lang w:val="en-GB"/>
        </w:rPr>
        <w:t xml:space="preserve"> </w:t>
      </w:r>
      <w:r w:rsidR="00E12B8F" w:rsidRPr="007F04EF">
        <w:rPr>
          <w:lang w:val="en-GB"/>
        </w:rPr>
        <w:t xml:space="preserve">In 2021, compared to baseline value of 100 from </w:t>
      </w:r>
      <w:r w:rsidRPr="007F04EF">
        <w:rPr>
          <w:lang w:val="en-GB"/>
        </w:rPr>
        <w:t xml:space="preserve">the period </w:t>
      </w:r>
      <w:r w:rsidR="00E12B8F" w:rsidRPr="007F04EF">
        <w:rPr>
          <w:lang w:val="en-GB"/>
        </w:rPr>
        <w:t>2011</w:t>
      </w:r>
      <w:r w:rsidRPr="007F04EF">
        <w:rPr>
          <w:lang w:val="en-GB"/>
        </w:rPr>
        <w:t xml:space="preserve"> – </w:t>
      </w:r>
      <w:r w:rsidR="00E12B8F" w:rsidRPr="007F04EF">
        <w:rPr>
          <w:lang w:val="en-GB"/>
        </w:rPr>
        <w:t>2013, it increased by 105 percent.</w:t>
      </w:r>
    </w:p>
    <w:p w14:paraId="4FB8546B" w14:textId="77777777" w:rsidR="00EE3617" w:rsidRPr="007F04EF" w:rsidRDefault="00EE3617" w:rsidP="00EE3617">
      <w:pPr>
        <w:jc w:val="both"/>
        <w:rPr>
          <w:lang w:val="en-GB"/>
        </w:rPr>
      </w:pPr>
    </w:p>
    <w:p w14:paraId="41C50CCD" w14:textId="6110FA9E" w:rsidR="00E12B8F" w:rsidRPr="007F04EF" w:rsidRDefault="00E12B8F" w:rsidP="00EE3617">
      <w:pPr>
        <w:jc w:val="both"/>
        <w:rPr>
          <w:lang w:val="en-GB"/>
        </w:rPr>
      </w:pPr>
      <w:r w:rsidRPr="007F04EF">
        <w:rPr>
          <w:lang w:val="en-GB"/>
        </w:rPr>
        <w:t xml:space="preserve">However, it should be noted that the PPP volumes from emergency </w:t>
      </w:r>
      <w:r w:rsidR="00AD2901" w:rsidRPr="007F04EF">
        <w:rPr>
          <w:lang w:val="en-GB"/>
        </w:rPr>
        <w:t>authorisations</w:t>
      </w:r>
      <w:r w:rsidRPr="007F04EF">
        <w:rPr>
          <w:lang w:val="en-GB"/>
        </w:rPr>
        <w:t xml:space="preserve"> are included in statistics for calculation of</w:t>
      </w:r>
      <w:r w:rsidR="003A4AC8" w:rsidRPr="007F04EF">
        <w:rPr>
          <w:lang w:val="en-GB"/>
        </w:rPr>
        <w:t xml:space="preserve"> R</w:t>
      </w:r>
      <w:r w:rsidRPr="007F04EF">
        <w:rPr>
          <w:lang w:val="en-GB"/>
        </w:rPr>
        <w:t>isk indicator 1</w:t>
      </w:r>
      <w:r w:rsidR="003A4AC8" w:rsidRPr="007F04EF">
        <w:rPr>
          <w:lang w:val="en-GB"/>
        </w:rPr>
        <w:t xml:space="preserve">, </w:t>
      </w:r>
      <w:r w:rsidRPr="007F04EF">
        <w:rPr>
          <w:lang w:val="en-GB"/>
        </w:rPr>
        <w:t xml:space="preserve">and the number of </w:t>
      </w:r>
      <w:r w:rsidR="00AD2901" w:rsidRPr="007F04EF">
        <w:rPr>
          <w:lang w:val="en-GB"/>
        </w:rPr>
        <w:t>authorisations</w:t>
      </w:r>
      <w:r w:rsidR="0094604E" w:rsidRPr="007F04EF">
        <w:rPr>
          <w:lang w:val="en-GB"/>
        </w:rPr>
        <w:t xml:space="preserve"> as such </w:t>
      </w:r>
      <w:r w:rsidRPr="007F04EF">
        <w:rPr>
          <w:lang w:val="en-GB"/>
        </w:rPr>
        <w:t>does not</w:t>
      </w:r>
      <w:r w:rsidR="0094604E" w:rsidRPr="007F04EF">
        <w:rPr>
          <w:lang w:val="en-GB"/>
        </w:rPr>
        <w:t xml:space="preserve"> necessarily </w:t>
      </w:r>
      <w:r w:rsidRPr="007F04EF">
        <w:rPr>
          <w:lang w:val="en-GB"/>
        </w:rPr>
        <w:t>imply an increased risk.</w:t>
      </w:r>
    </w:p>
    <w:p w14:paraId="2CE294AF" w14:textId="77777777" w:rsidR="00EE3617" w:rsidRPr="007F04EF" w:rsidRDefault="00EE3617" w:rsidP="00EE3617">
      <w:pPr>
        <w:jc w:val="both"/>
        <w:rPr>
          <w:lang w:val="en-GB"/>
        </w:rPr>
      </w:pPr>
    </w:p>
    <w:p w14:paraId="2CE2F5F0" w14:textId="45C0894F" w:rsidR="0094604E" w:rsidRPr="007F04EF" w:rsidRDefault="00E12B8F" w:rsidP="00EE3617">
      <w:pPr>
        <w:jc w:val="both"/>
        <w:rPr>
          <w:lang w:val="en-GB"/>
        </w:rPr>
      </w:pPr>
      <w:r w:rsidRPr="007F04EF">
        <w:rPr>
          <w:lang w:val="en-GB"/>
        </w:rPr>
        <w:t xml:space="preserve">There are several reasons for </w:t>
      </w:r>
      <w:r w:rsidR="0094604E" w:rsidRPr="007F04EF">
        <w:rPr>
          <w:lang w:val="en-GB"/>
        </w:rPr>
        <w:t>an</w:t>
      </w:r>
      <w:r w:rsidRPr="007F04EF">
        <w:rPr>
          <w:lang w:val="en-GB"/>
        </w:rPr>
        <w:t xml:space="preserve"> increase in the number of </w:t>
      </w:r>
      <w:r w:rsidR="0094604E" w:rsidRPr="007F04EF">
        <w:rPr>
          <w:lang w:val="en-GB"/>
        </w:rPr>
        <w:t>PPP-</w:t>
      </w:r>
      <w:r w:rsidR="002935CC" w:rsidRPr="007F04EF">
        <w:rPr>
          <w:lang w:val="en-GB"/>
        </w:rPr>
        <w:t xml:space="preserve">emergency use </w:t>
      </w:r>
      <w:r w:rsidR="00AD2901" w:rsidRPr="007F04EF">
        <w:rPr>
          <w:lang w:val="en-GB"/>
        </w:rPr>
        <w:t>authorisations</w:t>
      </w:r>
      <w:r w:rsidRPr="007F04EF">
        <w:rPr>
          <w:lang w:val="en-GB"/>
        </w:rPr>
        <w:t xml:space="preserve">. </w:t>
      </w:r>
    </w:p>
    <w:p w14:paraId="5330C4B9" w14:textId="77777777" w:rsidR="0094604E" w:rsidRPr="007F04EF" w:rsidRDefault="0094604E" w:rsidP="00EE3617">
      <w:pPr>
        <w:jc w:val="both"/>
        <w:rPr>
          <w:lang w:val="en-GB"/>
        </w:rPr>
      </w:pPr>
    </w:p>
    <w:p w14:paraId="6887175A" w14:textId="24027145" w:rsidR="00551508" w:rsidRPr="007F04EF" w:rsidRDefault="0094604E" w:rsidP="00EE3617">
      <w:pPr>
        <w:jc w:val="both"/>
        <w:rPr>
          <w:lang w:val="en-GB"/>
        </w:rPr>
      </w:pPr>
      <w:r w:rsidRPr="007F04EF">
        <w:rPr>
          <w:lang w:val="en-GB"/>
        </w:rPr>
        <w:t>F</w:t>
      </w:r>
      <w:r w:rsidR="00E12B8F" w:rsidRPr="007F04EF">
        <w:rPr>
          <w:lang w:val="en-GB"/>
        </w:rPr>
        <w:t xml:space="preserve">act is that Slovenia represents a small market, </w:t>
      </w:r>
      <w:r w:rsidR="000E29E9" w:rsidRPr="007F04EF">
        <w:rPr>
          <w:lang w:val="en-GB"/>
        </w:rPr>
        <w:t xml:space="preserve">and that </w:t>
      </w:r>
      <w:r w:rsidR="00E12B8F" w:rsidRPr="007F04EF">
        <w:rPr>
          <w:lang w:val="en-GB"/>
        </w:rPr>
        <w:t>is reflected</w:t>
      </w:r>
      <w:r w:rsidR="000E29E9" w:rsidRPr="007F04EF">
        <w:rPr>
          <w:lang w:val="en-GB"/>
        </w:rPr>
        <w:t xml:space="preserve"> </w:t>
      </w:r>
      <w:r w:rsidR="00E12B8F" w:rsidRPr="007F04EF">
        <w:rPr>
          <w:lang w:val="en-GB"/>
        </w:rPr>
        <w:t xml:space="preserve">in gaps in regular </w:t>
      </w:r>
      <w:r w:rsidR="000E29E9" w:rsidRPr="007F04EF">
        <w:rPr>
          <w:lang w:val="en-GB"/>
        </w:rPr>
        <w:t>PPP-</w:t>
      </w:r>
      <w:r w:rsidR="00AD2901" w:rsidRPr="007F04EF">
        <w:rPr>
          <w:lang w:val="en-GB"/>
        </w:rPr>
        <w:t>authorisations</w:t>
      </w:r>
      <w:r w:rsidR="000E29E9" w:rsidRPr="007F04EF">
        <w:rPr>
          <w:lang w:val="en-GB"/>
        </w:rPr>
        <w:t xml:space="preserve"> </w:t>
      </w:r>
      <w:r w:rsidR="00E12B8F" w:rsidRPr="007F04EF">
        <w:rPr>
          <w:lang w:val="en-GB"/>
        </w:rPr>
        <w:t xml:space="preserve">due to </w:t>
      </w:r>
      <w:r w:rsidR="000E29E9" w:rsidRPr="007F04EF">
        <w:rPr>
          <w:lang w:val="en-GB"/>
        </w:rPr>
        <w:t xml:space="preserve">a </w:t>
      </w:r>
      <w:r w:rsidR="00E12B8F" w:rsidRPr="007F04EF">
        <w:rPr>
          <w:lang w:val="en-GB"/>
        </w:rPr>
        <w:t xml:space="preserve">lack of interest </w:t>
      </w:r>
      <w:r w:rsidR="000E29E9" w:rsidRPr="007F04EF">
        <w:rPr>
          <w:lang w:val="en-GB"/>
        </w:rPr>
        <w:t xml:space="preserve">on the side </w:t>
      </w:r>
      <w:r w:rsidR="00E12B8F" w:rsidRPr="007F04EF">
        <w:rPr>
          <w:lang w:val="en-GB"/>
        </w:rPr>
        <w:t xml:space="preserve">of </w:t>
      </w:r>
      <w:r w:rsidR="00AD2901" w:rsidRPr="007F04EF">
        <w:rPr>
          <w:lang w:val="en-GB"/>
        </w:rPr>
        <w:t>PPP</w:t>
      </w:r>
      <w:r w:rsidR="000E29E9" w:rsidRPr="007F04EF">
        <w:rPr>
          <w:lang w:val="en-GB"/>
        </w:rPr>
        <w:t>-</w:t>
      </w:r>
      <w:r w:rsidR="00AD2901" w:rsidRPr="007F04EF">
        <w:rPr>
          <w:lang w:val="en-GB"/>
        </w:rPr>
        <w:t>authorisation</w:t>
      </w:r>
      <w:r w:rsidR="000E29E9" w:rsidRPr="007F04EF">
        <w:rPr>
          <w:lang w:val="en-GB"/>
        </w:rPr>
        <w:t xml:space="preserve"> applicants. Additionally, there are few </w:t>
      </w:r>
      <w:r w:rsidR="00E12B8F" w:rsidRPr="007F04EF">
        <w:rPr>
          <w:lang w:val="en-GB"/>
        </w:rPr>
        <w:t>new substances in PPP</w:t>
      </w:r>
      <w:r w:rsidR="002935CC" w:rsidRPr="007F04EF">
        <w:rPr>
          <w:lang w:val="en-GB"/>
        </w:rPr>
        <w:t>s</w:t>
      </w:r>
      <w:r w:rsidR="00E12B8F" w:rsidRPr="007F04EF">
        <w:rPr>
          <w:lang w:val="en-GB"/>
        </w:rPr>
        <w:t xml:space="preserve"> approved at EU level</w:t>
      </w:r>
      <w:r w:rsidR="000E29E9" w:rsidRPr="007F04EF">
        <w:rPr>
          <w:lang w:val="en-GB"/>
        </w:rPr>
        <w:t xml:space="preserve">; there apply </w:t>
      </w:r>
      <w:r w:rsidR="00E12B8F" w:rsidRPr="007F04EF">
        <w:rPr>
          <w:lang w:val="en-GB"/>
        </w:rPr>
        <w:t>strict conditions for</w:t>
      </w:r>
      <w:r w:rsidR="000E29E9" w:rsidRPr="007F04EF">
        <w:rPr>
          <w:lang w:val="en-GB"/>
        </w:rPr>
        <w:t xml:space="preserve"> </w:t>
      </w:r>
      <w:r w:rsidR="00E12B8F" w:rsidRPr="007F04EF">
        <w:rPr>
          <w:lang w:val="en-GB"/>
        </w:rPr>
        <w:t>renewal of existing PPP</w:t>
      </w:r>
      <w:r w:rsidR="000E29E9" w:rsidRPr="007F04EF">
        <w:rPr>
          <w:lang w:val="en-GB"/>
        </w:rPr>
        <w:t>-authorisation</w:t>
      </w:r>
      <w:r w:rsidR="002935CC" w:rsidRPr="007F04EF">
        <w:rPr>
          <w:lang w:val="en-GB"/>
        </w:rPr>
        <w:t>s</w:t>
      </w:r>
      <w:r w:rsidR="00E12B8F" w:rsidRPr="007F04EF">
        <w:rPr>
          <w:lang w:val="en-GB"/>
        </w:rPr>
        <w:t xml:space="preserve"> in the EU</w:t>
      </w:r>
      <w:r w:rsidR="00D77386" w:rsidRPr="007F04EF">
        <w:rPr>
          <w:lang w:val="en-GB"/>
        </w:rPr>
        <w:t xml:space="preserve">, so there is a </w:t>
      </w:r>
      <w:r w:rsidR="00E12B8F" w:rsidRPr="007F04EF">
        <w:rPr>
          <w:lang w:val="en-GB"/>
        </w:rPr>
        <w:t xml:space="preserve">reduction </w:t>
      </w:r>
      <w:r w:rsidR="00D77386" w:rsidRPr="007F04EF">
        <w:rPr>
          <w:lang w:val="en-GB"/>
        </w:rPr>
        <w:t xml:space="preserve">in </w:t>
      </w:r>
      <w:r w:rsidR="00E12B8F" w:rsidRPr="007F04EF">
        <w:rPr>
          <w:lang w:val="en-GB"/>
        </w:rPr>
        <w:t>the number</w:t>
      </w:r>
      <w:r w:rsidR="00D77386" w:rsidRPr="007F04EF">
        <w:rPr>
          <w:lang w:val="en-GB"/>
        </w:rPr>
        <w:t>s</w:t>
      </w:r>
      <w:r w:rsidR="00E12B8F" w:rsidRPr="007F04EF">
        <w:rPr>
          <w:lang w:val="en-GB"/>
        </w:rPr>
        <w:t xml:space="preserve"> </w:t>
      </w:r>
      <w:r w:rsidR="00D77386" w:rsidRPr="007F04EF">
        <w:rPr>
          <w:lang w:val="en-GB"/>
        </w:rPr>
        <w:t xml:space="preserve">available </w:t>
      </w:r>
      <w:r w:rsidR="00AD2901" w:rsidRPr="007F04EF">
        <w:rPr>
          <w:lang w:val="en-GB"/>
        </w:rPr>
        <w:t>on the market</w:t>
      </w:r>
      <w:r w:rsidR="00D77386" w:rsidRPr="007F04EF">
        <w:rPr>
          <w:lang w:val="en-GB"/>
        </w:rPr>
        <w:t xml:space="preserve">; there are few </w:t>
      </w:r>
      <w:r w:rsidR="00E12B8F" w:rsidRPr="007F04EF">
        <w:rPr>
          <w:lang w:val="en-GB"/>
        </w:rPr>
        <w:t>effective alternative</w:t>
      </w:r>
      <w:r w:rsidR="00D77386" w:rsidRPr="007F04EF">
        <w:rPr>
          <w:lang w:val="en-GB"/>
        </w:rPr>
        <w:t xml:space="preserve"> </w:t>
      </w:r>
      <w:r w:rsidR="00E12B8F" w:rsidRPr="007F04EF">
        <w:rPr>
          <w:lang w:val="en-GB"/>
        </w:rPr>
        <w:t>non-chemical plant protection</w:t>
      </w:r>
      <w:r w:rsidR="00D77386" w:rsidRPr="007F04EF">
        <w:rPr>
          <w:lang w:val="en-GB"/>
        </w:rPr>
        <w:t xml:space="preserve"> methods; and there is an </w:t>
      </w:r>
      <w:r w:rsidR="00E12B8F" w:rsidRPr="007F04EF">
        <w:rPr>
          <w:lang w:val="en-GB"/>
        </w:rPr>
        <w:t>ever-increasing pressure of harmful organisms</w:t>
      </w:r>
      <w:r w:rsidR="00D77386" w:rsidRPr="007F04EF">
        <w:rPr>
          <w:lang w:val="en-GB"/>
        </w:rPr>
        <w:t>,</w:t>
      </w:r>
      <w:r w:rsidR="00E12B8F" w:rsidRPr="007F04EF">
        <w:rPr>
          <w:lang w:val="en-GB"/>
        </w:rPr>
        <w:t xml:space="preserve"> and </w:t>
      </w:r>
      <w:r w:rsidR="00D77386" w:rsidRPr="007F04EF">
        <w:rPr>
          <w:lang w:val="en-GB"/>
        </w:rPr>
        <w:t xml:space="preserve">of </w:t>
      </w:r>
      <w:r w:rsidR="00E12B8F" w:rsidRPr="007F04EF">
        <w:rPr>
          <w:lang w:val="en-GB"/>
        </w:rPr>
        <w:t>new types of harmful organisms</w:t>
      </w:r>
      <w:r w:rsidR="00D77386" w:rsidRPr="007F04EF">
        <w:rPr>
          <w:lang w:val="en-GB"/>
        </w:rPr>
        <w:t xml:space="preserve">, conditioned by the geographic location of </w:t>
      </w:r>
      <w:r w:rsidR="00E12B8F" w:rsidRPr="007F04EF">
        <w:rPr>
          <w:lang w:val="en-GB"/>
        </w:rPr>
        <w:t>Slovenia</w:t>
      </w:r>
      <w:r w:rsidR="00D77386" w:rsidRPr="007F04EF">
        <w:rPr>
          <w:lang w:val="en-GB"/>
        </w:rPr>
        <w:t xml:space="preserve"> </w:t>
      </w:r>
      <w:r w:rsidR="00E12B8F" w:rsidRPr="007F04EF">
        <w:rPr>
          <w:lang w:val="en-GB"/>
        </w:rPr>
        <w:t>(</w:t>
      </w:r>
      <w:r w:rsidR="00D77386" w:rsidRPr="007F04EF">
        <w:rPr>
          <w:lang w:val="en-GB"/>
        </w:rPr>
        <w:t xml:space="preserve">along </w:t>
      </w:r>
      <w:r w:rsidR="00E12B8F" w:rsidRPr="007F04EF">
        <w:rPr>
          <w:lang w:val="en-GB"/>
        </w:rPr>
        <w:t xml:space="preserve">the </w:t>
      </w:r>
      <w:r w:rsidR="0022763F" w:rsidRPr="007F04EF">
        <w:rPr>
          <w:lang w:val="en-GB"/>
        </w:rPr>
        <w:t xml:space="preserve">Adriatic </w:t>
      </w:r>
      <w:r w:rsidR="00D77386" w:rsidRPr="007F04EF">
        <w:rPr>
          <w:lang w:val="en-GB"/>
        </w:rPr>
        <w:t>S</w:t>
      </w:r>
      <w:r w:rsidR="00E12B8F" w:rsidRPr="007F04EF">
        <w:rPr>
          <w:lang w:val="en-GB"/>
        </w:rPr>
        <w:t>ea</w:t>
      </w:r>
      <w:r w:rsidR="00D77386" w:rsidRPr="007F04EF">
        <w:rPr>
          <w:lang w:val="en-GB"/>
        </w:rPr>
        <w:t xml:space="preserve"> </w:t>
      </w:r>
      <w:r w:rsidR="00E12B8F" w:rsidRPr="007F04EF">
        <w:rPr>
          <w:lang w:val="en-GB"/>
        </w:rPr>
        <w:t>and</w:t>
      </w:r>
      <w:r w:rsidR="00D77386" w:rsidRPr="007F04EF">
        <w:rPr>
          <w:lang w:val="en-GB"/>
        </w:rPr>
        <w:t xml:space="preserve"> neighbouring on </w:t>
      </w:r>
      <w:r w:rsidR="00E12B8F" w:rsidRPr="007F04EF">
        <w:rPr>
          <w:lang w:val="en-GB"/>
        </w:rPr>
        <w:t>southern zone</w:t>
      </w:r>
      <w:r w:rsidR="00D77386" w:rsidRPr="007F04EF">
        <w:rPr>
          <w:lang w:val="en-GB"/>
        </w:rPr>
        <w:t xml:space="preserve"> countries</w:t>
      </w:r>
      <w:r w:rsidR="00E12B8F" w:rsidRPr="007F04EF">
        <w:rPr>
          <w:lang w:val="en-GB"/>
        </w:rPr>
        <w:t>)</w:t>
      </w:r>
      <w:r w:rsidR="00D77386" w:rsidRPr="007F04EF">
        <w:rPr>
          <w:lang w:val="en-GB"/>
        </w:rPr>
        <w:t xml:space="preserve">, in addition to global </w:t>
      </w:r>
      <w:r w:rsidR="00E12B8F" w:rsidRPr="007F04EF">
        <w:rPr>
          <w:lang w:val="en-GB"/>
        </w:rPr>
        <w:t>warming</w:t>
      </w:r>
      <w:r w:rsidR="00D77386" w:rsidRPr="007F04EF">
        <w:rPr>
          <w:lang w:val="en-GB"/>
        </w:rPr>
        <w:t xml:space="preserve"> that is faster </w:t>
      </w:r>
      <w:r w:rsidR="00E12B8F" w:rsidRPr="007F04EF">
        <w:rPr>
          <w:lang w:val="en-GB"/>
        </w:rPr>
        <w:t>in Slovenia</w:t>
      </w:r>
      <w:r w:rsidR="00D77386" w:rsidRPr="007F04EF">
        <w:rPr>
          <w:lang w:val="en-GB"/>
        </w:rPr>
        <w:t xml:space="preserve"> than </w:t>
      </w:r>
      <w:r w:rsidR="00E12B8F" w:rsidRPr="007F04EF">
        <w:rPr>
          <w:lang w:val="en-GB"/>
        </w:rPr>
        <w:t>the world</w:t>
      </w:r>
      <w:r w:rsidR="00D77386" w:rsidRPr="007F04EF">
        <w:rPr>
          <w:lang w:val="en-GB"/>
        </w:rPr>
        <w:t xml:space="preserve"> </w:t>
      </w:r>
      <w:r w:rsidR="00E12B8F" w:rsidRPr="007F04EF">
        <w:rPr>
          <w:lang w:val="en-GB"/>
        </w:rPr>
        <w:t>average.</w:t>
      </w:r>
      <w:r w:rsidR="00D77386" w:rsidRPr="007F04EF">
        <w:rPr>
          <w:lang w:val="en-GB"/>
        </w:rPr>
        <w:t xml:space="preserve"> In the period 1980 – 2021, g</w:t>
      </w:r>
      <w:r w:rsidR="00E12B8F" w:rsidRPr="007F04EF">
        <w:rPr>
          <w:lang w:val="en-GB"/>
        </w:rPr>
        <w:t>lobal air temperature</w:t>
      </w:r>
      <w:r w:rsidR="00D77386" w:rsidRPr="007F04EF">
        <w:rPr>
          <w:lang w:val="en-GB"/>
        </w:rPr>
        <w:t xml:space="preserve"> increased </w:t>
      </w:r>
      <w:r w:rsidR="00E12B8F" w:rsidRPr="007F04EF">
        <w:rPr>
          <w:lang w:val="en-GB"/>
        </w:rPr>
        <w:t>by approximately 0.8 degrees Celsius, and in Slovenia by 2.2 degrees Celsius</w:t>
      </w:r>
      <w:r w:rsidR="00566B7D" w:rsidRPr="007F04EF">
        <w:rPr>
          <w:lang w:val="en-GB"/>
        </w:rPr>
        <w:t>.</w:t>
      </w:r>
      <w:r w:rsidR="00566B7D" w:rsidRPr="007F04EF">
        <w:rPr>
          <w:rStyle w:val="Sprotnaopomba-sklic"/>
          <w:rFonts w:eastAsia="Times New Roman" w:cs="Arial"/>
          <w:lang w:val="en-GB"/>
        </w:rPr>
        <w:footnoteReference w:id="10"/>
      </w:r>
    </w:p>
    <w:p w14:paraId="7C2E097C" w14:textId="77777777" w:rsidR="00EE3617" w:rsidRPr="007F04EF" w:rsidRDefault="00EE3617" w:rsidP="00EE3617">
      <w:pPr>
        <w:jc w:val="both"/>
        <w:rPr>
          <w:lang w:val="en-GB"/>
        </w:rPr>
      </w:pPr>
    </w:p>
    <w:p w14:paraId="4388371B" w14:textId="3D6CC838" w:rsidR="00797EAC" w:rsidRPr="007F04EF" w:rsidRDefault="00E404D9" w:rsidP="00EE3617">
      <w:pPr>
        <w:jc w:val="both"/>
        <w:rPr>
          <w:lang w:val="en-GB"/>
        </w:rPr>
      </w:pPr>
      <w:r w:rsidRPr="007F04EF">
        <w:rPr>
          <w:lang w:val="en-GB"/>
        </w:rPr>
        <w:t xml:space="preserve">In Slovenia, </w:t>
      </w:r>
      <w:r w:rsidR="00D77386" w:rsidRPr="007F04EF">
        <w:rPr>
          <w:lang w:val="en-GB"/>
        </w:rPr>
        <w:t>PPP-e</w:t>
      </w:r>
      <w:r w:rsidR="00797EAC" w:rsidRPr="007F04EF">
        <w:rPr>
          <w:lang w:val="en-GB"/>
        </w:rPr>
        <w:t xml:space="preserve">mergency use </w:t>
      </w:r>
      <w:r w:rsidR="002935CC" w:rsidRPr="007F04EF">
        <w:rPr>
          <w:lang w:val="en-GB"/>
        </w:rPr>
        <w:t>authorisations</w:t>
      </w:r>
      <w:r w:rsidR="00797EAC" w:rsidRPr="007F04EF">
        <w:rPr>
          <w:lang w:val="en-GB"/>
        </w:rPr>
        <w:t xml:space="preserve"> play an important role</w:t>
      </w:r>
      <w:r w:rsidRPr="007F04EF">
        <w:rPr>
          <w:lang w:val="en-GB"/>
        </w:rPr>
        <w:t xml:space="preserve"> also </w:t>
      </w:r>
      <w:r w:rsidR="00797EAC" w:rsidRPr="007F04EF">
        <w:rPr>
          <w:lang w:val="en-GB"/>
        </w:rPr>
        <w:t>in organic farming.</w:t>
      </w:r>
      <w:r w:rsidRPr="007F04EF">
        <w:rPr>
          <w:lang w:val="en-GB"/>
        </w:rPr>
        <w:t xml:space="preserve"> </w:t>
      </w:r>
      <w:r w:rsidR="00797EAC" w:rsidRPr="007F04EF">
        <w:rPr>
          <w:lang w:val="en-GB"/>
        </w:rPr>
        <w:t>In 2022, we</w:t>
      </w:r>
      <w:r w:rsidRPr="007F04EF">
        <w:rPr>
          <w:lang w:val="en-GB"/>
        </w:rPr>
        <w:t xml:space="preserve"> granted </w:t>
      </w:r>
      <w:r w:rsidR="00797EAC" w:rsidRPr="007F04EF">
        <w:rPr>
          <w:lang w:val="en-GB"/>
        </w:rPr>
        <w:t>38</w:t>
      </w:r>
      <w:r w:rsidRPr="007F04EF">
        <w:rPr>
          <w:lang w:val="en-GB"/>
        </w:rPr>
        <w:t xml:space="preserve"> </w:t>
      </w:r>
      <w:r w:rsidR="00797EAC" w:rsidRPr="007F04EF">
        <w:rPr>
          <w:lang w:val="en-GB"/>
        </w:rPr>
        <w:t xml:space="preserve">% of </w:t>
      </w:r>
      <w:r w:rsidRPr="007F04EF">
        <w:rPr>
          <w:lang w:val="en-GB"/>
        </w:rPr>
        <w:t>PPP-</w:t>
      </w:r>
      <w:r w:rsidR="00797EAC" w:rsidRPr="007F04EF">
        <w:rPr>
          <w:lang w:val="en-GB"/>
        </w:rPr>
        <w:t xml:space="preserve">emergency </w:t>
      </w:r>
      <w:r w:rsidR="002935CC" w:rsidRPr="007F04EF">
        <w:rPr>
          <w:lang w:val="en-GB"/>
        </w:rPr>
        <w:t xml:space="preserve">use authorisations </w:t>
      </w:r>
      <w:r w:rsidR="00797EAC" w:rsidRPr="007F04EF">
        <w:rPr>
          <w:lang w:val="en-GB"/>
        </w:rPr>
        <w:t>in organic farming, and 27</w:t>
      </w:r>
      <w:r w:rsidRPr="007F04EF">
        <w:rPr>
          <w:lang w:val="en-GB"/>
        </w:rPr>
        <w:t xml:space="preserve"> </w:t>
      </w:r>
      <w:r w:rsidR="00797EAC" w:rsidRPr="007F04EF">
        <w:rPr>
          <w:lang w:val="en-GB"/>
        </w:rPr>
        <w:t>% in 2021.</w:t>
      </w:r>
    </w:p>
    <w:p w14:paraId="6CE959FB" w14:textId="77777777" w:rsidR="00C46565" w:rsidRPr="007F04EF" w:rsidRDefault="00C46565" w:rsidP="00EE3617">
      <w:pPr>
        <w:jc w:val="both"/>
        <w:rPr>
          <w:lang w:val="en-GB"/>
        </w:rPr>
      </w:pPr>
    </w:p>
    <w:p w14:paraId="2CA80087" w14:textId="77777777" w:rsidR="00C46565" w:rsidRPr="007F04EF" w:rsidRDefault="00C46565" w:rsidP="00EE3617">
      <w:pPr>
        <w:jc w:val="both"/>
        <w:rPr>
          <w:lang w:val="en-GB"/>
        </w:rPr>
      </w:pPr>
    </w:p>
    <w:p w14:paraId="16DC3C77" w14:textId="7ACF0FDB" w:rsidR="00F30CA9" w:rsidRPr="007F04EF" w:rsidRDefault="00AD2901" w:rsidP="007A7FCB">
      <w:pPr>
        <w:pStyle w:val="Naslov3"/>
        <w:rPr>
          <w:lang w:val="en-GB"/>
        </w:rPr>
      </w:pPr>
      <w:bookmarkStart w:id="24" w:name="_Toc172027295"/>
      <w:r w:rsidRPr="007F04EF">
        <w:rPr>
          <w:lang w:val="en-GB"/>
        </w:rPr>
        <w:lastRenderedPageBreak/>
        <w:t>Placing on the market PPP</w:t>
      </w:r>
      <w:r w:rsidR="002935CC" w:rsidRPr="007F04EF">
        <w:rPr>
          <w:lang w:val="en-GB"/>
        </w:rPr>
        <w:t>s</w:t>
      </w:r>
      <w:r w:rsidR="00300595" w:rsidRPr="007F04EF">
        <w:rPr>
          <w:lang w:val="en-GB"/>
        </w:rPr>
        <w:t xml:space="preserve"> </w:t>
      </w:r>
      <w:r w:rsidRPr="007F04EF">
        <w:rPr>
          <w:lang w:val="en-GB"/>
        </w:rPr>
        <w:t xml:space="preserve">containing active substances that are candidates for </w:t>
      </w:r>
      <w:proofErr w:type="gramStart"/>
      <w:r w:rsidR="00975AE1" w:rsidRPr="007F04EF">
        <w:rPr>
          <w:lang w:val="en-GB"/>
        </w:rPr>
        <w:t>substitution</w:t>
      </w:r>
      <w:bookmarkEnd w:id="24"/>
      <w:proofErr w:type="gramEnd"/>
    </w:p>
    <w:p w14:paraId="55F3E38D" w14:textId="77777777" w:rsidR="00EE3617" w:rsidRPr="007F04EF" w:rsidRDefault="00EE3617" w:rsidP="00EE3617">
      <w:pPr>
        <w:rPr>
          <w:lang w:val="en-GB"/>
        </w:rPr>
      </w:pPr>
    </w:p>
    <w:p w14:paraId="3F064979" w14:textId="24B5C71D" w:rsidR="00AD2901" w:rsidRPr="007F04EF" w:rsidRDefault="00AD2901" w:rsidP="00EE3617">
      <w:pPr>
        <w:pStyle w:val="Napis"/>
        <w:jc w:val="both"/>
        <w:rPr>
          <w:i w:val="0"/>
          <w:iCs w:val="0"/>
          <w:color w:val="auto"/>
          <w:sz w:val="22"/>
          <w:szCs w:val="20"/>
          <w:lang w:val="en-GB"/>
        </w:rPr>
      </w:pPr>
      <w:bookmarkStart w:id="25" w:name="_Toc149824893"/>
      <w:bookmarkStart w:id="26" w:name="_Toc149825602"/>
      <w:bookmarkStart w:id="27" w:name="_Toc151116351"/>
      <w:bookmarkStart w:id="28" w:name="_Toc152153146"/>
      <w:r w:rsidRPr="007F04EF">
        <w:rPr>
          <w:i w:val="0"/>
          <w:iCs w:val="0"/>
          <w:color w:val="auto"/>
          <w:sz w:val="22"/>
          <w:szCs w:val="20"/>
          <w:lang w:val="en-GB"/>
        </w:rPr>
        <w:t>The turnover</w:t>
      </w:r>
      <w:r w:rsidR="00E404D9" w:rsidRPr="007F04EF">
        <w:rPr>
          <w:i w:val="0"/>
          <w:iCs w:val="0"/>
          <w:color w:val="auto"/>
          <w:sz w:val="22"/>
          <w:szCs w:val="20"/>
          <w:lang w:val="en-GB"/>
        </w:rPr>
        <w:t xml:space="preserve"> in </w:t>
      </w:r>
      <w:r w:rsidRPr="007F04EF">
        <w:rPr>
          <w:i w:val="0"/>
          <w:iCs w:val="0"/>
          <w:color w:val="auto"/>
          <w:sz w:val="22"/>
          <w:szCs w:val="20"/>
          <w:lang w:val="en-GB"/>
        </w:rPr>
        <w:t>PPP</w:t>
      </w:r>
      <w:r w:rsidR="002935CC" w:rsidRPr="007F04EF">
        <w:rPr>
          <w:i w:val="0"/>
          <w:iCs w:val="0"/>
          <w:color w:val="auto"/>
          <w:sz w:val="22"/>
          <w:szCs w:val="20"/>
          <w:lang w:val="en-GB"/>
        </w:rPr>
        <w:t>s</w:t>
      </w:r>
      <w:r w:rsidRPr="007F04EF">
        <w:rPr>
          <w:i w:val="0"/>
          <w:iCs w:val="0"/>
          <w:color w:val="auto"/>
          <w:sz w:val="22"/>
          <w:szCs w:val="20"/>
          <w:lang w:val="en-GB"/>
        </w:rPr>
        <w:t xml:space="preserve"> containing active substances </w:t>
      </w:r>
      <w:r w:rsidR="00921598" w:rsidRPr="007F04EF">
        <w:rPr>
          <w:i w:val="0"/>
          <w:iCs w:val="0"/>
          <w:color w:val="auto"/>
          <w:sz w:val="22"/>
          <w:szCs w:val="20"/>
          <w:lang w:val="en-GB"/>
        </w:rPr>
        <w:t xml:space="preserve">(AS) </w:t>
      </w:r>
      <w:r w:rsidRPr="007F04EF">
        <w:rPr>
          <w:i w:val="0"/>
          <w:iCs w:val="0"/>
          <w:color w:val="auto"/>
          <w:sz w:val="22"/>
          <w:szCs w:val="20"/>
          <w:lang w:val="en-GB"/>
        </w:rPr>
        <w:t>that are candidates for substitution according to Regulation</w:t>
      </w:r>
      <w:r w:rsidR="00E404D9" w:rsidRPr="007F04EF">
        <w:rPr>
          <w:i w:val="0"/>
          <w:iCs w:val="0"/>
          <w:color w:val="auto"/>
          <w:sz w:val="22"/>
          <w:szCs w:val="20"/>
          <w:lang w:val="en-GB"/>
        </w:rPr>
        <w:t xml:space="preserve"> (</w:t>
      </w:r>
      <w:r w:rsidRPr="007F04EF">
        <w:rPr>
          <w:i w:val="0"/>
          <w:iCs w:val="0"/>
          <w:color w:val="auto"/>
          <w:sz w:val="22"/>
          <w:szCs w:val="20"/>
          <w:lang w:val="en-GB"/>
        </w:rPr>
        <w:t>EC</w:t>
      </w:r>
      <w:r w:rsidR="00E404D9" w:rsidRPr="007F04EF">
        <w:rPr>
          <w:i w:val="0"/>
          <w:iCs w:val="0"/>
          <w:color w:val="auto"/>
          <w:sz w:val="22"/>
          <w:szCs w:val="20"/>
          <w:lang w:val="en-GB"/>
        </w:rPr>
        <w:t xml:space="preserve">) No </w:t>
      </w:r>
      <w:r w:rsidRPr="007F04EF">
        <w:rPr>
          <w:i w:val="0"/>
          <w:iCs w:val="0"/>
          <w:color w:val="auto"/>
          <w:sz w:val="22"/>
          <w:szCs w:val="20"/>
          <w:lang w:val="en-GB"/>
        </w:rPr>
        <w:t xml:space="preserve">1107/2009 fluctuated over the </w:t>
      </w:r>
      <w:r w:rsidR="00E404D9" w:rsidRPr="007F04EF">
        <w:rPr>
          <w:i w:val="0"/>
          <w:iCs w:val="0"/>
          <w:color w:val="auto"/>
          <w:sz w:val="22"/>
          <w:szCs w:val="20"/>
          <w:lang w:val="en-GB"/>
        </w:rPr>
        <w:t>p</w:t>
      </w:r>
      <w:r w:rsidRPr="007F04EF">
        <w:rPr>
          <w:i w:val="0"/>
          <w:iCs w:val="0"/>
          <w:color w:val="auto"/>
          <w:sz w:val="22"/>
          <w:szCs w:val="20"/>
          <w:lang w:val="en-GB"/>
        </w:rPr>
        <w:t xml:space="preserve">ast 5 years and </w:t>
      </w:r>
      <w:r w:rsidR="00E404D9" w:rsidRPr="007F04EF">
        <w:rPr>
          <w:i w:val="0"/>
          <w:iCs w:val="0"/>
          <w:color w:val="auto"/>
          <w:sz w:val="22"/>
          <w:szCs w:val="20"/>
          <w:lang w:val="en-GB"/>
        </w:rPr>
        <w:t>wa</w:t>
      </w:r>
      <w:r w:rsidRPr="007F04EF">
        <w:rPr>
          <w:i w:val="0"/>
          <w:iCs w:val="0"/>
          <w:color w:val="auto"/>
          <w:sz w:val="22"/>
          <w:szCs w:val="20"/>
          <w:lang w:val="en-GB"/>
        </w:rPr>
        <w:t>s lower in 2022</w:t>
      </w:r>
      <w:r w:rsidR="00E404D9" w:rsidRPr="007F04EF">
        <w:rPr>
          <w:i w:val="0"/>
          <w:iCs w:val="0"/>
          <w:color w:val="auto"/>
          <w:sz w:val="22"/>
          <w:szCs w:val="20"/>
          <w:lang w:val="en-GB"/>
        </w:rPr>
        <w:t xml:space="preserve">, as </w:t>
      </w:r>
      <w:r w:rsidRPr="007F04EF">
        <w:rPr>
          <w:i w:val="0"/>
          <w:iCs w:val="0"/>
          <w:color w:val="auto"/>
          <w:sz w:val="22"/>
          <w:szCs w:val="20"/>
          <w:lang w:val="en-GB"/>
        </w:rPr>
        <w:t>compared to previous years. In 2022, the turnover</w:t>
      </w:r>
      <w:r w:rsidR="00E404D9" w:rsidRPr="007F04EF">
        <w:rPr>
          <w:i w:val="0"/>
          <w:iCs w:val="0"/>
          <w:color w:val="auto"/>
          <w:sz w:val="22"/>
          <w:szCs w:val="20"/>
          <w:lang w:val="en-GB"/>
        </w:rPr>
        <w:t xml:space="preserve"> in </w:t>
      </w:r>
      <w:r w:rsidRPr="007F04EF">
        <w:rPr>
          <w:i w:val="0"/>
          <w:iCs w:val="0"/>
          <w:color w:val="auto"/>
          <w:sz w:val="22"/>
          <w:szCs w:val="20"/>
          <w:lang w:val="en-GB"/>
        </w:rPr>
        <w:t xml:space="preserve">these active substances </w:t>
      </w:r>
      <w:r w:rsidR="00E404D9" w:rsidRPr="007F04EF">
        <w:rPr>
          <w:i w:val="0"/>
          <w:iCs w:val="0"/>
          <w:color w:val="auto"/>
          <w:sz w:val="22"/>
          <w:szCs w:val="20"/>
          <w:lang w:val="en-GB"/>
        </w:rPr>
        <w:t xml:space="preserve">amounted to </w:t>
      </w:r>
      <w:r w:rsidRPr="007F04EF">
        <w:rPr>
          <w:i w:val="0"/>
          <w:iCs w:val="0"/>
          <w:color w:val="auto"/>
          <w:sz w:val="22"/>
          <w:szCs w:val="20"/>
          <w:lang w:val="en-GB"/>
        </w:rPr>
        <w:t>9</w:t>
      </w:r>
      <w:r w:rsidR="00E404D9" w:rsidRPr="007F04EF">
        <w:rPr>
          <w:i w:val="0"/>
          <w:iCs w:val="0"/>
          <w:color w:val="auto"/>
          <w:sz w:val="22"/>
          <w:szCs w:val="20"/>
          <w:lang w:val="en-GB"/>
        </w:rPr>
        <w:t xml:space="preserve"> </w:t>
      </w:r>
      <w:r w:rsidRPr="007F04EF">
        <w:rPr>
          <w:i w:val="0"/>
          <w:iCs w:val="0"/>
          <w:color w:val="auto"/>
          <w:sz w:val="22"/>
          <w:szCs w:val="20"/>
          <w:lang w:val="en-GB"/>
        </w:rPr>
        <w:t>% l</w:t>
      </w:r>
      <w:r w:rsidR="00E404D9" w:rsidRPr="007F04EF">
        <w:rPr>
          <w:i w:val="0"/>
          <w:iCs w:val="0"/>
          <w:color w:val="auto"/>
          <w:sz w:val="22"/>
          <w:szCs w:val="20"/>
          <w:lang w:val="en-GB"/>
        </w:rPr>
        <w:t xml:space="preserve">ess </w:t>
      </w:r>
      <w:r w:rsidRPr="007F04EF">
        <w:rPr>
          <w:i w:val="0"/>
          <w:iCs w:val="0"/>
          <w:color w:val="auto"/>
          <w:sz w:val="22"/>
          <w:szCs w:val="20"/>
          <w:lang w:val="en-GB"/>
        </w:rPr>
        <w:t>than the average turnover</w:t>
      </w:r>
      <w:r w:rsidR="00E404D9" w:rsidRPr="007F04EF">
        <w:rPr>
          <w:i w:val="0"/>
          <w:iCs w:val="0"/>
          <w:color w:val="auto"/>
          <w:sz w:val="22"/>
          <w:szCs w:val="20"/>
          <w:lang w:val="en-GB"/>
        </w:rPr>
        <w:t xml:space="preserve"> in the period </w:t>
      </w:r>
      <w:r w:rsidRPr="007F04EF">
        <w:rPr>
          <w:i w:val="0"/>
          <w:iCs w:val="0"/>
          <w:color w:val="auto"/>
          <w:sz w:val="22"/>
          <w:szCs w:val="20"/>
          <w:lang w:val="en-GB"/>
        </w:rPr>
        <w:t>2017</w:t>
      </w:r>
      <w:r w:rsidR="00E404D9" w:rsidRPr="007F04EF">
        <w:rPr>
          <w:i w:val="0"/>
          <w:iCs w:val="0"/>
          <w:color w:val="auto"/>
          <w:sz w:val="22"/>
          <w:szCs w:val="20"/>
          <w:lang w:val="en-GB"/>
        </w:rPr>
        <w:t xml:space="preserve"> – </w:t>
      </w:r>
      <w:r w:rsidRPr="007F04EF">
        <w:rPr>
          <w:i w:val="0"/>
          <w:iCs w:val="0"/>
          <w:color w:val="auto"/>
          <w:sz w:val="22"/>
          <w:szCs w:val="20"/>
          <w:lang w:val="en-GB"/>
        </w:rPr>
        <w:t>2021.</w:t>
      </w:r>
    </w:p>
    <w:p w14:paraId="6998432A" w14:textId="77777777" w:rsidR="00EE3617" w:rsidRPr="007F04EF" w:rsidRDefault="00EE3617" w:rsidP="00EE3617">
      <w:pPr>
        <w:rPr>
          <w:lang w:val="en-GB"/>
        </w:rPr>
      </w:pPr>
    </w:p>
    <w:p w14:paraId="33151BAF" w14:textId="63DB3CA6" w:rsidR="00300595" w:rsidRPr="007F04EF" w:rsidRDefault="00921598" w:rsidP="003F53BA">
      <w:pPr>
        <w:pStyle w:val="Napis"/>
        <w:rPr>
          <w:rFonts w:cs="Arial"/>
          <w:sz w:val="20"/>
          <w:szCs w:val="20"/>
          <w:lang w:val="en-GB"/>
        </w:rPr>
      </w:pPr>
      <w:bookmarkStart w:id="29" w:name="_Toc161657865"/>
      <w:r w:rsidRPr="007F04EF">
        <w:rPr>
          <w:rFonts w:cs="Arial"/>
          <w:sz w:val="20"/>
          <w:szCs w:val="20"/>
          <w:lang w:val="en-GB"/>
        </w:rPr>
        <w:t>Table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3</w:t>
      </w:r>
      <w:r w:rsidR="003F53BA" w:rsidRPr="007F04EF">
        <w:rPr>
          <w:rFonts w:cs="Arial"/>
          <w:sz w:val="20"/>
          <w:szCs w:val="20"/>
          <w:lang w:val="en-GB"/>
        </w:rPr>
        <w:fldChar w:fldCharType="end"/>
      </w:r>
      <w:r w:rsidR="00300595" w:rsidRPr="007F04EF">
        <w:rPr>
          <w:rFonts w:cs="Arial"/>
          <w:sz w:val="20"/>
          <w:szCs w:val="20"/>
          <w:lang w:val="en-GB"/>
        </w:rPr>
        <w:t xml:space="preserve">: </w:t>
      </w:r>
      <w:bookmarkEnd w:id="25"/>
      <w:bookmarkEnd w:id="26"/>
      <w:bookmarkEnd w:id="27"/>
      <w:bookmarkEnd w:id="28"/>
      <w:r w:rsidRPr="007F04EF">
        <w:rPr>
          <w:rFonts w:cs="Arial"/>
          <w:sz w:val="20"/>
          <w:szCs w:val="20"/>
          <w:lang w:val="en-GB"/>
        </w:rPr>
        <w:t xml:space="preserve">Placing on the market active substances – candidates for substitution in </w:t>
      </w:r>
      <w:r w:rsidR="002935CC" w:rsidRPr="007F04EF">
        <w:rPr>
          <w:rFonts w:cs="Arial"/>
          <w:sz w:val="20"/>
          <w:szCs w:val="20"/>
          <w:lang w:val="en-GB"/>
        </w:rPr>
        <w:t>kg.</w:t>
      </w:r>
      <w:bookmarkEnd w:id="29"/>
    </w:p>
    <w:p w14:paraId="19BCE348" w14:textId="77777777" w:rsidR="00EE3617" w:rsidRPr="007F04EF" w:rsidRDefault="00EE3617" w:rsidP="00EE3617">
      <w:pPr>
        <w:rPr>
          <w:lang w:val="en-GB"/>
        </w:rPr>
      </w:pPr>
    </w:p>
    <w:tbl>
      <w:tblPr>
        <w:tblStyle w:val="Tabelamrea"/>
        <w:tblW w:w="9806" w:type="dxa"/>
        <w:tblBorders>
          <w:left w:val="none" w:sz="0" w:space="0" w:color="auto"/>
          <w:right w:val="none" w:sz="0" w:space="0" w:color="auto"/>
          <w:insideV w:val="none" w:sz="0" w:space="0" w:color="auto"/>
        </w:tblBorders>
        <w:tblLook w:val="04A0" w:firstRow="1" w:lastRow="0" w:firstColumn="1" w:lastColumn="0" w:noHBand="0" w:noVBand="1"/>
      </w:tblPr>
      <w:tblGrid>
        <w:gridCol w:w="2324"/>
        <w:gridCol w:w="1247"/>
        <w:gridCol w:w="1247"/>
        <w:gridCol w:w="1247"/>
        <w:gridCol w:w="1247"/>
        <w:gridCol w:w="1247"/>
        <w:gridCol w:w="1247"/>
      </w:tblGrid>
      <w:tr w:rsidR="0080729D" w:rsidRPr="007F04EF" w14:paraId="21F5C6C3" w14:textId="77777777" w:rsidTr="007A7FCB">
        <w:trPr>
          <w:trHeight w:val="290"/>
        </w:trPr>
        <w:tc>
          <w:tcPr>
            <w:tcW w:w="2324" w:type="dxa"/>
            <w:noWrap/>
            <w:hideMark/>
          </w:tcPr>
          <w:p w14:paraId="2128263E" w14:textId="3EB3CF2A" w:rsidR="0080729D" w:rsidRPr="007F04EF" w:rsidRDefault="00921598" w:rsidP="007A7FCB">
            <w:pPr>
              <w:pStyle w:val="Brezrazmikov"/>
              <w:rPr>
                <w:rFonts w:eastAsia="Times New Roman"/>
                <w:lang w:val="en-GB"/>
              </w:rPr>
            </w:pPr>
            <w:r w:rsidRPr="007F04EF">
              <w:rPr>
                <w:rFonts w:eastAsia="Times New Roman"/>
                <w:lang w:val="en-GB"/>
              </w:rPr>
              <w:t>Year</w:t>
            </w:r>
          </w:p>
        </w:tc>
        <w:tc>
          <w:tcPr>
            <w:tcW w:w="1247" w:type="dxa"/>
            <w:noWrap/>
            <w:vAlign w:val="center"/>
            <w:hideMark/>
          </w:tcPr>
          <w:p w14:paraId="1C4FDFB5" w14:textId="77777777" w:rsidR="0080729D" w:rsidRPr="007F04EF" w:rsidRDefault="0080729D" w:rsidP="007A7FCB">
            <w:pPr>
              <w:pStyle w:val="Brezrazmikov"/>
              <w:jc w:val="center"/>
              <w:rPr>
                <w:rFonts w:eastAsia="Times New Roman"/>
                <w:lang w:val="en-GB"/>
              </w:rPr>
            </w:pPr>
            <w:r w:rsidRPr="007F04EF">
              <w:rPr>
                <w:rFonts w:eastAsia="Times New Roman"/>
                <w:lang w:val="en-GB"/>
              </w:rPr>
              <w:t>2017</w:t>
            </w:r>
          </w:p>
        </w:tc>
        <w:tc>
          <w:tcPr>
            <w:tcW w:w="1247" w:type="dxa"/>
            <w:noWrap/>
            <w:vAlign w:val="center"/>
            <w:hideMark/>
          </w:tcPr>
          <w:p w14:paraId="3F45EBA9" w14:textId="77777777" w:rsidR="0080729D" w:rsidRPr="007F04EF" w:rsidRDefault="0080729D" w:rsidP="007A7FCB">
            <w:pPr>
              <w:pStyle w:val="Brezrazmikov"/>
              <w:jc w:val="center"/>
              <w:rPr>
                <w:rFonts w:eastAsia="Times New Roman"/>
                <w:lang w:val="en-GB"/>
              </w:rPr>
            </w:pPr>
            <w:r w:rsidRPr="007F04EF">
              <w:rPr>
                <w:rFonts w:eastAsia="Times New Roman"/>
                <w:lang w:val="en-GB"/>
              </w:rPr>
              <w:t>2018</w:t>
            </w:r>
          </w:p>
        </w:tc>
        <w:tc>
          <w:tcPr>
            <w:tcW w:w="1247" w:type="dxa"/>
            <w:noWrap/>
            <w:vAlign w:val="center"/>
            <w:hideMark/>
          </w:tcPr>
          <w:p w14:paraId="786E821D" w14:textId="77777777" w:rsidR="0080729D" w:rsidRPr="007F04EF" w:rsidRDefault="0080729D" w:rsidP="007A7FCB">
            <w:pPr>
              <w:pStyle w:val="Brezrazmikov"/>
              <w:jc w:val="center"/>
              <w:rPr>
                <w:rFonts w:eastAsia="Times New Roman"/>
                <w:lang w:val="en-GB"/>
              </w:rPr>
            </w:pPr>
            <w:r w:rsidRPr="007F04EF">
              <w:rPr>
                <w:rFonts w:eastAsia="Times New Roman"/>
                <w:lang w:val="en-GB"/>
              </w:rPr>
              <w:t>2019</w:t>
            </w:r>
          </w:p>
        </w:tc>
        <w:tc>
          <w:tcPr>
            <w:tcW w:w="1247" w:type="dxa"/>
            <w:noWrap/>
            <w:vAlign w:val="center"/>
            <w:hideMark/>
          </w:tcPr>
          <w:p w14:paraId="42829CEE" w14:textId="77777777" w:rsidR="0080729D" w:rsidRPr="007F04EF" w:rsidRDefault="0080729D" w:rsidP="007A7FCB">
            <w:pPr>
              <w:pStyle w:val="Brezrazmikov"/>
              <w:jc w:val="center"/>
              <w:rPr>
                <w:rFonts w:eastAsia="Times New Roman"/>
                <w:lang w:val="en-GB"/>
              </w:rPr>
            </w:pPr>
            <w:r w:rsidRPr="007F04EF">
              <w:rPr>
                <w:rFonts w:eastAsia="Times New Roman"/>
                <w:lang w:val="en-GB"/>
              </w:rPr>
              <w:t>2020</w:t>
            </w:r>
          </w:p>
        </w:tc>
        <w:tc>
          <w:tcPr>
            <w:tcW w:w="1247" w:type="dxa"/>
            <w:noWrap/>
            <w:vAlign w:val="center"/>
            <w:hideMark/>
          </w:tcPr>
          <w:p w14:paraId="27CB1CD2" w14:textId="77777777" w:rsidR="0080729D" w:rsidRPr="007F04EF" w:rsidRDefault="0080729D" w:rsidP="007A7FCB">
            <w:pPr>
              <w:pStyle w:val="Brezrazmikov"/>
              <w:jc w:val="center"/>
              <w:rPr>
                <w:rFonts w:eastAsia="Times New Roman"/>
                <w:lang w:val="en-GB"/>
              </w:rPr>
            </w:pPr>
            <w:r w:rsidRPr="007F04EF">
              <w:rPr>
                <w:rFonts w:eastAsia="Times New Roman"/>
                <w:lang w:val="en-GB"/>
              </w:rPr>
              <w:t>2021</w:t>
            </w:r>
          </w:p>
        </w:tc>
        <w:tc>
          <w:tcPr>
            <w:tcW w:w="1247" w:type="dxa"/>
            <w:noWrap/>
            <w:vAlign w:val="center"/>
            <w:hideMark/>
          </w:tcPr>
          <w:p w14:paraId="361D6D45" w14:textId="77777777" w:rsidR="0080729D" w:rsidRPr="007F04EF" w:rsidRDefault="0080729D" w:rsidP="007A7FCB">
            <w:pPr>
              <w:pStyle w:val="Brezrazmikov"/>
              <w:jc w:val="center"/>
              <w:rPr>
                <w:rFonts w:eastAsia="Times New Roman"/>
                <w:lang w:val="en-GB"/>
              </w:rPr>
            </w:pPr>
            <w:r w:rsidRPr="007F04EF">
              <w:rPr>
                <w:rFonts w:eastAsia="Times New Roman"/>
                <w:lang w:val="en-GB"/>
              </w:rPr>
              <w:t>2022</w:t>
            </w:r>
          </w:p>
        </w:tc>
      </w:tr>
      <w:tr w:rsidR="0080729D" w:rsidRPr="007F04EF" w14:paraId="3ECB0EBB" w14:textId="77777777" w:rsidTr="007A7FCB">
        <w:trPr>
          <w:trHeight w:val="290"/>
        </w:trPr>
        <w:tc>
          <w:tcPr>
            <w:tcW w:w="2324" w:type="dxa"/>
            <w:noWrap/>
            <w:hideMark/>
          </w:tcPr>
          <w:p w14:paraId="6CD6E062" w14:textId="046301E4" w:rsidR="0080729D" w:rsidRPr="007F04EF" w:rsidRDefault="00921598" w:rsidP="007A7FCB">
            <w:pPr>
              <w:pStyle w:val="Brezrazmikov"/>
              <w:rPr>
                <w:rFonts w:eastAsia="Times New Roman"/>
                <w:lang w:val="en-GB"/>
              </w:rPr>
            </w:pPr>
            <w:r w:rsidRPr="007F04EF">
              <w:rPr>
                <w:rFonts w:eastAsia="Times New Roman"/>
                <w:lang w:val="en-GB"/>
              </w:rPr>
              <w:t>All candidates for substitution</w:t>
            </w:r>
            <w:r w:rsidR="0080729D" w:rsidRPr="007F04EF">
              <w:rPr>
                <w:rFonts w:eastAsia="Times New Roman"/>
                <w:lang w:val="en-GB"/>
              </w:rPr>
              <w:t xml:space="preserve"> (</w:t>
            </w:r>
            <w:r w:rsidRPr="007F04EF">
              <w:rPr>
                <w:rFonts w:eastAsia="Times New Roman"/>
                <w:lang w:val="en-GB"/>
              </w:rPr>
              <w:t>including Cu</w:t>
            </w:r>
            <w:r w:rsidR="0080729D" w:rsidRPr="007F04EF">
              <w:rPr>
                <w:rFonts w:eastAsia="Times New Roman"/>
                <w:lang w:val="en-GB"/>
              </w:rPr>
              <w:t>)</w:t>
            </w:r>
          </w:p>
        </w:tc>
        <w:tc>
          <w:tcPr>
            <w:tcW w:w="1247" w:type="dxa"/>
            <w:noWrap/>
            <w:vAlign w:val="center"/>
            <w:hideMark/>
          </w:tcPr>
          <w:p w14:paraId="0A6AFCA0" w14:textId="7B345705" w:rsidR="0080729D" w:rsidRPr="007F04EF" w:rsidRDefault="0080729D" w:rsidP="007A7FCB">
            <w:pPr>
              <w:pStyle w:val="Brezrazmikov"/>
              <w:jc w:val="center"/>
              <w:rPr>
                <w:rFonts w:eastAsia="Times New Roman"/>
                <w:lang w:val="en-GB"/>
              </w:rPr>
            </w:pPr>
            <w:r w:rsidRPr="007F04EF">
              <w:rPr>
                <w:rFonts w:eastAsia="Times New Roman"/>
                <w:lang w:val="en-GB"/>
              </w:rPr>
              <w:t>77764</w:t>
            </w:r>
            <w:r w:rsidR="00E404D9" w:rsidRPr="007F04EF">
              <w:rPr>
                <w:rFonts w:eastAsia="Times New Roman"/>
                <w:lang w:val="en-GB"/>
              </w:rPr>
              <w:t>.</w:t>
            </w:r>
            <w:r w:rsidRPr="007F04EF">
              <w:rPr>
                <w:rFonts w:eastAsia="Times New Roman"/>
                <w:lang w:val="en-GB"/>
              </w:rPr>
              <w:t>99</w:t>
            </w:r>
          </w:p>
        </w:tc>
        <w:tc>
          <w:tcPr>
            <w:tcW w:w="1247" w:type="dxa"/>
            <w:noWrap/>
            <w:vAlign w:val="center"/>
            <w:hideMark/>
          </w:tcPr>
          <w:p w14:paraId="456A44B1" w14:textId="43BFD67A" w:rsidR="0080729D" w:rsidRPr="007F04EF" w:rsidRDefault="0080729D" w:rsidP="007A7FCB">
            <w:pPr>
              <w:pStyle w:val="Brezrazmikov"/>
              <w:jc w:val="center"/>
              <w:rPr>
                <w:rFonts w:eastAsia="Times New Roman"/>
                <w:lang w:val="en-GB"/>
              </w:rPr>
            </w:pPr>
            <w:r w:rsidRPr="007F04EF">
              <w:rPr>
                <w:rFonts w:eastAsia="Times New Roman"/>
                <w:lang w:val="en-GB"/>
              </w:rPr>
              <w:t>80367</w:t>
            </w:r>
            <w:r w:rsidR="00E404D9" w:rsidRPr="007F04EF">
              <w:rPr>
                <w:rFonts w:eastAsia="Times New Roman"/>
                <w:lang w:val="en-GB"/>
              </w:rPr>
              <w:t>.</w:t>
            </w:r>
            <w:r w:rsidRPr="007F04EF">
              <w:rPr>
                <w:rFonts w:eastAsia="Times New Roman"/>
                <w:lang w:val="en-GB"/>
              </w:rPr>
              <w:t>03</w:t>
            </w:r>
          </w:p>
        </w:tc>
        <w:tc>
          <w:tcPr>
            <w:tcW w:w="1247" w:type="dxa"/>
            <w:noWrap/>
            <w:vAlign w:val="center"/>
            <w:hideMark/>
          </w:tcPr>
          <w:p w14:paraId="18DA077B" w14:textId="0FD7C468" w:rsidR="0080729D" w:rsidRPr="007F04EF" w:rsidRDefault="0080729D" w:rsidP="007A7FCB">
            <w:pPr>
              <w:pStyle w:val="Brezrazmikov"/>
              <w:jc w:val="center"/>
              <w:rPr>
                <w:rFonts w:eastAsia="Times New Roman"/>
                <w:lang w:val="en-GB"/>
              </w:rPr>
            </w:pPr>
            <w:r w:rsidRPr="007F04EF">
              <w:rPr>
                <w:rFonts w:eastAsia="Times New Roman"/>
                <w:lang w:val="en-GB"/>
              </w:rPr>
              <w:t>78876</w:t>
            </w:r>
            <w:r w:rsidR="00E404D9" w:rsidRPr="007F04EF">
              <w:rPr>
                <w:rFonts w:eastAsia="Times New Roman"/>
                <w:lang w:val="en-GB"/>
              </w:rPr>
              <w:t>.</w:t>
            </w:r>
            <w:r w:rsidRPr="007F04EF">
              <w:rPr>
                <w:rFonts w:eastAsia="Times New Roman"/>
                <w:lang w:val="en-GB"/>
              </w:rPr>
              <w:t>26</w:t>
            </w:r>
          </w:p>
        </w:tc>
        <w:tc>
          <w:tcPr>
            <w:tcW w:w="1247" w:type="dxa"/>
            <w:noWrap/>
            <w:vAlign w:val="center"/>
            <w:hideMark/>
          </w:tcPr>
          <w:p w14:paraId="7F5DB09A" w14:textId="22161EB5" w:rsidR="0080729D" w:rsidRPr="007F04EF" w:rsidRDefault="0080729D" w:rsidP="007A7FCB">
            <w:pPr>
              <w:pStyle w:val="Brezrazmikov"/>
              <w:jc w:val="center"/>
              <w:rPr>
                <w:rFonts w:eastAsia="Times New Roman"/>
                <w:lang w:val="en-GB"/>
              </w:rPr>
            </w:pPr>
            <w:r w:rsidRPr="007F04EF">
              <w:rPr>
                <w:rFonts w:eastAsia="Times New Roman"/>
                <w:lang w:val="en-GB"/>
              </w:rPr>
              <w:t>84761</w:t>
            </w:r>
            <w:r w:rsidR="00E404D9" w:rsidRPr="007F04EF">
              <w:rPr>
                <w:rFonts w:eastAsia="Times New Roman"/>
                <w:lang w:val="en-GB"/>
              </w:rPr>
              <w:t>.</w:t>
            </w:r>
            <w:r w:rsidRPr="007F04EF">
              <w:rPr>
                <w:rFonts w:eastAsia="Times New Roman"/>
                <w:lang w:val="en-GB"/>
              </w:rPr>
              <w:t>44</w:t>
            </w:r>
          </w:p>
        </w:tc>
        <w:tc>
          <w:tcPr>
            <w:tcW w:w="1247" w:type="dxa"/>
            <w:noWrap/>
            <w:vAlign w:val="center"/>
            <w:hideMark/>
          </w:tcPr>
          <w:p w14:paraId="484D099E" w14:textId="5E009FF9" w:rsidR="0080729D" w:rsidRPr="007F04EF" w:rsidRDefault="0080729D" w:rsidP="007A7FCB">
            <w:pPr>
              <w:pStyle w:val="Brezrazmikov"/>
              <w:jc w:val="center"/>
              <w:rPr>
                <w:rFonts w:eastAsia="Times New Roman"/>
                <w:lang w:val="en-GB"/>
              </w:rPr>
            </w:pPr>
            <w:r w:rsidRPr="007F04EF">
              <w:rPr>
                <w:rFonts w:eastAsia="Times New Roman"/>
                <w:lang w:val="en-GB"/>
              </w:rPr>
              <w:t>81705</w:t>
            </w:r>
            <w:r w:rsidR="00E404D9" w:rsidRPr="007F04EF">
              <w:rPr>
                <w:rFonts w:eastAsia="Times New Roman"/>
                <w:lang w:val="en-GB"/>
              </w:rPr>
              <w:t>.</w:t>
            </w:r>
            <w:r w:rsidRPr="007F04EF">
              <w:rPr>
                <w:rFonts w:eastAsia="Times New Roman"/>
                <w:lang w:val="en-GB"/>
              </w:rPr>
              <w:t>13</w:t>
            </w:r>
          </w:p>
        </w:tc>
        <w:tc>
          <w:tcPr>
            <w:tcW w:w="1247" w:type="dxa"/>
            <w:noWrap/>
            <w:vAlign w:val="center"/>
            <w:hideMark/>
          </w:tcPr>
          <w:p w14:paraId="4E76CE09" w14:textId="5330F0FF" w:rsidR="0080729D" w:rsidRPr="007F04EF" w:rsidRDefault="0080729D" w:rsidP="007A7FCB">
            <w:pPr>
              <w:pStyle w:val="Brezrazmikov"/>
              <w:jc w:val="center"/>
              <w:rPr>
                <w:rFonts w:eastAsia="Times New Roman"/>
                <w:lang w:val="en-GB"/>
              </w:rPr>
            </w:pPr>
            <w:r w:rsidRPr="007F04EF">
              <w:rPr>
                <w:rFonts w:eastAsia="Times New Roman"/>
                <w:lang w:val="en-GB"/>
              </w:rPr>
              <w:t>73022</w:t>
            </w:r>
            <w:r w:rsidR="00E404D9" w:rsidRPr="007F04EF">
              <w:rPr>
                <w:rFonts w:eastAsia="Times New Roman"/>
                <w:lang w:val="en-GB"/>
              </w:rPr>
              <w:t>.</w:t>
            </w:r>
            <w:r w:rsidRPr="007F04EF">
              <w:rPr>
                <w:rFonts w:eastAsia="Times New Roman"/>
                <w:lang w:val="en-GB"/>
              </w:rPr>
              <w:t>64</w:t>
            </w:r>
          </w:p>
        </w:tc>
      </w:tr>
      <w:tr w:rsidR="0080729D" w:rsidRPr="007F04EF" w14:paraId="73F71246" w14:textId="77777777" w:rsidTr="007A7FCB">
        <w:trPr>
          <w:trHeight w:val="290"/>
        </w:trPr>
        <w:tc>
          <w:tcPr>
            <w:tcW w:w="2324" w:type="dxa"/>
            <w:noWrap/>
            <w:hideMark/>
          </w:tcPr>
          <w:p w14:paraId="1AE0B6A9" w14:textId="057AEB6D" w:rsidR="0080729D" w:rsidRPr="007F04EF" w:rsidRDefault="00921598" w:rsidP="007A7FCB">
            <w:pPr>
              <w:pStyle w:val="Brezrazmikov"/>
              <w:rPr>
                <w:rFonts w:eastAsia="Times New Roman"/>
                <w:lang w:val="en-GB"/>
              </w:rPr>
            </w:pPr>
            <w:r w:rsidRPr="007F04EF">
              <w:rPr>
                <w:rFonts w:eastAsia="Times New Roman"/>
                <w:lang w:val="en-GB"/>
              </w:rPr>
              <w:t>Copper (Cu)</w:t>
            </w:r>
          </w:p>
          <w:p w14:paraId="0F00DF26" w14:textId="2C8F91FF" w:rsidR="0080729D" w:rsidRPr="007F04EF" w:rsidRDefault="0080729D" w:rsidP="007A7FCB">
            <w:pPr>
              <w:pStyle w:val="Brezrazmikov"/>
              <w:rPr>
                <w:rFonts w:eastAsia="Times New Roman"/>
                <w:lang w:val="en-GB"/>
              </w:rPr>
            </w:pPr>
          </w:p>
        </w:tc>
        <w:tc>
          <w:tcPr>
            <w:tcW w:w="1247" w:type="dxa"/>
            <w:noWrap/>
            <w:vAlign w:val="center"/>
            <w:hideMark/>
          </w:tcPr>
          <w:p w14:paraId="2F7D65A9" w14:textId="150FA9D4" w:rsidR="0080729D" w:rsidRPr="007F04EF" w:rsidRDefault="0080729D" w:rsidP="007A7FCB">
            <w:pPr>
              <w:pStyle w:val="Brezrazmikov"/>
              <w:jc w:val="center"/>
              <w:rPr>
                <w:rFonts w:eastAsia="Times New Roman"/>
                <w:lang w:val="en-GB"/>
              </w:rPr>
            </w:pPr>
            <w:r w:rsidRPr="007F04EF">
              <w:rPr>
                <w:rFonts w:eastAsia="Times New Roman"/>
                <w:lang w:val="en-GB"/>
              </w:rPr>
              <w:t>41212</w:t>
            </w:r>
            <w:r w:rsidR="00E404D9" w:rsidRPr="007F04EF">
              <w:rPr>
                <w:rFonts w:eastAsia="Times New Roman"/>
                <w:lang w:val="en-GB"/>
              </w:rPr>
              <w:t>.</w:t>
            </w:r>
            <w:r w:rsidRPr="007F04EF">
              <w:rPr>
                <w:rFonts w:eastAsia="Times New Roman"/>
                <w:lang w:val="en-GB"/>
              </w:rPr>
              <w:t>77</w:t>
            </w:r>
          </w:p>
        </w:tc>
        <w:tc>
          <w:tcPr>
            <w:tcW w:w="1247" w:type="dxa"/>
            <w:noWrap/>
            <w:vAlign w:val="center"/>
            <w:hideMark/>
          </w:tcPr>
          <w:p w14:paraId="78B1C85A" w14:textId="4760F754" w:rsidR="0080729D" w:rsidRPr="007F04EF" w:rsidRDefault="0080729D" w:rsidP="007A7FCB">
            <w:pPr>
              <w:pStyle w:val="Brezrazmikov"/>
              <w:jc w:val="center"/>
              <w:rPr>
                <w:rFonts w:eastAsia="Times New Roman"/>
                <w:lang w:val="en-GB"/>
              </w:rPr>
            </w:pPr>
            <w:r w:rsidRPr="007F04EF">
              <w:rPr>
                <w:rFonts w:eastAsia="Times New Roman"/>
                <w:lang w:val="en-GB"/>
              </w:rPr>
              <w:t>38959</w:t>
            </w:r>
            <w:r w:rsidR="00E404D9" w:rsidRPr="007F04EF">
              <w:rPr>
                <w:rFonts w:eastAsia="Times New Roman"/>
                <w:lang w:val="en-GB"/>
              </w:rPr>
              <w:t>.</w:t>
            </w:r>
            <w:r w:rsidRPr="007F04EF">
              <w:rPr>
                <w:rFonts w:eastAsia="Times New Roman"/>
                <w:lang w:val="en-GB"/>
              </w:rPr>
              <w:t>6</w:t>
            </w:r>
          </w:p>
        </w:tc>
        <w:tc>
          <w:tcPr>
            <w:tcW w:w="1247" w:type="dxa"/>
            <w:noWrap/>
            <w:vAlign w:val="center"/>
            <w:hideMark/>
          </w:tcPr>
          <w:p w14:paraId="57601B3B" w14:textId="255DE942" w:rsidR="0080729D" w:rsidRPr="007F04EF" w:rsidRDefault="0080729D" w:rsidP="007A7FCB">
            <w:pPr>
              <w:pStyle w:val="Brezrazmikov"/>
              <w:jc w:val="center"/>
              <w:rPr>
                <w:rFonts w:eastAsia="Times New Roman"/>
                <w:lang w:val="en-GB"/>
              </w:rPr>
            </w:pPr>
            <w:r w:rsidRPr="007F04EF">
              <w:rPr>
                <w:rFonts w:eastAsia="Times New Roman"/>
                <w:lang w:val="en-GB"/>
              </w:rPr>
              <w:t>39875</w:t>
            </w:r>
            <w:r w:rsidR="00E404D9" w:rsidRPr="007F04EF">
              <w:rPr>
                <w:rFonts w:eastAsia="Times New Roman"/>
                <w:lang w:val="en-GB"/>
              </w:rPr>
              <w:t>.</w:t>
            </w:r>
            <w:r w:rsidRPr="007F04EF">
              <w:rPr>
                <w:rFonts w:eastAsia="Times New Roman"/>
                <w:lang w:val="en-GB"/>
              </w:rPr>
              <w:t>67</w:t>
            </w:r>
          </w:p>
        </w:tc>
        <w:tc>
          <w:tcPr>
            <w:tcW w:w="1247" w:type="dxa"/>
            <w:noWrap/>
            <w:vAlign w:val="center"/>
            <w:hideMark/>
          </w:tcPr>
          <w:p w14:paraId="1D018E10" w14:textId="51276CAC" w:rsidR="0080729D" w:rsidRPr="007F04EF" w:rsidRDefault="0080729D" w:rsidP="007A7FCB">
            <w:pPr>
              <w:pStyle w:val="Brezrazmikov"/>
              <w:jc w:val="center"/>
              <w:rPr>
                <w:rFonts w:eastAsia="Times New Roman"/>
                <w:lang w:val="en-GB"/>
              </w:rPr>
            </w:pPr>
            <w:r w:rsidRPr="007F04EF">
              <w:rPr>
                <w:rFonts w:eastAsia="Times New Roman"/>
                <w:lang w:val="en-GB"/>
              </w:rPr>
              <w:t>38559</w:t>
            </w:r>
            <w:r w:rsidR="00E404D9" w:rsidRPr="007F04EF">
              <w:rPr>
                <w:rFonts w:eastAsia="Times New Roman"/>
                <w:lang w:val="en-GB"/>
              </w:rPr>
              <w:t>.</w:t>
            </w:r>
            <w:r w:rsidRPr="007F04EF">
              <w:rPr>
                <w:rFonts w:eastAsia="Times New Roman"/>
                <w:lang w:val="en-GB"/>
              </w:rPr>
              <w:t>82</w:t>
            </w:r>
          </w:p>
        </w:tc>
        <w:tc>
          <w:tcPr>
            <w:tcW w:w="1247" w:type="dxa"/>
            <w:noWrap/>
            <w:vAlign w:val="center"/>
            <w:hideMark/>
          </w:tcPr>
          <w:p w14:paraId="5FB3B74E" w14:textId="1B1567E1" w:rsidR="0080729D" w:rsidRPr="007F04EF" w:rsidRDefault="0080729D" w:rsidP="007A7FCB">
            <w:pPr>
              <w:pStyle w:val="Brezrazmikov"/>
              <w:jc w:val="center"/>
              <w:rPr>
                <w:rFonts w:eastAsia="Times New Roman"/>
                <w:lang w:val="en-GB"/>
              </w:rPr>
            </w:pPr>
            <w:r w:rsidRPr="007F04EF">
              <w:rPr>
                <w:rFonts w:eastAsia="Times New Roman"/>
                <w:lang w:val="en-GB"/>
              </w:rPr>
              <w:t>38793</w:t>
            </w:r>
            <w:r w:rsidR="00E404D9" w:rsidRPr="007F04EF">
              <w:rPr>
                <w:rFonts w:eastAsia="Times New Roman"/>
                <w:lang w:val="en-GB"/>
              </w:rPr>
              <w:t>.</w:t>
            </w:r>
            <w:r w:rsidRPr="007F04EF">
              <w:rPr>
                <w:rFonts w:eastAsia="Times New Roman"/>
                <w:lang w:val="en-GB"/>
              </w:rPr>
              <w:t>66</w:t>
            </w:r>
          </w:p>
        </w:tc>
        <w:tc>
          <w:tcPr>
            <w:tcW w:w="1247" w:type="dxa"/>
            <w:noWrap/>
            <w:vAlign w:val="center"/>
            <w:hideMark/>
          </w:tcPr>
          <w:p w14:paraId="0C8C0DB8" w14:textId="48F1CA8C" w:rsidR="0080729D" w:rsidRPr="007F04EF" w:rsidRDefault="0080729D" w:rsidP="007A7FCB">
            <w:pPr>
              <w:pStyle w:val="Brezrazmikov"/>
              <w:jc w:val="center"/>
              <w:rPr>
                <w:rFonts w:eastAsia="Times New Roman"/>
                <w:lang w:val="en-GB"/>
              </w:rPr>
            </w:pPr>
            <w:r w:rsidRPr="007F04EF">
              <w:rPr>
                <w:rFonts w:eastAsia="Times New Roman"/>
                <w:lang w:val="en-GB"/>
              </w:rPr>
              <w:t>37449</w:t>
            </w:r>
            <w:r w:rsidR="00E404D9" w:rsidRPr="007F04EF">
              <w:rPr>
                <w:rFonts w:eastAsia="Times New Roman"/>
                <w:lang w:val="en-GB"/>
              </w:rPr>
              <w:t>.</w:t>
            </w:r>
            <w:r w:rsidRPr="007F04EF">
              <w:rPr>
                <w:rFonts w:eastAsia="Times New Roman"/>
                <w:lang w:val="en-GB"/>
              </w:rPr>
              <w:t>4</w:t>
            </w:r>
          </w:p>
        </w:tc>
      </w:tr>
      <w:tr w:rsidR="0080729D" w:rsidRPr="007F04EF" w14:paraId="0528C470" w14:textId="77777777" w:rsidTr="007A7FCB">
        <w:trPr>
          <w:trHeight w:val="290"/>
        </w:trPr>
        <w:tc>
          <w:tcPr>
            <w:tcW w:w="2324" w:type="dxa"/>
            <w:noWrap/>
            <w:hideMark/>
          </w:tcPr>
          <w:p w14:paraId="6DA69AA6" w14:textId="77A4B780" w:rsidR="0080729D" w:rsidRPr="007F04EF" w:rsidRDefault="0022763F" w:rsidP="007A7FCB">
            <w:pPr>
              <w:pStyle w:val="Brezrazmikov"/>
              <w:rPr>
                <w:rFonts w:eastAsia="Times New Roman"/>
                <w:color w:val="000000"/>
                <w:lang w:val="en-GB"/>
              </w:rPr>
            </w:pPr>
            <w:r w:rsidRPr="007F04EF">
              <w:rPr>
                <w:rFonts w:eastAsia="Times New Roman"/>
                <w:color w:val="000000"/>
                <w:lang w:val="en-GB"/>
              </w:rPr>
              <w:t xml:space="preserve">Cu Percentage </w:t>
            </w:r>
            <w:r w:rsidR="00921598" w:rsidRPr="007F04EF">
              <w:rPr>
                <w:rFonts w:eastAsia="Times New Roman"/>
                <w:color w:val="000000"/>
                <w:lang w:val="en-GB"/>
              </w:rPr>
              <w:t xml:space="preserve"> </w:t>
            </w:r>
          </w:p>
        </w:tc>
        <w:tc>
          <w:tcPr>
            <w:tcW w:w="1247" w:type="dxa"/>
            <w:noWrap/>
            <w:vAlign w:val="center"/>
            <w:hideMark/>
          </w:tcPr>
          <w:p w14:paraId="2B87BA02" w14:textId="7C3EE78A"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53</w:t>
            </w:r>
            <w:r w:rsidR="00E404D9" w:rsidRPr="007F04EF">
              <w:rPr>
                <w:rFonts w:eastAsia="Times New Roman"/>
                <w:color w:val="000000"/>
                <w:lang w:val="en-GB"/>
              </w:rPr>
              <w:t>.</w:t>
            </w:r>
            <w:r w:rsidRPr="007F04EF">
              <w:rPr>
                <w:rFonts w:eastAsia="Times New Roman"/>
                <w:color w:val="000000"/>
                <w:lang w:val="en-GB"/>
              </w:rPr>
              <w:t>00</w:t>
            </w:r>
            <w:r w:rsidR="00F96327" w:rsidRPr="007F04EF">
              <w:rPr>
                <w:rFonts w:eastAsia="Times New Roman"/>
                <w:color w:val="000000"/>
                <w:lang w:val="en-GB"/>
              </w:rPr>
              <w:t xml:space="preserve"> %</w:t>
            </w:r>
          </w:p>
        </w:tc>
        <w:tc>
          <w:tcPr>
            <w:tcW w:w="1247" w:type="dxa"/>
            <w:noWrap/>
            <w:vAlign w:val="center"/>
            <w:hideMark/>
          </w:tcPr>
          <w:p w14:paraId="10F7A131" w14:textId="49D0EFC0"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48</w:t>
            </w:r>
            <w:r w:rsidR="00E404D9" w:rsidRPr="007F04EF">
              <w:rPr>
                <w:rFonts w:eastAsia="Times New Roman"/>
                <w:color w:val="000000"/>
                <w:lang w:val="en-GB"/>
              </w:rPr>
              <w:t>.</w:t>
            </w:r>
            <w:r w:rsidRPr="007F04EF">
              <w:rPr>
                <w:rFonts w:eastAsia="Times New Roman"/>
                <w:color w:val="000000"/>
                <w:lang w:val="en-GB"/>
              </w:rPr>
              <w:t>48</w:t>
            </w:r>
            <w:r w:rsidR="00F96327" w:rsidRPr="007F04EF">
              <w:rPr>
                <w:rFonts w:eastAsia="Times New Roman"/>
                <w:color w:val="000000"/>
                <w:lang w:val="en-GB"/>
              </w:rPr>
              <w:t xml:space="preserve"> %</w:t>
            </w:r>
          </w:p>
        </w:tc>
        <w:tc>
          <w:tcPr>
            <w:tcW w:w="1247" w:type="dxa"/>
            <w:noWrap/>
            <w:vAlign w:val="center"/>
            <w:hideMark/>
          </w:tcPr>
          <w:p w14:paraId="06EF8CB3" w14:textId="307158F7"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50</w:t>
            </w:r>
            <w:r w:rsidR="00E404D9" w:rsidRPr="007F04EF">
              <w:rPr>
                <w:rFonts w:eastAsia="Times New Roman"/>
                <w:color w:val="000000"/>
                <w:lang w:val="en-GB"/>
              </w:rPr>
              <w:t>.</w:t>
            </w:r>
            <w:r w:rsidRPr="007F04EF">
              <w:rPr>
                <w:rFonts w:eastAsia="Times New Roman"/>
                <w:color w:val="000000"/>
                <w:lang w:val="en-GB"/>
              </w:rPr>
              <w:t>55</w:t>
            </w:r>
            <w:r w:rsidR="00F96327" w:rsidRPr="007F04EF">
              <w:rPr>
                <w:rFonts w:eastAsia="Times New Roman"/>
                <w:color w:val="000000"/>
                <w:lang w:val="en-GB"/>
              </w:rPr>
              <w:t xml:space="preserve"> %</w:t>
            </w:r>
          </w:p>
        </w:tc>
        <w:tc>
          <w:tcPr>
            <w:tcW w:w="1247" w:type="dxa"/>
            <w:noWrap/>
            <w:vAlign w:val="center"/>
            <w:hideMark/>
          </w:tcPr>
          <w:p w14:paraId="2EF575D6" w14:textId="3ED9782E"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45</w:t>
            </w:r>
            <w:r w:rsidR="00E404D9" w:rsidRPr="007F04EF">
              <w:rPr>
                <w:rFonts w:eastAsia="Times New Roman"/>
                <w:color w:val="000000"/>
                <w:lang w:val="en-GB"/>
              </w:rPr>
              <w:t>.</w:t>
            </w:r>
            <w:r w:rsidRPr="007F04EF">
              <w:rPr>
                <w:rFonts w:eastAsia="Times New Roman"/>
                <w:color w:val="000000"/>
                <w:lang w:val="en-GB"/>
              </w:rPr>
              <w:t>49</w:t>
            </w:r>
            <w:r w:rsidR="00F96327" w:rsidRPr="007F04EF">
              <w:rPr>
                <w:rFonts w:eastAsia="Times New Roman"/>
                <w:color w:val="000000"/>
                <w:lang w:val="en-GB"/>
              </w:rPr>
              <w:t xml:space="preserve"> %</w:t>
            </w:r>
          </w:p>
        </w:tc>
        <w:tc>
          <w:tcPr>
            <w:tcW w:w="1247" w:type="dxa"/>
            <w:noWrap/>
            <w:vAlign w:val="center"/>
            <w:hideMark/>
          </w:tcPr>
          <w:p w14:paraId="19B65F2C" w14:textId="4F771E45"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47</w:t>
            </w:r>
            <w:r w:rsidR="00E404D9" w:rsidRPr="007F04EF">
              <w:rPr>
                <w:rFonts w:eastAsia="Times New Roman"/>
                <w:color w:val="000000"/>
                <w:lang w:val="en-GB"/>
              </w:rPr>
              <w:t>.</w:t>
            </w:r>
            <w:r w:rsidRPr="007F04EF">
              <w:rPr>
                <w:rFonts w:eastAsia="Times New Roman"/>
                <w:color w:val="000000"/>
                <w:lang w:val="en-GB"/>
              </w:rPr>
              <w:t>48</w:t>
            </w:r>
            <w:r w:rsidR="00F96327" w:rsidRPr="007F04EF">
              <w:rPr>
                <w:rFonts w:eastAsia="Times New Roman"/>
                <w:color w:val="000000"/>
                <w:lang w:val="en-GB"/>
              </w:rPr>
              <w:t xml:space="preserve"> %</w:t>
            </w:r>
          </w:p>
        </w:tc>
        <w:tc>
          <w:tcPr>
            <w:tcW w:w="1247" w:type="dxa"/>
            <w:noWrap/>
            <w:vAlign w:val="center"/>
            <w:hideMark/>
          </w:tcPr>
          <w:p w14:paraId="046DD8F4" w14:textId="1E65318E"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51</w:t>
            </w:r>
            <w:r w:rsidR="00E404D9" w:rsidRPr="007F04EF">
              <w:rPr>
                <w:rFonts w:eastAsia="Times New Roman"/>
                <w:color w:val="000000"/>
                <w:lang w:val="en-GB"/>
              </w:rPr>
              <w:t>.</w:t>
            </w:r>
            <w:r w:rsidRPr="007F04EF">
              <w:rPr>
                <w:rFonts w:eastAsia="Times New Roman"/>
                <w:color w:val="000000"/>
                <w:lang w:val="en-GB"/>
              </w:rPr>
              <w:t>28</w:t>
            </w:r>
            <w:r w:rsidR="00F96327" w:rsidRPr="007F04EF">
              <w:rPr>
                <w:rFonts w:eastAsia="Times New Roman"/>
                <w:color w:val="000000"/>
                <w:lang w:val="en-GB"/>
              </w:rPr>
              <w:t xml:space="preserve"> %</w:t>
            </w:r>
          </w:p>
        </w:tc>
      </w:tr>
    </w:tbl>
    <w:p w14:paraId="7E5E62F7" w14:textId="479EFA71" w:rsidR="00F30CA9" w:rsidRPr="007F04EF" w:rsidRDefault="00F30CA9" w:rsidP="00F31C93">
      <w:pPr>
        <w:spacing w:before="80" w:after="80" w:line="220" w:lineRule="atLeast"/>
        <w:rPr>
          <w:rFonts w:eastAsia="Times New Roman" w:cs="Arial"/>
          <w:lang w:val="en-GB"/>
        </w:rPr>
      </w:pPr>
    </w:p>
    <w:p w14:paraId="4BCBFF41" w14:textId="066C942A" w:rsidR="00F30CA9" w:rsidRPr="007F04EF" w:rsidRDefault="00930684" w:rsidP="00A802CF">
      <w:pPr>
        <w:spacing w:before="80" w:after="80" w:line="220" w:lineRule="atLeast"/>
        <w:jc w:val="center"/>
        <w:rPr>
          <w:rFonts w:eastAsia="Times New Roman" w:cs="Arial"/>
          <w:lang w:val="en-GB"/>
        </w:rPr>
      </w:pPr>
      <w:r w:rsidRPr="007F04EF">
        <w:rPr>
          <w:noProof/>
          <w:lang w:val="en-GB"/>
        </w:rPr>
        <w:drawing>
          <wp:inline distT="0" distB="0" distL="0" distR="0" wp14:anchorId="0E7CB301" wp14:editId="60EBD320">
            <wp:extent cx="4572000" cy="2743200"/>
            <wp:effectExtent l="0" t="0" r="0" b="0"/>
            <wp:docPr id="5" name="Grafikon 5">
              <a:extLst xmlns:a="http://schemas.openxmlformats.org/drawingml/2006/main">
                <a:ext uri="{FF2B5EF4-FFF2-40B4-BE49-F238E27FC236}">
                  <a16:creationId xmlns:a16="http://schemas.microsoft.com/office/drawing/2014/main" id="{8A3FF1BE-4917-2D2A-F8E8-D7C9361E9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FB3E6A" w14:textId="7971540C" w:rsidR="00EC5867" w:rsidRPr="007F04EF" w:rsidRDefault="009C5180" w:rsidP="00C2407F">
      <w:pPr>
        <w:pStyle w:val="Napis"/>
        <w:jc w:val="center"/>
        <w:rPr>
          <w:rFonts w:eastAsia="Times New Roman" w:cs="Arial"/>
          <w:sz w:val="20"/>
          <w:szCs w:val="20"/>
          <w:lang w:val="en-GB"/>
        </w:rPr>
      </w:pPr>
      <w:bookmarkStart w:id="30" w:name="_Toc161658227"/>
      <w:r w:rsidRPr="007F04EF">
        <w:rPr>
          <w:rFonts w:cs="Arial"/>
          <w:sz w:val="20"/>
          <w:szCs w:val="20"/>
          <w:lang w:val="en-GB"/>
        </w:rPr>
        <w:t>Graph</w:t>
      </w:r>
      <w:r w:rsidR="00C2407F" w:rsidRPr="007F04EF">
        <w:rPr>
          <w:rFonts w:cs="Arial"/>
          <w:sz w:val="20"/>
          <w:szCs w:val="20"/>
          <w:lang w:val="en-GB"/>
        </w:rPr>
        <w:t xml:space="preserve"> </w:t>
      </w:r>
      <w:r w:rsidR="00C2407F" w:rsidRPr="007F04EF">
        <w:rPr>
          <w:rFonts w:cs="Arial"/>
          <w:sz w:val="20"/>
          <w:szCs w:val="20"/>
          <w:lang w:val="en-GB"/>
        </w:rPr>
        <w:fldChar w:fldCharType="begin"/>
      </w:r>
      <w:r w:rsidR="00C2407F" w:rsidRPr="007F04EF">
        <w:rPr>
          <w:rFonts w:cs="Arial"/>
          <w:sz w:val="20"/>
          <w:szCs w:val="20"/>
          <w:lang w:val="en-GB"/>
        </w:rPr>
        <w:instrText xml:space="preserve"> SEQ Slika \* ARABIC </w:instrText>
      </w:r>
      <w:r w:rsidR="00C2407F" w:rsidRPr="007F04EF">
        <w:rPr>
          <w:rFonts w:cs="Arial"/>
          <w:sz w:val="20"/>
          <w:szCs w:val="20"/>
          <w:lang w:val="en-GB"/>
        </w:rPr>
        <w:fldChar w:fldCharType="separate"/>
      </w:r>
      <w:r w:rsidR="001A6882" w:rsidRPr="007F04EF">
        <w:rPr>
          <w:rFonts w:cs="Arial"/>
          <w:sz w:val="20"/>
          <w:szCs w:val="20"/>
          <w:lang w:val="en-GB"/>
        </w:rPr>
        <w:t>3</w:t>
      </w:r>
      <w:r w:rsidR="00C2407F" w:rsidRPr="007F04EF">
        <w:rPr>
          <w:rFonts w:cs="Arial"/>
          <w:sz w:val="20"/>
          <w:szCs w:val="20"/>
          <w:lang w:val="en-GB"/>
        </w:rPr>
        <w:fldChar w:fldCharType="end"/>
      </w:r>
      <w:r w:rsidR="00152F66" w:rsidRPr="007F04EF">
        <w:rPr>
          <w:rFonts w:cs="Arial"/>
          <w:sz w:val="20"/>
          <w:szCs w:val="20"/>
          <w:lang w:val="en-GB"/>
        </w:rPr>
        <w:t xml:space="preserve">: </w:t>
      </w:r>
      <w:r w:rsidRPr="007F04EF">
        <w:rPr>
          <w:rFonts w:cs="Arial"/>
          <w:sz w:val="20"/>
          <w:szCs w:val="20"/>
          <w:lang w:val="en-GB"/>
        </w:rPr>
        <w:t>Sale</w:t>
      </w:r>
      <w:r w:rsidR="00D474D8" w:rsidRPr="007F04EF">
        <w:rPr>
          <w:rFonts w:cs="Arial"/>
          <w:sz w:val="20"/>
          <w:szCs w:val="20"/>
          <w:lang w:val="en-GB"/>
        </w:rPr>
        <w:t>s</w:t>
      </w:r>
      <w:r w:rsidRPr="007F04EF">
        <w:rPr>
          <w:rFonts w:cs="Arial"/>
          <w:sz w:val="20"/>
          <w:szCs w:val="20"/>
          <w:lang w:val="en-GB"/>
        </w:rPr>
        <w:t xml:space="preserve"> of candidates for substitution in kg by year</w:t>
      </w:r>
      <w:bookmarkEnd w:id="30"/>
    </w:p>
    <w:p w14:paraId="7B5F7185" w14:textId="77777777" w:rsidR="00432C91" w:rsidRPr="007F04EF" w:rsidRDefault="00432C91" w:rsidP="007A7FCB">
      <w:pPr>
        <w:rPr>
          <w:lang w:val="en-GB"/>
        </w:rPr>
      </w:pPr>
    </w:p>
    <w:p w14:paraId="36A0D975" w14:textId="77777777" w:rsidR="00432C91" w:rsidRPr="007F04EF" w:rsidRDefault="00432C91" w:rsidP="00432C91">
      <w:pPr>
        <w:jc w:val="both"/>
        <w:rPr>
          <w:lang w:val="en-GB"/>
        </w:rPr>
      </w:pPr>
    </w:p>
    <w:p w14:paraId="18B57286" w14:textId="106836B4" w:rsidR="00F50023" w:rsidRPr="007F04EF" w:rsidRDefault="00F50023" w:rsidP="00432C91">
      <w:pPr>
        <w:jc w:val="both"/>
        <w:rPr>
          <w:lang w:val="en-GB"/>
        </w:rPr>
      </w:pPr>
      <w:r w:rsidRPr="007F04EF">
        <w:rPr>
          <w:lang w:val="en-GB"/>
        </w:rPr>
        <w:t>The reason for fluctuati</w:t>
      </w:r>
      <w:r w:rsidR="00F4006F" w:rsidRPr="007F04EF">
        <w:rPr>
          <w:lang w:val="en-GB"/>
        </w:rPr>
        <w:t>o</w:t>
      </w:r>
      <w:r w:rsidRPr="007F04EF">
        <w:rPr>
          <w:lang w:val="en-GB"/>
        </w:rPr>
        <w:t>n</w:t>
      </w:r>
      <w:r w:rsidR="00F4006F" w:rsidRPr="007F04EF">
        <w:rPr>
          <w:lang w:val="en-GB"/>
        </w:rPr>
        <w:t xml:space="preserve"> in </w:t>
      </w:r>
      <w:r w:rsidRPr="007F04EF">
        <w:rPr>
          <w:lang w:val="en-GB"/>
        </w:rPr>
        <w:t>use is the pressure of harmful organisms. The higher the incidence of pests, the more of these PPP</w:t>
      </w:r>
      <w:r w:rsidR="002935CC" w:rsidRPr="007F04EF">
        <w:rPr>
          <w:lang w:val="en-GB"/>
        </w:rPr>
        <w:t>s</w:t>
      </w:r>
      <w:r w:rsidRPr="007F04EF">
        <w:rPr>
          <w:lang w:val="en-GB"/>
        </w:rPr>
        <w:t xml:space="preserve"> are used. Approximately half of the turnover </w:t>
      </w:r>
      <w:r w:rsidR="008F3810" w:rsidRPr="007F04EF">
        <w:rPr>
          <w:lang w:val="en-GB"/>
        </w:rPr>
        <w:t>in</w:t>
      </w:r>
      <w:r w:rsidRPr="007F04EF">
        <w:rPr>
          <w:lang w:val="en-GB"/>
        </w:rPr>
        <w:t xml:space="preserve"> these substances </w:t>
      </w:r>
      <w:r w:rsidR="002935CC" w:rsidRPr="007F04EF">
        <w:rPr>
          <w:lang w:val="en-GB"/>
        </w:rPr>
        <w:t>are</w:t>
      </w:r>
      <w:r w:rsidRPr="007F04EF">
        <w:rPr>
          <w:lang w:val="en-GB"/>
        </w:rPr>
        <w:t xml:space="preserve"> represented by copper products, which are widely used in organic farming. The turnover </w:t>
      </w:r>
      <w:r w:rsidR="00F4006F" w:rsidRPr="007F04EF">
        <w:rPr>
          <w:lang w:val="en-GB"/>
        </w:rPr>
        <w:t xml:space="preserve">in </w:t>
      </w:r>
      <w:r w:rsidRPr="007F04EF">
        <w:rPr>
          <w:lang w:val="en-GB"/>
        </w:rPr>
        <w:t>substances that are candidates for substitution represents a</w:t>
      </w:r>
      <w:r w:rsidR="00F4006F" w:rsidRPr="007F04EF">
        <w:rPr>
          <w:lang w:val="en-GB"/>
        </w:rPr>
        <w:t xml:space="preserve">round </w:t>
      </w:r>
      <w:r w:rsidRPr="007F04EF">
        <w:rPr>
          <w:lang w:val="en-GB"/>
        </w:rPr>
        <w:t>8</w:t>
      </w:r>
      <w:r w:rsidR="00F4006F" w:rsidRPr="007F04EF">
        <w:rPr>
          <w:lang w:val="en-GB"/>
        </w:rPr>
        <w:t xml:space="preserve"> </w:t>
      </w:r>
      <w:r w:rsidRPr="007F04EF">
        <w:rPr>
          <w:lang w:val="en-GB"/>
        </w:rPr>
        <w:t xml:space="preserve">% of the total turnover </w:t>
      </w:r>
      <w:r w:rsidR="00F4006F" w:rsidRPr="007F04EF">
        <w:rPr>
          <w:lang w:val="en-GB"/>
        </w:rPr>
        <w:t xml:space="preserve">in </w:t>
      </w:r>
      <w:r w:rsidRPr="007F04EF">
        <w:rPr>
          <w:lang w:val="en-GB"/>
        </w:rPr>
        <w:t>all active substances in PPP</w:t>
      </w:r>
      <w:r w:rsidR="002935CC" w:rsidRPr="007F04EF">
        <w:rPr>
          <w:lang w:val="en-GB"/>
        </w:rPr>
        <w:t>s</w:t>
      </w:r>
      <w:r w:rsidRPr="007F04EF">
        <w:rPr>
          <w:lang w:val="en-GB"/>
        </w:rPr>
        <w:t>.</w:t>
      </w:r>
    </w:p>
    <w:p w14:paraId="234082C6" w14:textId="712A559C" w:rsidR="00EC5867" w:rsidRPr="007F04EF" w:rsidRDefault="00AA4AAF" w:rsidP="007A7FCB">
      <w:pPr>
        <w:pStyle w:val="Naslov3"/>
        <w:rPr>
          <w:lang w:val="en-GB"/>
        </w:rPr>
      </w:pPr>
      <w:bookmarkStart w:id="31" w:name="_Toc172027296"/>
      <w:bookmarkStart w:id="32" w:name="_Hlk148349659"/>
      <w:r w:rsidRPr="007F04EF">
        <w:rPr>
          <w:lang w:val="en-GB"/>
        </w:rPr>
        <w:t>P</w:t>
      </w:r>
      <w:r w:rsidR="00F50023" w:rsidRPr="007F04EF">
        <w:rPr>
          <w:lang w:val="en-GB"/>
        </w:rPr>
        <w:t xml:space="preserve">lacing on the market </w:t>
      </w:r>
      <w:r w:rsidR="00945EB2" w:rsidRPr="007F04EF">
        <w:rPr>
          <w:lang w:val="en-GB"/>
        </w:rPr>
        <w:t xml:space="preserve">of </w:t>
      </w:r>
      <w:r w:rsidR="00F50023" w:rsidRPr="007F04EF">
        <w:rPr>
          <w:lang w:val="en-GB"/>
        </w:rPr>
        <w:t>PPP</w:t>
      </w:r>
      <w:r w:rsidR="002935CC" w:rsidRPr="007F04EF">
        <w:rPr>
          <w:lang w:val="en-GB"/>
        </w:rPr>
        <w:t>s</w:t>
      </w:r>
      <w:r w:rsidR="00F50023" w:rsidRPr="007F04EF">
        <w:rPr>
          <w:lang w:val="en-GB"/>
        </w:rPr>
        <w:t xml:space="preserve"> containing microorganisms</w:t>
      </w:r>
      <w:bookmarkEnd w:id="31"/>
      <w:r w:rsidR="00B665E7" w:rsidRPr="007F04EF">
        <w:rPr>
          <w:lang w:val="en-GB"/>
        </w:rPr>
        <w:t xml:space="preserve"> </w:t>
      </w:r>
    </w:p>
    <w:p w14:paraId="7D96E5C0" w14:textId="77777777" w:rsidR="00432C91" w:rsidRPr="007F04EF" w:rsidRDefault="00432C91" w:rsidP="007A7FCB">
      <w:pPr>
        <w:rPr>
          <w:lang w:val="en-GB"/>
        </w:rPr>
      </w:pPr>
      <w:bookmarkStart w:id="33" w:name="_Hlk148443786"/>
    </w:p>
    <w:p w14:paraId="7149CA45" w14:textId="7974C76F" w:rsidR="00F50023" w:rsidRPr="007F04EF" w:rsidRDefault="00F50023" w:rsidP="00432C91">
      <w:pPr>
        <w:jc w:val="both"/>
        <w:rPr>
          <w:lang w:val="en-GB"/>
        </w:rPr>
      </w:pPr>
      <w:r w:rsidRPr="007F04EF">
        <w:rPr>
          <w:lang w:val="en-GB"/>
        </w:rPr>
        <w:t xml:space="preserve">Turnover </w:t>
      </w:r>
      <w:r w:rsidR="00432C91" w:rsidRPr="007F04EF">
        <w:rPr>
          <w:lang w:val="en-GB"/>
        </w:rPr>
        <w:t xml:space="preserve">in </w:t>
      </w:r>
      <w:r w:rsidRPr="007F04EF">
        <w:rPr>
          <w:lang w:val="en-GB"/>
        </w:rPr>
        <w:t>substances in PPP</w:t>
      </w:r>
      <w:r w:rsidR="002935CC" w:rsidRPr="007F04EF">
        <w:rPr>
          <w:lang w:val="en-GB"/>
        </w:rPr>
        <w:t>s</w:t>
      </w:r>
      <w:r w:rsidR="00B71B8F" w:rsidRPr="007F04EF">
        <w:rPr>
          <w:lang w:val="en-GB"/>
        </w:rPr>
        <w:t>,</w:t>
      </w:r>
      <w:r w:rsidRPr="007F04EF">
        <w:rPr>
          <w:lang w:val="en-GB"/>
        </w:rPr>
        <w:t xml:space="preserve"> based on microorganisms (hereinafter</w:t>
      </w:r>
      <w:r w:rsidR="00945EB2" w:rsidRPr="007F04EF">
        <w:rPr>
          <w:lang w:val="en-GB"/>
        </w:rPr>
        <w:t xml:space="preserve"> referred to as</w:t>
      </w:r>
      <w:r w:rsidRPr="007F04EF">
        <w:rPr>
          <w:lang w:val="en-GB"/>
        </w:rPr>
        <w:t>: MO</w:t>
      </w:r>
      <w:r w:rsidR="00F4006F" w:rsidRPr="007F04EF">
        <w:rPr>
          <w:lang w:val="en-GB"/>
        </w:rPr>
        <w:t>s</w:t>
      </w:r>
      <w:r w:rsidRPr="007F04EF">
        <w:rPr>
          <w:lang w:val="en-GB"/>
        </w:rPr>
        <w:t>)</w:t>
      </w:r>
      <w:r w:rsidR="00B71B8F" w:rsidRPr="007F04EF">
        <w:rPr>
          <w:lang w:val="en-GB"/>
        </w:rPr>
        <w:t xml:space="preserve">, </w:t>
      </w:r>
      <w:r w:rsidRPr="007F04EF">
        <w:rPr>
          <w:lang w:val="en-GB"/>
        </w:rPr>
        <w:t>is growing slowly</w:t>
      </w:r>
      <w:r w:rsidR="00B71B8F" w:rsidRPr="007F04EF">
        <w:rPr>
          <w:lang w:val="en-GB"/>
        </w:rPr>
        <w:t xml:space="preserve"> but constantly</w:t>
      </w:r>
      <w:r w:rsidRPr="007F04EF">
        <w:rPr>
          <w:lang w:val="en-GB"/>
        </w:rPr>
        <w:t>.</w:t>
      </w:r>
      <w:r w:rsidR="008F3810" w:rsidRPr="007F04EF">
        <w:rPr>
          <w:lang w:val="en-GB"/>
        </w:rPr>
        <w:t xml:space="preserve"> </w:t>
      </w:r>
      <w:r w:rsidR="00B71B8F" w:rsidRPr="007F04EF">
        <w:rPr>
          <w:lang w:val="en-GB"/>
        </w:rPr>
        <w:t>However</w:t>
      </w:r>
      <w:r w:rsidRPr="007F04EF">
        <w:rPr>
          <w:lang w:val="en-GB"/>
        </w:rPr>
        <w:t>,</w:t>
      </w:r>
      <w:r w:rsidR="008F3810" w:rsidRPr="007F04EF">
        <w:rPr>
          <w:lang w:val="en-GB"/>
        </w:rPr>
        <w:t xml:space="preserve"> </w:t>
      </w:r>
      <w:r w:rsidRPr="007F04EF">
        <w:rPr>
          <w:lang w:val="en-GB"/>
        </w:rPr>
        <w:t>it</w:t>
      </w:r>
      <w:r w:rsidR="008F3810" w:rsidRPr="007F04EF">
        <w:rPr>
          <w:lang w:val="en-GB"/>
        </w:rPr>
        <w:t xml:space="preserve"> </w:t>
      </w:r>
      <w:r w:rsidRPr="007F04EF">
        <w:rPr>
          <w:lang w:val="en-GB"/>
        </w:rPr>
        <w:t xml:space="preserve">represents only a small share of the total turnover </w:t>
      </w:r>
      <w:r w:rsidR="00B71B8F" w:rsidRPr="007F04EF">
        <w:rPr>
          <w:lang w:val="en-GB"/>
        </w:rPr>
        <w:t xml:space="preserve">in </w:t>
      </w:r>
      <w:r w:rsidRPr="007F04EF">
        <w:rPr>
          <w:lang w:val="en-GB"/>
        </w:rPr>
        <w:t>PPP</w:t>
      </w:r>
      <w:r w:rsidR="002935CC" w:rsidRPr="007F04EF">
        <w:rPr>
          <w:lang w:val="en-GB"/>
        </w:rPr>
        <w:t>s</w:t>
      </w:r>
      <w:r w:rsidRPr="007F04EF">
        <w:rPr>
          <w:lang w:val="en-GB"/>
        </w:rPr>
        <w:t>. In 2022, it amounted to 0.11</w:t>
      </w:r>
      <w:r w:rsidR="00B71B8F" w:rsidRPr="007F04EF">
        <w:rPr>
          <w:lang w:val="en-GB"/>
        </w:rPr>
        <w:t xml:space="preserve"> </w:t>
      </w:r>
      <w:r w:rsidRPr="007F04EF">
        <w:rPr>
          <w:lang w:val="en-GB"/>
        </w:rPr>
        <w:t>%.</w:t>
      </w:r>
    </w:p>
    <w:p w14:paraId="5CAF48EB" w14:textId="77777777" w:rsidR="00432C91" w:rsidRPr="007F04EF" w:rsidRDefault="00432C91" w:rsidP="00432C91">
      <w:pPr>
        <w:jc w:val="both"/>
        <w:rPr>
          <w:lang w:val="en-GB"/>
        </w:rPr>
      </w:pPr>
    </w:p>
    <w:p w14:paraId="7D3EE77F" w14:textId="16AC6B6D" w:rsidR="00F50023" w:rsidRPr="007F04EF" w:rsidRDefault="00B71B8F" w:rsidP="00432C91">
      <w:pPr>
        <w:jc w:val="both"/>
        <w:rPr>
          <w:lang w:val="en-GB"/>
        </w:rPr>
      </w:pPr>
      <w:r w:rsidRPr="007F04EF">
        <w:rPr>
          <w:lang w:val="en-GB"/>
        </w:rPr>
        <w:t>R</w:t>
      </w:r>
      <w:r w:rsidR="00F50023" w:rsidRPr="007F04EF">
        <w:rPr>
          <w:lang w:val="en-GB"/>
        </w:rPr>
        <w:t>easons for the slow growth</w:t>
      </w:r>
      <w:r w:rsidRPr="007F04EF">
        <w:rPr>
          <w:lang w:val="en-GB"/>
        </w:rPr>
        <w:t xml:space="preserve"> of </w:t>
      </w:r>
      <w:r w:rsidR="00F50023" w:rsidRPr="007F04EF">
        <w:rPr>
          <w:lang w:val="en-GB"/>
        </w:rPr>
        <w:t>the use of MO-based PPP</w:t>
      </w:r>
      <w:r w:rsidR="007C6D7B" w:rsidRPr="007F04EF">
        <w:rPr>
          <w:lang w:val="en-GB"/>
        </w:rPr>
        <w:t>s</w:t>
      </w:r>
      <w:r w:rsidR="00F50023" w:rsidRPr="007F04EF">
        <w:rPr>
          <w:lang w:val="en-GB"/>
        </w:rPr>
        <w:t xml:space="preserve"> may among others</w:t>
      </w:r>
      <w:r w:rsidRPr="007F04EF">
        <w:rPr>
          <w:lang w:val="en-GB"/>
        </w:rPr>
        <w:t xml:space="preserve"> be </w:t>
      </w:r>
      <w:r w:rsidR="00F50023" w:rsidRPr="007F04EF">
        <w:rPr>
          <w:lang w:val="en-GB"/>
        </w:rPr>
        <w:t>the high prices of products, poorer efficacy than chemical PPP</w:t>
      </w:r>
      <w:r w:rsidR="007C6D7B" w:rsidRPr="007F04EF">
        <w:rPr>
          <w:lang w:val="en-GB"/>
        </w:rPr>
        <w:t>s</w:t>
      </w:r>
      <w:r w:rsidRPr="007F04EF">
        <w:rPr>
          <w:lang w:val="en-GB"/>
        </w:rPr>
        <w:t xml:space="preserve">, </w:t>
      </w:r>
      <w:r w:rsidR="00F50023" w:rsidRPr="007F04EF">
        <w:rPr>
          <w:lang w:val="en-GB"/>
        </w:rPr>
        <w:t>and bad experiences from the past.</w:t>
      </w:r>
      <w:r w:rsidR="003002DD" w:rsidRPr="007F04EF">
        <w:rPr>
          <w:lang w:val="en-GB"/>
        </w:rPr>
        <w:t xml:space="preserve"> </w:t>
      </w:r>
      <w:r w:rsidR="00F50023" w:rsidRPr="007F04EF">
        <w:rPr>
          <w:lang w:val="en-GB"/>
        </w:rPr>
        <w:t>The</w:t>
      </w:r>
      <w:r w:rsidR="003002DD" w:rsidRPr="007F04EF">
        <w:rPr>
          <w:lang w:val="en-GB"/>
        </w:rPr>
        <w:t xml:space="preserve"> functioning </w:t>
      </w:r>
      <w:r w:rsidR="00F50023" w:rsidRPr="007F04EF">
        <w:rPr>
          <w:lang w:val="en-GB"/>
        </w:rPr>
        <w:t>mode of</w:t>
      </w:r>
      <w:r w:rsidR="003002DD" w:rsidRPr="007F04EF">
        <w:rPr>
          <w:lang w:val="en-GB"/>
        </w:rPr>
        <w:t xml:space="preserve"> </w:t>
      </w:r>
      <w:r w:rsidR="00F50023" w:rsidRPr="007F04EF">
        <w:rPr>
          <w:lang w:val="en-GB"/>
        </w:rPr>
        <w:t>these PPP</w:t>
      </w:r>
      <w:r w:rsidR="007C6D7B" w:rsidRPr="007F04EF">
        <w:rPr>
          <w:lang w:val="en-GB"/>
        </w:rPr>
        <w:t>s</w:t>
      </w:r>
      <w:r w:rsidR="00F50023" w:rsidRPr="007F04EF">
        <w:rPr>
          <w:lang w:val="en-GB"/>
        </w:rPr>
        <w:t xml:space="preserve"> differ</w:t>
      </w:r>
      <w:r w:rsidR="003002DD" w:rsidRPr="007F04EF">
        <w:rPr>
          <w:lang w:val="en-GB"/>
        </w:rPr>
        <w:t xml:space="preserve">s </w:t>
      </w:r>
      <w:r w:rsidR="00F50023" w:rsidRPr="007F04EF">
        <w:rPr>
          <w:lang w:val="en-GB"/>
        </w:rPr>
        <w:t>from chemical PPP</w:t>
      </w:r>
      <w:r w:rsidR="007C6D7B" w:rsidRPr="007F04EF">
        <w:rPr>
          <w:lang w:val="en-GB"/>
        </w:rPr>
        <w:t>s</w:t>
      </w:r>
      <w:r w:rsidR="00F50023" w:rsidRPr="007F04EF">
        <w:rPr>
          <w:lang w:val="en-GB"/>
        </w:rPr>
        <w:t>, so the user of PPP</w:t>
      </w:r>
      <w:r w:rsidR="007C6D7B" w:rsidRPr="007F04EF">
        <w:rPr>
          <w:lang w:val="en-GB"/>
        </w:rPr>
        <w:t>s</w:t>
      </w:r>
      <w:r w:rsidR="00F50023" w:rsidRPr="007F04EF">
        <w:rPr>
          <w:lang w:val="en-GB"/>
        </w:rPr>
        <w:t xml:space="preserve"> must </w:t>
      </w:r>
      <w:r w:rsidR="00F50023" w:rsidRPr="007F04EF">
        <w:rPr>
          <w:lang w:val="en-GB"/>
        </w:rPr>
        <w:lastRenderedPageBreak/>
        <w:t xml:space="preserve">have more knowledge and </w:t>
      </w:r>
      <w:r w:rsidR="007B3874" w:rsidRPr="007F04EF">
        <w:rPr>
          <w:lang w:val="en-GB"/>
        </w:rPr>
        <w:t xml:space="preserve">must precisely </w:t>
      </w:r>
      <w:r w:rsidR="00F50023" w:rsidRPr="007F04EF">
        <w:rPr>
          <w:lang w:val="en-GB"/>
        </w:rPr>
        <w:t>follow the</w:t>
      </w:r>
      <w:r w:rsidR="00493290" w:rsidRPr="007F04EF">
        <w:rPr>
          <w:lang w:val="en-GB"/>
        </w:rPr>
        <w:t xml:space="preserve"> use </w:t>
      </w:r>
      <w:r w:rsidR="00F50023" w:rsidRPr="007F04EF">
        <w:rPr>
          <w:lang w:val="en-GB"/>
        </w:rPr>
        <w:t>instructions</w:t>
      </w:r>
      <w:r w:rsidR="007B3874" w:rsidRPr="007F04EF">
        <w:rPr>
          <w:lang w:val="en-GB"/>
        </w:rPr>
        <w:t>.</w:t>
      </w:r>
      <w:r w:rsidR="00493290" w:rsidRPr="007F04EF">
        <w:rPr>
          <w:lang w:val="en-GB"/>
        </w:rPr>
        <w:t xml:space="preserve"> </w:t>
      </w:r>
      <w:r w:rsidR="00F50023" w:rsidRPr="007F04EF">
        <w:rPr>
          <w:lang w:val="en-GB"/>
        </w:rPr>
        <w:t>All these are reasons for user</w:t>
      </w:r>
      <w:r w:rsidRPr="007F04EF">
        <w:rPr>
          <w:lang w:val="en-GB"/>
        </w:rPr>
        <w:t xml:space="preserve"> </w:t>
      </w:r>
      <w:r w:rsidR="00F50023" w:rsidRPr="007F04EF">
        <w:rPr>
          <w:lang w:val="en-GB"/>
        </w:rPr>
        <w:t>distrust in the effic</w:t>
      </w:r>
      <w:r w:rsidRPr="007F04EF">
        <w:rPr>
          <w:lang w:val="en-GB"/>
        </w:rPr>
        <w:t xml:space="preserve">acy </w:t>
      </w:r>
      <w:r w:rsidR="00F50023" w:rsidRPr="007F04EF">
        <w:rPr>
          <w:lang w:val="en-GB"/>
        </w:rPr>
        <w:t>of such PPP</w:t>
      </w:r>
      <w:r w:rsidR="007C6D7B" w:rsidRPr="007F04EF">
        <w:rPr>
          <w:lang w:val="en-GB"/>
        </w:rPr>
        <w:t>s</w:t>
      </w:r>
      <w:r w:rsidR="00F50023" w:rsidRPr="007F04EF">
        <w:rPr>
          <w:lang w:val="en-GB"/>
        </w:rPr>
        <w:t>.</w:t>
      </w:r>
    </w:p>
    <w:p w14:paraId="3CE21F93" w14:textId="77777777" w:rsidR="00432C91" w:rsidRPr="007F04EF" w:rsidRDefault="00432C91" w:rsidP="00432C91">
      <w:pPr>
        <w:jc w:val="both"/>
        <w:rPr>
          <w:lang w:val="en-GB"/>
        </w:rPr>
      </w:pPr>
    </w:p>
    <w:p w14:paraId="192C11BD" w14:textId="06720F3B" w:rsidR="00F50023" w:rsidRPr="007F04EF" w:rsidRDefault="00B71B8F" w:rsidP="00432C91">
      <w:pPr>
        <w:jc w:val="both"/>
        <w:rPr>
          <w:lang w:val="en-GB"/>
        </w:rPr>
      </w:pPr>
      <w:r w:rsidRPr="007F04EF">
        <w:rPr>
          <w:lang w:val="en-GB"/>
        </w:rPr>
        <w:t>PPP-a</w:t>
      </w:r>
      <w:r w:rsidR="00331354" w:rsidRPr="007F04EF">
        <w:rPr>
          <w:lang w:val="en-GB"/>
        </w:rPr>
        <w:t>uthorisation holders or PPP</w:t>
      </w:r>
      <w:r w:rsidRPr="007F04EF">
        <w:rPr>
          <w:lang w:val="en-GB"/>
        </w:rPr>
        <w:t>-</w:t>
      </w:r>
      <w:r w:rsidR="00331354" w:rsidRPr="007F04EF">
        <w:rPr>
          <w:lang w:val="en-GB"/>
        </w:rPr>
        <w:t xml:space="preserve">distributors in Slovenia have not been trying to expand the supply of </w:t>
      </w:r>
      <w:r w:rsidRPr="007F04EF">
        <w:rPr>
          <w:lang w:val="en-GB"/>
        </w:rPr>
        <w:t xml:space="preserve">MO-based </w:t>
      </w:r>
      <w:r w:rsidR="00331354" w:rsidRPr="007F04EF">
        <w:rPr>
          <w:lang w:val="en-GB"/>
        </w:rPr>
        <w:t>PPP</w:t>
      </w:r>
      <w:r w:rsidR="007C6D7B" w:rsidRPr="007F04EF">
        <w:rPr>
          <w:lang w:val="en-GB"/>
        </w:rPr>
        <w:t>s</w:t>
      </w:r>
      <w:r w:rsidR="00331354" w:rsidRPr="007F04EF">
        <w:rPr>
          <w:lang w:val="en-GB"/>
        </w:rPr>
        <w:t>,</w:t>
      </w:r>
      <w:r w:rsidRPr="007F04EF">
        <w:rPr>
          <w:lang w:val="en-GB"/>
        </w:rPr>
        <w:t xml:space="preserve"> </w:t>
      </w:r>
      <w:r w:rsidR="00331354" w:rsidRPr="007F04EF">
        <w:rPr>
          <w:lang w:val="en-GB"/>
        </w:rPr>
        <w:t xml:space="preserve">mostly </w:t>
      </w:r>
      <w:r w:rsidRPr="007F04EF">
        <w:rPr>
          <w:lang w:val="en-GB"/>
        </w:rPr>
        <w:t xml:space="preserve">because of </w:t>
      </w:r>
      <w:r w:rsidR="007B3874" w:rsidRPr="007F04EF">
        <w:rPr>
          <w:lang w:val="en-GB"/>
        </w:rPr>
        <w:t>Slovenia</w:t>
      </w:r>
      <w:r w:rsidRPr="007F04EF">
        <w:rPr>
          <w:lang w:val="en-GB"/>
        </w:rPr>
        <w:t xml:space="preserve">’s small </w:t>
      </w:r>
      <w:r w:rsidR="00331354" w:rsidRPr="007F04EF">
        <w:rPr>
          <w:lang w:val="en-GB"/>
        </w:rPr>
        <w:t xml:space="preserve">market. </w:t>
      </w:r>
      <w:r w:rsidRPr="007F04EF">
        <w:rPr>
          <w:lang w:val="en-GB"/>
        </w:rPr>
        <w:t>AFSVSPP has f</w:t>
      </w:r>
      <w:r w:rsidR="00331354" w:rsidRPr="007F04EF">
        <w:rPr>
          <w:lang w:val="en-GB"/>
        </w:rPr>
        <w:t>or several years</w:t>
      </w:r>
      <w:r w:rsidRPr="007F04EF">
        <w:rPr>
          <w:lang w:val="en-GB"/>
        </w:rPr>
        <w:t xml:space="preserve"> </w:t>
      </w:r>
      <w:r w:rsidR="00331354" w:rsidRPr="007F04EF">
        <w:rPr>
          <w:lang w:val="en-GB"/>
        </w:rPr>
        <w:t>been trying to stimulate distributors to expand the supply, including by exempting them from paying the PPP</w:t>
      </w:r>
      <w:r w:rsidRPr="007F04EF">
        <w:rPr>
          <w:lang w:val="en-GB"/>
        </w:rPr>
        <w:t>-</w:t>
      </w:r>
      <w:r w:rsidR="00331354" w:rsidRPr="007F04EF">
        <w:rPr>
          <w:lang w:val="en-GB"/>
        </w:rPr>
        <w:t xml:space="preserve">authorisation fee, when Slovenia is not a reporting country for the </w:t>
      </w:r>
      <w:r w:rsidR="00025F0C">
        <w:rPr>
          <w:lang w:val="en-GB"/>
        </w:rPr>
        <w:t>central</w:t>
      </w:r>
      <w:r w:rsidR="00331354" w:rsidRPr="007F04EF">
        <w:rPr>
          <w:lang w:val="en-GB"/>
        </w:rPr>
        <w:t xml:space="preserve"> zone (B zone), but with limited success. Because of the small turnover, producers are not re</w:t>
      </w:r>
      <w:r w:rsidRPr="007F04EF">
        <w:rPr>
          <w:lang w:val="en-GB"/>
        </w:rPr>
        <w:t>compensate</w:t>
      </w:r>
      <w:r w:rsidR="00331354" w:rsidRPr="007F04EF">
        <w:rPr>
          <w:lang w:val="en-GB"/>
        </w:rPr>
        <w:t>d for investing in the market.</w:t>
      </w:r>
    </w:p>
    <w:p w14:paraId="2A0BE4D3" w14:textId="77777777" w:rsidR="00432C91" w:rsidRPr="007F04EF" w:rsidRDefault="00432C91" w:rsidP="007A7FCB">
      <w:pPr>
        <w:rPr>
          <w:lang w:val="en-GB"/>
        </w:rPr>
      </w:pPr>
    </w:p>
    <w:p w14:paraId="3F4EAC21" w14:textId="5E1FD286" w:rsidR="00BC4B30" w:rsidRPr="007F04EF" w:rsidRDefault="00D30EBA" w:rsidP="003F53BA">
      <w:pPr>
        <w:pStyle w:val="Napis"/>
        <w:rPr>
          <w:rFonts w:cs="Arial"/>
          <w:sz w:val="20"/>
          <w:szCs w:val="20"/>
          <w:lang w:val="en-GB"/>
        </w:rPr>
      </w:pPr>
      <w:bookmarkStart w:id="34" w:name="_Toc149824894"/>
      <w:bookmarkStart w:id="35" w:name="_Toc149825603"/>
      <w:bookmarkStart w:id="36" w:name="_Toc151116352"/>
      <w:bookmarkStart w:id="37" w:name="_Toc152153147"/>
      <w:bookmarkStart w:id="38" w:name="_Toc161657866"/>
      <w:bookmarkEnd w:id="33"/>
      <w:r w:rsidRPr="007F04EF">
        <w:rPr>
          <w:rFonts w:cs="Arial"/>
          <w:sz w:val="20"/>
          <w:szCs w:val="20"/>
          <w:lang w:val="en-GB"/>
        </w:rPr>
        <w:t>T</w:t>
      </w:r>
      <w:r w:rsidR="003F53BA" w:rsidRPr="007F04EF">
        <w:rPr>
          <w:rFonts w:cs="Arial"/>
          <w:sz w:val="20"/>
          <w:szCs w:val="20"/>
          <w:lang w:val="en-GB"/>
        </w:rPr>
        <w:t>a</w:t>
      </w:r>
      <w:r w:rsidRPr="007F04EF">
        <w:rPr>
          <w:rFonts w:cs="Arial"/>
          <w:sz w:val="20"/>
          <w:szCs w:val="20"/>
          <w:lang w:val="en-GB"/>
        </w:rPr>
        <w:t>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4</w:t>
      </w:r>
      <w:r w:rsidR="003F53BA" w:rsidRPr="007F04EF">
        <w:rPr>
          <w:rFonts w:cs="Arial"/>
          <w:sz w:val="20"/>
          <w:szCs w:val="20"/>
          <w:lang w:val="en-GB"/>
        </w:rPr>
        <w:fldChar w:fldCharType="end"/>
      </w:r>
      <w:r w:rsidR="006E1F2E" w:rsidRPr="007F04EF">
        <w:rPr>
          <w:rFonts w:cs="Arial"/>
          <w:sz w:val="20"/>
          <w:szCs w:val="20"/>
          <w:lang w:val="en-GB"/>
        </w:rPr>
        <w:t xml:space="preserve">: </w:t>
      </w:r>
      <w:bookmarkEnd w:id="34"/>
      <w:bookmarkEnd w:id="35"/>
      <w:bookmarkEnd w:id="36"/>
      <w:bookmarkEnd w:id="37"/>
      <w:r w:rsidRPr="007F04EF">
        <w:rPr>
          <w:rFonts w:cs="Arial"/>
          <w:sz w:val="20"/>
          <w:szCs w:val="20"/>
          <w:lang w:val="en-GB"/>
        </w:rPr>
        <w:t>Placing on the market PPP</w:t>
      </w:r>
      <w:r w:rsidR="007C6D7B" w:rsidRPr="007F04EF">
        <w:rPr>
          <w:rFonts w:cs="Arial"/>
          <w:sz w:val="20"/>
          <w:szCs w:val="20"/>
          <w:lang w:val="en-GB"/>
        </w:rPr>
        <w:t>s</w:t>
      </w:r>
      <w:r w:rsidRPr="007F04EF">
        <w:rPr>
          <w:rFonts w:cs="Arial"/>
          <w:sz w:val="20"/>
          <w:szCs w:val="20"/>
          <w:lang w:val="en-GB"/>
        </w:rPr>
        <w:t xml:space="preserve"> containing MO</w:t>
      </w:r>
      <w:r w:rsidR="00872F4A" w:rsidRPr="007F04EF">
        <w:rPr>
          <w:rFonts w:cs="Arial"/>
          <w:sz w:val="20"/>
          <w:szCs w:val="20"/>
          <w:lang w:val="en-GB"/>
        </w:rPr>
        <w:t>s</w:t>
      </w:r>
      <w:r w:rsidRPr="007F04EF">
        <w:rPr>
          <w:rFonts w:cs="Arial"/>
          <w:sz w:val="20"/>
          <w:szCs w:val="20"/>
          <w:lang w:val="en-GB"/>
        </w:rPr>
        <w:t xml:space="preserve"> in kg of AS</w:t>
      </w:r>
      <w:bookmarkEnd w:id="38"/>
      <w:r w:rsidR="0027315A" w:rsidRPr="007F04EF">
        <w:rPr>
          <w:rStyle w:val="Sprotnaopomba-sklic"/>
          <w:rFonts w:cs="Arial"/>
          <w:sz w:val="20"/>
          <w:szCs w:val="20"/>
          <w:lang w:val="en-GB"/>
        </w:rPr>
        <w:footnoteReference w:id="11"/>
      </w:r>
    </w:p>
    <w:p w14:paraId="00847381" w14:textId="77777777" w:rsidR="00432C91" w:rsidRPr="007F04EF" w:rsidRDefault="00432C91" w:rsidP="00432C91">
      <w:pPr>
        <w:rPr>
          <w:lang w:val="en-GB"/>
        </w:rPr>
      </w:pP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548"/>
        <w:gridCol w:w="901"/>
        <w:gridCol w:w="901"/>
        <w:gridCol w:w="901"/>
        <w:gridCol w:w="1073"/>
        <w:gridCol w:w="901"/>
        <w:gridCol w:w="901"/>
      </w:tblGrid>
      <w:tr w:rsidR="00A802CF" w:rsidRPr="007F04EF" w14:paraId="3331EC8A" w14:textId="77777777" w:rsidTr="003B3002">
        <w:trPr>
          <w:trHeight w:val="290"/>
        </w:trPr>
        <w:tc>
          <w:tcPr>
            <w:tcW w:w="2037" w:type="pct"/>
            <w:noWrap/>
            <w:hideMark/>
          </w:tcPr>
          <w:p w14:paraId="0E51FBE9" w14:textId="4722ECEF" w:rsidR="00A802CF" w:rsidRPr="007F04EF" w:rsidRDefault="00D30EBA" w:rsidP="007A7FCB">
            <w:pPr>
              <w:pStyle w:val="Brezrazmikov"/>
              <w:rPr>
                <w:rFonts w:eastAsia="Times New Roman"/>
                <w:lang w:val="en-GB"/>
              </w:rPr>
            </w:pPr>
            <w:r w:rsidRPr="007F04EF">
              <w:rPr>
                <w:rFonts w:eastAsia="Times New Roman"/>
                <w:lang w:val="en-GB"/>
              </w:rPr>
              <w:t>Year</w:t>
            </w:r>
          </w:p>
        </w:tc>
        <w:tc>
          <w:tcPr>
            <w:tcW w:w="494" w:type="pct"/>
            <w:noWrap/>
            <w:hideMark/>
          </w:tcPr>
          <w:p w14:paraId="7A39CBEB" w14:textId="77777777" w:rsidR="00A802CF" w:rsidRPr="007F04EF" w:rsidRDefault="00A802CF" w:rsidP="007A7FCB">
            <w:pPr>
              <w:pStyle w:val="Brezrazmikov"/>
              <w:jc w:val="center"/>
              <w:rPr>
                <w:rFonts w:eastAsia="Times New Roman"/>
                <w:lang w:val="en-GB"/>
              </w:rPr>
            </w:pPr>
            <w:r w:rsidRPr="007F04EF">
              <w:rPr>
                <w:rFonts w:eastAsia="Times New Roman"/>
                <w:lang w:val="en-GB"/>
              </w:rPr>
              <w:t>2017</w:t>
            </w:r>
          </w:p>
        </w:tc>
        <w:tc>
          <w:tcPr>
            <w:tcW w:w="494" w:type="pct"/>
            <w:noWrap/>
            <w:hideMark/>
          </w:tcPr>
          <w:p w14:paraId="1650F201" w14:textId="77777777" w:rsidR="00A802CF" w:rsidRPr="007F04EF" w:rsidRDefault="00A802CF" w:rsidP="007A7FCB">
            <w:pPr>
              <w:pStyle w:val="Brezrazmikov"/>
              <w:jc w:val="center"/>
              <w:rPr>
                <w:rFonts w:eastAsia="Times New Roman"/>
                <w:lang w:val="en-GB"/>
              </w:rPr>
            </w:pPr>
            <w:r w:rsidRPr="007F04EF">
              <w:rPr>
                <w:rFonts w:eastAsia="Times New Roman"/>
                <w:lang w:val="en-GB"/>
              </w:rPr>
              <w:t>2018</w:t>
            </w:r>
          </w:p>
        </w:tc>
        <w:tc>
          <w:tcPr>
            <w:tcW w:w="494" w:type="pct"/>
            <w:noWrap/>
            <w:hideMark/>
          </w:tcPr>
          <w:p w14:paraId="3A60DF1D" w14:textId="77777777" w:rsidR="00A802CF" w:rsidRPr="007F04EF" w:rsidRDefault="00A802CF" w:rsidP="007A7FCB">
            <w:pPr>
              <w:pStyle w:val="Brezrazmikov"/>
              <w:jc w:val="center"/>
              <w:rPr>
                <w:rFonts w:eastAsia="Times New Roman"/>
                <w:lang w:val="en-GB"/>
              </w:rPr>
            </w:pPr>
            <w:r w:rsidRPr="007F04EF">
              <w:rPr>
                <w:rFonts w:eastAsia="Times New Roman"/>
                <w:lang w:val="en-GB"/>
              </w:rPr>
              <w:t>2019</w:t>
            </w:r>
          </w:p>
        </w:tc>
        <w:tc>
          <w:tcPr>
            <w:tcW w:w="550" w:type="pct"/>
            <w:noWrap/>
            <w:hideMark/>
          </w:tcPr>
          <w:p w14:paraId="315C31B4" w14:textId="77777777" w:rsidR="00A802CF" w:rsidRPr="007F04EF" w:rsidRDefault="00A802CF" w:rsidP="007A7FCB">
            <w:pPr>
              <w:pStyle w:val="Brezrazmikov"/>
              <w:jc w:val="center"/>
              <w:rPr>
                <w:rFonts w:eastAsia="Times New Roman"/>
                <w:lang w:val="en-GB"/>
              </w:rPr>
            </w:pPr>
            <w:r w:rsidRPr="007F04EF">
              <w:rPr>
                <w:rFonts w:eastAsia="Times New Roman"/>
                <w:lang w:val="en-GB"/>
              </w:rPr>
              <w:t>2020</w:t>
            </w:r>
          </w:p>
        </w:tc>
        <w:tc>
          <w:tcPr>
            <w:tcW w:w="456" w:type="pct"/>
            <w:noWrap/>
            <w:hideMark/>
          </w:tcPr>
          <w:p w14:paraId="38EB9BE2" w14:textId="77777777" w:rsidR="00A802CF" w:rsidRPr="007F04EF" w:rsidRDefault="00A802CF" w:rsidP="007A7FCB">
            <w:pPr>
              <w:pStyle w:val="Brezrazmikov"/>
              <w:jc w:val="center"/>
              <w:rPr>
                <w:rFonts w:eastAsia="Times New Roman"/>
                <w:lang w:val="en-GB"/>
              </w:rPr>
            </w:pPr>
            <w:r w:rsidRPr="007F04EF">
              <w:rPr>
                <w:rFonts w:eastAsia="Times New Roman"/>
                <w:lang w:val="en-GB"/>
              </w:rPr>
              <w:t>2021</w:t>
            </w:r>
          </w:p>
        </w:tc>
        <w:tc>
          <w:tcPr>
            <w:tcW w:w="476" w:type="pct"/>
            <w:noWrap/>
            <w:hideMark/>
          </w:tcPr>
          <w:p w14:paraId="41C8109B" w14:textId="77777777" w:rsidR="00A802CF" w:rsidRPr="007F04EF" w:rsidRDefault="00A802CF" w:rsidP="007A7FCB">
            <w:pPr>
              <w:pStyle w:val="Brezrazmikov"/>
              <w:jc w:val="center"/>
              <w:rPr>
                <w:rFonts w:eastAsia="Times New Roman"/>
                <w:lang w:val="en-GB"/>
              </w:rPr>
            </w:pPr>
            <w:r w:rsidRPr="007F04EF">
              <w:rPr>
                <w:rFonts w:eastAsia="Times New Roman"/>
                <w:lang w:val="en-GB"/>
              </w:rPr>
              <w:t>2022</w:t>
            </w:r>
          </w:p>
        </w:tc>
      </w:tr>
      <w:tr w:rsidR="00A802CF" w:rsidRPr="007F04EF" w14:paraId="4CC5D9AE" w14:textId="77777777" w:rsidTr="003B3002">
        <w:trPr>
          <w:trHeight w:val="290"/>
        </w:trPr>
        <w:tc>
          <w:tcPr>
            <w:tcW w:w="2037" w:type="pct"/>
            <w:noWrap/>
            <w:hideMark/>
          </w:tcPr>
          <w:p w14:paraId="1D4C48FF" w14:textId="266461E9" w:rsidR="00A802CF" w:rsidRPr="007F04EF" w:rsidRDefault="00D30EBA" w:rsidP="007A7FCB">
            <w:pPr>
              <w:pStyle w:val="Brezrazmikov"/>
              <w:rPr>
                <w:rFonts w:eastAsia="Times New Roman"/>
                <w:lang w:val="en-GB"/>
              </w:rPr>
            </w:pPr>
            <w:r w:rsidRPr="007F04EF">
              <w:rPr>
                <w:rFonts w:eastAsia="Times New Roman"/>
                <w:lang w:val="en-GB"/>
              </w:rPr>
              <w:t>MO in kg of AS</w:t>
            </w:r>
          </w:p>
        </w:tc>
        <w:tc>
          <w:tcPr>
            <w:tcW w:w="494" w:type="pct"/>
            <w:noWrap/>
            <w:vAlign w:val="center"/>
            <w:hideMark/>
          </w:tcPr>
          <w:p w14:paraId="12991078" w14:textId="3C19D152" w:rsidR="00A802CF" w:rsidRPr="007F04EF" w:rsidRDefault="00A802CF" w:rsidP="00602CBE">
            <w:pPr>
              <w:pStyle w:val="Brezrazmikov"/>
              <w:jc w:val="center"/>
              <w:rPr>
                <w:rFonts w:eastAsia="Times New Roman"/>
                <w:lang w:val="en-GB"/>
              </w:rPr>
            </w:pPr>
            <w:r w:rsidRPr="007F04EF">
              <w:rPr>
                <w:rFonts w:eastAsia="Times New Roman"/>
                <w:lang w:val="en-GB"/>
              </w:rPr>
              <w:t>219</w:t>
            </w:r>
            <w:r w:rsidR="003002DD" w:rsidRPr="007F04EF">
              <w:rPr>
                <w:rFonts w:eastAsia="Times New Roman"/>
                <w:lang w:val="en-GB"/>
              </w:rPr>
              <w:t>.</w:t>
            </w:r>
            <w:r w:rsidRPr="007F04EF">
              <w:rPr>
                <w:rFonts w:eastAsia="Times New Roman"/>
                <w:lang w:val="en-GB"/>
              </w:rPr>
              <w:t>93</w:t>
            </w:r>
          </w:p>
        </w:tc>
        <w:tc>
          <w:tcPr>
            <w:tcW w:w="494" w:type="pct"/>
            <w:noWrap/>
            <w:vAlign w:val="center"/>
            <w:hideMark/>
          </w:tcPr>
          <w:p w14:paraId="1519770E" w14:textId="59A64D34" w:rsidR="00A802CF" w:rsidRPr="007F04EF" w:rsidRDefault="00A802CF" w:rsidP="00602CBE">
            <w:pPr>
              <w:pStyle w:val="Brezrazmikov"/>
              <w:jc w:val="center"/>
              <w:rPr>
                <w:rFonts w:eastAsia="Times New Roman"/>
                <w:lang w:val="en-GB"/>
              </w:rPr>
            </w:pPr>
            <w:r w:rsidRPr="007F04EF">
              <w:rPr>
                <w:rFonts w:eastAsia="Times New Roman"/>
                <w:lang w:val="en-GB"/>
              </w:rPr>
              <w:t>438</w:t>
            </w:r>
            <w:r w:rsidR="003002DD" w:rsidRPr="007F04EF">
              <w:rPr>
                <w:rFonts w:eastAsia="Times New Roman"/>
                <w:lang w:val="en-GB"/>
              </w:rPr>
              <w:t>.</w:t>
            </w:r>
            <w:r w:rsidRPr="007F04EF">
              <w:rPr>
                <w:rFonts w:eastAsia="Times New Roman"/>
                <w:lang w:val="en-GB"/>
              </w:rPr>
              <w:t>48</w:t>
            </w:r>
          </w:p>
        </w:tc>
        <w:tc>
          <w:tcPr>
            <w:tcW w:w="494" w:type="pct"/>
            <w:noWrap/>
            <w:vAlign w:val="center"/>
            <w:hideMark/>
          </w:tcPr>
          <w:p w14:paraId="0CF9150D" w14:textId="2193C7C7" w:rsidR="00A802CF" w:rsidRPr="007F04EF" w:rsidRDefault="00A802CF" w:rsidP="00602CBE">
            <w:pPr>
              <w:pStyle w:val="Brezrazmikov"/>
              <w:jc w:val="center"/>
              <w:rPr>
                <w:rFonts w:eastAsia="Times New Roman"/>
                <w:lang w:val="en-GB"/>
              </w:rPr>
            </w:pPr>
            <w:r w:rsidRPr="007F04EF">
              <w:rPr>
                <w:rFonts w:eastAsia="Times New Roman"/>
                <w:lang w:val="en-GB"/>
              </w:rPr>
              <w:t>586</w:t>
            </w:r>
            <w:r w:rsidR="003002DD" w:rsidRPr="007F04EF">
              <w:rPr>
                <w:rFonts w:eastAsia="Times New Roman"/>
                <w:lang w:val="en-GB"/>
              </w:rPr>
              <w:t>.</w:t>
            </w:r>
            <w:r w:rsidRPr="007F04EF">
              <w:rPr>
                <w:rFonts w:eastAsia="Times New Roman"/>
                <w:lang w:val="en-GB"/>
              </w:rPr>
              <w:t>39</w:t>
            </w:r>
          </w:p>
        </w:tc>
        <w:tc>
          <w:tcPr>
            <w:tcW w:w="550" w:type="pct"/>
            <w:noWrap/>
            <w:vAlign w:val="center"/>
            <w:hideMark/>
          </w:tcPr>
          <w:p w14:paraId="4AA959B5" w14:textId="380B7D2A" w:rsidR="00A802CF" w:rsidRPr="007F04EF" w:rsidRDefault="00A802CF" w:rsidP="00602CBE">
            <w:pPr>
              <w:pStyle w:val="Brezrazmikov"/>
              <w:jc w:val="center"/>
              <w:rPr>
                <w:rFonts w:eastAsia="Times New Roman"/>
                <w:lang w:val="en-GB"/>
              </w:rPr>
            </w:pPr>
            <w:r w:rsidRPr="007F04EF">
              <w:rPr>
                <w:rFonts w:eastAsia="Times New Roman"/>
                <w:lang w:val="en-GB"/>
              </w:rPr>
              <w:t>1</w:t>
            </w:r>
            <w:r w:rsidR="003002DD" w:rsidRPr="007F04EF">
              <w:rPr>
                <w:rFonts w:eastAsia="Times New Roman"/>
                <w:lang w:val="en-GB"/>
              </w:rPr>
              <w:t>,</w:t>
            </w:r>
            <w:r w:rsidRPr="007F04EF">
              <w:rPr>
                <w:rFonts w:eastAsia="Times New Roman"/>
                <w:lang w:val="en-GB"/>
              </w:rPr>
              <w:t>028</w:t>
            </w:r>
            <w:r w:rsidR="003002DD" w:rsidRPr="007F04EF">
              <w:rPr>
                <w:rFonts w:eastAsia="Times New Roman"/>
                <w:lang w:val="en-GB"/>
              </w:rPr>
              <w:t>.</w:t>
            </w:r>
            <w:r w:rsidRPr="007F04EF">
              <w:rPr>
                <w:rFonts w:eastAsia="Times New Roman"/>
                <w:lang w:val="en-GB"/>
              </w:rPr>
              <w:t>40</w:t>
            </w:r>
          </w:p>
        </w:tc>
        <w:tc>
          <w:tcPr>
            <w:tcW w:w="456" w:type="pct"/>
            <w:noWrap/>
            <w:vAlign w:val="center"/>
            <w:hideMark/>
          </w:tcPr>
          <w:p w14:paraId="5DE34141" w14:textId="054D43BA" w:rsidR="00A802CF" w:rsidRPr="007F04EF" w:rsidRDefault="00A802CF" w:rsidP="00602CBE">
            <w:pPr>
              <w:pStyle w:val="Brezrazmikov"/>
              <w:jc w:val="center"/>
              <w:rPr>
                <w:rFonts w:eastAsia="Times New Roman"/>
                <w:lang w:val="en-GB"/>
              </w:rPr>
            </w:pPr>
            <w:r w:rsidRPr="007F04EF">
              <w:rPr>
                <w:rFonts w:eastAsia="Times New Roman"/>
                <w:lang w:val="en-GB"/>
              </w:rPr>
              <w:t>940</w:t>
            </w:r>
            <w:r w:rsidR="003002DD" w:rsidRPr="007F04EF">
              <w:rPr>
                <w:rFonts w:eastAsia="Times New Roman"/>
                <w:lang w:val="en-GB"/>
              </w:rPr>
              <w:t>.</w:t>
            </w:r>
            <w:r w:rsidRPr="007F04EF">
              <w:rPr>
                <w:rFonts w:eastAsia="Times New Roman"/>
                <w:lang w:val="en-GB"/>
              </w:rPr>
              <w:t>83</w:t>
            </w:r>
          </w:p>
        </w:tc>
        <w:tc>
          <w:tcPr>
            <w:tcW w:w="476" w:type="pct"/>
            <w:noWrap/>
            <w:vAlign w:val="center"/>
            <w:hideMark/>
          </w:tcPr>
          <w:p w14:paraId="724B45E8" w14:textId="30095CAC" w:rsidR="00A802CF" w:rsidRPr="007F04EF" w:rsidRDefault="00A802CF" w:rsidP="00602CBE">
            <w:pPr>
              <w:pStyle w:val="Brezrazmikov"/>
              <w:jc w:val="center"/>
              <w:rPr>
                <w:rFonts w:eastAsia="Times New Roman"/>
                <w:lang w:val="en-GB"/>
              </w:rPr>
            </w:pPr>
            <w:r w:rsidRPr="007F04EF">
              <w:rPr>
                <w:rFonts w:eastAsia="Times New Roman"/>
                <w:lang w:val="en-GB"/>
              </w:rPr>
              <w:t>971</w:t>
            </w:r>
            <w:r w:rsidR="003002DD" w:rsidRPr="007F04EF">
              <w:rPr>
                <w:rFonts w:eastAsia="Times New Roman"/>
                <w:lang w:val="en-GB"/>
              </w:rPr>
              <w:t>.</w:t>
            </w:r>
            <w:r w:rsidRPr="007F04EF">
              <w:rPr>
                <w:rFonts w:eastAsia="Times New Roman"/>
                <w:lang w:val="en-GB"/>
              </w:rPr>
              <w:t>58</w:t>
            </w:r>
          </w:p>
        </w:tc>
      </w:tr>
      <w:tr w:rsidR="003B3002" w:rsidRPr="007F04EF" w14:paraId="55F7F8C2" w14:textId="77777777" w:rsidTr="003B3002">
        <w:trPr>
          <w:trHeight w:val="290"/>
        </w:trPr>
        <w:tc>
          <w:tcPr>
            <w:tcW w:w="2037" w:type="pct"/>
            <w:noWrap/>
          </w:tcPr>
          <w:p w14:paraId="1F84EC61" w14:textId="5C274EBC" w:rsidR="003B3002" w:rsidRPr="007F04EF" w:rsidRDefault="00D30EBA" w:rsidP="003B3002">
            <w:pPr>
              <w:pStyle w:val="Brezrazmikov"/>
              <w:rPr>
                <w:rFonts w:eastAsia="Times New Roman"/>
                <w:lang w:val="en-GB"/>
              </w:rPr>
            </w:pPr>
            <w:r w:rsidRPr="007F04EF">
              <w:rPr>
                <w:rFonts w:eastAsia="Times New Roman"/>
                <w:lang w:val="en-GB"/>
              </w:rPr>
              <w:t>Part MO</w:t>
            </w:r>
          </w:p>
        </w:tc>
        <w:tc>
          <w:tcPr>
            <w:tcW w:w="494" w:type="pct"/>
            <w:noWrap/>
            <w:vAlign w:val="bottom"/>
          </w:tcPr>
          <w:p w14:paraId="496D1616" w14:textId="0556FD69"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02</w:t>
            </w:r>
            <w:r w:rsidR="003002DD" w:rsidRPr="007F04EF">
              <w:rPr>
                <w:rFonts w:cs="Arial"/>
                <w:color w:val="000000"/>
                <w:lang w:val="en-GB"/>
              </w:rPr>
              <w:t xml:space="preserve"> </w:t>
            </w:r>
            <w:r w:rsidRPr="007F04EF">
              <w:rPr>
                <w:rFonts w:cs="Arial"/>
                <w:color w:val="000000"/>
                <w:lang w:val="en-GB"/>
              </w:rPr>
              <w:t>%</w:t>
            </w:r>
          </w:p>
        </w:tc>
        <w:tc>
          <w:tcPr>
            <w:tcW w:w="494" w:type="pct"/>
            <w:noWrap/>
            <w:vAlign w:val="bottom"/>
          </w:tcPr>
          <w:p w14:paraId="78F52374" w14:textId="69DC35AF"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04</w:t>
            </w:r>
            <w:r w:rsidR="003002DD" w:rsidRPr="007F04EF">
              <w:rPr>
                <w:rFonts w:cs="Arial"/>
                <w:color w:val="000000"/>
                <w:lang w:val="en-GB"/>
              </w:rPr>
              <w:t xml:space="preserve"> </w:t>
            </w:r>
            <w:r w:rsidRPr="007F04EF">
              <w:rPr>
                <w:rFonts w:cs="Arial"/>
                <w:color w:val="000000"/>
                <w:lang w:val="en-GB"/>
              </w:rPr>
              <w:t>%</w:t>
            </w:r>
          </w:p>
        </w:tc>
        <w:tc>
          <w:tcPr>
            <w:tcW w:w="494" w:type="pct"/>
            <w:noWrap/>
            <w:vAlign w:val="bottom"/>
          </w:tcPr>
          <w:p w14:paraId="6F5E14B2" w14:textId="3510CCC7"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06</w:t>
            </w:r>
            <w:r w:rsidR="003002DD" w:rsidRPr="007F04EF">
              <w:rPr>
                <w:rFonts w:cs="Arial"/>
                <w:color w:val="000000"/>
                <w:lang w:val="en-GB"/>
              </w:rPr>
              <w:t xml:space="preserve"> </w:t>
            </w:r>
            <w:r w:rsidRPr="007F04EF">
              <w:rPr>
                <w:rFonts w:cs="Arial"/>
                <w:color w:val="000000"/>
                <w:lang w:val="en-GB"/>
              </w:rPr>
              <w:t>%</w:t>
            </w:r>
          </w:p>
        </w:tc>
        <w:tc>
          <w:tcPr>
            <w:tcW w:w="550" w:type="pct"/>
            <w:noWrap/>
            <w:vAlign w:val="bottom"/>
          </w:tcPr>
          <w:p w14:paraId="074CDEBD" w14:textId="0F9DEE2B"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10</w:t>
            </w:r>
            <w:r w:rsidR="003002DD" w:rsidRPr="007F04EF">
              <w:rPr>
                <w:rFonts w:cs="Arial"/>
                <w:color w:val="000000"/>
                <w:lang w:val="en-GB"/>
              </w:rPr>
              <w:t xml:space="preserve"> </w:t>
            </w:r>
            <w:r w:rsidRPr="007F04EF">
              <w:rPr>
                <w:rFonts w:cs="Arial"/>
                <w:color w:val="000000"/>
                <w:lang w:val="en-GB"/>
              </w:rPr>
              <w:t>%</w:t>
            </w:r>
          </w:p>
        </w:tc>
        <w:tc>
          <w:tcPr>
            <w:tcW w:w="456" w:type="pct"/>
            <w:noWrap/>
            <w:vAlign w:val="bottom"/>
          </w:tcPr>
          <w:p w14:paraId="2B09A5B2" w14:textId="5A09B5D3"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10</w:t>
            </w:r>
            <w:r w:rsidR="003002DD" w:rsidRPr="007F04EF">
              <w:rPr>
                <w:rFonts w:cs="Arial"/>
                <w:color w:val="000000"/>
                <w:lang w:val="en-GB"/>
              </w:rPr>
              <w:t xml:space="preserve"> </w:t>
            </w:r>
            <w:r w:rsidRPr="007F04EF">
              <w:rPr>
                <w:rFonts w:cs="Arial"/>
                <w:color w:val="000000"/>
                <w:lang w:val="en-GB"/>
              </w:rPr>
              <w:t>%</w:t>
            </w:r>
          </w:p>
        </w:tc>
        <w:tc>
          <w:tcPr>
            <w:tcW w:w="476" w:type="pct"/>
            <w:noWrap/>
            <w:vAlign w:val="bottom"/>
          </w:tcPr>
          <w:p w14:paraId="2C265783" w14:textId="0C95AC53"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11</w:t>
            </w:r>
            <w:r w:rsidR="003002DD" w:rsidRPr="007F04EF">
              <w:rPr>
                <w:rFonts w:cs="Arial"/>
                <w:color w:val="000000"/>
                <w:lang w:val="en-GB"/>
              </w:rPr>
              <w:t xml:space="preserve"> </w:t>
            </w:r>
            <w:r w:rsidRPr="007F04EF">
              <w:rPr>
                <w:rFonts w:cs="Arial"/>
                <w:color w:val="000000"/>
                <w:lang w:val="en-GB"/>
              </w:rPr>
              <w:t>%</w:t>
            </w:r>
          </w:p>
        </w:tc>
      </w:tr>
    </w:tbl>
    <w:p w14:paraId="2FFCBEEB" w14:textId="77777777" w:rsidR="00BC4B30" w:rsidRPr="007F04EF" w:rsidRDefault="00BC4B30" w:rsidP="00B7219E">
      <w:pPr>
        <w:spacing w:before="80" w:after="80" w:line="220" w:lineRule="atLeast"/>
        <w:rPr>
          <w:rFonts w:eastAsia="Times New Roman" w:cs="Arial"/>
          <w:lang w:val="en-GB"/>
        </w:rPr>
      </w:pPr>
    </w:p>
    <w:p w14:paraId="043DD5FF" w14:textId="53079D20" w:rsidR="006D681A" w:rsidRPr="007F04EF" w:rsidRDefault="00881A90" w:rsidP="00881A90">
      <w:pPr>
        <w:spacing w:before="80" w:after="80" w:line="220" w:lineRule="atLeast"/>
        <w:jc w:val="center"/>
        <w:rPr>
          <w:rFonts w:eastAsia="Times New Roman" w:cs="Arial"/>
          <w:lang w:val="en-GB"/>
        </w:rPr>
      </w:pPr>
      <w:r w:rsidRPr="007F04EF">
        <w:rPr>
          <w:rFonts w:cs="Arial"/>
          <w:noProof/>
          <w:lang w:val="en-GB"/>
        </w:rPr>
        <w:drawing>
          <wp:inline distT="0" distB="0" distL="0" distR="0" wp14:anchorId="6623A5C5" wp14:editId="49AA4096">
            <wp:extent cx="4572000" cy="2743200"/>
            <wp:effectExtent l="0" t="0" r="0" b="0"/>
            <wp:docPr id="20" name="Grafikon 20">
              <a:extLst xmlns:a="http://schemas.openxmlformats.org/drawingml/2006/main">
                <a:ext uri="{FF2B5EF4-FFF2-40B4-BE49-F238E27FC236}">
                  <a16:creationId xmlns:a16="http://schemas.microsoft.com/office/drawing/2014/main" id="{E9D08C86-DEF0-AEF9-1892-005623057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FD328" w14:textId="05DC39CC" w:rsidR="002D6BF5" w:rsidRPr="007F04EF" w:rsidRDefault="00077C52" w:rsidP="007A7FCB">
      <w:pPr>
        <w:pStyle w:val="Napis"/>
        <w:jc w:val="center"/>
        <w:rPr>
          <w:rFonts w:eastAsia="Times New Roman" w:cs="Arial"/>
          <w:sz w:val="20"/>
          <w:szCs w:val="20"/>
          <w:lang w:val="en-GB"/>
        </w:rPr>
      </w:pPr>
      <w:bookmarkStart w:id="39" w:name="_Toc161658228"/>
      <w:r w:rsidRPr="007F04EF">
        <w:rPr>
          <w:rFonts w:cs="Arial"/>
          <w:sz w:val="20"/>
          <w:szCs w:val="20"/>
          <w:lang w:val="en-GB"/>
        </w:rPr>
        <w:t>Gr</w:t>
      </w:r>
      <w:r w:rsidR="005F009C" w:rsidRPr="007F04EF">
        <w:rPr>
          <w:rFonts w:cs="Arial"/>
          <w:sz w:val="20"/>
          <w:szCs w:val="20"/>
          <w:lang w:val="en-GB"/>
        </w:rPr>
        <w:t>a</w:t>
      </w:r>
      <w:r w:rsidRPr="007F04EF">
        <w:rPr>
          <w:rFonts w:cs="Arial"/>
          <w:sz w:val="20"/>
          <w:szCs w:val="20"/>
          <w:lang w:val="en-GB"/>
        </w:rPr>
        <w:t>ph</w:t>
      </w:r>
      <w:r w:rsidR="005F009C" w:rsidRPr="007F04EF">
        <w:rPr>
          <w:rFonts w:cs="Arial"/>
          <w:sz w:val="20"/>
          <w:szCs w:val="20"/>
          <w:lang w:val="en-GB"/>
        </w:rPr>
        <w:t xml:space="preserve"> </w:t>
      </w:r>
      <w:r w:rsidR="005F009C" w:rsidRPr="007F04EF">
        <w:rPr>
          <w:rFonts w:cs="Arial"/>
          <w:sz w:val="20"/>
          <w:szCs w:val="20"/>
          <w:lang w:val="en-GB"/>
        </w:rPr>
        <w:fldChar w:fldCharType="begin"/>
      </w:r>
      <w:r w:rsidR="005F009C" w:rsidRPr="007F04EF">
        <w:rPr>
          <w:rFonts w:cs="Arial"/>
          <w:sz w:val="20"/>
          <w:szCs w:val="20"/>
          <w:lang w:val="en-GB"/>
        </w:rPr>
        <w:instrText xml:space="preserve"> SEQ Slika \* ARABIC </w:instrText>
      </w:r>
      <w:r w:rsidR="005F009C" w:rsidRPr="007F04EF">
        <w:rPr>
          <w:rFonts w:cs="Arial"/>
          <w:sz w:val="20"/>
          <w:szCs w:val="20"/>
          <w:lang w:val="en-GB"/>
        </w:rPr>
        <w:fldChar w:fldCharType="separate"/>
      </w:r>
      <w:r w:rsidR="001A6882" w:rsidRPr="007F04EF">
        <w:rPr>
          <w:rFonts w:cs="Arial"/>
          <w:sz w:val="20"/>
          <w:szCs w:val="20"/>
          <w:lang w:val="en-GB"/>
        </w:rPr>
        <w:t>4</w:t>
      </w:r>
      <w:r w:rsidR="005F009C" w:rsidRPr="007F04EF">
        <w:rPr>
          <w:rFonts w:cs="Arial"/>
          <w:sz w:val="20"/>
          <w:szCs w:val="20"/>
          <w:lang w:val="en-GB"/>
        </w:rPr>
        <w:fldChar w:fldCharType="end"/>
      </w:r>
      <w:r w:rsidR="000D2DEB" w:rsidRPr="007F04EF">
        <w:rPr>
          <w:rFonts w:cs="Arial"/>
          <w:sz w:val="20"/>
          <w:szCs w:val="20"/>
          <w:lang w:val="en-GB"/>
        </w:rPr>
        <w:t xml:space="preserve">: </w:t>
      </w:r>
      <w:r w:rsidRPr="007F04EF">
        <w:rPr>
          <w:rFonts w:cs="Arial"/>
          <w:sz w:val="20"/>
          <w:szCs w:val="20"/>
          <w:lang w:val="en-GB"/>
        </w:rPr>
        <w:t>Sales of A</w:t>
      </w:r>
      <w:r w:rsidR="00D474D8" w:rsidRPr="007F04EF">
        <w:rPr>
          <w:rFonts w:cs="Arial"/>
          <w:sz w:val="20"/>
          <w:szCs w:val="20"/>
          <w:lang w:val="en-GB"/>
        </w:rPr>
        <w:t>S</w:t>
      </w:r>
      <w:r w:rsidRPr="007F04EF">
        <w:rPr>
          <w:rFonts w:cs="Arial"/>
          <w:sz w:val="20"/>
          <w:szCs w:val="20"/>
          <w:lang w:val="en-GB"/>
        </w:rPr>
        <w:t xml:space="preserve"> in</w:t>
      </w:r>
      <w:r w:rsidR="003002DD" w:rsidRPr="007F04EF">
        <w:rPr>
          <w:rFonts w:cs="Arial"/>
          <w:sz w:val="20"/>
          <w:szCs w:val="20"/>
          <w:lang w:val="en-GB"/>
        </w:rPr>
        <w:t xml:space="preserve"> </w:t>
      </w:r>
      <w:r w:rsidRPr="007F04EF">
        <w:rPr>
          <w:rFonts w:cs="Arial"/>
          <w:sz w:val="20"/>
          <w:szCs w:val="20"/>
          <w:lang w:val="en-GB"/>
        </w:rPr>
        <w:t>PPP</w:t>
      </w:r>
      <w:r w:rsidR="003002DD" w:rsidRPr="007F04EF">
        <w:rPr>
          <w:rFonts w:cs="Arial"/>
          <w:sz w:val="20"/>
          <w:szCs w:val="20"/>
          <w:lang w:val="en-GB"/>
        </w:rPr>
        <w:t xml:space="preserve">s </w:t>
      </w:r>
      <w:r w:rsidRPr="007F04EF">
        <w:rPr>
          <w:rFonts w:cs="Arial"/>
          <w:sz w:val="20"/>
          <w:szCs w:val="20"/>
          <w:lang w:val="en-GB"/>
        </w:rPr>
        <w:t xml:space="preserve">containing </w:t>
      </w:r>
      <w:proofErr w:type="gramStart"/>
      <w:r w:rsidR="007C6D7B" w:rsidRPr="007F04EF">
        <w:rPr>
          <w:rFonts w:cs="Arial"/>
          <w:sz w:val="20"/>
          <w:szCs w:val="20"/>
          <w:lang w:val="en-GB"/>
        </w:rPr>
        <w:t>MO</w:t>
      </w:r>
      <w:r w:rsidR="003002DD" w:rsidRPr="007F04EF">
        <w:rPr>
          <w:rFonts w:cs="Arial"/>
          <w:sz w:val="20"/>
          <w:szCs w:val="20"/>
          <w:lang w:val="en-GB"/>
        </w:rPr>
        <w:t>s</w:t>
      </w:r>
      <w:bookmarkEnd w:id="39"/>
      <w:proofErr w:type="gramEnd"/>
    </w:p>
    <w:p w14:paraId="0FE0CD1E" w14:textId="77777777" w:rsidR="003002DD" w:rsidRPr="007F04EF" w:rsidRDefault="003002DD" w:rsidP="00602CBE">
      <w:pPr>
        <w:pStyle w:val="Naslov3"/>
        <w:rPr>
          <w:lang w:val="en-GB"/>
        </w:rPr>
      </w:pPr>
    </w:p>
    <w:p w14:paraId="60006EF8" w14:textId="646879BF" w:rsidR="00A607DB" w:rsidRPr="007F04EF" w:rsidRDefault="00375162" w:rsidP="00602CBE">
      <w:pPr>
        <w:pStyle w:val="Naslov3"/>
        <w:rPr>
          <w:lang w:val="en-GB"/>
        </w:rPr>
      </w:pPr>
      <w:bookmarkStart w:id="40" w:name="_Toc172027297"/>
      <w:r w:rsidRPr="007F04EF">
        <w:rPr>
          <w:lang w:val="en-GB"/>
        </w:rPr>
        <w:t>Limiting the a</w:t>
      </w:r>
      <w:r w:rsidR="00B46598" w:rsidRPr="007F04EF">
        <w:rPr>
          <w:lang w:val="en-GB"/>
        </w:rPr>
        <w:t>ccessibi</w:t>
      </w:r>
      <w:r w:rsidRPr="007F04EF">
        <w:rPr>
          <w:lang w:val="en-GB"/>
        </w:rPr>
        <w:t>lity of PPP</w:t>
      </w:r>
      <w:r w:rsidR="00AB7BE8" w:rsidRPr="007F04EF">
        <w:rPr>
          <w:lang w:val="en-GB"/>
        </w:rPr>
        <w:t>s</w:t>
      </w:r>
      <w:r w:rsidRPr="007F04EF">
        <w:rPr>
          <w:lang w:val="en-GB"/>
        </w:rPr>
        <w:t xml:space="preserve"> for professional use to non-professional users</w:t>
      </w:r>
      <w:bookmarkEnd w:id="40"/>
    </w:p>
    <w:p w14:paraId="5FBD1241" w14:textId="77777777" w:rsidR="003002DD" w:rsidRPr="007F04EF" w:rsidRDefault="003002DD" w:rsidP="00375162">
      <w:pPr>
        <w:rPr>
          <w:lang w:val="en-GB"/>
        </w:rPr>
      </w:pPr>
    </w:p>
    <w:p w14:paraId="3907AC1F" w14:textId="3E29AC20" w:rsidR="00375162" w:rsidRPr="007F04EF" w:rsidRDefault="00375162" w:rsidP="00751769">
      <w:pPr>
        <w:jc w:val="both"/>
        <w:rPr>
          <w:lang w:val="en-GB"/>
        </w:rPr>
      </w:pPr>
      <w:r w:rsidRPr="007F04EF">
        <w:rPr>
          <w:lang w:val="en-GB"/>
        </w:rPr>
        <w:t>The accessibility of PPP</w:t>
      </w:r>
      <w:r w:rsidR="00AB7BE8" w:rsidRPr="007F04EF">
        <w:rPr>
          <w:lang w:val="en-GB"/>
        </w:rPr>
        <w:t>s</w:t>
      </w:r>
      <w:r w:rsidRPr="007F04EF">
        <w:rPr>
          <w:lang w:val="en-GB"/>
        </w:rPr>
        <w:t xml:space="preserve"> for professional use to non-professional users is limited by national rules defining proper use of PPP</w:t>
      </w:r>
      <w:r w:rsidR="00AB7BE8" w:rsidRPr="007F04EF">
        <w:rPr>
          <w:lang w:val="en-GB"/>
        </w:rPr>
        <w:t>s</w:t>
      </w:r>
      <w:r w:rsidRPr="007F04EF">
        <w:rPr>
          <w:lang w:val="en-GB"/>
        </w:rPr>
        <w:t xml:space="preserve"> and criteria for dividing PPP</w:t>
      </w:r>
      <w:r w:rsidR="00AB7BE8" w:rsidRPr="007F04EF">
        <w:rPr>
          <w:lang w:val="en-GB"/>
        </w:rPr>
        <w:t>s</w:t>
      </w:r>
      <w:r w:rsidRPr="007F04EF">
        <w:rPr>
          <w:lang w:val="en-GB"/>
        </w:rPr>
        <w:t xml:space="preserve"> for professional and non-professional use.</w:t>
      </w:r>
    </w:p>
    <w:p w14:paraId="7BFBB680" w14:textId="77777777" w:rsidR="003002DD" w:rsidRPr="007F04EF" w:rsidRDefault="003002DD" w:rsidP="00751769">
      <w:pPr>
        <w:jc w:val="both"/>
        <w:rPr>
          <w:lang w:val="en-GB"/>
        </w:rPr>
      </w:pPr>
    </w:p>
    <w:p w14:paraId="7662FCBF" w14:textId="329FB875" w:rsidR="00375162" w:rsidRPr="007F04EF" w:rsidRDefault="00375162" w:rsidP="00751769">
      <w:pPr>
        <w:jc w:val="both"/>
        <w:rPr>
          <w:lang w:val="en-GB"/>
        </w:rPr>
      </w:pPr>
      <w:r w:rsidRPr="007F04EF">
        <w:rPr>
          <w:lang w:val="en-GB"/>
        </w:rPr>
        <w:t>In PPP</w:t>
      </w:r>
      <w:r w:rsidR="00B46598" w:rsidRPr="007F04EF">
        <w:rPr>
          <w:lang w:val="en-GB"/>
        </w:rPr>
        <w:t>-</w:t>
      </w:r>
      <w:r w:rsidRPr="007F04EF">
        <w:rPr>
          <w:lang w:val="en-GB"/>
        </w:rPr>
        <w:t>authorisation procedure</w:t>
      </w:r>
      <w:r w:rsidR="00B46598" w:rsidRPr="007F04EF">
        <w:rPr>
          <w:lang w:val="en-GB"/>
        </w:rPr>
        <w:t xml:space="preserve">, AFSVSPP </w:t>
      </w:r>
      <w:r w:rsidRPr="007F04EF">
        <w:rPr>
          <w:lang w:val="en-GB"/>
        </w:rPr>
        <w:t xml:space="preserve">issues a </w:t>
      </w:r>
      <w:r w:rsidR="00B46598" w:rsidRPr="007F04EF">
        <w:rPr>
          <w:lang w:val="en-GB"/>
        </w:rPr>
        <w:t>D</w:t>
      </w:r>
      <w:r w:rsidRPr="007F04EF">
        <w:rPr>
          <w:lang w:val="en-GB"/>
        </w:rPr>
        <w:t>ecision</w:t>
      </w:r>
      <w:r w:rsidR="00B46598" w:rsidRPr="007F04EF">
        <w:rPr>
          <w:lang w:val="en-GB"/>
        </w:rPr>
        <w:t xml:space="preserve"> that, in addition to </w:t>
      </w:r>
      <w:r w:rsidRPr="007F04EF">
        <w:rPr>
          <w:lang w:val="en-GB"/>
        </w:rPr>
        <w:t xml:space="preserve">other conditions </w:t>
      </w:r>
      <w:r w:rsidR="00B46598" w:rsidRPr="007F04EF">
        <w:rPr>
          <w:lang w:val="en-GB"/>
        </w:rPr>
        <w:t xml:space="preserve">for </w:t>
      </w:r>
      <w:r w:rsidRPr="007F04EF">
        <w:rPr>
          <w:lang w:val="en-GB"/>
        </w:rPr>
        <w:t>PPP</w:t>
      </w:r>
      <w:r w:rsidR="00B46598" w:rsidRPr="007F04EF">
        <w:rPr>
          <w:lang w:val="en-GB"/>
        </w:rPr>
        <w:t xml:space="preserve"> </w:t>
      </w:r>
      <w:r w:rsidRPr="007F04EF">
        <w:rPr>
          <w:lang w:val="en-GB"/>
        </w:rPr>
        <w:t xml:space="preserve">placing on the market and use, </w:t>
      </w:r>
      <w:r w:rsidR="00B46598" w:rsidRPr="007F04EF">
        <w:rPr>
          <w:lang w:val="en-GB"/>
        </w:rPr>
        <w:t xml:space="preserve">lays down </w:t>
      </w:r>
      <w:r w:rsidRPr="007F04EF">
        <w:rPr>
          <w:lang w:val="en-GB"/>
        </w:rPr>
        <w:t xml:space="preserve">whether </w:t>
      </w:r>
      <w:r w:rsidR="00980DD4" w:rsidRPr="007F04EF">
        <w:rPr>
          <w:lang w:val="en-GB"/>
        </w:rPr>
        <w:t>PPP</w:t>
      </w:r>
      <w:r w:rsidR="00AB7BE8" w:rsidRPr="007F04EF">
        <w:rPr>
          <w:lang w:val="en-GB"/>
        </w:rPr>
        <w:t>s</w:t>
      </w:r>
      <w:r w:rsidRPr="007F04EF">
        <w:rPr>
          <w:lang w:val="en-GB"/>
        </w:rPr>
        <w:t xml:space="preserve"> </w:t>
      </w:r>
      <w:r w:rsidR="00980DD4" w:rsidRPr="007F04EF">
        <w:rPr>
          <w:lang w:val="en-GB"/>
        </w:rPr>
        <w:t>shall</w:t>
      </w:r>
      <w:r w:rsidR="00B46598" w:rsidRPr="007F04EF">
        <w:rPr>
          <w:lang w:val="en-GB"/>
        </w:rPr>
        <w:t xml:space="preserve"> </w:t>
      </w:r>
      <w:proofErr w:type="gramStart"/>
      <w:r w:rsidR="00B46598" w:rsidRPr="007F04EF">
        <w:rPr>
          <w:lang w:val="en-GB"/>
        </w:rPr>
        <w:t>on the basis of</w:t>
      </w:r>
      <w:proofErr w:type="gramEnd"/>
      <w:r w:rsidR="00B46598" w:rsidRPr="007F04EF">
        <w:rPr>
          <w:lang w:val="en-GB"/>
        </w:rPr>
        <w:t xml:space="preserve"> defined criteria </w:t>
      </w:r>
      <w:r w:rsidR="00980DD4" w:rsidRPr="007F04EF">
        <w:rPr>
          <w:lang w:val="en-GB"/>
        </w:rPr>
        <w:t>be</w:t>
      </w:r>
      <w:r w:rsidR="00B46598" w:rsidRPr="007F04EF">
        <w:rPr>
          <w:lang w:val="en-GB"/>
        </w:rPr>
        <w:t xml:space="preserve"> </w:t>
      </w:r>
      <w:r w:rsidRPr="007F04EF">
        <w:rPr>
          <w:lang w:val="en-GB"/>
        </w:rPr>
        <w:t xml:space="preserve">sold for </w:t>
      </w:r>
      <w:r w:rsidR="00980DD4" w:rsidRPr="007F04EF">
        <w:rPr>
          <w:lang w:val="en-GB"/>
        </w:rPr>
        <w:t>professional</w:t>
      </w:r>
      <w:r w:rsidR="00B46598" w:rsidRPr="007F04EF">
        <w:rPr>
          <w:lang w:val="en-GB"/>
        </w:rPr>
        <w:t xml:space="preserve"> </w:t>
      </w:r>
      <w:r w:rsidRPr="007F04EF">
        <w:rPr>
          <w:lang w:val="en-GB"/>
        </w:rPr>
        <w:t>or non-professional use</w:t>
      </w:r>
      <w:r w:rsidR="00980DD4" w:rsidRPr="007F04EF">
        <w:rPr>
          <w:lang w:val="en-GB"/>
        </w:rPr>
        <w:t>.</w:t>
      </w:r>
      <w:r w:rsidR="00B46598" w:rsidRPr="007F04EF">
        <w:rPr>
          <w:lang w:val="en-GB"/>
        </w:rPr>
        <w:t xml:space="preserve"> </w:t>
      </w:r>
      <w:r w:rsidR="003002DD" w:rsidRPr="007F04EF">
        <w:rPr>
          <w:lang w:val="en-GB"/>
        </w:rPr>
        <w:t xml:space="preserve">AFSVSPP </w:t>
      </w:r>
      <w:r w:rsidR="004B006E" w:rsidRPr="007F04EF">
        <w:rPr>
          <w:lang w:val="en-GB"/>
        </w:rPr>
        <w:t>ma</w:t>
      </w:r>
      <w:r w:rsidR="003002DD" w:rsidRPr="007F04EF">
        <w:rPr>
          <w:lang w:val="en-GB"/>
        </w:rPr>
        <w:t>i</w:t>
      </w:r>
      <w:r w:rsidR="004B006E" w:rsidRPr="007F04EF">
        <w:rPr>
          <w:lang w:val="en-GB"/>
        </w:rPr>
        <w:t>ntains</w:t>
      </w:r>
      <w:r w:rsidRPr="007F04EF">
        <w:rPr>
          <w:lang w:val="en-GB"/>
        </w:rPr>
        <w:t xml:space="preserve"> a list of </w:t>
      </w:r>
      <w:r w:rsidR="00980DD4" w:rsidRPr="007F04EF">
        <w:rPr>
          <w:lang w:val="en-GB"/>
        </w:rPr>
        <w:t>PPP</w:t>
      </w:r>
      <w:r w:rsidR="00AB7BE8" w:rsidRPr="007F04EF">
        <w:rPr>
          <w:lang w:val="en-GB"/>
        </w:rPr>
        <w:t>s</w:t>
      </w:r>
      <w:r w:rsidRPr="007F04EF">
        <w:rPr>
          <w:lang w:val="en-GB"/>
        </w:rPr>
        <w:t xml:space="preserve"> for non-professional </w:t>
      </w:r>
      <w:r w:rsidR="00AB7BE8" w:rsidRPr="007F04EF">
        <w:rPr>
          <w:lang w:val="en-GB"/>
        </w:rPr>
        <w:t>use</w:t>
      </w:r>
      <w:r w:rsidR="00B46598" w:rsidRPr="007F04EF">
        <w:rPr>
          <w:lang w:val="en-GB"/>
        </w:rPr>
        <w:t xml:space="preserve"> that is accessible via the AFSVSPP website.</w:t>
      </w:r>
    </w:p>
    <w:p w14:paraId="0606856D" w14:textId="77777777" w:rsidR="003002DD" w:rsidRPr="007F04EF" w:rsidRDefault="003002DD" w:rsidP="00751769">
      <w:pPr>
        <w:jc w:val="both"/>
        <w:rPr>
          <w:lang w:val="en-GB"/>
        </w:rPr>
      </w:pPr>
    </w:p>
    <w:p w14:paraId="634EF9EE" w14:textId="177D5F10" w:rsidR="003A0154" w:rsidRPr="007F04EF" w:rsidRDefault="00980DD4" w:rsidP="00751769">
      <w:pPr>
        <w:jc w:val="both"/>
        <w:rPr>
          <w:lang w:val="en-GB"/>
        </w:rPr>
      </w:pPr>
      <w:r w:rsidRPr="007F04EF">
        <w:rPr>
          <w:lang w:val="en-GB"/>
        </w:rPr>
        <w:t xml:space="preserve">Only </w:t>
      </w:r>
      <w:r w:rsidR="00093698" w:rsidRPr="007F04EF">
        <w:rPr>
          <w:lang w:val="en-GB"/>
        </w:rPr>
        <w:t xml:space="preserve">sales points that are </w:t>
      </w:r>
      <w:r w:rsidR="00375162" w:rsidRPr="007F04EF">
        <w:rPr>
          <w:lang w:val="en-GB"/>
        </w:rPr>
        <w:t>specialized</w:t>
      </w:r>
      <w:r w:rsidR="00093698" w:rsidRPr="007F04EF">
        <w:rPr>
          <w:lang w:val="en-GB"/>
        </w:rPr>
        <w:t xml:space="preserve"> in the sale of </w:t>
      </w:r>
      <w:r w:rsidRPr="007F04EF">
        <w:rPr>
          <w:lang w:val="en-GB"/>
        </w:rPr>
        <w:t>PPP</w:t>
      </w:r>
      <w:r w:rsidR="00AB7BE8" w:rsidRPr="007F04EF">
        <w:rPr>
          <w:lang w:val="en-GB"/>
        </w:rPr>
        <w:t>s</w:t>
      </w:r>
      <w:r w:rsidRPr="007F04EF">
        <w:rPr>
          <w:lang w:val="en-GB"/>
        </w:rPr>
        <w:t xml:space="preserve"> </w:t>
      </w:r>
      <w:r w:rsidR="00093698" w:rsidRPr="007F04EF">
        <w:rPr>
          <w:lang w:val="en-GB"/>
        </w:rPr>
        <w:t xml:space="preserve">shall be authorised for sale of </w:t>
      </w:r>
      <w:r w:rsidRPr="007F04EF">
        <w:rPr>
          <w:lang w:val="en-GB"/>
        </w:rPr>
        <w:t>PPP</w:t>
      </w:r>
      <w:r w:rsidR="00AB7BE8" w:rsidRPr="007F04EF">
        <w:rPr>
          <w:lang w:val="en-GB"/>
        </w:rPr>
        <w:t>s</w:t>
      </w:r>
      <w:r w:rsidRPr="007F04EF">
        <w:rPr>
          <w:lang w:val="en-GB"/>
        </w:rPr>
        <w:t xml:space="preserve"> for professional use</w:t>
      </w:r>
      <w:r w:rsidR="00AB7BE8" w:rsidRPr="007F04EF">
        <w:rPr>
          <w:lang w:val="en-GB"/>
        </w:rPr>
        <w:t>.</w:t>
      </w:r>
      <w:r w:rsidR="00B46598" w:rsidRPr="007F04EF">
        <w:rPr>
          <w:lang w:val="en-GB"/>
        </w:rPr>
        <w:t xml:space="preserve"> </w:t>
      </w:r>
    </w:p>
    <w:p w14:paraId="3EB37ECC" w14:textId="77777777" w:rsidR="003A0154" w:rsidRPr="007F04EF" w:rsidRDefault="003A0154" w:rsidP="00751769">
      <w:pPr>
        <w:jc w:val="both"/>
        <w:rPr>
          <w:lang w:val="en-GB"/>
        </w:rPr>
      </w:pPr>
    </w:p>
    <w:p w14:paraId="6EA39271" w14:textId="60BEFB36" w:rsidR="003A0154" w:rsidRPr="007F04EF" w:rsidRDefault="005516FA" w:rsidP="00751769">
      <w:pPr>
        <w:jc w:val="both"/>
        <w:rPr>
          <w:lang w:val="en-GB"/>
        </w:rPr>
      </w:pPr>
      <w:r w:rsidRPr="007F04EF">
        <w:rPr>
          <w:lang w:val="en-GB"/>
        </w:rPr>
        <w:t xml:space="preserve">PPPs for professional use may be sold to buyers only, </w:t>
      </w:r>
      <w:r w:rsidR="00AB7BE8" w:rsidRPr="007F04EF">
        <w:rPr>
          <w:lang w:val="en-GB"/>
        </w:rPr>
        <w:t>who present a PPP</w:t>
      </w:r>
      <w:r w:rsidR="003A0154" w:rsidRPr="007F04EF">
        <w:rPr>
          <w:lang w:val="en-GB"/>
        </w:rPr>
        <w:t>-</w:t>
      </w:r>
      <w:r w:rsidR="00AB7BE8" w:rsidRPr="007F04EF">
        <w:rPr>
          <w:lang w:val="en-GB"/>
        </w:rPr>
        <w:t xml:space="preserve">training </w:t>
      </w:r>
      <w:r w:rsidR="007C6D7B" w:rsidRPr="007F04EF">
        <w:rPr>
          <w:lang w:val="en-GB"/>
        </w:rPr>
        <w:t>certificate</w:t>
      </w:r>
      <w:r w:rsidRPr="007F04EF">
        <w:rPr>
          <w:lang w:val="en-GB"/>
        </w:rPr>
        <w:t xml:space="preserve"> that is</w:t>
      </w:r>
      <w:r w:rsidR="00AB7BE8" w:rsidRPr="007F04EF">
        <w:rPr>
          <w:lang w:val="en-GB"/>
        </w:rPr>
        <w:t xml:space="preserve"> valid at the time of purchase.</w:t>
      </w:r>
    </w:p>
    <w:p w14:paraId="73FBB7B4" w14:textId="77777777" w:rsidR="003A0154" w:rsidRPr="007F04EF" w:rsidRDefault="003A0154" w:rsidP="00751769">
      <w:pPr>
        <w:jc w:val="both"/>
        <w:rPr>
          <w:lang w:val="en-GB"/>
        </w:rPr>
      </w:pPr>
    </w:p>
    <w:p w14:paraId="392BA7EE" w14:textId="63469D34" w:rsidR="00375162" w:rsidRPr="007F04EF" w:rsidRDefault="005516FA" w:rsidP="00751769">
      <w:pPr>
        <w:jc w:val="both"/>
        <w:rPr>
          <w:lang w:val="en-GB"/>
        </w:rPr>
      </w:pPr>
      <w:r w:rsidRPr="007F04EF">
        <w:rPr>
          <w:lang w:val="en-GB"/>
        </w:rPr>
        <w:t xml:space="preserve">However, </w:t>
      </w:r>
      <w:r w:rsidR="00AB7BE8" w:rsidRPr="007F04EF">
        <w:rPr>
          <w:lang w:val="en-GB"/>
        </w:rPr>
        <w:t>PPPs</w:t>
      </w:r>
      <w:r w:rsidR="00375162" w:rsidRPr="007F04EF">
        <w:rPr>
          <w:lang w:val="en-GB"/>
        </w:rPr>
        <w:t xml:space="preserve"> for non-professional use</w:t>
      </w:r>
      <w:r w:rsidRPr="007F04EF">
        <w:rPr>
          <w:lang w:val="en-GB"/>
        </w:rPr>
        <w:t xml:space="preserve"> may be sold at other sales points as well, which deal in non-food goods, and </w:t>
      </w:r>
      <w:r w:rsidR="00375162" w:rsidRPr="007F04EF">
        <w:rPr>
          <w:lang w:val="en-GB"/>
        </w:rPr>
        <w:t>the</w:t>
      </w:r>
      <w:r w:rsidRPr="007F04EF">
        <w:rPr>
          <w:lang w:val="en-GB"/>
        </w:rPr>
        <w:t xml:space="preserve"> </w:t>
      </w:r>
      <w:r w:rsidR="00375162" w:rsidRPr="007F04EF">
        <w:rPr>
          <w:lang w:val="en-GB"/>
        </w:rPr>
        <w:t>buyer does not need to present a valid</w:t>
      </w:r>
      <w:r w:rsidR="009878F3" w:rsidRPr="007F04EF">
        <w:rPr>
          <w:lang w:val="en-GB"/>
        </w:rPr>
        <w:t xml:space="preserve"> </w:t>
      </w:r>
      <w:r w:rsidRPr="007F04EF">
        <w:rPr>
          <w:lang w:val="en-GB"/>
        </w:rPr>
        <w:t>PPP-</w:t>
      </w:r>
      <w:r w:rsidR="009878F3" w:rsidRPr="007F04EF">
        <w:rPr>
          <w:lang w:val="en-GB"/>
        </w:rPr>
        <w:t xml:space="preserve">training </w:t>
      </w:r>
      <w:r w:rsidR="007C6D7B" w:rsidRPr="007F04EF">
        <w:rPr>
          <w:lang w:val="en-GB"/>
        </w:rPr>
        <w:t>certificate</w:t>
      </w:r>
      <w:r w:rsidRPr="007F04EF">
        <w:rPr>
          <w:lang w:val="en-GB"/>
        </w:rPr>
        <w:t xml:space="preserve"> </w:t>
      </w:r>
      <w:proofErr w:type="gramStart"/>
      <w:r w:rsidRPr="007F04EF">
        <w:rPr>
          <w:lang w:val="en-GB"/>
        </w:rPr>
        <w:t xml:space="preserve">in order </w:t>
      </w:r>
      <w:r w:rsidR="00375162" w:rsidRPr="007F04EF">
        <w:rPr>
          <w:lang w:val="en-GB"/>
        </w:rPr>
        <w:t>to</w:t>
      </w:r>
      <w:proofErr w:type="gramEnd"/>
      <w:r w:rsidR="00375162" w:rsidRPr="007F04EF">
        <w:rPr>
          <w:lang w:val="en-GB"/>
        </w:rPr>
        <w:t xml:space="preserve"> purchase</w:t>
      </w:r>
      <w:r w:rsidRPr="007F04EF">
        <w:rPr>
          <w:lang w:val="en-GB"/>
        </w:rPr>
        <w:t xml:space="preserve"> such a </w:t>
      </w:r>
      <w:r w:rsidR="009878F3" w:rsidRPr="007F04EF">
        <w:rPr>
          <w:lang w:val="en-GB"/>
        </w:rPr>
        <w:t>product</w:t>
      </w:r>
      <w:r w:rsidR="00375162" w:rsidRPr="007F04EF">
        <w:rPr>
          <w:lang w:val="en-GB"/>
        </w:rPr>
        <w:t>.</w:t>
      </w:r>
    </w:p>
    <w:p w14:paraId="7B0B2BC1" w14:textId="1ACA508F" w:rsidR="005567BB" w:rsidRPr="007F04EF" w:rsidRDefault="009878F3" w:rsidP="00123E94">
      <w:pPr>
        <w:pStyle w:val="Naslov3"/>
        <w:rPr>
          <w:lang w:val="en-GB"/>
        </w:rPr>
      </w:pPr>
      <w:bookmarkStart w:id="41" w:name="_Toc172027298"/>
      <w:bookmarkStart w:id="42" w:name="_Hlk148691616"/>
      <w:r w:rsidRPr="007F04EF">
        <w:rPr>
          <w:lang w:val="en-GB"/>
        </w:rPr>
        <w:t>Estimated quantities of illegal PPPs on the market</w:t>
      </w:r>
      <w:bookmarkEnd w:id="41"/>
    </w:p>
    <w:p w14:paraId="330E79C3" w14:textId="77777777" w:rsidR="003002DD" w:rsidRPr="007F04EF" w:rsidRDefault="003002DD" w:rsidP="009878F3">
      <w:pPr>
        <w:rPr>
          <w:lang w:val="en-GB"/>
        </w:rPr>
      </w:pPr>
    </w:p>
    <w:p w14:paraId="5B8DC6FE" w14:textId="207D8B59" w:rsidR="009878F3" w:rsidRPr="007F04EF" w:rsidRDefault="009878F3" w:rsidP="00751769">
      <w:pPr>
        <w:jc w:val="both"/>
        <w:rPr>
          <w:lang w:val="en-GB"/>
        </w:rPr>
      </w:pPr>
      <w:r w:rsidRPr="007F04EF">
        <w:rPr>
          <w:lang w:val="en-GB"/>
        </w:rPr>
        <w:t>Unfortunately, there are also counterfeit and unauthori</w:t>
      </w:r>
      <w:r w:rsidR="007C6D7B" w:rsidRPr="007F04EF">
        <w:rPr>
          <w:lang w:val="en-GB"/>
        </w:rPr>
        <w:t>s</w:t>
      </w:r>
      <w:r w:rsidRPr="007F04EF">
        <w:rPr>
          <w:lang w:val="en-GB"/>
        </w:rPr>
        <w:t>ed PPP</w:t>
      </w:r>
      <w:r w:rsidR="007C6D7B" w:rsidRPr="007F04EF">
        <w:rPr>
          <w:lang w:val="en-GB"/>
        </w:rPr>
        <w:t>s</w:t>
      </w:r>
      <w:r w:rsidRPr="007F04EF">
        <w:rPr>
          <w:lang w:val="en-GB"/>
        </w:rPr>
        <w:t xml:space="preserve"> in circulation, which are sold at a much lower price than </w:t>
      </w:r>
      <w:r w:rsidR="00962654" w:rsidRPr="007F04EF">
        <w:rPr>
          <w:lang w:val="en-GB"/>
        </w:rPr>
        <w:t xml:space="preserve">the </w:t>
      </w:r>
      <w:r w:rsidRPr="007F04EF">
        <w:rPr>
          <w:lang w:val="en-GB"/>
        </w:rPr>
        <w:t xml:space="preserve">officially authorised PPPs. </w:t>
      </w:r>
      <w:r w:rsidR="00C65B31" w:rsidRPr="007F04EF">
        <w:rPr>
          <w:lang w:val="en-GB"/>
        </w:rPr>
        <w:t xml:space="preserve">Such </w:t>
      </w:r>
      <w:r w:rsidRPr="007F04EF">
        <w:rPr>
          <w:lang w:val="en-GB"/>
        </w:rPr>
        <w:t>counterfeits</w:t>
      </w:r>
      <w:r w:rsidR="00C65B31" w:rsidRPr="007F04EF">
        <w:rPr>
          <w:lang w:val="en-GB"/>
        </w:rPr>
        <w:t xml:space="preserve"> are subject to criminal prosecution by </w:t>
      </w:r>
      <w:r w:rsidRPr="007F04EF">
        <w:rPr>
          <w:lang w:val="en-GB"/>
        </w:rPr>
        <w:t xml:space="preserve">the EC and </w:t>
      </w:r>
      <w:r w:rsidR="00C65B31" w:rsidRPr="007F04EF">
        <w:rPr>
          <w:lang w:val="en-GB"/>
        </w:rPr>
        <w:t xml:space="preserve">the EU </w:t>
      </w:r>
      <w:r w:rsidRPr="007F04EF">
        <w:rPr>
          <w:lang w:val="en-GB"/>
        </w:rPr>
        <w:t xml:space="preserve">Member </w:t>
      </w:r>
      <w:r w:rsidR="00C65B31" w:rsidRPr="007F04EF">
        <w:rPr>
          <w:lang w:val="en-GB"/>
        </w:rPr>
        <w:t>S</w:t>
      </w:r>
      <w:r w:rsidRPr="007F04EF">
        <w:rPr>
          <w:lang w:val="en-GB"/>
        </w:rPr>
        <w:t>tates.</w:t>
      </w:r>
      <w:r w:rsidR="00C65B31" w:rsidRPr="007F04EF">
        <w:rPr>
          <w:lang w:val="en-GB"/>
        </w:rPr>
        <w:t xml:space="preserve"> </w:t>
      </w:r>
      <w:r w:rsidRPr="007F04EF">
        <w:rPr>
          <w:lang w:val="en-GB"/>
        </w:rPr>
        <w:t>They are placed on the market for high earnings only,</w:t>
      </w:r>
      <w:r w:rsidR="00C65B31" w:rsidRPr="007F04EF">
        <w:rPr>
          <w:lang w:val="en-GB"/>
        </w:rPr>
        <w:t xml:space="preserve"> whilst </w:t>
      </w:r>
      <w:r w:rsidRPr="007F04EF">
        <w:rPr>
          <w:lang w:val="en-GB"/>
        </w:rPr>
        <w:t xml:space="preserve">their composition, efficacy and impact on health and the environment </w:t>
      </w:r>
      <w:r w:rsidR="00C65B31" w:rsidRPr="007F04EF">
        <w:rPr>
          <w:lang w:val="en-GB"/>
        </w:rPr>
        <w:t>fail t</w:t>
      </w:r>
      <w:r w:rsidRPr="007F04EF">
        <w:rPr>
          <w:lang w:val="en-GB"/>
        </w:rPr>
        <w:t>o</w:t>
      </w:r>
      <w:r w:rsidR="00C65B31" w:rsidRPr="007F04EF">
        <w:rPr>
          <w:lang w:val="en-GB"/>
        </w:rPr>
        <w:t xml:space="preserve"> </w:t>
      </w:r>
      <w:r w:rsidRPr="007F04EF">
        <w:rPr>
          <w:lang w:val="en-GB"/>
        </w:rPr>
        <w:t xml:space="preserve">meet the standards required by </w:t>
      </w:r>
      <w:r w:rsidR="00C65B31" w:rsidRPr="007F04EF">
        <w:rPr>
          <w:lang w:val="en-GB"/>
        </w:rPr>
        <w:t xml:space="preserve">the </w:t>
      </w:r>
      <w:r w:rsidRPr="007F04EF">
        <w:rPr>
          <w:lang w:val="en-GB"/>
        </w:rPr>
        <w:t>law. They are mostly harmful</w:t>
      </w:r>
      <w:r w:rsidR="00C65B31" w:rsidRPr="007F04EF">
        <w:rPr>
          <w:lang w:val="en-GB"/>
        </w:rPr>
        <w:t xml:space="preserve">, </w:t>
      </w:r>
      <w:r w:rsidRPr="007F04EF">
        <w:rPr>
          <w:lang w:val="en-GB"/>
        </w:rPr>
        <w:t>or completely ineffective.</w:t>
      </w:r>
    </w:p>
    <w:p w14:paraId="42B9BED0" w14:textId="77777777" w:rsidR="003002DD" w:rsidRPr="007F04EF" w:rsidRDefault="003002DD" w:rsidP="00751769">
      <w:pPr>
        <w:jc w:val="both"/>
        <w:rPr>
          <w:lang w:val="en-GB"/>
        </w:rPr>
      </w:pPr>
    </w:p>
    <w:p w14:paraId="6917E3E0" w14:textId="6B266D81" w:rsidR="009878F3" w:rsidRPr="007F04EF" w:rsidRDefault="009878F3" w:rsidP="00751769">
      <w:pPr>
        <w:jc w:val="both"/>
        <w:rPr>
          <w:lang w:val="en-GB"/>
        </w:rPr>
      </w:pPr>
      <w:r w:rsidRPr="007F04EF">
        <w:rPr>
          <w:lang w:val="en-GB"/>
        </w:rPr>
        <w:t>In</w:t>
      </w:r>
      <w:r w:rsidR="00C65B31" w:rsidRPr="007F04EF">
        <w:rPr>
          <w:lang w:val="en-GB"/>
        </w:rPr>
        <w:t xml:space="preserve"> conducting the inspection and </w:t>
      </w:r>
      <w:r w:rsidRPr="007F04EF">
        <w:rPr>
          <w:lang w:val="en-GB"/>
        </w:rPr>
        <w:t>control of</w:t>
      </w:r>
      <w:r w:rsidR="00D759DC" w:rsidRPr="007F04EF">
        <w:rPr>
          <w:lang w:val="en-GB"/>
        </w:rPr>
        <w:t xml:space="preserve"> PPP</w:t>
      </w:r>
      <w:r w:rsidR="00C65B31" w:rsidRPr="007F04EF">
        <w:rPr>
          <w:lang w:val="en-GB"/>
        </w:rPr>
        <w:t xml:space="preserve">s on domestic </w:t>
      </w:r>
      <w:r w:rsidR="00D759DC" w:rsidRPr="007F04EF">
        <w:rPr>
          <w:lang w:val="en-GB"/>
        </w:rPr>
        <w:t>market</w:t>
      </w:r>
      <w:r w:rsidRPr="007F04EF">
        <w:rPr>
          <w:lang w:val="en-GB"/>
        </w:rPr>
        <w:t>,</w:t>
      </w:r>
      <w:r w:rsidR="00C65B31" w:rsidRPr="007F04EF">
        <w:rPr>
          <w:lang w:val="en-GB"/>
        </w:rPr>
        <w:t xml:space="preserve"> </w:t>
      </w:r>
      <w:r w:rsidRPr="007F04EF">
        <w:rPr>
          <w:lang w:val="en-GB"/>
        </w:rPr>
        <w:t>the A</w:t>
      </w:r>
      <w:r w:rsidR="0097718F" w:rsidRPr="007F04EF">
        <w:rPr>
          <w:lang w:val="en-GB"/>
        </w:rPr>
        <w:t xml:space="preserve">FSVSPP </w:t>
      </w:r>
      <w:r w:rsidRPr="007F04EF">
        <w:rPr>
          <w:lang w:val="en-GB"/>
        </w:rPr>
        <w:t>inspect</w:t>
      </w:r>
      <w:r w:rsidR="0097718F" w:rsidRPr="007F04EF">
        <w:rPr>
          <w:lang w:val="en-GB"/>
        </w:rPr>
        <w:t xml:space="preserve">ors </w:t>
      </w:r>
      <w:r w:rsidRPr="007F04EF">
        <w:rPr>
          <w:lang w:val="en-GB"/>
        </w:rPr>
        <w:t xml:space="preserve">seized small quantities of unauthorized </w:t>
      </w:r>
      <w:r w:rsidR="00D759DC" w:rsidRPr="007F04EF">
        <w:rPr>
          <w:lang w:val="en-GB"/>
        </w:rPr>
        <w:t>PPP</w:t>
      </w:r>
      <w:r w:rsidR="00C65B31" w:rsidRPr="007F04EF">
        <w:rPr>
          <w:lang w:val="en-GB"/>
        </w:rPr>
        <w:t>s, which we</w:t>
      </w:r>
      <w:r w:rsidRPr="007F04EF">
        <w:rPr>
          <w:lang w:val="en-GB"/>
        </w:rPr>
        <w:t>re estimate</w:t>
      </w:r>
      <w:r w:rsidR="00C65B31" w:rsidRPr="007F04EF">
        <w:rPr>
          <w:lang w:val="en-GB"/>
        </w:rPr>
        <w:t>d</w:t>
      </w:r>
      <w:r w:rsidR="00F955D9" w:rsidRPr="007F04EF">
        <w:rPr>
          <w:lang w:val="en-GB"/>
        </w:rPr>
        <w:t xml:space="preserve"> only</w:t>
      </w:r>
      <w:r w:rsidR="00C65B31" w:rsidRPr="007F04EF">
        <w:rPr>
          <w:lang w:val="en-GB"/>
        </w:rPr>
        <w:t xml:space="preserve">, </w:t>
      </w:r>
      <w:r w:rsidRPr="007F04EF">
        <w:rPr>
          <w:lang w:val="en-GB"/>
        </w:rPr>
        <w:t>as</w:t>
      </w:r>
      <w:r w:rsidR="00C65B31" w:rsidRPr="007F04EF">
        <w:rPr>
          <w:lang w:val="en-GB"/>
        </w:rPr>
        <w:t xml:space="preserve"> certain </w:t>
      </w:r>
      <w:r w:rsidRPr="007F04EF">
        <w:rPr>
          <w:lang w:val="en-GB"/>
        </w:rPr>
        <w:t>packages</w:t>
      </w:r>
      <w:r w:rsidR="00C65B31" w:rsidRPr="007F04EF">
        <w:rPr>
          <w:lang w:val="en-GB"/>
        </w:rPr>
        <w:t xml:space="preserve"> had been </w:t>
      </w:r>
      <w:r w:rsidRPr="007F04EF">
        <w:rPr>
          <w:lang w:val="en-GB"/>
        </w:rPr>
        <w:t>opened and not</w:t>
      </w:r>
      <w:r w:rsidR="00C65B31" w:rsidRPr="007F04EF">
        <w:rPr>
          <w:lang w:val="en-GB"/>
        </w:rPr>
        <w:t xml:space="preserve"> </w:t>
      </w:r>
      <w:r w:rsidR="00F955D9" w:rsidRPr="007F04EF">
        <w:rPr>
          <w:lang w:val="en-GB"/>
        </w:rPr>
        <w:t>full</w:t>
      </w:r>
      <w:r w:rsidRPr="007F04EF">
        <w:rPr>
          <w:lang w:val="en-GB"/>
        </w:rPr>
        <w:t>.</w:t>
      </w:r>
    </w:p>
    <w:p w14:paraId="47CC58EC" w14:textId="77777777" w:rsidR="003002DD" w:rsidRPr="007F04EF" w:rsidRDefault="003002DD" w:rsidP="00751769">
      <w:pPr>
        <w:jc w:val="both"/>
        <w:rPr>
          <w:lang w:val="en-GB"/>
        </w:rPr>
      </w:pPr>
    </w:p>
    <w:p w14:paraId="0BFD1C56" w14:textId="564A96E7" w:rsidR="009878F3" w:rsidRPr="007F04EF" w:rsidRDefault="009878F3" w:rsidP="00751769">
      <w:pPr>
        <w:jc w:val="both"/>
        <w:rPr>
          <w:lang w:val="en-GB"/>
        </w:rPr>
      </w:pPr>
      <w:r w:rsidRPr="007F04EF">
        <w:rPr>
          <w:lang w:val="en-GB"/>
        </w:rPr>
        <w:t>In 2020, 2 kg</w:t>
      </w:r>
      <w:r w:rsidR="00F955D9" w:rsidRPr="007F04EF">
        <w:rPr>
          <w:lang w:val="en-GB"/>
        </w:rPr>
        <w:t>s</w:t>
      </w:r>
      <w:r w:rsidRPr="007F04EF">
        <w:rPr>
          <w:lang w:val="en-GB"/>
        </w:rPr>
        <w:t xml:space="preserve"> of illegal </w:t>
      </w:r>
      <w:r w:rsidR="00D759DC" w:rsidRPr="007F04EF">
        <w:rPr>
          <w:lang w:val="en-GB"/>
        </w:rPr>
        <w:t>PPP</w:t>
      </w:r>
      <w:r w:rsidR="00FC0AB4" w:rsidRPr="007F04EF">
        <w:rPr>
          <w:lang w:val="en-GB"/>
        </w:rPr>
        <w:t>s</w:t>
      </w:r>
      <w:r w:rsidRPr="007F04EF">
        <w:rPr>
          <w:lang w:val="en-GB"/>
        </w:rPr>
        <w:t xml:space="preserve"> were seized </w:t>
      </w:r>
      <w:r w:rsidR="00D759DC" w:rsidRPr="007F04EF">
        <w:rPr>
          <w:lang w:val="en-GB"/>
        </w:rPr>
        <w:t>from the market</w:t>
      </w:r>
      <w:r w:rsidRPr="007F04EF">
        <w:rPr>
          <w:lang w:val="en-GB"/>
        </w:rPr>
        <w:t>,</w:t>
      </w:r>
      <w:r w:rsidR="00F955D9" w:rsidRPr="007F04EF">
        <w:rPr>
          <w:lang w:val="en-GB"/>
        </w:rPr>
        <w:t xml:space="preserve"> </w:t>
      </w:r>
      <w:r w:rsidRPr="007F04EF">
        <w:rPr>
          <w:lang w:val="en-GB"/>
        </w:rPr>
        <w:t>15 kg</w:t>
      </w:r>
      <w:r w:rsidR="00F955D9" w:rsidRPr="007F04EF">
        <w:rPr>
          <w:lang w:val="en-GB"/>
        </w:rPr>
        <w:t>s</w:t>
      </w:r>
      <w:r w:rsidRPr="007F04EF">
        <w:rPr>
          <w:lang w:val="en-GB"/>
        </w:rPr>
        <w:t xml:space="preserve"> in 2021 </w:t>
      </w:r>
      <w:r w:rsidR="00D759DC" w:rsidRPr="007F04EF">
        <w:rPr>
          <w:lang w:val="en-GB"/>
        </w:rPr>
        <w:t>from PPP</w:t>
      </w:r>
      <w:r w:rsidR="00F955D9" w:rsidRPr="007F04EF">
        <w:rPr>
          <w:lang w:val="en-GB"/>
        </w:rPr>
        <w:t>-</w:t>
      </w:r>
      <w:r w:rsidRPr="007F04EF">
        <w:rPr>
          <w:lang w:val="en-GB"/>
        </w:rPr>
        <w:t>user</w:t>
      </w:r>
      <w:r w:rsidR="004B006E" w:rsidRPr="007F04EF">
        <w:rPr>
          <w:lang w:val="en-GB"/>
        </w:rPr>
        <w:t>s</w:t>
      </w:r>
      <w:r w:rsidR="00F955D9" w:rsidRPr="007F04EF">
        <w:rPr>
          <w:lang w:val="en-GB"/>
        </w:rPr>
        <w:t xml:space="preserve">, </w:t>
      </w:r>
      <w:r w:rsidRPr="007F04EF">
        <w:rPr>
          <w:lang w:val="en-GB"/>
        </w:rPr>
        <w:t>and 32 kg</w:t>
      </w:r>
      <w:r w:rsidR="00F955D9" w:rsidRPr="007F04EF">
        <w:rPr>
          <w:lang w:val="en-GB"/>
        </w:rPr>
        <w:t xml:space="preserve">s </w:t>
      </w:r>
      <w:r w:rsidRPr="007F04EF">
        <w:rPr>
          <w:lang w:val="en-GB"/>
        </w:rPr>
        <w:t>in 2022</w:t>
      </w:r>
      <w:r w:rsidR="00F955D9" w:rsidRPr="007F04EF">
        <w:rPr>
          <w:lang w:val="en-GB"/>
        </w:rPr>
        <w:t xml:space="preserve"> </w:t>
      </w:r>
      <w:r w:rsidRPr="007F04EF">
        <w:rPr>
          <w:lang w:val="en-GB"/>
        </w:rPr>
        <w:t xml:space="preserve">from a </w:t>
      </w:r>
      <w:r w:rsidR="00F955D9" w:rsidRPr="007F04EF">
        <w:rPr>
          <w:lang w:val="en-GB"/>
        </w:rPr>
        <w:t xml:space="preserve">natural </w:t>
      </w:r>
      <w:r w:rsidRPr="007F04EF">
        <w:rPr>
          <w:lang w:val="en-GB"/>
        </w:rPr>
        <w:t>person (</w:t>
      </w:r>
      <w:r w:rsidR="00D759DC" w:rsidRPr="007F04EF">
        <w:rPr>
          <w:lang w:val="en-GB"/>
        </w:rPr>
        <w:t>illegal</w:t>
      </w:r>
      <w:r w:rsidRPr="007F04EF">
        <w:rPr>
          <w:lang w:val="en-GB"/>
        </w:rPr>
        <w:t xml:space="preserve"> trade). All </w:t>
      </w:r>
      <w:r w:rsidR="00F955D9" w:rsidRPr="007F04EF">
        <w:rPr>
          <w:lang w:val="en-GB"/>
        </w:rPr>
        <w:t xml:space="preserve">the </w:t>
      </w:r>
      <w:r w:rsidR="00D759DC" w:rsidRPr="007F04EF">
        <w:rPr>
          <w:lang w:val="en-GB"/>
        </w:rPr>
        <w:t>PPPs</w:t>
      </w:r>
      <w:r w:rsidRPr="007F04EF">
        <w:rPr>
          <w:lang w:val="en-GB"/>
        </w:rPr>
        <w:t xml:space="preserve"> </w:t>
      </w:r>
      <w:r w:rsidR="00F955D9" w:rsidRPr="007F04EF">
        <w:rPr>
          <w:lang w:val="en-GB"/>
        </w:rPr>
        <w:t xml:space="preserve">that </w:t>
      </w:r>
      <w:r w:rsidRPr="007F04EF">
        <w:rPr>
          <w:lang w:val="en-GB"/>
        </w:rPr>
        <w:t>were</w:t>
      </w:r>
      <w:r w:rsidR="00F955D9" w:rsidRPr="007F04EF">
        <w:rPr>
          <w:lang w:val="en-GB"/>
        </w:rPr>
        <w:t xml:space="preserve"> seized were submitted </w:t>
      </w:r>
      <w:r w:rsidRPr="007F04EF">
        <w:rPr>
          <w:lang w:val="en-GB"/>
        </w:rPr>
        <w:t>for destruction.</w:t>
      </w:r>
    </w:p>
    <w:p w14:paraId="191BCFA6" w14:textId="0C201BB0" w:rsidR="00043B49" w:rsidRPr="007F04EF" w:rsidRDefault="00941A53" w:rsidP="00602CBE">
      <w:pPr>
        <w:pStyle w:val="Naslov3"/>
        <w:rPr>
          <w:lang w:val="en-GB"/>
        </w:rPr>
      </w:pPr>
      <w:bookmarkStart w:id="43" w:name="_Toc172027299"/>
      <w:bookmarkStart w:id="44" w:name="_Ref530650001"/>
      <w:bookmarkStart w:id="45" w:name="_Toc146287368"/>
      <w:bookmarkEnd w:id="42"/>
      <w:r w:rsidRPr="007F04EF">
        <w:rPr>
          <w:lang w:val="en-GB"/>
        </w:rPr>
        <w:t>Samples</w:t>
      </w:r>
      <w:r w:rsidR="00C97707" w:rsidRPr="007F04EF">
        <w:rPr>
          <w:lang w:val="en-GB"/>
        </w:rPr>
        <w:t xml:space="preserve"> of agricultural produce and food with exceeded pesticide residues</w:t>
      </w:r>
      <w:bookmarkEnd w:id="43"/>
      <w:r w:rsidR="00602CBE" w:rsidRPr="007F04EF">
        <w:rPr>
          <w:lang w:val="en-GB"/>
        </w:rPr>
        <w:t xml:space="preserve"> </w:t>
      </w:r>
      <w:bookmarkEnd w:id="44"/>
      <w:bookmarkEnd w:id="45"/>
    </w:p>
    <w:p w14:paraId="7B11CE23" w14:textId="77777777" w:rsidR="00751769" w:rsidRPr="007F04EF" w:rsidRDefault="00751769" w:rsidP="00B34440">
      <w:pPr>
        <w:rPr>
          <w:lang w:val="en-GB"/>
        </w:rPr>
      </w:pPr>
    </w:p>
    <w:p w14:paraId="2B301AA3" w14:textId="3B20F989" w:rsidR="00B34440" w:rsidRPr="007F04EF" w:rsidRDefault="00B34440" w:rsidP="005A3ECC">
      <w:pPr>
        <w:jc w:val="both"/>
        <w:rPr>
          <w:lang w:val="en-GB"/>
        </w:rPr>
      </w:pPr>
      <w:r w:rsidRPr="007F04EF">
        <w:rPr>
          <w:lang w:val="en-GB"/>
        </w:rPr>
        <w:t xml:space="preserve">Regulation (EC) 396/2005 on maximum residue levels of pesticides in or on food and feed of plant and animal origin regulates pesticide residues </w:t>
      </w:r>
      <w:r w:rsidR="00203E7D" w:rsidRPr="007F04EF">
        <w:rPr>
          <w:lang w:val="en-GB"/>
        </w:rPr>
        <w:t>i</w:t>
      </w:r>
      <w:r w:rsidRPr="007F04EF">
        <w:rPr>
          <w:lang w:val="en-GB"/>
        </w:rPr>
        <w:t xml:space="preserve">n food and feed in </w:t>
      </w:r>
      <w:r w:rsidR="002B07FE" w:rsidRPr="007F04EF">
        <w:rPr>
          <w:lang w:val="en-GB"/>
        </w:rPr>
        <w:t xml:space="preserve">the </w:t>
      </w:r>
      <w:r w:rsidRPr="007F04EF">
        <w:rPr>
          <w:lang w:val="en-GB"/>
        </w:rPr>
        <w:t>EU.</w:t>
      </w:r>
    </w:p>
    <w:p w14:paraId="1F967BCA" w14:textId="77777777" w:rsidR="00751769" w:rsidRPr="007F04EF" w:rsidRDefault="00751769" w:rsidP="005A3ECC">
      <w:pPr>
        <w:jc w:val="both"/>
        <w:rPr>
          <w:lang w:val="en-GB"/>
        </w:rPr>
      </w:pPr>
    </w:p>
    <w:p w14:paraId="6F7AB335" w14:textId="244EF148" w:rsidR="00B34440" w:rsidRPr="007F04EF" w:rsidRDefault="00B34440" w:rsidP="005A3ECC">
      <w:pPr>
        <w:jc w:val="both"/>
        <w:rPr>
          <w:lang w:val="en-GB"/>
        </w:rPr>
      </w:pPr>
      <w:r w:rsidRPr="007F04EF">
        <w:rPr>
          <w:lang w:val="en-GB"/>
        </w:rPr>
        <w:t>Slovenia controls pesticide residues implementing a multi-year national control program, which is coordinated with the EU multi-year control program. Agricultural products and foods of plant and animal origin are sampled.</w:t>
      </w:r>
    </w:p>
    <w:p w14:paraId="0A078120" w14:textId="77777777" w:rsidR="00751769" w:rsidRPr="007F04EF" w:rsidRDefault="00751769" w:rsidP="005A3ECC">
      <w:pPr>
        <w:jc w:val="both"/>
        <w:rPr>
          <w:lang w:val="en-GB"/>
        </w:rPr>
      </w:pPr>
    </w:p>
    <w:p w14:paraId="387D82D5" w14:textId="1D59D2D7" w:rsidR="00B34440" w:rsidRPr="007F04EF" w:rsidRDefault="00B34440" w:rsidP="005A3ECC">
      <w:pPr>
        <w:jc w:val="both"/>
        <w:rPr>
          <w:lang w:val="en-GB"/>
        </w:rPr>
      </w:pPr>
      <w:r w:rsidRPr="007F04EF">
        <w:rPr>
          <w:lang w:val="en-GB"/>
        </w:rPr>
        <w:t xml:space="preserve">Table 5 shows the number of samples taken by year and the proportion of non-compliant samples. </w:t>
      </w:r>
      <w:r w:rsidR="00744D00" w:rsidRPr="007F04EF">
        <w:rPr>
          <w:lang w:val="en-GB"/>
        </w:rPr>
        <w:t>S</w:t>
      </w:r>
      <w:r w:rsidRPr="007F04EF">
        <w:rPr>
          <w:lang w:val="en-GB"/>
        </w:rPr>
        <w:t>amples taken were of Slovenian origin, EU</w:t>
      </w:r>
      <w:r w:rsidR="00744D00" w:rsidRPr="007F04EF">
        <w:rPr>
          <w:lang w:val="en-GB"/>
        </w:rPr>
        <w:t>-</w:t>
      </w:r>
      <w:r w:rsidRPr="007F04EF">
        <w:rPr>
          <w:lang w:val="en-GB"/>
        </w:rPr>
        <w:t>origin</w:t>
      </w:r>
      <w:r w:rsidR="00744D00" w:rsidRPr="007F04EF">
        <w:rPr>
          <w:lang w:val="en-GB"/>
        </w:rPr>
        <w:t>,</w:t>
      </w:r>
      <w:r w:rsidRPr="007F04EF">
        <w:rPr>
          <w:lang w:val="en-GB"/>
        </w:rPr>
        <w:t xml:space="preserve"> and </w:t>
      </w:r>
      <w:r w:rsidR="00744D00" w:rsidRPr="007F04EF">
        <w:rPr>
          <w:lang w:val="en-GB"/>
        </w:rPr>
        <w:t xml:space="preserve">third-country </w:t>
      </w:r>
      <w:r w:rsidRPr="007F04EF">
        <w:rPr>
          <w:lang w:val="en-GB"/>
        </w:rPr>
        <w:t>origin</w:t>
      </w:r>
      <w:r w:rsidR="002B07FE" w:rsidRPr="007F04EF">
        <w:rPr>
          <w:lang w:val="en-GB"/>
        </w:rPr>
        <w:t>.</w:t>
      </w:r>
    </w:p>
    <w:p w14:paraId="33C01399" w14:textId="77777777" w:rsidR="00751769" w:rsidRPr="007F04EF" w:rsidRDefault="00751769" w:rsidP="00B34440">
      <w:pPr>
        <w:rPr>
          <w:lang w:val="en-GB"/>
        </w:rPr>
      </w:pPr>
    </w:p>
    <w:p w14:paraId="399DA0CF" w14:textId="26F9A0AA" w:rsidR="00043B49" w:rsidRPr="007F04EF" w:rsidRDefault="00A76F90" w:rsidP="00DC3204">
      <w:pPr>
        <w:pStyle w:val="Napis"/>
        <w:rPr>
          <w:rFonts w:cs="Arial"/>
          <w:sz w:val="20"/>
          <w:szCs w:val="20"/>
          <w:lang w:val="en-GB"/>
        </w:rPr>
      </w:pPr>
      <w:bookmarkStart w:id="46" w:name="_Toc149824895"/>
      <w:bookmarkStart w:id="47" w:name="_Toc149825604"/>
      <w:bookmarkStart w:id="48" w:name="_Toc151116353"/>
      <w:bookmarkStart w:id="49" w:name="_Toc152153148"/>
      <w:bookmarkStart w:id="50" w:name="_Toc161657867"/>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5</w:t>
      </w:r>
      <w:r w:rsidR="00DC3204" w:rsidRPr="007F04EF">
        <w:rPr>
          <w:rFonts w:cs="Arial"/>
          <w:sz w:val="20"/>
          <w:szCs w:val="20"/>
          <w:lang w:val="en-GB"/>
        </w:rPr>
        <w:fldChar w:fldCharType="end"/>
      </w:r>
      <w:r w:rsidR="00043B49" w:rsidRPr="007F04EF">
        <w:rPr>
          <w:rFonts w:cs="Arial"/>
          <w:sz w:val="20"/>
          <w:szCs w:val="20"/>
          <w:lang w:val="en-GB"/>
        </w:rPr>
        <w:t xml:space="preserve">: </w:t>
      </w:r>
      <w:r w:rsidRPr="007F04EF">
        <w:rPr>
          <w:rFonts w:cs="Arial"/>
          <w:sz w:val="20"/>
          <w:szCs w:val="20"/>
          <w:lang w:val="en-GB"/>
        </w:rPr>
        <w:t>Number of samples in the national</w:t>
      </w:r>
      <w:r w:rsidR="00043B49" w:rsidRPr="007F04EF">
        <w:rPr>
          <w:rFonts w:cs="Arial"/>
          <w:sz w:val="20"/>
          <w:szCs w:val="20"/>
          <w:lang w:val="en-GB"/>
        </w:rPr>
        <w:t xml:space="preserve"> program</w:t>
      </w:r>
      <w:r w:rsidR="008D2F3C" w:rsidRPr="007F04EF">
        <w:rPr>
          <w:rFonts w:cs="Arial"/>
          <w:sz w:val="20"/>
          <w:szCs w:val="20"/>
          <w:lang w:val="en-GB"/>
        </w:rPr>
        <w:t xml:space="preserve"> </w:t>
      </w:r>
      <w:r w:rsidRPr="007F04EF">
        <w:rPr>
          <w:rFonts w:cs="Arial"/>
          <w:sz w:val="20"/>
          <w:szCs w:val="20"/>
          <w:lang w:val="en-GB"/>
        </w:rPr>
        <w:t>and</w:t>
      </w:r>
      <w:bookmarkEnd w:id="46"/>
      <w:bookmarkEnd w:id="47"/>
      <w:bookmarkEnd w:id="48"/>
      <w:bookmarkEnd w:id="49"/>
      <w:r w:rsidRPr="007F04EF">
        <w:rPr>
          <w:rFonts w:cs="Arial"/>
          <w:sz w:val="20"/>
          <w:szCs w:val="20"/>
          <w:lang w:val="en-GB"/>
        </w:rPr>
        <w:t xml:space="preserve"> percentages of non-compliant samples</w:t>
      </w:r>
      <w:bookmarkEnd w:id="50"/>
      <w:r w:rsidR="0027315A" w:rsidRPr="007F04EF">
        <w:rPr>
          <w:rStyle w:val="Sprotnaopomba-sklic"/>
          <w:rFonts w:cs="Arial"/>
          <w:sz w:val="20"/>
          <w:szCs w:val="20"/>
          <w:lang w:val="en-GB"/>
        </w:rPr>
        <w:footnoteReference w:id="12"/>
      </w:r>
    </w:p>
    <w:p w14:paraId="640BF070" w14:textId="77777777" w:rsidR="00751769" w:rsidRPr="007F04EF" w:rsidRDefault="00751769" w:rsidP="00751769">
      <w:pPr>
        <w:rPr>
          <w:lang w:val="en-GB"/>
        </w:rPr>
      </w:pP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34"/>
        <w:gridCol w:w="1057"/>
        <w:gridCol w:w="1057"/>
        <w:gridCol w:w="1058"/>
        <w:gridCol w:w="1060"/>
        <w:gridCol w:w="1060"/>
      </w:tblGrid>
      <w:tr w:rsidR="00043B49" w:rsidRPr="007F04EF" w14:paraId="0B3788BD" w14:textId="77777777" w:rsidTr="00FC0AB4">
        <w:trPr>
          <w:trHeight w:val="305"/>
        </w:trPr>
        <w:tc>
          <w:tcPr>
            <w:tcW w:w="1967" w:type="pct"/>
            <w:shd w:val="clear" w:color="auto" w:fill="auto"/>
            <w:noWrap/>
            <w:vAlign w:val="bottom"/>
            <w:hideMark/>
          </w:tcPr>
          <w:p w14:paraId="6F2EE855" w14:textId="7C3558F6" w:rsidR="00043B49" w:rsidRPr="007F04EF" w:rsidRDefault="00EB1BD8" w:rsidP="00043B49">
            <w:pPr>
              <w:rPr>
                <w:rFonts w:eastAsia="Times New Roman" w:cs="Arial"/>
                <w:color w:val="000000"/>
                <w:lang w:val="en-GB"/>
              </w:rPr>
            </w:pPr>
            <w:r w:rsidRPr="007F04EF">
              <w:rPr>
                <w:rFonts w:eastAsia="Times New Roman" w:cs="Arial"/>
                <w:color w:val="000000"/>
                <w:lang w:val="en-GB"/>
              </w:rPr>
              <w:t>Year</w:t>
            </w:r>
          </w:p>
        </w:tc>
        <w:tc>
          <w:tcPr>
            <w:tcW w:w="606" w:type="pct"/>
            <w:shd w:val="clear" w:color="auto" w:fill="auto"/>
            <w:noWrap/>
            <w:vAlign w:val="bottom"/>
            <w:hideMark/>
          </w:tcPr>
          <w:p w14:paraId="7593FB7D"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2018</w:t>
            </w:r>
          </w:p>
        </w:tc>
        <w:tc>
          <w:tcPr>
            <w:tcW w:w="606" w:type="pct"/>
            <w:shd w:val="clear" w:color="auto" w:fill="auto"/>
            <w:noWrap/>
            <w:vAlign w:val="bottom"/>
            <w:hideMark/>
          </w:tcPr>
          <w:p w14:paraId="4923D8EE"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2019</w:t>
            </w:r>
          </w:p>
        </w:tc>
        <w:tc>
          <w:tcPr>
            <w:tcW w:w="606" w:type="pct"/>
            <w:shd w:val="clear" w:color="auto" w:fill="auto"/>
            <w:noWrap/>
            <w:vAlign w:val="bottom"/>
            <w:hideMark/>
          </w:tcPr>
          <w:p w14:paraId="7F45F94D"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2020</w:t>
            </w:r>
          </w:p>
        </w:tc>
        <w:tc>
          <w:tcPr>
            <w:tcW w:w="607" w:type="pct"/>
            <w:shd w:val="clear" w:color="auto" w:fill="auto"/>
            <w:noWrap/>
            <w:vAlign w:val="bottom"/>
            <w:hideMark/>
          </w:tcPr>
          <w:p w14:paraId="3A79ECD1"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2021</w:t>
            </w:r>
          </w:p>
        </w:tc>
        <w:tc>
          <w:tcPr>
            <w:tcW w:w="607" w:type="pct"/>
            <w:shd w:val="clear" w:color="auto" w:fill="auto"/>
            <w:noWrap/>
            <w:vAlign w:val="bottom"/>
            <w:hideMark/>
          </w:tcPr>
          <w:p w14:paraId="727EF2DA" w14:textId="1564DA02"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2022*</w:t>
            </w:r>
          </w:p>
        </w:tc>
      </w:tr>
      <w:tr w:rsidR="00043B49" w:rsidRPr="007F04EF" w14:paraId="6BABEFD0" w14:textId="77777777" w:rsidTr="00FC0AB4">
        <w:trPr>
          <w:trHeight w:val="305"/>
        </w:trPr>
        <w:tc>
          <w:tcPr>
            <w:tcW w:w="1967" w:type="pct"/>
            <w:shd w:val="clear" w:color="auto" w:fill="auto"/>
            <w:noWrap/>
            <w:vAlign w:val="bottom"/>
            <w:hideMark/>
          </w:tcPr>
          <w:p w14:paraId="6C8571BB" w14:textId="2678B3ED" w:rsidR="00043B49" w:rsidRPr="007F04EF" w:rsidRDefault="00EB1BD8" w:rsidP="00043B49">
            <w:pPr>
              <w:rPr>
                <w:rFonts w:eastAsia="Times New Roman" w:cs="Arial"/>
                <w:color w:val="000000"/>
                <w:lang w:val="en-GB"/>
              </w:rPr>
            </w:pPr>
            <w:r w:rsidRPr="007F04EF">
              <w:rPr>
                <w:rFonts w:eastAsia="Times New Roman" w:cs="Arial"/>
                <w:color w:val="000000"/>
                <w:lang w:val="en-GB"/>
              </w:rPr>
              <w:t>No. of samples</w:t>
            </w:r>
            <w:r w:rsidR="00043B49" w:rsidRPr="007F04EF">
              <w:rPr>
                <w:rFonts w:eastAsia="Times New Roman" w:cs="Arial"/>
                <w:color w:val="000000"/>
                <w:lang w:val="en-GB"/>
              </w:rPr>
              <w:t xml:space="preserve"> </w:t>
            </w:r>
          </w:p>
        </w:tc>
        <w:tc>
          <w:tcPr>
            <w:tcW w:w="606" w:type="pct"/>
            <w:shd w:val="clear" w:color="auto" w:fill="auto"/>
            <w:noWrap/>
            <w:vAlign w:val="bottom"/>
            <w:hideMark/>
          </w:tcPr>
          <w:p w14:paraId="5669002E"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835</w:t>
            </w:r>
          </w:p>
        </w:tc>
        <w:tc>
          <w:tcPr>
            <w:tcW w:w="606" w:type="pct"/>
            <w:shd w:val="clear" w:color="auto" w:fill="auto"/>
            <w:noWrap/>
            <w:vAlign w:val="bottom"/>
            <w:hideMark/>
          </w:tcPr>
          <w:p w14:paraId="1538B842"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865</w:t>
            </w:r>
          </w:p>
        </w:tc>
        <w:tc>
          <w:tcPr>
            <w:tcW w:w="606" w:type="pct"/>
            <w:shd w:val="clear" w:color="auto" w:fill="auto"/>
            <w:noWrap/>
            <w:vAlign w:val="bottom"/>
            <w:hideMark/>
          </w:tcPr>
          <w:p w14:paraId="3C0183C2"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862</w:t>
            </w:r>
          </w:p>
        </w:tc>
        <w:tc>
          <w:tcPr>
            <w:tcW w:w="607" w:type="pct"/>
            <w:shd w:val="clear" w:color="auto" w:fill="auto"/>
            <w:noWrap/>
            <w:vAlign w:val="bottom"/>
            <w:hideMark/>
          </w:tcPr>
          <w:p w14:paraId="212883C4"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944</w:t>
            </w:r>
          </w:p>
        </w:tc>
        <w:tc>
          <w:tcPr>
            <w:tcW w:w="607" w:type="pct"/>
            <w:shd w:val="clear" w:color="auto" w:fill="auto"/>
            <w:noWrap/>
            <w:vAlign w:val="bottom"/>
            <w:hideMark/>
          </w:tcPr>
          <w:p w14:paraId="2A53CB53"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716</w:t>
            </w:r>
          </w:p>
        </w:tc>
      </w:tr>
      <w:tr w:rsidR="00043B49" w:rsidRPr="007F04EF" w14:paraId="7F0CDBF7" w14:textId="77777777" w:rsidTr="00FC0AB4">
        <w:trPr>
          <w:trHeight w:val="305"/>
        </w:trPr>
        <w:tc>
          <w:tcPr>
            <w:tcW w:w="1967" w:type="pct"/>
            <w:shd w:val="clear" w:color="auto" w:fill="auto"/>
            <w:noWrap/>
            <w:vAlign w:val="bottom"/>
            <w:hideMark/>
          </w:tcPr>
          <w:p w14:paraId="3E1BF566" w14:textId="1D1D2798" w:rsidR="00043B49" w:rsidRPr="007F04EF" w:rsidRDefault="00EB1BD8" w:rsidP="00043B49">
            <w:pPr>
              <w:rPr>
                <w:rFonts w:eastAsia="Times New Roman" w:cs="Arial"/>
                <w:color w:val="000000"/>
                <w:lang w:val="en-GB"/>
              </w:rPr>
            </w:pPr>
            <w:r w:rsidRPr="007F04EF">
              <w:rPr>
                <w:rFonts w:eastAsia="Times New Roman" w:cs="Arial"/>
                <w:color w:val="000000"/>
                <w:lang w:val="en-GB"/>
              </w:rPr>
              <w:t>Percentage of non-compliant samples</w:t>
            </w:r>
          </w:p>
        </w:tc>
        <w:tc>
          <w:tcPr>
            <w:tcW w:w="606" w:type="pct"/>
            <w:shd w:val="clear" w:color="auto" w:fill="auto"/>
            <w:noWrap/>
            <w:vAlign w:val="bottom"/>
            <w:hideMark/>
          </w:tcPr>
          <w:p w14:paraId="51A22731" w14:textId="16E35E4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w:t>
            </w:r>
            <w:r w:rsidR="00744D00" w:rsidRPr="007F04EF">
              <w:rPr>
                <w:rFonts w:eastAsia="Times New Roman" w:cs="Arial"/>
                <w:color w:val="000000"/>
                <w:lang w:val="en-GB"/>
              </w:rPr>
              <w:t>.</w:t>
            </w:r>
            <w:r w:rsidRPr="007F04EF">
              <w:rPr>
                <w:rFonts w:eastAsia="Times New Roman" w:cs="Arial"/>
                <w:color w:val="000000"/>
                <w:lang w:val="en-GB"/>
              </w:rPr>
              <w:t>5</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6" w:type="pct"/>
            <w:shd w:val="clear" w:color="auto" w:fill="auto"/>
            <w:noWrap/>
            <w:vAlign w:val="bottom"/>
            <w:hideMark/>
          </w:tcPr>
          <w:p w14:paraId="54C6542C" w14:textId="6138684C"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w:t>
            </w:r>
            <w:r w:rsidR="00744D00" w:rsidRPr="007F04EF">
              <w:rPr>
                <w:rFonts w:eastAsia="Times New Roman" w:cs="Arial"/>
                <w:color w:val="000000"/>
                <w:lang w:val="en-GB"/>
              </w:rPr>
              <w:t>.</w:t>
            </w:r>
            <w:r w:rsidRPr="007F04EF">
              <w:rPr>
                <w:rFonts w:eastAsia="Times New Roman" w:cs="Arial"/>
                <w:color w:val="000000"/>
                <w:lang w:val="en-GB"/>
              </w:rPr>
              <w:t>7</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6" w:type="pct"/>
            <w:shd w:val="clear" w:color="auto" w:fill="auto"/>
            <w:noWrap/>
            <w:vAlign w:val="bottom"/>
            <w:hideMark/>
          </w:tcPr>
          <w:p w14:paraId="5797FFDD" w14:textId="1EE374C1"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3</w:t>
            </w:r>
            <w:r w:rsidR="00744D00" w:rsidRPr="007F04EF">
              <w:rPr>
                <w:rFonts w:eastAsia="Times New Roman" w:cs="Arial"/>
                <w:color w:val="000000"/>
                <w:lang w:val="en-GB"/>
              </w:rPr>
              <w:t>.</w:t>
            </w:r>
            <w:r w:rsidRPr="007F04EF">
              <w:rPr>
                <w:rFonts w:eastAsia="Times New Roman" w:cs="Arial"/>
                <w:color w:val="000000"/>
                <w:lang w:val="en-GB"/>
              </w:rPr>
              <w:t>9</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7" w:type="pct"/>
            <w:shd w:val="clear" w:color="auto" w:fill="auto"/>
            <w:noWrap/>
            <w:vAlign w:val="bottom"/>
            <w:hideMark/>
          </w:tcPr>
          <w:p w14:paraId="7D3F9FFE" w14:textId="5FB1AE0D"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5</w:t>
            </w:r>
            <w:r w:rsidR="00744D00" w:rsidRPr="007F04EF">
              <w:rPr>
                <w:rFonts w:eastAsia="Times New Roman" w:cs="Arial"/>
                <w:color w:val="000000"/>
                <w:lang w:val="en-GB"/>
              </w:rPr>
              <w:t>.</w:t>
            </w:r>
            <w:r w:rsidRPr="007F04EF">
              <w:rPr>
                <w:rFonts w:eastAsia="Times New Roman" w:cs="Arial"/>
                <w:color w:val="000000"/>
                <w:lang w:val="en-GB"/>
              </w:rPr>
              <w:t>3</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7" w:type="pct"/>
            <w:shd w:val="clear" w:color="auto" w:fill="auto"/>
            <w:noWrap/>
            <w:vAlign w:val="bottom"/>
            <w:hideMark/>
          </w:tcPr>
          <w:p w14:paraId="0CE9C3E5" w14:textId="480F0E74"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w:t>
            </w:r>
            <w:r w:rsidR="00744D00" w:rsidRPr="007F04EF">
              <w:rPr>
                <w:rFonts w:eastAsia="Times New Roman" w:cs="Arial"/>
                <w:color w:val="000000"/>
                <w:lang w:val="en-GB"/>
              </w:rPr>
              <w:t>.</w:t>
            </w:r>
            <w:r w:rsidRPr="007F04EF">
              <w:rPr>
                <w:rFonts w:eastAsia="Times New Roman" w:cs="Arial"/>
                <w:color w:val="000000"/>
                <w:lang w:val="en-GB"/>
              </w:rPr>
              <w:t>1</w:t>
            </w:r>
            <w:r w:rsidR="004D1525" w:rsidRPr="007F04EF">
              <w:rPr>
                <w:rFonts w:eastAsia="Times New Roman" w:cs="Arial"/>
                <w:color w:val="000000"/>
                <w:lang w:val="en-GB"/>
              </w:rPr>
              <w:t xml:space="preserve"> </w:t>
            </w:r>
            <w:r w:rsidRPr="007F04EF">
              <w:rPr>
                <w:rFonts w:eastAsia="Times New Roman" w:cs="Arial"/>
                <w:color w:val="000000"/>
                <w:lang w:val="en-GB"/>
              </w:rPr>
              <w:t>%</w:t>
            </w:r>
          </w:p>
        </w:tc>
      </w:tr>
    </w:tbl>
    <w:p w14:paraId="68E2A617" w14:textId="0A15820C" w:rsidR="00043B49" w:rsidRPr="007F04EF" w:rsidRDefault="00043B49" w:rsidP="00043B49">
      <w:pPr>
        <w:spacing w:beforeLines="60" w:before="144" w:afterLines="60" w:after="144"/>
        <w:contextualSpacing/>
        <w:rPr>
          <w:rFonts w:cs="Arial"/>
          <w:sz w:val="16"/>
          <w:szCs w:val="16"/>
          <w:lang w:val="en-GB"/>
        </w:rPr>
      </w:pPr>
      <w:r w:rsidRPr="007F04EF">
        <w:rPr>
          <w:rFonts w:cs="Arial"/>
          <w:sz w:val="16"/>
          <w:szCs w:val="16"/>
          <w:lang w:val="en-GB"/>
        </w:rPr>
        <w:t xml:space="preserve">* </w:t>
      </w:r>
      <w:proofErr w:type="gramStart"/>
      <w:r w:rsidR="003E47DB" w:rsidRPr="007F04EF">
        <w:rPr>
          <w:rFonts w:cs="Arial"/>
          <w:sz w:val="16"/>
          <w:szCs w:val="16"/>
          <w:lang w:val="en-GB"/>
        </w:rPr>
        <w:t>partial</w:t>
      </w:r>
      <w:proofErr w:type="gramEnd"/>
      <w:r w:rsidR="003E47DB" w:rsidRPr="007F04EF">
        <w:rPr>
          <w:rFonts w:cs="Arial"/>
          <w:sz w:val="16"/>
          <w:szCs w:val="16"/>
          <w:lang w:val="en-GB"/>
        </w:rPr>
        <w:t xml:space="preserve"> A</w:t>
      </w:r>
      <w:r w:rsidR="00744D00" w:rsidRPr="007F04EF">
        <w:rPr>
          <w:rFonts w:cs="Arial"/>
          <w:sz w:val="16"/>
          <w:szCs w:val="16"/>
          <w:lang w:val="en-GB"/>
        </w:rPr>
        <w:t>FSVSPP</w:t>
      </w:r>
      <w:r w:rsidR="00B85CE6" w:rsidRPr="007F04EF">
        <w:rPr>
          <w:rFonts w:cs="Arial"/>
          <w:sz w:val="16"/>
          <w:szCs w:val="16"/>
          <w:lang w:val="en-GB"/>
        </w:rPr>
        <w:t xml:space="preserve"> r</w:t>
      </w:r>
      <w:r w:rsidR="003E47DB" w:rsidRPr="007F04EF">
        <w:rPr>
          <w:rFonts w:cs="Arial"/>
          <w:sz w:val="16"/>
          <w:szCs w:val="16"/>
          <w:lang w:val="en-GB"/>
        </w:rPr>
        <w:t>eport</w:t>
      </w:r>
    </w:p>
    <w:p w14:paraId="2FB46475" w14:textId="7B3479D4" w:rsidR="00043B49" w:rsidRPr="007F04EF" w:rsidRDefault="00043B49" w:rsidP="00043B49">
      <w:pPr>
        <w:spacing w:beforeLines="60" w:before="144" w:afterLines="60" w:after="144"/>
        <w:contextualSpacing/>
        <w:rPr>
          <w:rFonts w:cs="Arial"/>
          <w:lang w:val="en-GB"/>
        </w:rPr>
      </w:pPr>
    </w:p>
    <w:p w14:paraId="50810B0E" w14:textId="018E8ED3" w:rsidR="00EB1BD8" w:rsidRPr="007F04EF" w:rsidRDefault="00742F76" w:rsidP="005A3ECC">
      <w:pPr>
        <w:spacing w:beforeLines="60" w:before="144" w:afterLines="60" w:after="144"/>
        <w:contextualSpacing/>
        <w:jc w:val="both"/>
        <w:rPr>
          <w:rFonts w:cs="Arial"/>
          <w:lang w:val="en-GB"/>
        </w:rPr>
      </w:pPr>
      <w:r w:rsidRPr="007F04EF">
        <w:rPr>
          <w:rFonts w:cs="Arial"/>
          <w:lang w:val="en-GB"/>
        </w:rPr>
        <w:t>D</w:t>
      </w:r>
      <w:r w:rsidR="00EB1BD8" w:rsidRPr="007F04EF">
        <w:rPr>
          <w:rFonts w:cs="Arial"/>
          <w:lang w:val="en-GB"/>
        </w:rPr>
        <w:t xml:space="preserve">ata </w:t>
      </w:r>
      <w:r w:rsidR="00B85CE6" w:rsidRPr="007F04EF">
        <w:rPr>
          <w:rFonts w:cs="Arial"/>
          <w:lang w:val="en-GB"/>
        </w:rPr>
        <w:t>o</w:t>
      </w:r>
      <w:r w:rsidR="00EB1BD8" w:rsidRPr="007F04EF">
        <w:rPr>
          <w:rFonts w:cs="Arial"/>
          <w:lang w:val="en-GB"/>
        </w:rPr>
        <w:t>f</w:t>
      </w:r>
      <w:r w:rsidR="00B85CE6" w:rsidRPr="007F04EF">
        <w:rPr>
          <w:rFonts w:cs="Arial"/>
          <w:lang w:val="en-GB"/>
        </w:rPr>
        <w:t xml:space="preserve"> </w:t>
      </w:r>
      <w:r w:rsidRPr="007F04EF">
        <w:rPr>
          <w:rFonts w:cs="Arial"/>
          <w:lang w:val="en-GB"/>
        </w:rPr>
        <w:t xml:space="preserve">the </w:t>
      </w:r>
      <w:r w:rsidR="00EB1BD8" w:rsidRPr="007F04EF">
        <w:rPr>
          <w:rFonts w:cs="Arial"/>
          <w:lang w:val="en-GB"/>
        </w:rPr>
        <w:t>period 2018</w:t>
      </w:r>
      <w:r w:rsidR="00B85CE6" w:rsidRPr="007F04EF">
        <w:rPr>
          <w:rFonts w:cs="Arial"/>
          <w:lang w:val="en-GB"/>
        </w:rPr>
        <w:t xml:space="preserve"> – </w:t>
      </w:r>
      <w:r w:rsidR="00EB1BD8" w:rsidRPr="007F04EF">
        <w:rPr>
          <w:rFonts w:cs="Arial"/>
          <w:lang w:val="en-GB"/>
        </w:rPr>
        <w:t xml:space="preserve">2021 </w:t>
      </w:r>
      <w:r w:rsidR="00B85CE6" w:rsidRPr="007F04EF">
        <w:rPr>
          <w:rFonts w:cs="Arial"/>
          <w:lang w:val="en-GB"/>
        </w:rPr>
        <w:t xml:space="preserve">were </w:t>
      </w:r>
      <w:r w:rsidR="00EB1BD8" w:rsidRPr="007F04EF">
        <w:rPr>
          <w:rFonts w:cs="Arial"/>
          <w:lang w:val="en-GB"/>
        </w:rPr>
        <w:t xml:space="preserve">derived from national reports for the EU. Data for 2022 </w:t>
      </w:r>
      <w:r w:rsidR="00B85CE6" w:rsidRPr="007F04EF">
        <w:rPr>
          <w:rFonts w:cs="Arial"/>
          <w:lang w:val="en-GB"/>
        </w:rPr>
        <w:t xml:space="preserve">were </w:t>
      </w:r>
      <w:r w:rsidR="00941A53" w:rsidRPr="007F04EF">
        <w:rPr>
          <w:rFonts w:cs="Arial"/>
          <w:lang w:val="en-GB"/>
        </w:rPr>
        <w:t xml:space="preserve">taken </w:t>
      </w:r>
      <w:r w:rsidR="00EB1BD8" w:rsidRPr="007F04EF">
        <w:rPr>
          <w:rFonts w:cs="Arial"/>
          <w:lang w:val="en-GB"/>
        </w:rPr>
        <w:t>from the</w:t>
      </w:r>
      <w:r w:rsidR="00B85CE6" w:rsidRPr="007F04EF">
        <w:rPr>
          <w:rFonts w:cs="Arial"/>
          <w:lang w:val="en-GB"/>
        </w:rPr>
        <w:t xml:space="preserve"> partial AFSVSPP r</w:t>
      </w:r>
      <w:r w:rsidR="00EB1BD8" w:rsidRPr="007F04EF">
        <w:rPr>
          <w:rFonts w:cs="Arial"/>
          <w:lang w:val="en-GB"/>
        </w:rPr>
        <w:t>eport</w:t>
      </w:r>
      <w:r w:rsidR="00B85CE6" w:rsidRPr="007F04EF">
        <w:rPr>
          <w:rFonts w:cs="Arial"/>
          <w:lang w:val="en-GB"/>
        </w:rPr>
        <w:t xml:space="preserve"> that </w:t>
      </w:r>
      <w:r w:rsidR="00941A53" w:rsidRPr="007F04EF">
        <w:rPr>
          <w:rFonts w:cs="Arial"/>
          <w:lang w:val="en-GB"/>
        </w:rPr>
        <w:t>did</w:t>
      </w:r>
      <w:r w:rsidR="00EB1BD8" w:rsidRPr="007F04EF">
        <w:rPr>
          <w:rFonts w:cs="Arial"/>
          <w:lang w:val="en-GB"/>
        </w:rPr>
        <w:t xml:space="preserve"> not </w:t>
      </w:r>
      <w:r w:rsidR="00B85CE6" w:rsidRPr="007F04EF">
        <w:rPr>
          <w:rFonts w:cs="Arial"/>
          <w:lang w:val="en-GB"/>
        </w:rPr>
        <w:t xml:space="preserve">include </w:t>
      </w:r>
      <w:r w:rsidR="00EB1BD8" w:rsidRPr="007F04EF">
        <w:rPr>
          <w:rFonts w:cs="Arial"/>
          <w:lang w:val="en-GB"/>
        </w:rPr>
        <w:t>all</w:t>
      </w:r>
      <w:r w:rsidR="00B85CE6" w:rsidRPr="007F04EF">
        <w:rPr>
          <w:rFonts w:cs="Arial"/>
          <w:lang w:val="en-GB"/>
        </w:rPr>
        <w:t xml:space="preserve"> the </w:t>
      </w:r>
      <w:r w:rsidR="00EB1BD8" w:rsidRPr="007F04EF">
        <w:rPr>
          <w:rFonts w:cs="Arial"/>
          <w:lang w:val="en-GB"/>
        </w:rPr>
        <w:t>national data, as the report</w:t>
      </w:r>
      <w:r w:rsidR="00B85CE6" w:rsidRPr="007F04EF">
        <w:rPr>
          <w:rFonts w:cs="Arial"/>
          <w:lang w:val="en-GB"/>
        </w:rPr>
        <w:t xml:space="preserve"> </w:t>
      </w:r>
      <w:r w:rsidR="00EB1BD8" w:rsidRPr="007F04EF">
        <w:rPr>
          <w:rFonts w:cs="Arial"/>
          <w:lang w:val="en-GB"/>
        </w:rPr>
        <w:t>for the EU ha</w:t>
      </w:r>
      <w:r w:rsidR="00B85CE6" w:rsidRPr="007F04EF">
        <w:rPr>
          <w:rFonts w:cs="Arial"/>
          <w:lang w:val="en-GB"/>
        </w:rPr>
        <w:t>d</w:t>
      </w:r>
      <w:r w:rsidR="00EB1BD8" w:rsidRPr="007F04EF">
        <w:rPr>
          <w:rFonts w:cs="Arial"/>
          <w:lang w:val="en-GB"/>
        </w:rPr>
        <w:t xml:space="preserve"> not been </w:t>
      </w:r>
      <w:r w:rsidRPr="007F04EF">
        <w:rPr>
          <w:rFonts w:cs="Arial"/>
          <w:lang w:val="en-GB"/>
        </w:rPr>
        <w:t>finalised</w:t>
      </w:r>
      <w:r w:rsidR="00B85CE6" w:rsidRPr="007F04EF">
        <w:rPr>
          <w:rFonts w:cs="Arial"/>
          <w:lang w:val="en-GB"/>
        </w:rPr>
        <w:t xml:space="preserve"> to that date, and thus </w:t>
      </w:r>
      <w:r w:rsidR="00EB1BD8" w:rsidRPr="007F04EF">
        <w:rPr>
          <w:rFonts w:cs="Arial"/>
          <w:lang w:val="en-GB"/>
        </w:rPr>
        <w:t xml:space="preserve">the number of samples </w:t>
      </w:r>
      <w:r w:rsidR="00941A53" w:rsidRPr="007F04EF">
        <w:rPr>
          <w:rFonts w:cs="Arial"/>
          <w:lang w:val="en-GB"/>
        </w:rPr>
        <w:t>was</w:t>
      </w:r>
      <w:r w:rsidR="00EB1BD8" w:rsidRPr="007F04EF">
        <w:rPr>
          <w:rFonts w:cs="Arial"/>
          <w:lang w:val="en-GB"/>
        </w:rPr>
        <w:t xml:space="preserve"> lower.</w:t>
      </w:r>
    </w:p>
    <w:p w14:paraId="2D5AA21F" w14:textId="77777777" w:rsidR="00742F76" w:rsidRPr="007F04EF" w:rsidRDefault="00742F76" w:rsidP="005A3ECC">
      <w:pPr>
        <w:spacing w:beforeLines="60" w:before="144" w:afterLines="60" w:after="144"/>
        <w:contextualSpacing/>
        <w:jc w:val="both"/>
        <w:rPr>
          <w:rFonts w:cs="Arial"/>
          <w:lang w:val="en-GB"/>
        </w:rPr>
      </w:pPr>
    </w:p>
    <w:p w14:paraId="34227CB9" w14:textId="29E716AB" w:rsidR="00420C8B" w:rsidRPr="007F04EF" w:rsidRDefault="00B85CE6" w:rsidP="005A3ECC">
      <w:pPr>
        <w:spacing w:beforeLines="60" w:before="144" w:afterLines="60" w:after="144"/>
        <w:contextualSpacing/>
        <w:jc w:val="both"/>
        <w:rPr>
          <w:lang w:val="en-GB"/>
        </w:rPr>
      </w:pPr>
      <w:r w:rsidRPr="007F04EF">
        <w:rPr>
          <w:rFonts w:cs="Arial"/>
          <w:lang w:val="en-GB"/>
        </w:rPr>
        <w:lastRenderedPageBreak/>
        <w:t xml:space="preserve">More </w:t>
      </w:r>
      <w:r w:rsidR="00EB1BD8" w:rsidRPr="007F04EF">
        <w:rPr>
          <w:rFonts w:cs="Arial"/>
          <w:lang w:val="en-GB"/>
        </w:rPr>
        <w:t>details and explanations</w:t>
      </w:r>
      <w:r w:rsidRPr="007F04EF">
        <w:rPr>
          <w:rFonts w:cs="Arial"/>
          <w:lang w:val="en-GB"/>
        </w:rPr>
        <w:t xml:space="preserve"> are available </w:t>
      </w:r>
      <w:r w:rsidR="00742F76" w:rsidRPr="007F04EF">
        <w:rPr>
          <w:rFonts w:cs="Arial"/>
          <w:lang w:val="en-GB"/>
        </w:rPr>
        <w:t>in</w:t>
      </w:r>
      <w:r w:rsidRPr="007F04EF">
        <w:rPr>
          <w:rFonts w:cs="Arial"/>
          <w:lang w:val="en-GB"/>
        </w:rPr>
        <w:t xml:space="preserve"> </w:t>
      </w:r>
      <w:r w:rsidR="00EB1BD8" w:rsidRPr="007F04EF">
        <w:rPr>
          <w:rFonts w:cs="Arial"/>
          <w:lang w:val="en-GB"/>
        </w:rPr>
        <w:t>annual reports</w:t>
      </w:r>
      <w:r w:rsidRPr="007F04EF">
        <w:rPr>
          <w:rFonts w:cs="Arial"/>
          <w:lang w:val="en-GB"/>
        </w:rPr>
        <w:t xml:space="preserve"> </w:t>
      </w:r>
      <w:r w:rsidR="00EB1BD8" w:rsidRPr="007F04EF">
        <w:rPr>
          <w:rFonts w:cs="Arial"/>
          <w:lang w:val="en-GB"/>
        </w:rPr>
        <w:t>on control</w:t>
      </w:r>
      <w:r w:rsidRPr="007F04EF">
        <w:rPr>
          <w:rFonts w:cs="Arial"/>
          <w:lang w:val="en-GB"/>
        </w:rPr>
        <w:t>s</w:t>
      </w:r>
      <w:r w:rsidR="00EB1BD8" w:rsidRPr="007F04EF">
        <w:rPr>
          <w:rFonts w:cs="Arial"/>
          <w:lang w:val="en-GB"/>
        </w:rPr>
        <w:t xml:space="preserve"> of pesticide residues</w:t>
      </w:r>
      <w:r w:rsidRPr="007F04EF">
        <w:rPr>
          <w:rFonts w:cs="Arial"/>
          <w:lang w:val="en-GB"/>
        </w:rPr>
        <w:t xml:space="preserve">, accessible via the AFSVSPP </w:t>
      </w:r>
      <w:r w:rsidR="00EB1BD8" w:rsidRPr="007F04EF">
        <w:rPr>
          <w:rFonts w:cs="Arial"/>
          <w:lang w:val="en-GB"/>
        </w:rPr>
        <w:t>website</w:t>
      </w:r>
      <w:r w:rsidR="00043B49" w:rsidRPr="007F04EF">
        <w:rPr>
          <w:lang w:val="en-GB"/>
        </w:rPr>
        <w:t>.</w:t>
      </w:r>
      <w:r w:rsidR="00043B49" w:rsidRPr="007F04EF">
        <w:rPr>
          <w:vertAlign w:val="superscript"/>
          <w:lang w:val="en-GB"/>
        </w:rPr>
        <w:footnoteReference w:id="13"/>
      </w:r>
      <w:r w:rsidR="00043B49" w:rsidRPr="007F04EF">
        <w:rPr>
          <w:lang w:val="en-GB"/>
        </w:rPr>
        <w:t xml:space="preserve"> </w:t>
      </w:r>
      <w:bookmarkStart w:id="51" w:name="_Toc530382205"/>
      <w:bookmarkEnd w:id="51"/>
    </w:p>
    <w:p w14:paraId="5E4EFDB6" w14:textId="77777777" w:rsidR="00F9461F" w:rsidRPr="007F04EF" w:rsidRDefault="00F9461F" w:rsidP="005A3ECC">
      <w:pPr>
        <w:spacing w:beforeLines="60" w:before="144" w:afterLines="60" w:after="144"/>
        <w:contextualSpacing/>
        <w:jc w:val="both"/>
        <w:rPr>
          <w:lang w:val="en-GB"/>
        </w:rPr>
      </w:pPr>
    </w:p>
    <w:p w14:paraId="0E90E0A5" w14:textId="77777777" w:rsidR="00F9461F" w:rsidRPr="007F04EF" w:rsidRDefault="00F9461F" w:rsidP="005A3ECC">
      <w:pPr>
        <w:spacing w:beforeLines="60" w:before="144" w:afterLines="60" w:after="144"/>
        <w:contextualSpacing/>
        <w:jc w:val="both"/>
        <w:rPr>
          <w:lang w:val="en-GB"/>
        </w:rPr>
      </w:pPr>
    </w:p>
    <w:p w14:paraId="7FB3F09C" w14:textId="19A285D4" w:rsidR="00FE30D5" w:rsidRPr="007F04EF" w:rsidRDefault="00F9461F" w:rsidP="00436CD8">
      <w:pPr>
        <w:pStyle w:val="Naslov3"/>
        <w:rPr>
          <w:lang w:val="en-GB"/>
        </w:rPr>
      </w:pPr>
      <w:bookmarkStart w:id="52" w:name="_Toc172027300"/>
      <w:r w:rsidRPr="007F04EF">
        <w:rPr>
          <w:lang w:val="en-GB"/>
        </w:rPr>
        <w:t>G</w:t>
      </w:r>
      <w:r w:rsidR="007E14BD" w:rsidRPr="007F04EF">
        <w:rPr>
          <w:lang w:val="en-GB"/>
        </w:rPr>
        <w:t>round</w:t>
      </w:r>
      <w:r w:rsidR="00B85CE6" w:rsidRPr="007F04EF">
        <w:rPr>
          <w:lang w:val="en-GB"/>
        </w:rPr>
        <w:t xml:space="preserve">water </w:t>
      </w:r>
      <w:r w:rsidR="007E14BD" w:rsidRPr="007F04EF">
        <w:rPr>
          <w:lang w:val="en-GB"/>
        </w:rPr>
        <w:t>and drinking water</w:t>
      </w:r>
      <w:r w:rsidR="003E47DB" w:rsidRPr="007F04EF">
        <w:rPr>
          <w:lang w:val="en-GB"/>
        </w:rPr>
        <w:t xml:space="preserve"> </w:t>
      </w:r>
      <w:proofErr w:type="gramStart"/>
      <w:r w:rsidR="003E47DB" w:rsidRPr="007F04EF">
        <w:rPr>
          <w:lang w:val="en-GB"/>
        </w:rPr>
        <w:t>sampl</w:t>
      </w:r>
      <w:r w:rsidRPr="007F04EF">
        <w:rPr>
          <w:lang w:val="en-GB"/>
        </w:rPr>
        <w:t>ing</w:t>
      </w:r>
      <w:bookmarkEnd w:id="52"/>
      <w:proofErr w:type="gramEnd"/>
    </w:p>
    <w:p w14:paraId="4E27CE01" w14:textId="77777777" w:rsidR="00B85CE6" w:rsidRPr="007F04EF" w:rsidRDefault="00B85CE6" w:rsidP="00436CD8">
      <w:pPr>
        <w:rPr>
          <w:b/>
          <w:bCs/>
          <w:lang w:val="en-GB"/>
        </w:rPr>
      </w:pPr>
    </w:p>
    <w:p w14:paraId="58BAD823" w14:textId="030ABE01" w:rsidR="00FE30D5" w:rsidRPr="007F04EF" w:rsidRDefault="00706452" w:rsidP="00436CD8">
      <w:pPr>
        <w:rPr>
          <w:b/>
          <w:bCs/>
          <w:lang w:val="en-GB"/>
        </w:rPr>
      </w:pPr>
      <w:r w:rsidRPr="007F04EF">
        <w:rPr>
          <w:b/>
          <w:bCs/>
          <w:lang w:val="en-GB"/>
        </w:rPr>
        <w:t>D</w:t>
      </w:r>
      <w:r w:rsidR="007E14BD" w:rsidRPr="007F04EF">
        <w:rPr>
          <w:b/>
          <w:bCs/>
          <w:lang w:val="en-GB"/>
        </w:rPr>
        <w:t>rinking water</w:t>
      </w:r>
      <w:r w:rsidR="00FE0678" w:rsidRPr="007F04EF">
        <w:rPr>
          <w:b/>
          <w:bCs/>
          <w:lang w:val="en-GB"/>
        </w:rPr>
        <w:t xml:space="preserve"> </w:t>
      </w:r>
      <w:r w:rsidRPr="007F04EF">
        <w:rPr>
          <w:b/>
          <w:bCs/>
          <w:lang w:val="en-GB"/>
        </w:rPr>
        <w:t xml:space="preserve">monitoring </w:t>
      </w:r>
    </w:p>
    <w:p w14:paraId="4C0CADD9" w14:textId="77777777" w:rsidR="00751769" w:rsidRPr="007F04EF" w:rsidRDefault="00751769" w:rsidP="003B7383">
      <w:pPr>
        <w:rPr>
          <w:lang w:val="en-GB"/>
        </w:rPr>
      </w:pPr>
    </w:p>
    <w:p w14:paraId="3F547A84" w14:textId="2784209A" w:rsidR="00C15916" w:rsidRPr="007F04EF" w:rsidRDefault="00C15916" w:rsidP="005A3ECC">
      <w:pPr>
        <w:jc w:val="both"/>
        <w:rPr>
          <w:lang w:val="en-GB"/>
        </w:rPr>
      </w:pPr>
      <w:r w:rsidRPr="007F04EF">
        <w:rPr>
          <w:lang w:val="en-GB"/>
        </w:rPr>
        <w:t>As from 2004, t</w:t>
      </w:r>
      <w:r w:rsidR="003641B5" w:rsidRPr="007F04EF">
        <w:rPr>
          <w:lang w:val="en-GB"/>
        </w:rPr>
        <w:t>he Ministry of Health ha</w:t>
      </w:r>
      <w:r w:rsidRPr="007F04EF">
        <w:rPr>
          <w:lang w:val="en-GB"/>
        </w:rPr>
        <w:t xml:space="preserve">s </w:t>
      </w:r>
      <w:r w:rsidR="003641B5" w:rsidRPr="007F04EF">
        <w:rPr>
          <w:lang w:val="en-GB"/>
        </w:rPr>
        <w:t xml:space="preserve">been </w:t>
      </w:r>
      <w:r w:rsidRPr="007F04EF">
        <w:rPr>
          <w:lang w:val="en-GB"/>
        </w:rPr>
        <w:t xml:space="preserve">inspecting </w:t>
      </w:r>
      <w:r w:rsidR="003641B5" w:rsidRPr="007F04EF">
        <w:rPr>
          <w:lang w:val="en-GB"/>
        </w:rPr>
        <w:t>the compliance of drinking water</w:t>
      </w:r>
      <w:r w:rsidRPr="007F04EF">
        <w:rPr>
          <w:lang w:val="en-GB"/>
        </w:rPr>
        <w:t xml:space="preserve">, by regular </w:t>
      </w:r>
      <w:r w:rsidR="003641B5" w:rsidRPr="007F04EF">
        <w:rPr>
          <w:lang w:val="en-GB"/>
        </w:rPr>
        <w:t>drinking water</w:t>
      </w:r>
      <w:r w:rsidRPr="007F04EF">
        <w:rPr>
          <w:lang w:val="en-GB"/>
        </w:rPr>
        <w:t xml:space="preserve"> monitoring system</w:t>
      </w:r>
      <w:r w:rsidR="003641B5" w:rsidRPr="007F04EF">
        <w:rPr>
          <w:lang w:val="en-GB"/>
        </w:rPr>
        <w:t>.</w:t>
      </w:r>
    </w:p>
    <w:p w14:paraId="6B62C3A4" w14:textId="77777777" w:rsidR="00C15916" w:rsidRPr="007F04EF" w:rsidRDefault="00C15916" w:rsidP="005A3ECC">
      <w:pPr>
        <w:jc w:val="both"/>
        <w:rPr>
          <w:lang w:val="en-GB"/>
        </w:rPr>
      </w:pPr>
    </w:p>
    <w:p w14:paraId="09999EFC" w14:textId="46F8519B" w:rsidR="003641B5" w:rsidRPr="007F04EF" w:rsidRDefault="003641B5" w:rsidP="005A3ECC">
      <w:pPr>
        <w:jc w:val="both"/>
        <w:rPr>
          <w:lang w:val="en-GB"/>
        </w:rPr>
      </w:pPr>
      <w:r w:rsidRPr="007F04EF">
        <w:rPr>
          <w:lang w:val="en-GB"/>
        </w:rPr>
        <w:t>They check the compliance with the requirements, the purpose of which is to protect human health from harmful effects due to any pollution of drinking water.</w:t>
      </w:r>
    </w:p>
    <w:p w14:paraId="5B81D04F" w14:textId="77777777" w:rsidR="00751769" w:rsidRPr="007F04EF" w:rsidRDefault="00751769" w:rsidP="005A3ECC">
      <w:pPr>
        <w:jc w:val="both"/>
        <w:rPr>
          <w:lang w:val="en-GB"/>
        </w:rPr>
      </w:pPr>
    </w:p>
    <w:p w14:paraId="004D966D" w14:textId="75EF901C" w:rsidR="00751769" w:rsidRPr="007F04EF" w:rsidRDefault="003641B5" w:rsidP="005A3ECC">
      <w:pPr>
        <w:jc w:val="both"/>
        <w:rPr>
          <w:lang w:val="en-GB"/>
        </w:rPr>
      </w:pPr>
      <w:r w:rsidRPr="007F04EF">
        <w:rPr>
          <w:lang w:val="en-GB"/>
        </w:rPr>
        <w:t>Drinking water monitoring</w:t>
      </w:r>
      <w:r w:rsidR="00884E2B" w:rsidRPr="007F04EF">
        <w:rPr>
          <w:lang w:val="en-GB"/>
        </w:rPr>
        <w:t xml:space="preserve"> system was laid down </w:t>
      </w:r>
      <w:r w:rsidR="003B7383" w:rsidRPr="007F04EF">
        <w:rPr>
          <w:lang w:val="en-GB"/>
        </w:rPr>
        <w:t>by the Rules on Drinking Water (</w:t>
      </w:r>
      <w:r w:rsidR="005B2EA2" w:rsidRPr="007F04EF">
        <w:rPr>
          <w:lang w:val="en-GB"/>
        </w:rPr>
        <w:t xml:space="preserve">UL RS </w:t>
      </w:r>
      <w:r w:rsidR="003B7383" w:rsidRPr="007F04EF">
        <w:rPr>
          <w:lang w:val="en-GB"/>
        </w:rPr>
        <w:t>19/04, 35/04, 26/06, 92/06, 25/09, 74/15, 51/17)</w:t>
      </w:r>
      <w:r w:rsidR="00884E2B" w:rsidRPr="007F04EF">
        <w:rPr>
          <w:lang w:val="en-GB"/>
        </w:rPr>
        <w:t xml:space="preserve">, </w:t>
      </w:r>
      <w:r w:rsidR="003B7383" w:rsidRPr="007F04EF">
        <w:rPr>
          <w:lang w:val="en-GB"/>
        </w:rPr>
        <w:t>(hereinafter</w:t>
      </w:r>
      <w:r w:rsidR="00884E2B" w:rsidRPr="007F04EF">
        <w:rPr>
          <w:lang w:val="en-GB"/>
        </w:rPr>
        <w:t xml:space="preserve"> referred to as</w:t>
      </w:r>
      <w:r w:rsidR="003B7383" w:rsidRPr="007F04EF">
        <w:rPr>
          <w:lang w:val="en-GB"/>
        </w:rPr>
        <w:t>:</w:t>
      </w:r>
      <w:r w:rsidR="00884E2B" w:rsidRPr="007F04EF">
        <w:rPr>
          <w:lang w:val="en-GB"/>
        </w:rPr>
        <w:t xml:space="preserve"> Drinking Water Regulation</w:t>
      </w:r>
      <w:r w:rsidR="003B7383" w:rsidRPr="007F04EF">
        <w:rPr>
          <w:lang w:val="en-GB"/>
        </w:rPr>
        <w:t xml:space="preserve">). </w:t>
      </w:r>
    </w:p>
    <w:p w14:paraId="30618F2F" w14:textId="77777777" w:rsidR="00751769" w:rsidRPr="007F04EF" w:rsidRDefault="00751769" w:rsidP="005A3ECC">
      <w:pPr>
        <w:jc w:val="both"/>
        <w:rPr>
          <w:lang w:val="en-GB"/>
        </w:rPr>
      </w:pPr>
    </w:p>
    <w:p w14:paraId="06C89C80" w14:textId="12E85BBF" w:rsidR="003B7383" w:rsidRPr="007F04EF" w:rsidRDefault="003B7383" w:rsidP="005A3ECC">
      <w:pPr>
        <w:jc w:val="both"/>
        <w:rPr>
          <w:lang w:val="en-GB"/>
        </w:rPr>
      </w:pPr>
      <w:r w:rsidRPr="007F04EF">
        <w:rPr>
          <w:lang w:val="en-GB"/>
        </w:rPr>
        <w:t xml:space="preserve">The purpose of monitoring is to </w:t>
      </w:r>
      <w:r w:rsidR="00884E2B" w:rsidRPr="007F04EF">
        <w:rPr>
          <w:lang w:val="en-GB"/>
        </w:rPr>
        <w:t xml:space="preserve">verify </w:t>
      </w:r>
      <w:r w:rsidRPr="007F04EF">
        <w:rPr>
          <w:lang w:val="en-GB"/>
        </w:rPr>
        <w:t xml:space="preserve">the compliance of drinking water with the requirements of the Drinking Water Regulation. </w:t>
      </w:r>
      <w:r w:rsidR="00884E2B" w:rsidRPr="007F04EF">
        <w:rPr>
          <w:lang w:val="en-GB"/>
        </w:rPr>
        <w:t xml:space="preserve">Drinking water shall </w:t>
      </w:r>
      <w:r w:rsidRPr="007F04EF">
        <w:rPr>
          <w:lang w:val="en-GB"/>
        </w:rPr>
        <w:t xml:space="preserve">meet the requirements </w:t>
      </w:r>
      <w:r w:rsidR="00884E2B" w:rsidRPr="007F04EF">
        <w:rPr>
          <w:lang w:val="en-GB"/>
        </w:rPr>
        <w:t xml:space="preserve">set for </w:t>
      </w:r>
      <w:r w:rsidRPr="007F04EF">
        <w:rPr>
          <w:lang w:val="en-GB"/>
        </w:rPr>
        <w:t xml:space="preserve">limit values of parameters </w:t>
      </w:r>
      <w:r w:rsidR="008E3AD6" w:rsidRPr="007F04EF">
        <w:rPr>
          <w:lang w:val="en-GB"/>
        </w:rPr>
        <w:t xml:space="preserve">laid down </w:t>
      </w:r>
      <w:r w:rsidRPr="007F04EF">
        <w:rPr>
          <w:lang w:val="en-GB"/>
        </w:rPr>
        <w:t xml:space="preserve">in Annex I </w:t>
      </w:r>
      <w:r w:rsidR="00884E2B" w:rsidRPr="007F04EF">
        <w:rPr>
          <w:lang w:val="en-GB"/>
        </w:rPr>
        <w:t xml:space="preserve">to Drinking Water </w:t>
      </w:r>
      <w:r w:rsidR="003E47DB" w:rsidRPr="007F04EF">
        <w:rPr>
          <w:lang w:val="en-GB"/>
        </w:rPr>
        <w:t>Regulation</w:t>
      </w:r>
      <w:r w:rsidR="00884E2B" w:rsidRPr="007F04EF">
        <w:rPr>
          <w:lang w:val="en-GB"/>
        </w:rPr>
        <w:t xml:space="preserve">, </w:t>
      </w:r>
      <w:proofErr w:type="gramStart"/>
      <w:r w:rsidR="00884E2B" w:rsidRPr="007F04EF">
        <w:rPr>
          <w:lang w:val="en-GB"/>
        </w:rPr>
        <w:t xml:space="preserve">so as </w:t>
      </w:r>
      <w:r w:rsidR="00706452" w:rsidRPr="007F04EF">
        <w:rPr>
          <w:lang w:val="en-GB"/>
        </w:rPr>
        <w:t>to</w:t>
      </w:r>
      <w:proofErr w:type="gramEnd"/>
      <w:r w:rsidRPr="007F04EF">
        <w:rPr>
          <w:lang w:val="en-GB"/>
        </w:rPr>
        <w:t xml:space="preserve"> protect human health from </w:t>
      </w:r>
      <w:r w:rsidR="008E3AD6" w:rsidRPr="007F04EF">
        <w:rPr>
          <w:lang w:val="en-GB"/>
        </w:rPr>
        <w:t xml:space="preserve">any </w:t>
      </w:r>
      <w:r w:rsidRPr="007F04EF">
        <w:rPr>
          <w:lang w:val="en-GB"/>
        </w:rPr>
        <w:t xml:space="preserve">harmful effects of </w:t>
      </w:r>
      <w:r w:rsidR="008E3AD6" w:rsidRPr="007F04EF">
        <w:rPr>
          <w:lang w:val="en-GB"/>
        </w:rPr>
        <w:t>contamina</w:t>
      </w:r>
      <w:r w:rsidRPr="007F04EF">
        <w:rPr>
          <w:lang w:val="en-GB"/>
        </w:rPr>
        <w:t xml:space="preserve">tion. </w:t>
      </w:r>
      <w:r w:rsidR="00706452" w:rsidRPr="007F04EF">
        <w:rPr>
          <w:lang w:val="en-GB"/>
        </w:rPr>
        <w:t>D</w:t>
      </w:r>
      <w:r w:rsidRPr="007F04EF">
        <w:rPr>
          <w:lang w:val="en-GB"/>
        </w:rPr>
        <w:t xml:space="preserve">rinking water </w:t>
      </w:r>
      <w:r w:rsidR="00706452" w:rsidRPr="007F04EF">
        <w:rPr>
          <w:lang w:val="en-GB"/>
        </w:rPr>
        <w:t xml:space="preserve">monitoring </w:t>
      </w:r>
      <w:r w:rsidRPr="007F04EF">
        <w:rPr>
          <w:lang w:val="en-GB"/>
        </w:rPr>
        <w:t>is carried out in accordance with a program that defines sampling frequency, sampling method</w:t>
      </w:r>
      <w:r w:rsidR="008E3AD6" w:rsidRPr="007F04EF">
        <w:rPr>
          <w:lang w:val="en-GB"/>
        </w:rPr>
        <w:t>s</w:t>
      </w:r>
      <w:r w:rsidRPr="007F04EF">
        <w:rPr>
          <w:lang w:val="en-GB"/>
        </w:rPr>
        <w:t>,</w:t>
      </w:r>
      <w:r w:rsidR="008E3AD6" w:rsidRPr="007F04EF">
        <w:rPr>
          <w:lang w:val="en-GB"/>
        </w:rPr>
        <w:t xml:space="preserve"> and </w:t>
      </w:r>
      <w:r w:rsidRPr="007F04EF">
        <w:rPr>
          <w:lang w:val="en-GB"/>
        </w:rPr>
        <w:t>physical</w:t>
      </w:r>
      <w:r w:rsidR="008E3AD6" w:rsidRPr="007F04EF">
        <w:rPr>
          <w:lang w:val="en-GB"/>
        </w:rPr>
        <w:t xml:space="preserve">, </w:t>
      </w:r>
      <w:proofErr w:type="gramStart"/>
      <w:r w:rsidRPr="007F04EF">
        <w:rPr>
          <w:lang w:val="en-GB"/>
        </w:rPr>
        <w:t>chemical</w:t>
      </w:r>
      <w:proofErr w:type="gramEnd"/>
      <w:r w:rsidRPr="007F04EF">
        <w:rPr>
          <w:lang w:val="en-GB"/>
        </w:rPr>
        <w:t xml:space="preserve"> and microbiological testing. </w:t>
      </w:r>
      <w:r w:rsidR="008E3AD6" w:rsidRPr="007F04EF">
        <w:rPr>
          <w:lang w:val="en-GB"/>
        </w:rPr>
        <w:t>Drinking water s</w:t>
      </w:r>
      <w:r w:rsidRPr="007F04EF">
        <w:rPr>
          <w:lang w:val="en-GB"/>
        </w:rPr>
        <w:t xml:space="preserve">ampling is carried out </w:t>
      </w:r>
      <w:r w:rsidR="008E3AD6" w:rsidRPr="007F04EF">
        <w:rPr>
          <w:lang w:val="en-GB"/>
        </w:rPr>
        <w:t xml:space="preserve">directly </w:t>
      </w:r>
      <w:r w:rsidRPr="007F04EF">
        <w:rPr>
          <w:lang w:val="en-GB"/>
        </w:rPr>
        <w:t>at users</w:t>
      </w:r>
      <w:r w:rsidR="008E3AD6" w:rsidRPr="007F04EF">
        <w:rPr>
          <w:lang w:val="en-GB"/>
        </w:rPr>
        <w:t xml:space="preserve">, and in </w:t>
      </w:r>
      <w:r w:rsidRPr="007F04EF">
        <w:rPr>
          <w:lang w:val="en-GB"/>
        </w:rPr>
        <w:t>places where water is used as drinking water.</w:t>
      </w:r>
    </w:p>
    <w:p w14:paraId="643D49FB" w14:textId="77777777" w:rsidR="008E3AD6" w:rsidRPr="007F04EF" w:rsidRDefault="008E3AD6" w:rsidP="005A3ECC">
      <w:pPr>
        <w:jc w:val="both"/>
        <w:rPr>
          <w:lang w:val="en-GB"/>
        </w:rPr>
      </w:pPr>
    </w:p>
    <w:p w14:paraId="123A0F23" w14:textId="0AB7DD27" w:rsidR="00990E86" w:rsidRPr="007F04EF" w:rsidRDefault="00990E86" w:rsidP="005A3ECC">
      <w:pPr>
        <w:jc w:val="both"/>
        <w:rPr>
          <w:lang w:val="en-GB"/>
        </w:rPr>
      </w:pPr>
      <w:r w:rsidRPr="007F04EF">
        <w:rPr>
          <w:lang w:val="en-GB"/>
        </w:rPr>
        <w:t xml:space="preserve">Monitoring </w:t>
      </w:r>
      <w:r w:rsidR="00706452" w:rsidRPr="007F04EF">
        <w:rPr>
          <w:lang w:val="en-GB"/>
        </w:rPr>
        <w:t>for pesticide residues</w:t>
      </w:r>
      <w:r w:rsidRPr="007F04EF">
        <w:rPr>
          <w:lang w:val="en-GB"/>
        </w:rPr>
        <w:t xml:space="preserve"> was conducted at drinking water </w:t>
      </w:r>
      <w:r w:rsidR="003B7383" w:rsidRPr="007F04EF">
        <w:rPr>
          <w:lang w:val="en-GB"/>
        </w:rPr>
        <w:t>supply areas,</w:t>
      </w:r>
      <w:r w:rsidRPr="007F04EF">
        <w:rPr>
          <w:lang w:val="en-GB"/>
        </w:rPr>
        <w:t xml:space="preserve"> </w:t>
      </w:r>
      <w:r w:rsidR="003B7383" w:rsidRPr="007F04EF">
        <w:rPr>
          <w:lang w:val="en-GB"/>
        </w:rPr>
        <w:t>where the</w:t>
      </w:r>
      <w:r w:rsidRPr="007F04EF">
        <w:rPr>
          <w:lang w:val="en-GB"/>
        </w:rPr>
        <w:t xml:space="preserve"> </w:t>
      </w:r>
      <w:r w:rsidR="003B7383" w:rsidRPr="007F04EF">
        <w:rPr>
          <w:lang w:val="en-GB"/>
        </w:rPr>
        <w:t xml:space="preserve">presence </w:t>
      </w:r>
      <w:r w:rsidRPr="007F04EF">
        <w:rPr>
          <w:lang w:val="en-GB"/>
        </w:rPr>
        <w:t xml:space="preserve">may </w:t>
      </w:r>
      <w:r w:rsidR="003B7383" w:rsidRPr="007F04EF">
        <w:rPr>
          <w:lang w:val="en-GB"/>
        </w:rPr>
        <w:t>be expected</w:t>
      </w:r>
      <w:r w:rsidRPr="007F04EF">
        <w:rPr>
          <w:lang w:val="en-GB"/>
        </w:rPr>
        <w:t xml:space="preserve"> on the basis of </w:t>
      </w:r>
      <w:r w:rsidR="00706452" w:rsidRPr="007F04EF">
        <w:rPr>
          <w:lang w:val="en-GB"/>
        </w:rPr>
        <w:t xml:space="preserve">analysis </w:t>
      </w:r>
      <w:r w:rsidR="003B7383" w:rsidRPr="007F04EF">
        <w:rPr>
          <w:lang w:val="en-GB"/>
        </w:rPr>
        <w:t xml:space="preserve">results of previous </w:t>
      </w:r>
      <w:proofErr w:type="gramStart"/>
      <w:r w:rsidR="003B7383" w:rsidRPr="007F04EF">
        <w:rPr>
          <w:lang w:val="en-GB"/>
        </w:rPr>
        <w:t>years</w:t>
      </w:r>
      <w:r w:rsidRPr="007F04EF">
        <w:rPr>
          <w:lang w:val="en-GB"/>
        </w:rPr>
        <w:t xml:space="preserve">, </w:t>
      </w:r>
      <w:r w:rsidR="003B7383" w:rsidRPr="007F04EF">
        <w:rPr>
          <w:lang w:val="en-GB"/>
        </w:rPr>
        <w:t>and</w:t>
      </w:r>
      <w:proofErr w:type="gramEnd"/>
      <w:r w:rsidRPr="007F04EF">
        <w:rPr>
          <w:lang w:val="en-GB"/>
        </w:rPr>
        <w:t xml:space="preserve"> based on </w:t>
      </w:r>
      <w:r w:rsidR="003B7383" w:rsidRPr="007F04EF">
        <w:rPr>
          <w:lang w:val="en-GB"/>
        </w:rPr>
        <w:t xml:space="preserve">risk assessment. </w:t>
      </w:r>
    </w:p>
    <w:p w14:paraId="76A40C30" w14:textId="77777777" w:rsidR="00990E86" w:rsidRPr="007F04EF" w:rsidRDefault="00990E86" w:rsidP="005A3ECC">
      <w:pPr>
        <w:jc w:val="both"/>
        <w:rPr>
          <w:lang w:val="en-GB"/>
        </w:rPr>
      </w:pPr>
    </w:p>
    <w:p w14:paraId="27578448" w14:textId="11B14B4A" w:rsidR="003B7383" w:rsidRPr="007F04EF" w:rsidRDefault="003B7383" w:rsidP="005A3ECC">
      <w:pPr>
        <w:jc w:val="both"/>
        <w:rPr>
          <w:lang w:val="en-GB"/>
        </w:rPr>
      </w:pPr>
      <w:r w:rsidRPr="007F04EF">
        <w:rPr>
          <w:lang w:val="en-GB"/>
        </w:rPr>
        <w:t xml:space="preserve">Table 6 </w:t>
      </w:r>
      <w:r w:rsidR="004E1D5F" w:rsidRPr="007F04EF">
        <w:rPr>
          <w:lang w:val="en-GB"/>
        </w:rPr>
        <w:t>show</w:t>
      </w:r>
      <w:r w:rsidRPr="007F04EF">
        <w:rPr>
          <w:lang w:val="en-GB"/>
        </w:rPr>
        <w:t>s</w:t>
      </w:r>
      <w:r w:rsidR="004E1D5F" w:rsidRPr="007F04EF">
        <w:rPr>
          <w:lang w:val="en-GB"/>
        </w:rPr>
        <w:t xml:space="preserve"> the </w:t>
      </w:r>
      <w:r w:rsidRPr="007F04EF">
        <w:rPr>
          <w:lang w:val="en-GB"/>
        </w:rPr>
        <w:t xml:space="preserve">number of </w:t>
      </w:r>
      <w:r w:rsidR="004E1D5F" w:rsidRPr="007F04EF">
        <w:rPr>
          <w:lang w:val="en-GB"/>
        </w:rPr>
        <w:t xml:space="preserve">all existing </w:t>
      </w:r>
      <w:r w:rsidR="00706452" w:rsidRPr="007F04EF">
        <w:rPr>
          <w:lang w:val="en-GB"/>
        </w:rPr>
        <w:t>supply areas</w:t>
      </w:r>
      <w:r w:rsidRPr="007F04EF">
        <w:rPr>
          <w:lang w:val="en-GB"/>
        </w:rPr>
        <w:t>,</w:t>
      </w:r>
      <w:r w:rsidR="004E1D5F" w:rsidRPr="007F04EF">
        <w:rPr>
          <w:lang w:val="en-GB"/>
        </w:rPr>
        <w:t xml:space="preserve"> the drinking water </w:t>
      </w:r>
      <w:r w:rsidR="00706452" w:rsidRPr="007F04EF">
        <w:rPr>
          <w:lang w:val="en-GB"/>
        </w:rPr>
        <w:t>supply areas</w:t>
      </w:r>
      <w:r w:rsidRPr="007F04EF">
        <w:rPr>
          <w:lang w:val="en-GB"/>
        </w:rPr>
        <w:t xml:space="preserve"> </w:t>
      </w:r>
      <w:r w:rsidR="004E1D5F" w:rsidRPr="007F04EF">
        <w:rPr>
          <w:lang w:val="en-GB"/>
        </w:rPr>
        <w:t xml:space="preserve">tested </w:t>
      </w:r>
      <w:r w:rsidRPr="007F04EF">
        <w:rPr>
          <w:lang w:val="en-GB"/>
        </w:rPr>
        <w:t xml:space="preserve">for </w:t>
      </w:r>
      <w:r w:rsidR="004E1D5F" w:rsidRPr="007F04EF">
        <w:rPr>
          <w:lang w:val="en-GB"/>
        </w:rPr>
        <w:t xml:space="preserve">the presence of </w:t>
      </w:r>
      <w:r w:rsidRPr="007F04EF">
        <w:rPr>
          <w:lang w:val="en-GB"/>
        </w:rPr>
        <w:t>pesticides</w:t>
      </w:r>
      <w:r w:rsidR="004E1D5F" w:rsidRPr="007F04EF">
        <w:rPr>
          <w:lang w:val="en-GB"/>
        </w:rPr>
        <w:t xml:space="preserve">, </w:t>
      </w:r>
      <w:r w:rsidRPr="007F04EF">
        <w:rPr>
          <w:lang w:val="en-GB"/>
        </w:rPr>
        <w:t>and the</w:t>
      </w:r>
      <w:r w:rsidR="004E1D5F" w:rsidRPr="007F04EF">
        <w:rPr>
          <w:lang w:val="en-GB"/>
        </w:rPr>
        <w:t xml:space="preserve"> proportion of water supply areas tested in </w:t>
      </w:r>
      <w:r w:rsidRPr="007F04EF">
        <w:rPr>
          <w:lang w:val="en-GB"/>
        </w:rPr>
        <w:t>the period 2017</w:t>
      </w:r>
      <w:r w:rsidR="004E1D5F" w:rsidRPr="007F04EF">
        <w:rPr>
          <w:lang w:val="en-GB"/>
        </w:rPr>
        <w:t xml:space="preserve"> – </w:t>
      </w:r>
      <w:r w:rsidRPr="007F04EF">
        <w:rPr>
          <w:lang w:val="en-GB"/>
        </w:rPr>
        <w:t>2022.</w:t>
      </w:r>
    </w:p>
    <w:p w14:paraId="0AE7DFBE" w14:textId="77777777" w:rsidR="005B2EA2" w:rsidRPr="007F04EF" w:rsidRDefault="005B2EA2" w:rsidP="005A3ECC">
      <w:pPr>
        <w:jc w:val="both"/>
        <w:rPr>
          <w:lang w:val="en-GB"/>
        </w:rPr>
      </w:pPr>
    </w:p>
    <w:p w14:paraId="475CF8FB" w14:textId="6262D514" w:rsidR="00FE30D5" w:rsidRPr="007F04EF" w:rsidRDefault="009D4F97" w:rsidP="00DC3204">
      <w:pPr>
        <w:pStyle w:val="Napis"/>
        <w:rPr>
          <w:rFonts w:cs="Arial"/>
          <w:sz w:val="20"/>
          <w:szCs w:val="20"/>
          <w:lang w:val="en-GB"/>
        </w:rPr>
      </w:pPr>
      <w:bookmarkStart w:id="53" w:name="_Toc149825605"/>
      <w:bookmarkStart w:id="54" w:name="_Toc151116354"/>
      <w:bookmarkStart w:id="55" w:name="_Toc152153149"/>
      <w:bookmarkStart w:id="56" w:name="_Toc161657868"/>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6</w:t>
      </w:r>
      <w:r w:rsidR="00DC3204" w:rsidRPr="007F04EF">
        <w:rPr>
          <w:rFonts w:cs="Arial"/>
          <w:sz w:val="20"/>
          <w:szCs w:val="20"/>
          <w:lang w:val="en-GB"/>
        </w:rPr>
        <w:fldChar w:fldCharType="end"/>
      </w:r>
      <w:r w:rsidR="00FE30D5" w:rsidRPr="007F04EF">
        <w:rPr>
          <w:rFonts w:cs="Arial"/>
          <w:color w:val="auto"/>
          <w:sz w:val="20"/>
          <w:szCs w:val="20"/>
          <w:lang w:val="en-GB"/>
        </w:rPr>
        <w:t xml:space="preserve">: </w:t>
      </w:r>
      <w:r w:rsidR="004E1D5F" w:rsidRPr="007F04EF">
        <w:rPr>
          <w:rFonts w:cs="Arial"/>
          <w:sz w:val="20"/>
          <w:szCs w:val="20"/>
          <w:lang w:val="en-GB"/>
        </w:rPr>
        <w:t>N</w:t>
      </w:r>
      <w:r w:rsidRPr="007F04EF">
        <w:rPr>
          <w:rFonts w:cs="Arial"/>
          <w:sz w:val="20"/>
          <w:szCs w:val="20"/>
          <w:lang w:val="en-GB"/>
        </w:rPr>
        <w:t xml:space="preserve">umber and proportion of </w:t>
      </w:r>
      <w:r w:rsidR="00772365" w:rsidRPr="007F04EF">
        <w:rPr>
          <w:rFonts w:cs="Arial"/>
          <w:sz w:val="20"/>
          <w:szCs w:val="20"/>
          <w:lang w:val="en-GB"/>
        </w:rPr>
        <w:t xml:space="preserve">water </w:t>
      </w:r>
      <w:r w:rsidRPr="007F04EF">
        <w:rPr>
          <w:rFonts w:cs="Arial"/>
          <w:sz w:val="20"/>
          <w:szCs w:val="20"/>
          <w:lang w:val="en-GB"/>
        </w:rPr>
        <w:t xml:space="preserve">supply areas </w:t>
      </w:r>
      <w:r w:rsidR="004E1D5F" w:rsidRPr="007F04EF">
        <w:rPr>
          <w:rFonts w:cs="Arial"/>
          <w:sz w:val="20"/>
          <w:szCs w:val="20"/>
          <w:lang w:val="en-GB"/>
        </w:rPr>
        <w:t xml:space="preserve">tested </w:t>
      </w:r>
      <w:r w:rsidRPr="007F04EF">
        <w:rPr>
          <w:rFonts w:cs="Arial"/>
          <w:sz w:val="20"/>
          <w:szCs w:val="20"/>
          <w:lang w:val="en-GB"/>
        </w:rPr>
        <w:t>for pesticide</w:t>
      </w:r>
      <w:r w:rsidR="004E1D5F" w:rsidRPr="007F04EF">
        <w:rPr>
          <w:rFonts w:cs="Arial"/>
          <w:sz w:val="20"/>
          <w:szCs w:val="20"/>
          <w:lang w:val="en-GB"/>
        </w:rPr>
        <w:t xml:space="preserve">s </w:t>
      </w:r>
      <w:r w:rsidRPr="007F04EF">
        <w:rPr>
          <w:rFonts w:cs="Arial"/>
          <w:sz w:val="20"/>
          <w:szCs w:val="20"/>
          <w:lang w:val="en-GB"/>
        </w:rPr>
        <w:t xml:space="preserve">in relation to </w:t>
      </w:r>
      <w:r w:rsidR="004E1D5F" w:rsidRPr="007F04EF">
        <w:rPr>
          <w:rFonts w:cs="Arial"/>
          <w:sz w:val="20"/>
          <w:szCs w:val="20"/>
          <w:lang w:val="en-GB"/>
        </w:rPr>
        <w:t xml:space="preserve">all water </w:t>
      </w:r>
      <w:r w:rsidRPr="007F04EF">
        <w:rPr>
          <w:rFonts w:cs="Arial"/>
          <w:sz w:val="20"/>
          <w:szCs w:val="20"/>
          <w:lang w:val="en-GB"/>
        </w:rPr>
        <w:t>supply</w:t>
      </w:r>
      <w:r w:rsidR="004E1D5F" w:rsidRPr="007F04EF">
        <w:rPr>
          <w:rFonts w:cs="Arial"/>
          <w:sz w:val="20"/>
          <w:szCs w:val="20"/>
          <w:lang w:val="en-GB"/>
        </w:rPr>
        <w:t xml:space="preserve"> </w:t>
      </w:r>
      <w:r w:rsidRPr="007F04EF">
        <w:rPr>
          <w:rFonts w:cs="Arial"/>
          <w:sz w:val="20"/>
          <w:szCs w:val="20"/>
          <w:lang w:val="en-GB"/>
        </w:rPr>
        <w:t>areas</w:t>
      </w:r>
      <w:r w:rsidR="004E1D5F" w:rsidRPr="007F04EF">
        <w:rPr>
          <w:rFonts w:cs="Arial"/>
          <w:sz w:val="20"/>
          <w:szCs w:val="20"/>
          <w:lang w:val="en-GB"/>
        </w:rPr>
        <w:t xml:space="preserve"> </w:t>
      </w:r>
      <w:r w:rsidR="00FE30D5" w:rsidRPr="007F04EF">
        <w:rPr>
          <w:rFonts w:cs="Arial"/>
          <w:sz w:val="20"/>
          <w:szCs w:val="20"/>
          <w:lang w:val="en-GB"/>
        </w:rPr>
        <w:t>(</w:t>
      </w:r>
      <w:r w:rsidRPr="007F04EF">
        <w:rPr>
          <w:rFonts w:cs="Arial"/>
          <w:sz w:val="20"/>
          <w:szCs w:val="20"/>
          <w:lang w:val="en-GB"/>
        </w:rPr>
        <w:t>S</w:t>
      </w:r>
      <w:r w:rsidR="00D2723A" w:rsidRPr="007F04EF">
        <w:rPr>
          <w:rFonts w:cs="Arial"/>
          <w:sz w:val="20"/>
          <w:szCs w:val="20"/>
          <w:lang w:val="en-GB"/>
        </w:rPr>
        <w:t>o</w:t>
      </w:r>
      <w:r w:rsidRPr="007F04EF">
        <w:rPr>
          <w:rFonts w:cs="Arial"/>
          <w:sz w:val="20"/>
          <w:szCs w:val="20"/>
          <w:lang w:val="en-GB"/>
        </w:rPr>
        <w:t>urce</w:t>
      </w:r>
      <w:r w:rsidR="00FE30D5" w:rsidRPr="007F04EF">
        <w:rPr>
          <w:rFonts w:cs="Arial"/>
          <w:sz w:val="20"/>
          <w:szCs w:val="20"/>
          <w:lang w:val="en-GB"/>
        </w:rPr>
        <w:t xml:space="preserve">: </w:t>
      </w:r>
      <w:hyperlink r:id="rId13" w:history="1">
        <w:r w:rsidR="00FE30D5" w:rsidRPr="007F04EF">
          <w:rPr>
            <w:rStyle w:val="Hiperpovezava"/>
            <w:rFonts w:cs="Arial"/>
            <w:sz w:val="20"/>
            <w:szCs w:val="20"/>
            <w:lang w:val="en-GB"/>
          </w:rPr>
          <w:t>mpv.si</w:t>
        </w:r>
      </w:hyperlink>
      <w:r w:rsidR="00FE30D5" w:rsidRPr="007F04EF">
        <w:rPr>
          <w:rFonts w:cs="Arial"/>
          <w:sz w:val="20"/>
          <w:szCs w:val="20"/>
          <w:lang w:val="en-GB"/>
        </w:rPr>
        <w:t>)</w:t>
      </w:r>
      <w:bookmarkEnd w:id="53"/>
      <w:bookmarkEnd w:id="54"/>
      <w:bookmarkEnd w:id="55"/>
      <w:bookmarkEnd w:id="56"/>
    </w:p>
    <w:p w14:paraId="41695D0D" w14:textId="77777777" w:rsidR="00751769" w:rsidRPr="007F04EF" w:rsidRDefault="00751769" w:rsidP="00751769">
      <w:pPr>
        <w:rPr>
          <w:lang w:val="en-GB"/>
        </w:rPr>
      </w:pPr>
    </w:p>
    <w:tbl>
      <w:tblPr>
        <w:tblStyle w:val="Tabelamre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758"/>
        <w:gridCol w:w="875"/>
        <w:gridCol w:w="875"/>
        <w:gridCol w:w="758"/>
        <w:gridCol w:w="758"/>
        <w:gridCol w:w="687"/>
      </w:tblGrid>
      <w:tr w:rsidR="002214F0" w:rsidRPr="007F04EF" w14:paraId="1B7946CF" w14:textId="6B4246A2" w:rsidTr="002214F0">
        <w:trPr>
          <w:trHeight w:val="300"/>
        </w:trPr>
        <w:tc>
          <w:tcPr>
            <w:tcW w:w="2041" w:type="pct"/>
            <w:tcBorders>
              <w:bottom w:val="single" w:sz="4" w:space="0" w:color="auto"/>
            </w:tcBorders>
            <w:noWrap/>
            <w:hideMark/>
          </w:tcPr>
          <w:p w14:paraId="54C89278" w14:textId="77777777" w:rsidR="002214F0" w:rsidRPr="007F04EF" w:rsidRDefault="002214F0" w:rsidP="00436CD8">
            <w:pPr>
              <w:pStyle w:val="Brezrazmikov"/>
              <w:rPr>
                <w:rFonts w:eastAsia="Times New Roman"/>
                <w:lang w:val="en-GB"/>
              </w:rPr>
            </w:pPr>
          </w:p>
        </w:tc>
        <w:tc>
          <w:tcPr>
            <w:tcW w:w="494" w:type="pct"/>
            <w:tcBorders>
              <w:bottom w:val="single" w:sz="4" w:space="0" w:color="auto"/>
            </w:tcBorders>
            <w:noWrap/>
          </w:tcPr>
          <w:p w14:paraId="2DA7E4E7"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2017</w:t>
            </w:r>
          </w:p>
        </w:tc>
        <w:tc>
          <w:tcPr>
            <w:tcW w:w="493" w:type="pct"/>
            <w:tcBorders>
              <w:bottom w:val="single" w:sz="4" w:space="0" w:color="auto"/>
            </w:tcBorders>
            <w:noWrap/>
          </w:tcPr>
          <w:p w14:paraId="1D054D8F"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2018</w:t>
            </w:r>
          </w:p>
        </w:tc>
        <w:tc>
          <w:tcPr>
            <w:tcW w:w="493" w:type="pct"/>
            <w:tcBorders>
              <w:bottom w:val="single" w:sz="4" w:space="0" w:color="auto"/>
            </w:tcBorders>
            <w:noWrap/>
          </w:tcPr>
          <w:p w14:paraId="6F7D200B"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2019</w:t>
            </w:r>
          </w:p>
        </w:tc>
        <w:tc>
          <w:tcPr>
            <w:tcW w:w="493" w:type="pct"/>
            <w:tcBorders>
              <w:bottom w:val="single" w:sz="4" w:space="0" w:color="auto"/>
            </w:tcBorders>
            <w:noWrap/>
          </w:tcPr>
          <w:p w14:paraId="2E432F92"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2020</w:t>
            </w:r>
          </w:p>
        </w:tc>
        <w:tc>
          <w:tcPr>
            <w:tcW w:w="493" w:type="pct"/>
            <w:tcBorders>
              <w:bottom w:val="single" w:sz="4" w:space="0" w:color="auto"/>
            </w:tcBorders>
            <w:noWrap/>
          </w:tcPr>
          <w:p w14:paraId="6284CB54"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2021</w:t>
            </w:r>
          </w:p>
        </w:tc>
        <w:tc>
          <w:tcPr>
            <w:tcW w:w="493" w:type="pct"/>
            <w:tcBorders>
              <w:bottom w:val="single" w:sz="4" w:space="0" w:color="auto"/>
            </w:tcBorders>
          </w:tcPr>
          <w:p w14:paraId="689CA564" w14:textId="25835A2F"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2022</w:t>
            </w:r>
          </w:p>
        </w:tc>
      </w:tr>
      <w:tr w:rsidR="002214F0" w:rsidRPr="007F04EF" w14:paraId="072891CE" w14:textId="5C81E6EF" w:rsidTr="002214F0">
        <w:trPr>
          <w:trHeight w:val="300"/>
        </w:trPr>
        <w:tc>
          <w:tcPr>
            <w:tcW w:w="2041" w:type="pct"/>
            <w:tcBorders>
              <w:top w:val="single" w:sz="4" w:space="0" w:color="auto"/>
              <w:bottom w:val="single" w:sz="4" w:space="0" w:color="auto"/>
            </w:tcBorders>
            <w:noWrap/>
            <w:hideMark/>
          </w:tcPr>
          <w:p w14:paraId="169E3F41" w14:textId="081C5CCA" w:rsidR="002214F0" w:rsidRPr="007F04EF" w:rsidRDefault="009D4F97" w:rsidP="00436CD8">
            <w:pPr>
              <w:pStyle w:val="Brezrazmikov"/>
              <w:rPr>
                <w:rFonts w:eastAsia="Times New Roman"/>
                <w:color w:val="000000"/>
                <w:lang w:val="en-GB"/>
              </w:rPr>
            </w:pPr>
            <w:r w:rsidRPr="007F04EF">
              <w:rPr>
                <w:rFonts w:eastAsia="Times New Roman"/>
                <w:color w:val="000000"/>
                <w:lang w:val="en-GB"/>
              </w:rPr>
              <w:t>N</w:t>
            </w:r>
            <w:r w:rsidR="004E1D5F" w:rsidRPr="007F04EF">
              <w:rPr>
                <w:rFonts w:eastAsia="Times New Roman"/>
                <w:color w:val="000000"/>
                <w:lang w:val="en-GB"/>
              </w:rPr>
              <w:t xml:space="preserve">umber </w:t>
            </w:r>
            <w:r w:rsidRPr="007F04EF">
              <w:rPr>
                <w:rFonts w:eastAsia="Times New Roman"/>
                <w:color w:val="000000"/>
                <w:lang w:val="en-GB"/>
              </w:rPr>
              <w:t>of all</w:t>
            </w:r>
            <w:r w:rsidR="004E1D5F" w:rsidRPr="007F04EF">
              <w:rPr>
                <w:rFonts w:eastAsia="Times New Roman"/>
                <w:color w:val="000000"/>
                <w:lang w:val="en-GB"/>
              </w:rPr>
              <w:t xml:space="preserve"> existing </w:t>
            </w:r>
            <w:r w:rsidR="00772365" w:rsidRPr="007F04EF">
              <w:rPr>
                <w:rFonts w:eastAsia="Times New Roman"/>
                <w:color w:val="000000"/>
                <w:lang w:val="en-GB"/>
              </w:rPr>
              <w:t xml:space="preserve">water </w:t>
            </w:r>
            <w:r w:rsidRPr="007F04EF">
              <w:rPr>
                <w:rFonts w:eastAsia="Times New Roman"/>
                <w:color w:val="000000"/>
                <w:lang w:val="en-GB"/>
              </w:rPr>
              <w:t>supply areas</w:t>
            </w:r>
          </w:p>
        </w:tc>
        <w:tc>
          <w:tcPr>
            <w:tcW w:w="494" w:type="pct"/>
            <w:tcBorders>
              <w:top w:val="single" w:sz="4" w:space="0" w:color="auto"/>
              <w:bottom w:val="single" w:sz="4" w:space="0" w:color="auto"/>
            </w:tcBorders>
            <w:noWrap/>
          </w:tcPr>
          <w:p w14:paraId="4FED621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866</w:t>
            </w:r>
          </w:p>
        </w:tc>
        <w:tc>
          <w:tcPr>
            <w:tcW w:w="493" w:type="pct"/>
            <w:tcBorders>
              <w:top w:val="single" w:sz="4" w:space="0" w:color="auto"/>
              <w:bottom w:val="single" w:sz="4" w:space="0" w:color="auto"/>
            </w:tcBorders>
            <w:noWrap/>
          </w:tcPr>
          <w:p w14:paraId="60D94FD7"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858</w:t>
            </w:r>
          </w:p>
        </w:tc>
        <w:tc>
          <w:tcPr>
            <w:tcW w:w="493" w:type="pct"/>
            <w:tcBorders>
              <w:top w:val="single" w:sz="4" w:space="0" w:color="auto"/>
              <w:bottom w:val="single" w:sz="4" w:space="0" w:color="auto"/>
            </w:tcBorders>
            <w:noWrap/>
          </w:tcPr>
          <w:p w14:paraId="0BD8E77D"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858</w:t>
            </w:r>
          </w:p>
        </w:tc>
        <w:tc>
          <w:tcPr>
            <w:tcW w:w="493" w:type="pct"/>
            <w:tcBorders>
              <w:top w:val="single" w:sz="4" w:space="0" w:color="auto"/>
              <w:bottom w:val="single" w:sz="4" w:space="0" w:color="auto"/>
            </w:tcBorders>
            <w:noWrap/>
          </w:tcPr>
          <w:p w14:paraId="1B356DF8"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873</w:t>
            </w:r>
          </w:p>
        </w:tc>
        <w:tc>
          <w:tcPr>
            <w:tcW w:w="493" w:type="pct"/>
            <w:tcBorders>
              <w:top w:val="single" w:sz="4" w:space="0" w:color="auto"/>
              <w:bottom w:val="single" w:sz="4" w:space="0" w:color="auto"/>
            </w:tcBorders>
            <w:noWrap/>
          </w:tcPr>
          <w:p w14:paraId="6BC8887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870</w:t>
            </w:r>
          </w:p>
        </w:tc>
        <w:tc>
          <w:tcPr>
            <w:tcW w:w="493" w:type="pct"/>
            <w:tcBorders>
              <w:top w:val="single" w:sz="4" w:space="0" w:color="auto"/>
              <w:bottom w:val="single" w:sz="4" w:space="0" w:color="auto"/>
            </w:tcBorders>
          </w:tcPr>
          <w:p w14:paraId="7E855775" w14:textId="65CAEB56" w:rsidR="002214F0" w:rsidRPr="007F04EF" w:rsidRDefault="002214F0" w:rsidP="00436CD8">
            <w:pPr>
              <w:pStyle w:val="Brezrazmikov"/>
              <w:jc w:val="center"/>
              <w:rPr>
                <w:rFonts w:eastAsia="Times New Roman"/>
                <w:color w:val="000000"/>
                <w:lang w:val="en-GB"/>
              </w:rPr>
            </w:pPr>
            <w:r w:rsidRPr="007F04EF">
              <w:rPr>
                <w:lang w:val="en-GB"/>
              </w:rPr>
              <w:t>868</w:t>
            </w:r>
          </w:p>
        </w:tc>
      </w:tr>
      <w:tr w:rsidR="002214F0" w:rsidRPr="007F04EF" w14:paraId="7BB9D014" w14:textId="5C790E46" w:rsidTr="002214F0">
        <w:trPr>
          <w:trHeight w:val="300"/>
        </w:trPr>
        <w:tc>
          <w:tcPr>
            <w:tcW w:w="2041" w:type="pct"/>
            <w:tcBorders>
              <w:top w:val="single" w:sz="4" w:space="0" w:color="auto"/>
              <w:bottom w:val="single" w:sz="4" w:space="0" w:color="auto"/>
            </w:tcBorders>
            <w:noWrap/>
            <w:hideMark/>
          </w:tcPr>
          <w:p w14:paraId="3A6E4B73" w14:textId="343A8B24" w:rsidR="002214F0" w:rsidRPr="007F04EF" w:rsidRDefault="00772365" w:rsidP="00436CD8">
            <w:pPr>
              <w:pStyle w:val="Brezrazmikov"/>
              <w:rPr>
                <w:rFonts w:eastAsia="Times New Roman"/>
                <w:color w:val="000000"/>
                <w:lang w:val="en-GB"/>
              </w:rPr>
            </w:pPr>
            <w:r w:rsidRPr="007F04EF">
              <w:rPr>
                <w:rFonts w:eastAsia="Times New Roman"/>
                <w:color w:val="000000"/>
                <w:lang w:val="en-GB"/>
              </w:rPr>
              <w:t>Water s</w:t>
            </w:r>
            <w:r w:rsidR="009D4F97" w:rsidRPr="007F04EF">
              <w:rPr>
                <w:rFonts w:eastAsia="Times New Roman"/>
                <w:color w:val="000000"/>
                <w:lang w:val="en-GB"/>
              </w:rPr>
              <w:t>upply areas tested for pesticides</w:t>
            </w:r>
          </w:p>
        </w:tc>
        <w:tc>
          <w:tcPr>
            <w:tcW w:w="494" w:type="pct"/>
            <w:tcBorders>
              <w:top w:val="single" w:sz="4" w:space="0" w:color="auto"/>
              <w:bottom w:val="single" w:sz="4" w:space="0" w:color="auto"/>
            </w:tcBorders>
            <w:noWrap/>
          </w:tcPr>
          <w:p w14:paraId="34515CC9"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81</w:t>
            </w:r>
          </w:p>
        </w:tc>
        <w:tc>
          <w:tcPr>
            <w:tcW w:w="493" w:type="pct"/>
            <w:tcBorders>
              <w:top w:val="single" w:sz="4" w:space="0" w:color="auto"/>
              <w:bottom w:val="single" w:sz="4" w:space="0" w:color="auto"/>
            </w:tcBorders>
            <w:noWrap/>
          </w:tcPr>
          <w:p w14:paraId="306154F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218</w:t>
            </w:r>
          </w:p>
        </w:tc>
        <w:tc>
          <w:tcPr>
            <w:tcW w:w="493" w:type="pct"/>
            <w:tcBorders>
              <w:top w:val="single" w:sz="4" w:space="0" w:color="auto"/>
              <w:bottom w:val="single" w:sz="4" w:space="0" w:color="auto"/>
            </w:tcBorders>
            <w:noWrap/>
          </w:tcPr>
          <w:p w14:paraId="2105B903"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90</w:t>
            </w:r>
          </w:p>
        </w:tc>
        <w:tc>
          <w:tcPr>
            <w:tcW w:w="493" w:type="pct"/>
            <w:tcBorders>
              <w:top w:val="single" w:sz="4" w:space="0" w:color="auto"/>
              <w:bottom w:val="single" w:sz="4" w:space="0" w:color="auto"/>
            </w:tcBorders>
            <w:noWrap/>
          </w:tcPr>
          <w:p w14:paraId="739778C9"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33</w:t>
            </w:r>
          </w:p>
        </w:tc>
        <w:tc>
          <w:tcPr>
            <w:tcW w:w="493" w:type="pct"/>
            <w:tcBorders>
              <w:top w:val="single" w:sz="4" w:space="0" w:color="auto"/>
              <w:bottom w:val="single" w:sz="4" w:space="0" w:color="auto"/>
            </w:tcBorders>
            <w:noWrap/>
          </w:tcPr>
          <w:p w14:paraId="1501A8E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41</w:t>
            </w:r>
          </w:p>
        </w:tc>
        <w:tc>
          <w:tcPr>
            <w:tcW w:w="493" w:type="pct"/>
            <w:tcBorders>
              <w:top w:val="single" w:sz="4" w:space="0" w:color="auto"/>
              <w:bottom w:val="single" w:sz="4" w:space="0" w:color="auto"/>
            </w:tcBorders>
          </w:tcPr>
          <w:p w14:paraId="2B258D7D" w14:textId="760F609F"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25</w:t>
            </w:r>
          </w:p>
        </w:tc>
      </w:tr>
      <w:tr w:rsidR="002214F0" w:rsidRPr="007F04EF" w14:paraId="140529C7" w14:textId="5AB1CA20" w:rsidTr="002214F0">
        <w:trPr>
          <w:trHeight w:val="300"/>
        </w:trPr>
        <w:tc>
          <w:tcPr>
            <w:tcW w:w="2041" w:type="pct"/>
            <w:tcBorders>
              <w:top w:val="single" w:sz="4" w:space="0" w:color="auto"/>
            </w:tcBorders>
            <w:noWrap/>
            <w:hideMark/>
          </w:tcPr>
          <w:p w14:paraId="22707C83" w14:textId="4F1BDBEA" w:rsidR="002214F0" w:rsidRPr="007F04EF" w:rsidRDefault="009D4F97" w:rsidP="00436CD8">
            <w:pPr>
              <w:pStyle w:val="Brezrazmikov"/>
              <w:rPr>
                <w:rFonts w:eastAsia="Times New Roman"/>
                <w:color w:val="000000"/>
                <w:lang w:val="en-GB"/>
              </w:rPr>
            </w:pPr>
            <w:r w:rsidRPr="007F04EF">
              <w:rPr>
                <w:rFonts w:eastAsia="Times New Roman"/>
                <w:color w:val="000000"/>
                <w:lang w:val="en-GB"/>
              </w:rPr>
              <w:t xml:space="preserve">% of </w:t>
            </w:r>
            <w:r w:rsidR="00772365" w:rsidRPr="007F04EF">
              <w:rPr>
                <w:rFonts w:eastAsia="Times New Roman"/>
                <w:color w:val="000000"/>
                <w:lang w:val="en-GB"/>
              </w:rPr>
              <w:t xml:space="preserve">water </w:t>
            </w:r>
            <w:r w:rsidRPr="007F04EF">
              <w:rPr>
                <w:rFonts w:eastAsia="Times New Roman"/>
                <w:color w:val="000000"/>
                <w:lang w:val="en-GB"/>
              </w:rPr>
              <w:t>supply areas tested for pesticides</w:t>
            </w:r>
          </w:p>
        </w:tc>
        <w:tc>
          <w:tcPr>
            <w:tcW w:w="494" w:type="pct"/>
            <w:tcBorders>
              <w:top w:val="single" w:sz="4" w:space="0" w:color="auto"/>
            </w:tcBorders>
            <w:noWrap/>
          </w:tcPr>
          <w:p w14:paraId="50658122" w14:textId="1DE1C219"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9</w:t>
            </w:r>
            <w:r w:rsidR="004E1D5F" w:rsidRPr="007F04EF">
              <w:rPr>
                <w:rFonts w:eastAsia="Times New Roman"/>
                <w:color w:val="000000"/>
                <w:lang w:val="en-GB"/>
              </w:rPr>
              <w:t>.</w:t>
            </w:r>
            <w:r w:rsidRPr="007F04EF">
              <w:rPr>
                <w:rFonts w:eastAsia="Times New Roman"/>
                <w:color w:val="000000"/>
                <w:lang w:val="en-GB"/>
              </w:rPr>
              <w:t>4</w:t>
            </w:r>
            <w:r w:rsidR="00F96327" w:rsidRPr="007F04EF">
              <w:rPr>
                <w:rFonts w:eastAsia="Times New Roman"/>
                <w:color w:val="000000"/>
                <w:lang w:val="en-GB"/>
              </w:rPr>
              <w:t xml:space="preserve"> %</w:t>
            </w:r>
          </w:p>
        </w:tc>
        <w:tc>
          <w:tcPr>
            <w:tcW w:w="493" w:type="pct"/>
            <w:tcBorders>
              <w:top w:val="single" w:sz="4" w:space="0" w:color="auto"/>
            </w:tcBorders>
            <w:noWrap/>
          </w:tcPr>
          <w:p w14:paraId="6117E37F" w14:textId="42EA4B75"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25</w:t>
            </w:r>
            <w:r w:rsidR="004E1D5F" w:rsidRPr="007F04EF">
              <w:rPr>
                <w:rFonts w:eastAsia="Times New Roman"/>
                <w:color w:val="000000"/>
                <w:lang w:val="en-GB"/>
              </w:rPr>
              <w:t>.</w:t>
            </w:r>
            <w:r w:rsidRPr="007F04EF">
              <w:rPr>
                <w:rFonts w:eastAsia="Times New Roman"/>
                <w:color w:val="000000"/>
                <w:lang w:val="en-GB"/>
              </w:rPr>
              <w:t>4</w:t>
            </w:r>
            <w:r w:rsidR="00F96327" w:rsidRPr="007F04EF">
              <w:rPr>
                <w:rFonts w:eastAsia="Times New Roman"/>
                <w:color w:val="000000"/>
                <w:lang w:val="en-GB"/>
              </w:rPr>
              <w:t xml:space="preserve"> %</w:t>
            </w:r>
          </w:p>
        </w:tc>
        <w:tc>
          <w:tcPr>
            <w:tcW w:w="493" w:type="pct"/>
            <w:tcBorders>
              <w:top w:val="single" w:sz="4" w:space="0" w:color="auto"/>
            </w:tcBorders>
            <w:noWrap/>
          </w:tcPr>
          <w:p w14:paraId="6C7F596C" w14:textId="6D7F9B9B"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10</w:t>
            </w:r>
            <w:r w:rsidR="004E1D5F" w:rsidRPr="007F04EF">
              <w:rPr>
                <w:rFonts w:eastAsia="Times New Roman"/>
                <w:color w:val="000000"/>
                <w:lang w:val="en-GB"/>
              </w:rPr>
              <w:t>.</w:t>
            </w:r>
            <w:r w:rsidRPr="007F04EF">
              <w:rPr>
                <w:rFonts w:eastAsia="Times New Roman"/>
                <w:color w:val="000000"/>
                <w:lang w:val="en-GB"/>
              </w:rPr>
              <w:t>5</w:t>
            </w:r>
            <w:r w:rsidR="00F96327" w:rsidRPr="007F04EF">
              <w:rPr>
                <w:rFonts w:eastAsia="Times New Roman"/>
                <w:color w:val="000000"/>
                <w:lang w:val="en-GB"/>
              </w:rPr>
              <w:t xml:space="preserve"> %</w:t>
            </w:r>
          </w:p>
        </w:tc>
        <w:tc>
          <w:tcPr>
            <w:tcW w:w="493" w:type="pct"/>
            <w:tcBorders>
              <w:top w:val="single" w:sz="4" w:space="0" w:color="auto"/>
            </w:tcBorders>
            <w:noWrap/>
          </w:tcPr>
          <w:p w14:paraId="6C967FB7" w14:textId="2BCFF4FA"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3</w:t>
            </w:r>
            <w:r w:rsidR="004E1D5F" w:rsidRPr="007F04EF">
              <w:rPr>
                <w:rFonts w:eastAsia="Times New Roman"/>
                <w:color w:val="000000"/>
                <w:lang w:val="en-GB"/>
              </w:rPr>
              <w:t>.</w:t>
            </w:r>
            <w:r w:rsidRPr="007F04EF">
              <w:rPr>
                <w:rFonts w:eastAsia="Times New Roman"/>
                <w:color w:val="000000"/>
                <w:lang w:val="en-GB"/>
              </w:rPr>
              <w:t>8</w:t>
            </w:r>
            <w:r w:rsidR="00F96327" w:rsidRPr="007F04EF">
              <w:rPr>
                <w:rFonts w:eastAsia="Times New Roman"/>
                <w:color w:val="000000"/>
                <w:lang w:val="en-GB"/>
              </w:rPr>
              <w:t xml:space="preserve"> %</w:t>
            </w:r>
          </w:p>
        </w:tc>
        <w:tc>
          <w:tcPr>
            <w:tcW w:w="493" w:type="pct"/>
            <w:tcBorders>
              <w:top w:val="single" w:sz="4" w:space="0" w:color="auto"/>
            </w:tcBorders>
            <w:noWrap/>
          </w:tcPr>
          <w:p w14:paraId="64AE7681" w14:textId="6A22D252"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4</w:t>
            </w:r>
            <w:r w:rsidR="004E1D5F" w:rsidRPr="007F04EF">
              <w:rPr>
                <w:rFonts w:eastAsia="Times New Roman"/>
                <w:color w:val="000000"/>
                <w:lang w:val="en-GB"/>
              </w:rPr>
              <w:t>.</w:t>
            </w:r>
            <w:r w:rsidRPr="007F04EF">
              <w:rPr>
                <w:rFonts w:eastAsia="Times New Roman"/>
                <w:color w:val="000000"/>
                <w:lang w:val="en-GB"/>
              </w:rPr>
              <w:t>7</w:t>
            </w:r>
            <w:r w:rsidR="00F96327" w:rsidRPr="007F04EF">
              <w:rPr>
                <w:rFonts w:eastAsia="Times New Roman"/>
                <w:color w:val="000000"/>
                <w:lang w:val="en-GB"/>
              </w:rPr>
              <w:t xml:space="preserve"> %</w:t>
            </w:r>
          </w:p>
        </w:tc>
        <w:tc>
          <w:tcPr>
            <w:tcW w:w="493" w:type="pct"/>
            <w:tcBorders>
              <w:top w:val="single" w:sz="4" w:space="0" w:color="auto"/>
            </w:tcBorders>
          </w:tcPr>
          <w:p w14:paraId="71A42608" w14:textId="68521A3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w:t>
            </w:r>
            <w:r w:rsidR="004E1D5F" w:rsidRPr="007F04EF">
              <w:rPr>
                <w:rFonts w:eastAsia="Times New Roman"/>
                <w:color w:val="000000"/>
                <w:lang w:val="en-GB"/>
              </w:rPr>
              <w:t>.</w:t>
            </w:r>
            <w:r w:rsidRPr="007F04EF">
              <w:rPr>
                <w:rFonts w:eastAsia="Times New Roman"/>
                <w:color w:val="000000"/>
                <w:lang w:val="en-GB"/>
              </w:rPr>
              <w:t>9</w:t>
            </w:r>
            <w:r w:rsidR="00F96327" w:rsidRPr="007F04EF">
              <w:rPr>
                <w:rFonts w:eastAsia="Times New Roman"/>
                <w:color w:val="000000"/>
                <w:lang w:val="en-GB"/>
              </w:rPr>
              <w:t xml:space="preserve"> %</w:t>
            </w:r>
          </w:p>
        </w:tc>
      </w:tr>
    </w:tbl>
    <w:p w14:paraId="4853BBD4" w14:textId="77777777" w:rsidR="00436CD8" w:rsidRPr="007F04EF" w:rsidRDefault="00436CD8" w:rsidP="00436CD8">
      <w:pPr>
        <w:pStyle w:val="Brezrazmikov"/>
        <w:rPr>
          <w:lang w:val="en-GB"/>
        </w:rPr>
      </w:pPr>
    </w:p>
    <w:p w14:paraId="295E1CD6" w14:textId="03690507" w:rsidR="00772365" w:rsidRPr="007F04EF" w:rsidRDefault="009D4F97" w:rsidP="005A3ECC">
      <w:pPr>
        <w:jc w:val="both"/>
        <w:rPr>
          <w:lang w:val="en-GB"/>
        </w:rPr>
      </w:pPr>
      <w:r w:rsidRPr="007F04EF">
        <w:rPr>
          <w:lang w:val="en-GB"/>
        </w:rPr>
        <w:t>Of the pesticides</w:t>
      </w:r>
      <w:r w:rsidR="00A27418" w:rsidRPr="007F04EF">
        <w:rPr>
          <w:lang w:val="en-GB"/>
        </w:rPr>
        <w:t xml:space="preserve"> monitored</w:t>
      </w:r>
      <w:r w:rsidRPr="007F04EF">
        <w:rPr>
          <w:lang w:val="en-GB"/>
        </w:rPr>
        <w:t>,</w:t>
      </w:r>
      <w:r w:rsidR="00A27418" w:rsidRPr="007F04EF">
        <w:rPr>
          <w:lang w:val="en-GB"/>
        </w:rPr>
        <w:t xml:space="preserve"> only the values of </w:t>
      </w:r>
      <w:proofErr w:type="spellStart"/>
      <w:r w:rsidRPr="007F04EF">
        <w:rPr>
          <w:lang w:val="en-GB"/>
        </w:rPr>
        <w:t>desethylatrazine</w:t>
      </w:r>
      <w:proofErr w:type="spellEnd"/>
      <w:r w:rsidR="00A27418" w:rsidRPr="007F04EF">
        <w:rPr>
          <w:lang w:val="en-GB"/>
        </w:rPr>
        <w:t xml:space="preserve"> (DA) </w:t>
      </w:r>
      <w:r w:rsidRPr="007F04EF">
        <w:rPr>
          <w:lang w:val="en-GB"/>
        </w:rPr>
        <w:t>and</w:t>
      </w:r>
      <w:r w:rsidR="00A27418" w:rsidRPr="007F04EF">
        <w:rPr>
          <w:lang w:val="en-GB"/>
        </w:rPr>
        <w:t xml:space="preserve"> </w:t>
      </w:r>
      <w:proofErr w:type="spellStart"/>
      <w:r w:rsidRPr="007F04EF">
        <w:rPr>
          <w:lang w:val="en-GB"/>
        </w:rPr>
        <w:t>bentazon</w:t>
      </w:r>
      <w:r w:rsidR="00A27418" w:rsidRPr="007F04EF">
        <w:rPr>
          <w:lang w:val="en-GB"/>
        </w:rPr>
        <w:t>e</w:t>
      </w:r>
      <w:proofErr w:type="spellEnd"/>
      <w:r w:rsidR="00A27418" w:rsidRPr="007F04EF">
        <w:rPr>
          <w:lang w:val="en-GB"/>
        </w:rPr>
        <w:t xml:space="preserve"> </w:t>
      </w:r>
      <w:r w:rsidRPr="007F04EF">
        <w:rPr>
          <w:lang w:val="en-GB"/>
        </w:rPr>
        <w:t xml:space="preserve">were exceeded in individual years in the </w:t>
      </w:r>
      <w:proofErr w:type="spellStart"/>
      <w:r w:rsidRPr="007F04EF">
        <w:rPr>
          <w:lang w:val="en-GB"/>
        </w:rPr>
        <w:t>Pomurska</w:t>
      </w:r>
      <w:proofErr w:type="spellEnd"/>
      <w:r w:rsidRPr="007F04EF">
        <w:rPr>
          <w:lang w:val="en-GB"/>
        </w:rPr>
        <w:t>,</w:t>
      </w:r>
      <w:r w:rsidR="00A27418" w:rsidRPr="007F04EF">
        <w:rPr>
          <w:lang w:val="en-GB"/>
        </w:rPr>
        <w:t xml:space="preserve"> </w:t>
      </w:r>
      <w:r w:rsidR="005D4AF3" w:rsidRPr="007F04EF">
        <w:rPr>
          <w:lang w:val="en-GB"/>
        </w:rPr>
        <w:t>South-</w:t>
      </w:r>
      <w:r w:rsidR="00772365" w:rsidRPr="007F04EF">
        <w:rPr>
          <w:lang w:val="en-GB"/>
        </w:rPr>
        <w:t>E</w:t>
      </w:r>
      <w:r w:rsidR="005D4AF3" w:rsidRPr="007F04EF">
        <w:rPr>
          <w:lang w:val="en-GB"/>
        </w:rPr>
        <w:t>astern</w:t>
      </w:r>
      <w:r w:rsidRPr="007F04EF">
        <w:rPr>
          <w:lang w:val="en-GB"/>
        </w:rPr>
        <w:t>,</w:t>
      </w:r>
      <w:r w:rsidR="00A27418" w:rsidRPr="007F04EF">
        <w:rPr>
          <w:lang w:val="en-GB"/>
        </w:rPr>
        <w:t xml:space="preserve"> </w:t>
      </w:r>
      <w:proofErr w:type="spellStart"/>
      <w:r w:rsidRPr="007F04EF">
        <w:rPr>
          <w:lang w:val="en-GB"/>
        </w:rPr>
        <w:t>Savinjska</w:t>
      </w:r>
      <w:proofErr w:type="spellEnd"/>
      <w:r w:rsidR="00A27418" w:rsidRPr="007F04EF">
        <w:rPr>
          <w:lang w:val="en-GB"/>
        </w:rPr>
        <w:t xml:space="preserve"> </w:t>
      </w:r>
      <w:r w:rsidRPr="007F04EF">
        <w:rPr>
          <w:lang w:val="en-GB"/>
        </w:rPr>
        <w:t xml:space="preserve">and </w:t>
      </w:r>
      <w:proofErr w:type="spellStart"/>
      <w:r w:rsidRPr="007F04EF">
        <w:rPr>
          <w:lang w:val="en-GB"/>
        </w:rPr>
        <w:t>Podravska</w:t>
      </w:r>
      <w:proofErr w:type="spellEnd"/>
      <w:r w:rsidRPr="007F04EF">
        <w:rPr>
          <w:lang w:val="en-GB"/>
        </w:rPr>
        <w:t xml:space="preserve"> region</w:t>
      </w:r>
      <w:r w:rsidR="003B2DA9" w:rsidRPr="007F04EF">
        <w:rPr>
          <w:lang w:val="en-GB"/>
        </w:rPr>
        <w:t xml:space="preserve">s </w:t>
      </w:r>
      <w:r w:rsidRPr="007F04EF">
        <w:rPr>
          <w:lang w:val="en-GB"/>
        </w:rPr>
        <w:t xml:space="preserve">(Table 7). </w:t>
      </w:r>
    </w:p>
    <w:p w14:paraId="7B5A29AA" w14:textId="77777777" w:rsidR="00772365" w:rsidRPr="007F04EF" w:rsidRDefault="00772365" w:rsidP="005A3ECC">
      <w:pPr>
        <w:jc w:val="both"/>
        <w:rPr>
          <w:lang w:val="en-GB"/>
        </w:rPr>
      </w:pPr>
    </w:p>
    <w:p w14:paraId="41BE832C" w14:textId="6EF2A1A6" w:rsidR="009D4F97" w:rsidRPr="007F04EF" w:rsidRDefault="003B2DA9" w:rsidP="005A3ECC">
      <w:pPr>
        <w:jc w:val="both"/>
        <w:rPr>
          <w:lang w:val="en-GB"/>
        </w:rPr>
      </w:pPr>
      <w:r w:rsidRPr="007F04EF">
        <w:rPr>
          <w:lang w:val="en-GB"/>
        </w:rPr>
        <w:t>C</w:t>
      </w:r>
      <w:r w:rsidR="009D4F97" w:rsidRPr="007F04EF">
        <w:rPr>
          <w:lang w:val="en-GB"/>
        </w:rPr>
        <w:t xml:space="preserve">oncentration of </w:t>
      </w:r>
      <w:proofErr w:type="spellStart"/>
      <w:r w:rsidR="009D4F97" w:rsidRPr="007F04EF">
        <w:rPr>
          <w:lang w:val="en-GB"/>
        </w:rPr>
        <w:t>desethylatrazine</w:t>
      </w:r>
      <w:proofErr w:type="spellEnd"/>
      <w:r w:rsidRPr="007F04EF">
        <w:rPr>
          <w:lang w:val="en-GB"/>
        </w:rPr>
        <w:t xml:space="preserve"> (DA) </w:t>
      </w:r>
      <w:r w:rsidR="009D4F97" w:rsidRPr="007F04EF">
        <w:rPr>
          <w:lang w:val="en-GB"/>
        </w:rPr>
        <w:t xml:space="preserve">in groundwater and consequently in drinking water </w:t>
      </w:r>
      <w:r w:rsidRPr="007F04EF">
        <w:rPr>
          <w:lang w:val="en-GB"/>
        </w:rPr>
        <w:t xml:space="preserve">is </w:t>
      </w:r>
      <w:r w:rsidR="009D4F97" w:rsidRPr="007F04EF">
        <w:rPr>
          <w:lang w:val="en-GB"/>
        </w:rPr>
        <w:t>continu</w:t>
      </w:r>
      <w:r w:rsidRPr="007F04EF">
        <w:rPr>
          <w:lang w:val="en-GB"/>
        </w:rPr>
        <w:t xml:space="preserve">ally </w:t>
      </w:r>
      <w:r w:rsidR="009D4F97" w:rsidRPr="007F04EF">
        <w:rPr>
          <w:lang w:val="en-GB"/>
        </w:rPr>
        <w:t>decreas</w:t>
      </w:r>
      <w:r w:rsidRPr="007F04EF">
        <w:rPr>
          <w:lang w:val="en-GB"/>
        </w:rPr>
        <w:t>ing</w:t>
      </w:r>
      <w:r w:rsidR="009D4F97" w:rsidRPr="007F04EF">
        <w:rPr>
          <w:lang w:val="en-GB"/>
        </w:rPr>
        <w:t>.</w:t>
      </w:r>
      <w:r w:rsidRPr="007F04EF">
        <w:rPr>
          <w:lang w:val="en-GB"/>
        </w:rPr>
        <w:t xml:space="preserve"> </w:t>
      </w:r>
      <w:proofErr w:type="spellStart"/>
      <w:r w:rsidRPr="007F04EF">
        <w:rPr>
          <w:lang w:val="en-GB"/>
        </w:rPr>
        <w:t>D</w:t>
      </w:r>
      <w:r w:rsidR="009D4F97" w:rsidRPr="007F04EF">
        <w:rPr>
          <w:lang w:val="en-GB"/>
        </w:rPr>
        <w:t>eseth</w:t>
      </w:r>
      <w:r w:rsidRPr="007F04EF">
        <w:rPr>
          <w:lang w:val="en-GB"/>
        </w:rPr>
        <w:t>y</w:t>
      </w:r>
      <w:r w:rsidR="009D4F97" w:rsidRPr="007F04EF">
        <w:rPr>
          <w:lang w:val="en-GB"/>
        </w:rPr>
        <w:t>latrazine</w:t>
      </w:r>
      <w:proofErr w:type="spellEnd"/>
      <w:r w:rsidRPr="007F04EF">
        <w:rPr>
          <w:lang w:val="en-GB"/>
        </w:rPr>
        <w:t xml:space="preserve"> concentrations measured we</w:t>
      </w:r>
      <w:r w:rsidR="009D4F97" w:rsidRPr="007F04EF">
        <w:rPr>
          <w:lang w:val="en-GB"/>
        </w:rPr>
        <w:t>re</w:t>
      </w:r>
      <w:r w:rsidRPr="007F04EF">
        <w:rPr>
          <w:lang w:val="en-GB"/>
        </w:rPr>
        <w:t xml:space="preserve">, </w:t>
      </w:r>
      <w:r w:rsidR="009D4F97" w:rsidRPr="007F04EF">
        <w:rPr>
          <w:lang w:val="en-GB"/>
        </w:rPr>
        <w:t xml:space="preserve">on average (median </w:t>
      </w:r>
      <w:r w:rsidR="009D4F97" w:rsidRPr="007F04EF">
        <w:rPr>
          <w:lang w:val="en-GB"/>
        </w:rPr>
        <w:lastRenderedPageBreak/>
        <w:t>value)</w:t>
      </w:r>
      <w:r w:rsidRPr="007F04EF">
        <w:rPr>
          <w:lang w:val="en-GB"/>
        </w:rPr>
        <w:t xml:space="preserve">, </w:t>
      </w:r>
      <w:r w:rsidR="009D4F97" w:rsidRPr="007F04EF">
        <w:rPr>
          <w:lang w:val="en-GB"/>
        </w:rPr>
        <w:t>below 0.05 µg/l</w:t>
      </w:r>
      <w:r w:rsidR="00DD7AD4" w:rsidRPr="007F04EF">
        <w:rPr>
          <w:lang w:val="en-GB"/>
        </w:rPr>
        <w:t>.</w:t>
      </w:r>
      <w:r w:rsidRPr="007F04EF">
        <w:rPr>
          <w:lang w:val="en-GB"/>
        </w:rPr>
        <w:t xml:space="preserve"> I</w:t>
      </w:r>
      <w:r w:rsidR="009D4F97" w:rsidRPr="007F04EF">
        <w:rPr>
          <w:lang w:val="en-GB"/>
        </w:rPr>
        <w:t xml:space="preserve">n </w:t>
      </w:r>
      <w:r w:rsidRPr="007F04EF">
        <w:rPr>
          <w:lang w:val="en-GB"/>
        </w:rPr>
        <w:t xml:space="preserve">certain </w:t>
      </w:r>
      <w:r w:rsidR="009D4F97" w:rsidRPr="007F04EF">
        <w:rPr>
          <w:lang w:val="en-GB"/>
        </w:rPr>
        <w:t>individual samples</w:t>
      </w:r>
      <w:r w:rsidRPr="007F04EF">
        <w:rPr>
          <w:lang w:val="en-GB"/>
        </w:rPr>
        <w:t xml:space="preserve">, </w:t>
      </w:r>
      <w:r w:rsidR="009D4F97" w:rsidRPr="007F04EF">
        <w:rPr>
          <w:lang w:val="en-GB"/>
        </w:rPr>
        <w:t>the</w:t>
      </w:r>
      <w:r w:rsidRPr="007F04EF">
        <w:rPr>
          <w:lang w:val="en-GB"/>
        </w:rPr>
        <w:t xml:space="preserve"> </w:t>
      </w:r>
      <w:r w:rsidR="009D4F97" w:rsidRPr="007F04EF">
        <w:rPr>
          <w:lang w:val="en-GB"/>
        </w:rPr>
        <w:t>limit value of 0.10 µg/l</w:t>
      </w:r>
      <w:r w:rsidRPr="007F04EF">
        <w:rPr>
          <w:lang w:val="en-GB"/>
        </w:rPr>
        <w:t xml:space="preserve"> was exceeded due to various f</w:t>
      </w:r>
      <w:r w:rsidR="009D4F97" w:rsidRPr="007F04EF">
        <w:rPr>
          <w:lang w:val="en-GB"/>
        </w:rPr>
        <w:t>actors, mainly hydrological</w:t>
      </w:r>
      <w:r w:rsidRPr="007F04EF">
        <w:rPr>
          <w:lang w:val="en-GB"/>
        </w:rPr>
        <w:t xml:space="preserve">, </w:t>
      </w:r>
      <w:proofErr w:type="gramStart"/>
      <w:r w:rsidRPr="007F04EF">
        <w:rPr>
          <w:lang w:val="en-GB"/>
        </w:rPr>
        <w:t>meteorological</w:t>
      </w:r>
      <w:proofErr w:type="gramEnd"/>
      <w:r w:rsidRPr="007F04EF">
        <w:rPr>
          <w:lang w:val="en-GB"/>
        </w:rPr>
        <w:t xml:space="preserve"> </w:t>
      </w:r>
      <w:r w:rsidR="009D4F97" w:rsidRPr="007F04EF">
        <w:rPr>
          <w:lang w:val="en-GB"/>
        </w:rPr>
        <w:t>and</w:t>
      </w:r>
      <w:r w:rsidRPr="007F04EF">
        <w:rPr>
          <w:lang w:val="en-GB"/>
        </w:rPr>
        <w:t xml:space="preserve"> geological</w:t>
      </w:r>
      <w:r w:rsidR="00DD7AD4" w:rsidRPr="007F04EF">
        <w:rPr>
          <w:lang w:val="en-GB"/>
        </w:rPr>
        <w:t>.</w:t>
      </w:r>
    </w:p>
    <w:p w14:paraId="7BF63F74" w14:textId="77777777" w:rsidR="005A3ECC" w:rsidRPr="007F04EF" w:rsidRDefault="005A3ECC" w:rsidP="005A3ECC">
      <w:pPr>
        <w:jc w:val="both"/>
        <w:rPr>
          <w:lang w:val="en-GB"/>
        </w:rPr>
      </w:pPr>
    </w:p>
    <w:p w14:paraId="1438A9CB" w14:textId="101771B0" w:rsidR="00FE30D5" w:rsidRPr="007F04EF" w:rsidRDefault="00DD7AD4" w:rsidP="00DC3204">
      <w:pPr>
        <w:pStyle w:val="Napis"/>
        <w:rPr>
          <w:rFonts w:cs="Arial"/>
          <w:sz w:val="20"/>
          <w:szCs w:val="20"/>
          <w:lang w:val="en-GB"/>
        </w:rPr>
      </w:pPr>
      <w:bookmarkStart w:id="57" w:name="_Ref151556442"/>
      <w:bookmarkStart w:id="58" w:name="_Toc149825606"/>
      <w:bookmarkStart w:id="59" w:name="_Toc151116355"/>
      <w:bookmarkStart w:id="60" w:name="_Toc152153150"/>
      <w:bookmarkStart w:id="61" w:name="_Toc161657869"/>
      <w:r w:rsidRPr="007F04EF">
        <w:rPr>
          <w:rFonts w:cs="Arial"/>
          <w:sz w:val="20"/>
          <w:szCs w:val="20"/>
          <w:lang w:val="en-GB"/>
        </w:rPr>
        <w:t xml:space="preserve">Table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7</w:t>
      </w:r>
      <w:r w:rsidR="00DC3204" w:rsidRPr="007F04EF">
        <w:rPr>
          <w:rFonts w:cs="Arial"/>
          <w:sz w:val="20"/>
          <w:szCs w:val="20"/>
          <w:lang w:val="en-GB"/>
        </w:rPr>
        <w:fldChar w:fldCharType="end"/>
      </w:r>
      <w:bookmarkEnd w:id="57"/>
      <w:r w:rsidR="00FE30D5" w:rsidRPr="007F04EF">
        <w:rPr>
          <w:rFonts w:cs="Arial"/>
          <w:sz w:val="20"/>
          <w:szCs w:val="20"/>
          <w:lang w:val="en-GB"/>
        </w:rPr>
        <w:t xml:space="preserve">: </w:t>
      </w:r>
      <w:r w:rsidR="004E1D5F" w:rsidRPr="007F04EF">
        <w:rPr>
          <w:rFonts w:cs="Arial"/>
          <w:sz w:val="20"/>
          <w:szCs w:val="20"/>
          <w:lang w:val="en-GB"/>
        </w:rPr>
        <w:t>N</w:t>
      </w:r>
      <w:r w:rsidR="005D4AF3" w:rsidRPr="007F04EF">
        <w:rPr>
          <w:rFonts w:cs="Arial"/>
          <w:sz w:val="20"/>
          <w:szCs w:val="20"/>
          <w:lang w:val="en-GB"/>
        </w:rPr>
        <w:t xml:space="preserve">umber of </w:t>
      </w:r>
      <w:r w:rsidR="004E1D5F" w:rsidRPr="007F04EF">
        <w:rPr>
          <w:rFonts w:cs="Arial"/>
          <w:sz w:val="20"/>
          <w:szCs w:val="20"/>
          <w:lang w:val="en-GB"/>
        </w:rPr>
        <w:t xml:space="preserve">water </w:t>
      </w:r>
      <w:r w:rsidR="005D4AF3" w:rsidRPr="007F04EF">
        <w:rPr>
          <w:rFonts w:cs="Arial"/>
          <w:sz w:val="20"/>
          <w:szCs w:val="20"/>
          <w:lang w:val="en-GB"/>
        </w:rPr>
        <w:t>supply areas with exceeded value</w:t>
      </w:r>
      <w:r w:rsidR="004E1D5F" w:rsidRPr="007F04EF">
        <w:rPr>
          <w:rFonts w:cs="Arial"/>
          <w:sz w:val="20"/>
          <w:szCs w:val="20"/>
          <w:lang w:val="en-GB"/>
        </w:rPr>
        <w:t xml:space="preserve"> o</w:t>
      </w:r>
      <w:r w:rsidR="005D4AF3" w:rsidRPr="007F04EF">
        <w:rPr>
          <w:rFonts w:cs="Arial"/>
          <w:sz w:val="20"/>
          <w:szCs w:val="20"/>
          <w:lang w:val="en-GB"/>
        </w:rPr>
        <w:t>f</w:t>
      </w:r>
      <w:r w:rsidR="004E1D5F" w:rsidRPr="007F04EF">
        <w:rPr>
          <w:rFonts w:cs="Arial"/>
          <w:sz w:val="20"/>
          <w:szCs w:val="20"/>
          <w:lang w:val="en-GB"/>
        </w:rPr>
        <w:t xml:space="preserve"> an </w:t>
      </w:r>
      <w:r w:rsidR="005D4AF3" w:rsidRPr="007F04EF">
        <w:rPr>
          <w:rFonts w:cs="Arial"/>
          <w:sz w:val="20"/>
          <w:szCs w:val="20"/>
          <w:lang w:val="en-GB"/>
        </w:rPr>
        <w:t>individual active substance</w:t>
      </w:r>
      <w:r w:rsidR="00772365" w:rsidRPr="007F04EF">
        <w:rPr>
          <w:rFonts w:cs="Arial"/>
          <w:sz w:val="20"/>
          <w:szCs w:val="20"/>
          <w:lang w:val="en-GB"/>
        </w:rPr>
        <w:t xml:space="preserve">, </w:t>
      </w:r>
      <w:r w:rsidR="004E1D5F" w:rsidRPr="007F04EF">
        <w:rPr>
          <w:rFonts w:cs="Arial"/>
          <w:sz w:val="20"/>
          <w:szCs w:val="20"/>
          <w:lang w:val="en-GB"/>
        </w:rPr>
        <w:t xml:space="preserve">per </w:t>
      </w:r>
      <w:r w:rsidR="005D4AF3" w:rsidRPr="007F04EF">
        <w:rPr>
          <w:rFonts w:cs="Arial"/>
          <w:sz w:val="20"/>
          <w:szCs w:val="20"/>
          <w:lang w:val="en-GB"/>
        </w:rPr>
        <w:t>statistical region</w:t>
      </w:r>
      <w:r w:rsidR="00772365" w:rsidRPr="007F04EF">
        <w:rPr>
          <w:rFonts w:cs="Arial"/>
          <w:sz w:val="20"/>
          <w:szCs w:val="20"/>
          <w:lang w:val="en-GB"/>
        </w:rPr>
        <w:t xml:space="preserve"> </w:t>
      </w:r>
      <w:r w:rsidR="00FE30D5" w:rsidRPr="007F04EF">
        <w:rPr>
          <w:rFonts w:cs="Arial"/>
          <w:sz w:val="20"/>
          <w:szCs w:val="20"/>
          <w:lang w:val="en-GB"/>
        </w:rPr>
        <w:t>(</w:t>
      </w:r>
      <w:r w:rsidR="005D4AF3" w:rsidRPr="007F04EF">
        <w:rPr>
          <w:rFonts w:cs="Arial"/>
          <w:sz w:val="20"/>
          <w:szCs w:val="20"/>
          <w:lang w:val="en-GB"/>
        </w:rPr>
        <w:t>S</w:t>
      </w:r>
      <w:r w:rsidR="00D2723A" w:rsidRPr="007F04EF">
        <w:rPr>
          <w:rFonts w:cs="Arial"/>
          <w:sz w:val="20"/>
          <w:szCs w:val="20"/>
          <w:lang w:val="en-GB"/>
        </w:rPr>
        <w:t>o</w:t>
      </w:r>
      <w:r w:rsidR="005D4AF3" w:rsidRPr="007F04EF">
        <w:rPr>
          <w:rFonts w:cs="Arial"/>
          <w:sz w:val="20"/>
          <w:szCs w:val="20"/>
          <w:lang w:val="en-GB"/>
        </w:rPr>
        <w:t>urce</w:t>
      </w:r>
      <w:r w:rsidR="00FE30D5" w:rsidRPr="007F04EF">
        <w:rPr>
          <w:rFonts w:cs="Arial"/>
          <w:sz w:val="20"/>
          <w:szCs w:val="20"/>
          <w:lang w:val="en-GB"/>
        </w:rPr>
        <w:t xml:space="preserve">: </w:t>
      </w:r>
      <w:hyperlink r:id="rId14" w:history="1">
        <w:r w:rsidR="00FE30D5" w:rsidRPr="007F04EF">
          <w:rPr>
            <w:rStyle w:val="Hiperpovezava"/>
            <w:rFonts w:cs="Arial"/>
            <w:sz w:val="20"/>
            <w:szCs w:val="20"/>
            <w:lang w:val="en-GB"/>
          </w:rPr>
          <w:t>mpv.si</w:t>
        </w:r>
      </w:hyperlink>
      <w:r w:rsidR="00FE30D5" w:rsidRPr="007F04EF">
        <w:rPr>
          <w:rFonts w:cs="Arial"/>
          <w:sz w:val="20"/>
          <w:szCs w:val="20"/>
          <w:lang w:val="en-GB"/>
        </w:rPr>
        <w:t>)</w:t>
      </w:r>
      <w:bookmarkEnd w:id="58"/>
      <w:bookmarkEnd w:id="59"/>
      <w:bookmarkEnd w:id="60"/>
      <w:bookmarkEnd w:id="61"/>
    </w:p>
    <w:p w14:paraId="7E89DD23" w14:textId="77777777" w:rsidR="005A3ECC" w:rsidRPr="007F04EF" w:rsidRDefault="005A3ECC" w:rsidP="005A3ECC">
      <w:pPr>
        <w:rPr>
          <w:lang w:val="en-GB"/>
        </w:rPr>
      </w:pPr>
    </w:p>
    <w:tbl>
      <w:tblPr>
        <w:tblStyle w:val="Navadnatabela2"/>
        <w:tblW w:w="5000" w:type="pct"/>
        <w:tblLook w:val="04A0" w:firstRow="1" w:lastRow="0" w:firstColumn="1" w:lastColumn="0" w:noHBand="0" w:noVBand="1"/>
      </w:tblPr>
      <w:tblGrid>
        <w:gridCol w:w="2687"/>
        <w:gridCol w:w="1075"/>
        <w:gridCol w:w="1075"/>
        <w:gridCol w:w="1075"/>
        <w:gridCol w:w="1075"/>
        <w:gridCol w:w="1071"/>
        <w:gridCol w:w="1068"/>
      </w:tblGrid>
      <w:tr w:rsidR="002214F0" w:rsidRPr="007F04EF" w14:paraId="7E7A22FD" w14:textId="76CBD92C" w:rsidTr="00221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CD684D2" w14:textId="77777777" w:rsidR="002214F0" w:rsidRPr="007F04EF" w:rsidRDefault="002214F0" w:rsidP="00F377B9">
            <w:pPr>
              <w:pStyle w:val="Brezrazmikov"/>
              <w:rPr>
                <w:rFonts w:ascii="Arial" w:hAnsi="Arial" w:cs="Arial"/>
                <w:b w:val="0"/>
                <w:bCs w:val="0"/>
                <w:lang w:val="en-GB"/>
              </w:rPr>
            </w:pPr>
          </w:p>
        </w:tc>
        <w:tc>
          <w:tcPr>
            <w:tcW w:w="589" w:type="pct"/>
          </w:tcPr>
          <w:p w14:paraId="2CB24F59"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2017</w:t>
            </w:r>
          </w:p>
        </w:tc>
        <w:tc>
          <w:tcPr>
            <w:tcW w:w="589" w:type="pct"/>
          </w:tcPr>
          <w:p w14:paraId="4F9AC1C1"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2018</w:t>
            </w:r>
          </w:p>
        </w:tc>
        <w:tc>
          <w:tcPr>
            <w:tcW w:w="589" w:type="pct"/>
          </w:tcPr>
          <w:p w14:paraId="7F07DA55"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2019</w:t>
            </w:r>
          </w:p>
        </w:tc>
        <w:tc>
          <w:tcPr>
            <w:tcW w:w="589" w:type="pct"/>
          </w:tcPr>
          <w:p w14:paraId="6B4FEB2F"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2020</w:t>
            </w:r>
          </w:p>
        </w:tc>
        <w:tc>
          <w:tcPr>
            <w:tcW w:w="587" w:type="pct"/>
          </w:tcPr>
          <w:p w14:paraId="73FE5119"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2021</w:t>
            </w:r>
          </w:p>
        </w:tc>
        <w:tc>
          <w:tcPr>
            <w:tcW w:w="585" w:type="pct"/>
          </w:tcPr>
          <w:p w14:paraId="055752D1" w14:textId="6395720E"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2022</w:t>
            </w:r>
          </w:p>
        </w:tc>
      </w:tr>
      <w:tr w:rsidR="002214F0" w:rsidRPr="007F04EF" w14:paraId="2E760F4A" w14:textId="0210C9B6"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E9D4E4E" w14:textId="735932F5" w:rsidR="002214F0" w:rsidRPr="007F04EF" w:rsidRDefault="002214F0" w:rsidP="00F377B9">
            <w:pPr>
              <w:pStyle w:val="Brezrazmikov"/>
              <w:rPr>
                <w:rFonts w:ascii="Arial" w:hAnsi="Arial" w:cs="Arial"/>
                <w:b w:val="0"/>
                <w:bCs w:val="0"/>
                <w:lang w:val="en-GB"/>
              </w:rPr>
            </w:pPr>
            <w:proofErr w:type="spellStart"/>
            <w:r w:rsidRPr="007F04EF">
              <w:rPr>
                <w:rFonts w:ascii="Arial" w:hAnsi="Arial" w:cs="Arial"/>
                <w:b w:val="0"/>
                <w:bCs w:val="0"/>
                <w:lang w:val="en-GB"/>
              </w:rPr>
              <w:t>Pomurska</w:t>
            </w:r>
            <w:proofErr w:type="spellEnd"/>
            <w:r w:rsidRPr="007F04EF">
              <w:rPr>
                <w:rFonts w:ascii="Arial" w:hAnsi="Arial" w:cs="Arial"/>
                <w:b w:val="0"/>
                <w:bCs w:val="0"/>
                <w:lang w:val="en-GB"/>
              </w:rPr>
              <w:t xml:space="preserve"> regi</w:t>
            </w:r>
            <w:r w:rsidR="005D4AF3" w:rsidRPr="007F04EF">
              <w:rPr>
                <w:rFonts w:ascii="Arial" w:hAnsi="Arial" w:cs="Arial"/>
                <w:b w:val="0"/>
                <w:bCs w:val="0"/>
                <w:lang w:val="en-GB"/>
              </w:rPr>
              <w:t>on</w:t>
            </w:r>
          </w:p>
        </w:tc>
        <w:tc>
          <w:tcPr>
            <w:tcW w:w="589" w:type="pct"/>
          </w:tcPr>
          <w:p w14:paraId="63D1CCB1"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02A691A6" w14:textId="1C5037F1"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2 (B)</w:t>
            </w:r>
            <w:r w:rsidR="00BE2F95" w:rsidRPr="007F04EF">
              <w:rPr>
                <w:rFonts w:ascii="Arial" w:hAnsi="Arial" w:cs="Arial"/>
                <w:lang w:val="en-GB"/>
              </w:rPr>
              <w:t>*</w:t>
            </w:r>
          </w:p>
        </w:tc>
        <w:tc>
          <w:tcPr>
            <w:tcW w:w="589" w:type="pct"/>
          </w:tcPr>
          <w:p w14:paraId="4B2E3DA2"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47FF4FC3"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(B)</w:t>
            </w:r>
          </w:p>
        </w:tc>
        <w:tc>
          <w:tcPr>
            <w:tcW w:w="587" w:type="pct"/>
          </w:tcPr>
          <w:p w14:paraId="28A3C981"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(B)</w:t>
            </w:r>
          </w:p>
        </w:tc>
        <w:tc>
          <w:tcPr>
            <w:tcW w:w="585" w:type="pct"/>
          </w:tcPr>
          <w:p w14:paraId="5916FDEB" w14:textId="7B550DFA"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r>
      <w:tr w:rsidR="002214F0" w:rsidRPr="007F04EF" w14:paraId="4658DCCB" w14:textId="6218000E"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023550EB" w14:textId="6B2AA045" w:rsidR="002214F0" w:rsidRPr="007F04EF" w:rsidRDefault="005D4AF3" w:rsidP="00F377B9">
            <w:pPr>
              <w:pStyle w:val="Brezrazmikov"/>
              <w:rPr>
                <w:rFonts w:ascii="Arial" w:hAnsi="Arial" w:cs="Arial"/>
                <w:b w:val="0"/>
                <w:bCs w:val="0"/>
                <w:lang w:val="en-GB"/>
              </w:rPr>
            </w:pPr>
            <w:r w:rsidRPr="007F04EF">
              <w:rPr>
                <w:rFonts w:ascii="Arial" w:hAnsi="Arial" w:cs="Arial"/>
                <w:b w:val="0"/>
                <w:bCs w:val="0"/>
                <w:lang w:val="en-GB"/>
              </w:rPr>
              <w:t>South-</w:t>
            </w:r>
            <w:r w:rsidR="004E1D5F" w:rsidRPr="007F04EF">
              <w:rPr>
                <w:rFonts w:ascii="Arial" w:hAnsi="Arial" w:cs="Arial"/>
                <w:b w:val="0"/>
                <w:bCs w:val="0"/>
                <w:lang w:val="en-GB"/>
              </w:rPr>
              <w:t>E</w:t>
            </w:r>
            <w:r w:rsidRPr="007F04EF">
              <w:rPr>
                <w:rFonts w:ascii="Arial" w:hAnsi="Arial" w:cs="Arial"/>
                <w:b w:val="0"/>
                <w:bCs w:val="0"/>
                <w:lang w:val="en-GB"/>
              </w:rPr>
              <w:t>astern region</w:t>
            </w:r>
          </w:p>
        </w:tc>
        <w:tc>
          <w:tcPr>
            <w:tcW w:w="589" w:type="pct"/>
          </w:tcPr>
          <w:p w14:paraId="526E0257"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615C9B92"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38C92A53" w14:textId="38BEEAB2"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2 (DA)</w:t>
            </w:r>
            <w:r w:rsidR="00BE2F95" w:rsidRPr="007F04EF">
              <w:rPr>
                <w:rFonts w:ascii="Arial" w:hAnsi="Arial" w:cs="Arial"/>
                <w:lang w:val="en-GB"/>
              </w:rPr>
              <w:t>**</w:t>
            </w:r>
          </w:p>
        </w:tc>
        <w:tc>
          <w:tcPr>
            <w:tcW w:w="589" w:type="pct"/>
          </w:tcPr>
          <w:p w14:paraId="1869766A"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7" w:type="pct"/>
          </w:tcPr>
          <w:p w14:paraId="20F08631"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5" w:type="pct"/>
          </w:tcPr>
          <w:p w14:paraId="4DC70834" w14:textId="4CBCA00E"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r>
      <w:tr w:rsidR="002214F0" w:rsidRPr="007F04EF" w14:paraId="7DEA76C7" w14:textId="67929B0A"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A1B2D2A" w14:textId="6FBD44D1" w:rsidR="002214F0" w:rsidRPr="007F04EF" w:rsidRDefault="002214F0" w:rsidP="00F377B9">
            <w:pPr>
              <w:pStyle w:val="Brezrazmikov"/>
              <w:rPr>
                <w:rFonts w:ascii="Arial" w:hAnsi="Arial" w:cs="Arial"/>
                <w:b w:val="0"/>
                <w:bCs w:val="0"/>
                <w:lang w:val="en-GB"/>
              </w:rPr>
            </w:pPr>
            <w:proofErr w:type="spellStart"/>
            <w:r w:rsidRPr="007F04EF">
              <w:rPr>
                <w:rFonts w:ascii="Arial" w:hAnsi="Arial" w:cs="Arial"/>
                <w:b w:val="0"/>
                <w:bCs w:val="0"/>
                <w:lang w:val="en-GB"/>
              </w:rPr>
              <w:t>Savinjska</w:t>
            </w:r>
            <w:proofErr w:type="spellEnd"/>
            <w:r w:rsidRPr="007F04EF">
              <w:rPr>
                <w:rFonts w:ascii="Arial" w:hAnsi="Arial" w:cs="Arial"/>
                <w:b w:val="0"/>
                <w:bCs w:val="0"/>
                <w:lang w:val="en-GB"/>
              </w:rPr>
              <w:t xml:space="preserve"> regi</w:t>
            </w:r>
            <w:r w:rsidR="005D4AF3" w:rsidRPr="007F04EF">
              <w:rPr>
                <w:rFonts w:ascii="Arial" w:hAnsi="Arial" w:cs="Arial"/>
                <w:b w:val="0"/>
                <w:bCs w:val="0"/>
                <w:lang w:val="en-GB"/>
              </w:rPr>
              <w:t>on</w:t>
            </w:r>
          </w:p>
        </w:tc>
        <w:tc>
          <w:tcPr>
            <w:tcW w:w="589" w:type="pct"/>
          </w:tcPr>
          <w:p w14:paraId="5FA080CB"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(B)</w:t>
            </w:r>
          </w:p>
        </w:tc>
        <w:tc>
          <w:tcPr>
            <w:tcW w:w="589" w:type="pct"/>
          </w:tcPr>
          <w:p w14:paraId="2B79D21A"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7B7DE790"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28298164"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7" w:type="pct"/>
          </w:tcPr>
          <w:p w14:paraId="5B559964"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5" w:type="pct"/>
          </w:tcPr>
          <w:p w14:paraId="7E52BAE7" w14:textId="114A14DA"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r>
      <w:tr w:rsidR="002214F0" w:rsidRPr="007F04EF" w14:paraId="38A132EC" w14:textId="46D91BD1"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6DBAE40" w14:textId="3BDA643F" w:rsidR="002214F0" w:rsidRPr="007F04EF" w:rsidRDefault="002214F0" w:rsidP="00F377B9">
            <w:pPr>
              <w:pStyle w:val="Brezrazmikov"/>
              <w:rPr>
                <w:rFonts w:ascii="Arial" w:hAnsi="Arial" w:cs="Arial"/>
                <w:b w:val="0"/>
                <w:bCs w:val="0"/>
                <w:lang w:val="en-GB"/>
              </w:rPr>
            </w:pPr>
            <w:proofErr w:type="spellStart"/>
            <w:r w:rsidRPr="007F04EF">
              <w:rPr>
                <w:rFonts w:ascii="Arial" w:hAnsi="Arial" w:cs="Arial"/>
                <w:b w:val="0"/>
                <w:bCs w:val="0"/>
                <w:lang w:val="en-GB"/>
              </w:rPr>
              <w:t>Podravska</w:t>
            </w:r>
            <w:proofErr w:type="spellEnd"/>
            <w:r w:rsidRPr="007F04EF">
              <w:rPr>
                <w:rFonts w:ascii="Arial" w:hAnsi="Arial" w:cs="Arial"/>
                <w:b w:val="0"/>
                <w:bCs w:val="0"/>
                <w:lang w:val="en-GB"/>
              </w:rPr>
              <w:t xml:space="preserve"> regi</w:t>
            </w:r>
            <w:r w:rsidR="005D4AF3" w:rsidRPr="007F04EF">
              <w:rPr>
                <w:rFonts w:ascii="Arial" w:hAnsi="Arial" w:cs="Arial"/>
                <w:b w:val="0"/>
                <w:bCs w:val="0"/>
                <w:lang w:val="en-GB"/>
              </w:rPr>
              <w:t>on</w:t>
            </w:r>
          </w:p>
        </w:tc>
        <w:tc>
          <w:tcPr>
            <w:tcW w:w="589" w:type="pct"/>
          </w:tcPr>
          <w:p w14:paraId="54B88DC3"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47235ABD"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325CE9E4"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31859284"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7" w:type="pct"/>
          </w:tcPr>
          <w:p w14:paraId="6C529EC1"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5" w:type="pct"/>
          </w:tcPr>
          <w:p w14:paraId="120CE9FC" w14:textId="620E96D5"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r>
    </w:tbl>
    <w:p w14:paraId="6873AB48" w14:textId="3C455469" w:rsidR="00FE30D5" w:rsidRPr="007F04EF" w:rsidRDefault="00F377B9" w:rsidP="00F377B9">
      <w:pPr>
        <w:pStyle w:val="Brezrazmikov"/>
        <w:rPr>
          <w:rFonts w:cs="Arial"/>
          <w:sz w:val="16"/>
          <w:szCs w:val="16"/>
          <w:lang w:val="en-GB"/>
        </w:rPr>
      </w:pPr>
      <w:r w:rsidRPr="007F04EF">
        <w:rPr>
          <w:rFonts w:cs="Arial"/>
          <w:sz w:val="16"/>
          <w:szCs w:val="16"/>
          <w:lang w:val="en-GB"/>
        </w:rPr>
        <w:t>*</w:t>
      </w:r>
      <w:r w:rsidR="00FE30D5" w:rsidRPr="007F04EF">
        <w:rPr>
          <w:rFonts w:cs="Arial"/>
          <w:sz w:val="16"/>
          <w:szCs w:val="16"/>
          <w:lang w:val="en-GB"/>
        </w:rPr>
        <w:t xml:space="preserve">B = </w:t>
      </w:r>
      <w:proofErr w:type="spellStart"/>
      <w:r w:rsidR="00FE30D5" w:rsidRPr="007F04EF">
        <w:rPr>
          <w:rFonts w:cs="Arial"/>
          <w:sz w:val="16"/>
          <w:szCs w:val="16"/>
          <w:lang w:val="en-GB"/>
        </w:rPr>
        <w:t>bentazon</w:t>
      </w:r>
      <w:r w:rsidR="004B47A0" w:rsidRPr="007F04EF">
        <w:rPr>
          <w:rFonts w:cs="Arial"/>
          <w:sz w:val="16"/>
          <w:szCs w:val="16"/>
          <w:lang w:val="en-GB"/>
        </w:rPr>
        <w:t>e</w:t>
      </w:r>
      <w:proofErr w:type="spellEnd"/>
    </w:p>
    <w:p w14:paraId="387EDA39" w14:textId="1A066BFA" w:rsidR="00FE30D5" w:rsidRPr="007F04EF" w:rsidRDefault="00F377B9" w:rsidP="00F377B9">
      <w:pPr>
        <w:pStyle w:val="Brezrazmikov"/>
        <w:rPr>
          <w:rFonts w:cs="Arial"/>
          <w:sz w:val="16"/>
          <w:szCs w:val="16"/>
          <w:lang w:val="en-GB"/>
        </w:rPr>
      </w:pPr>
      <w:r w:rsidRPr="007F04EF">
        <w:rPr>
          <w:rFonts w:cs="Arial"/>
          <w:sz w:val="16"/>
          <w:szCs w:val="16"/>
          <w:lang w:val="en-GB"/>
        </w:rPr>
        <w:t>*</w:t>
      </w:r>
      <w:r w:rsidR="00BE2F95" w:rsidRPr="007F04EF">
        <w:rPr>
          <w:rFonts w:cs="Arial"/>
          <w:sz w:val="16"/>
          <w:szCs w:val="16"/>
          <w:lang w:val="en-GB"/>
        </w:rPr>
        <w:t>*</w:t>
      </w:r>
      <w:r w:rsidR="00FE30D5" w:rsidRPr="007F04EF">
        <w:rPr>
          <w:rFonts w:cs="Arial"/>
          <w:sz w:val="16"/>
          <w:szCs w:val="16"/>
          <w:lang w:val="en-GB"/>
        </w:rPr>
        <w:t xml:space="preserve">DA = </w:t>
      </w:r>
      <w:proofErr w:type="spellStart"/>
      <w:r w:rsidR="00FE30D5" w:rsidRPr="007F04EF">
        <w:rPr>
          <w:rFonts w:cs="Arial"/>
          <w:sz w:val="16"/>
          <w:szCs w:val="16"/>
          <w:lang w:val="en-GB"/>
        </w:rPr>
        <w:t>d</w:t>
      </w:r>
      <w:r w:rsidR="001037C8" w:rsidRPr="007F04EF">
        <w:rPr>
          <w:rFonts w:cs="Arial"/>
          <w:sz w:val="16"/>
          <w:szCs w:val="16"/>
          <w:lang w:val="en-GB"/>
        </w:rPr>
        <w:t>e</w:t>
      </w:r>
      <w:r w:rsidR="00FE30D5" w:rsidRPr="007F04EF">
        <w:rPr>
          <w:rFonts w:cs="Arial"/>
          <w:sz w:val="16"/>
          <w:szCs w:val="16"/>
          <w:lang w:val="en-GB"/>
        </w:rPr>
        <w:t>set</w:t>
      </w:r>
      <w:r w:rsidR="004B47A0" w:rsidRPr="007F04EF">
        <w:rPr>
          <w:rFonts w:cs="Arial"/>
          <w:sz w:val="16"/>
          <w:szCs w:val="16"/>
          <w:lang w:val="en-GB"/>
        </w:rPr>
        <w:t>hylatrazine</w:t>
      </w:r>
      <w:proofErr w:type="spellEnd"/>
      <w:r w:rsidR="00FE30D5" w:rsidRPr="007F04EF">
        <w:rPr>
          <w:rFonts w:cs="Arial"/>
          <w:sz w:val="16"/>
          <w:szCs w:val="16"/>
          <w:lang w:val="en-GB"/>
        </w:rPr>
        <w:t xml:space="preserve"> </w:t>
      </w:r>
    </w:p>
    <w:p w14:paraId="3BB04ACA" w14:textId="77777777" w:rsidR="00436CD8" w:rsidRPr="007F04EF" w:rsidRDefault="00436CD8" w:rsidP="00436CD8">
      <w:pPr>
        <w:pStyle w:val="Brezrazmikov"/>
        <w:rPr>
          <w:lang w:val="en-GB"/>
        </w:rPr>
      </w:pPr>
    </w:p>
    <w:p w14:paraId="1EE3CAE3" w14:textId="1EECA6D5" w:rsidR="005D4AF3" w:rsidRPr="007F04EF" w:rsidRDefault="00F83C12" w:rsidP="005A3ECC">
      <w:pPr>
        <w:jc w:val="both"/>
        <w:rPr>
          <w:lang w:val="en-GB"/>
        </w:rPr>
      </w:pPr>
      <w:r w:rsidRPr="007F04EF">
        <w:rPr>
          <w:lang w:val="en-GB"/>
        </w:rPr>
        <w:t>Under t</w:t>
      </w:r>
      <w:r w:rsidR="005D4AF3" w:rsidRPr="007F04EF">
        <w:rPr>
          <w:lang w:val="en-GB"/>
        </w:rPr>
        <w:t xml:space="preserve">he </w:t>
      </w:r>
      <w:r w:rsidRPr="007F04EF">
        <w:rPr>
          <w:lang w:val="en-GB"/>
        </w:rPr>
        <w:t xml:space="preserve">Drinking Water Monitoring </w:t>
      </w:r>
      <w:r w:rsidR="005D4AF3" w:rsidRPr="007F04EF">
        <w:rPr>
          <w:lang w:val="en-GB"/>
        </w:rPr>
        <w:t>program</w:t>
      </w:r>
      <w:r w:rsidRPr="007F04EF">
        <w:rPr>
          <w:lang w:val="en-GB"/>
        </w:rPr>
        <w:t xml:space="preserve">, the </w:t>
      </w:r>
      <w:r w:rsidR="005D4AF3" w:rsidRPr="007F04EF">
        <w:rPr>
          <w:lang w:val="en-GB"/>
        </w:rPr>
        <w:t>monitor</w:t>
      </w:r>
      <w:r w:rsidRPr="007F04EF">
        <w:rPr>
          <w:lang w:val="en-GB"/>
        </w:rPr>
        <w:t xml:space="preserve">ing of presence </w:t>
      </w:r>
      <w:r w:rsidR="005D4AF3" w:rsidRPr="007F04EF">
        <w:rPr>
          <w:lang w:val="en-GB"/>
        </w:rPr>
        <w:t>of all active substances</w:t>
      </w:r>
      <w:r w:rsidRPr="007F04EF">
        <w:rPr>
          <w:lang w:val="en-GB"/>
        </w:rPr>
        <w:t xml:space="preserve">, including </w:t>
      </w:r>
      <w:r w:rsidR="005D4AF3" w:rsidRPr="007F04EF">
        <w:rPr>
          <w:lang w:val="en-GB"/>
        </w:rPr>
        <w:t>atrazine and its degradation</w:t>
      </w:r>
      <w:r w:rsidRPr="007F04EF">
        <w:rPr>
          <w:lang w:val="en-GB"/>
        </w:rPr>
        <w:t xml:space="preserve"> </w:t>
      </w:r>
      <w:r w:rsidR="005D4AF3" w:rsidRPr="007F04EF">
        <w:rPr>
          <w:lang w:val="en-GB"/>
        </w:rPr>
        <w:t>products</w:t>
      </w:r>
      <w:r w:rsidRPr="007F04EF">
        <w:rPr>
          <w:lang w:val="en-GB"/>
        </w:rPr>
        <w:t>,</w:t>
      </w:r>
      <w:r w:rsidR="005D4AF3" w:rsidRPr="007F04EF">
        <w:rPr>
          <w:lang w:val="en-GB"/>
        </w:rPr>
        <w:t xml:space="preserve"> in water</w:t>
      </w:r>
      <w:r w:rsidRPr="007F04EF">
        <w:rPr>
          <w:lang w:val="en-GB"/>
        </w:rPr>
        <w:t xml:space="preserve"> shall continue</w:t>
      </w:r>
      <w:r w:rsidR="005D4AF3" w:rsidRPr="007F04EF">
        <w:rPr>
          <w:lang w:val="en-GB"/>
        </w:rPr>
        <w:t>.</w:t>
      </w:r>
    </w:p>
    <w:p w14:paraId="7423EE86" w14:textId="77777777" w:rsidR="004B47A0" w:rsidRPr="007F04EF" w:rsidRDefault="004B47A0" w:rsidP="005A3ECC">
      <w:pPr>
        <w:jc w:val="both"/>
        <w:rPr>
          <w:lang w:val="en-GB"/>
        </w:rPr>
      </w:pPr>
    </w:p>
    <w:p w14:paraId="54B0F5D2" w14:textId="6656E6B8" w:rsidR="00D25F87" w:rsidRPr="007F04EF" w:rsidRDefault="005D4AF3" w:rsidP="005A3ECC">
      <w:pPr>
        <w:jc w:val="both"/>
        <w:rPr>
          <w:lang w:val="en-GB"/>
        </w:rPr>
      </w:pPr>
      <w:r w:rsidRPr="007F04EF">
        <w:rPr>
          <w:lang w:val="en-GB"/>
        </w:rPr>
        <w:t>Data on drinking water monitoring and results are available on the Drinking Water Monitoring website</w:t>
      </w:r>
      <w:r w:rsidR="00FE30D5" w:rsidRPr="007F04EF">
        <w:rPr>
          <w:rStyle w:val="Sprotnaopomba-sklic"/>
          <w:rFonts w:cs="Arial"/>
          <w:lang w:val="en-GB"/>
        </w:rPr>
        <w:footnoteReference w:id="14"/>
      </w:r>
      <w:r w:rsidR="00FE30D5" w:rsidRPr="007F04EF">
        <w:rPr>
          <w:lang w:val="en-GB"/>
        </w:rPr>
        <w:t xml:space="preserve">. </w:t>
      </w:r>
    </w:p>
    <w:p w14:paraId="2D0161CF" w14:textId="77777777" w:rsidR="005A3ECC" w:rsidRPr="007F04EF" w:rsidRDefault="005A3ECC" w:rsidP="00436CD8">
      <w:pPr>
        <w:rPr>
          <w:lang w:val="en-GB"/>
        </w:rPr>
      </w:pPr>
    </w:p>
    <w:p w14:paraId="5B11B14E" w14:textId="2CEE7195" w:rsidR="00FE30D5" w:rsidRPr="007F04EF" w:rsidRDefault="0097288D" w:rsidP="002214F0">
      <w:pPr>
        <w:rPr>
          <w:b/>
          <w:bCs/>
          <w:lang w:val="en-GB"/>
        </w:rPr>
      </w:pPr>
      <w:r w:rsidRPr="007F04EF">
        <w:rPr>
          <w:b/>
          <w:bCs/>
          <w:lang w:val="en-GB"/>
        </w:rPr>
        <w:t>Groundwater monitoring</w:t>
      </w:r>
    </w:p>
    <w:p w14:paraId="35E1A7C8" w14:textId="77777777" w:rsidR="005A3ECC" w:rsidRPr="007F04EF" w:rsidRDefault="005A3ECC" w:rsidP="002214F0">
      <w:pPr>
        <w:rPr>
          <w:b/>
          <w:bCs/>
          <w:lang w:val="en-GB"/>
        </w:rPr>
      </w:pPr>
    </w:p>
    <w:p w14:paraId="5342890E" w14:textId="3B7E6650" w:rsidR="00CA4D78" w:rsidRPr="007F04EF" w:rsidRDefault="0044487F" w:rsidP="005A3ECC">
      <w:pPr>
        <w:jc w:val="both"/>
        <w:rPr>
          <w:lang w:val="en-GB"/>
        </w:rPr>
      </w:pPr>
      <w:r w:rsidRPr="007F04EF">
        <w:rPr>
          <w:lang w:val="en-GB"/>
        </w:rPr>
        <w:t>At relevant measuring points</w:t>
      </w:r>
      <w:r w:rsidR="00CA4D78" w:rsidRPr="007F04EF">
        <w:rPr>
          <w:lang w:val="en-GB"/>
        </w:rPr>
        <w:t xml:space="preserve">, the content of nitrates, </w:t>
      </w:r>
      <w:r w:rsidR="008104E3" w:rsidRPr="007F04EF">
        <w:rPr>
          <w:lang w:val="en-GB"/>
        </w:rPr>
        <w:t>pesticides,</w:t>
      </w:r>
      <w:r w:rsidR="00CA4D78" w:rsidRPr="007F04EF">
        <w:rPr>
          <w:lang w:val="en-GB"/>
        </w:rPr>
        <w:t xml:space="preserve"> and industrial chemicals (solvents)</w:t>
      </w:r>
      <w:r w:rsidRPr="007F04EF">
        <w:rPr>
          <w:lang w:val="en-GB"/>
        </w:rPr>
        <w:t xml:space="preserve"> is </w:t>
      </w:r>
      <w:r w:rsidR="00CA4D78" w:rsidRPr="007F04EF">
        <w:rPr>
          <w:lang w:val="en-GB"/>
        </w:rPr>
        <w:t>measured</w:t>
      </w:r>
      <w:r w:rsidRPr="007F04EF">
        <w:rPr>
          <w:lang w:val="en-GB"/>
        </w:rPr>
        <w:t xml:space="preserve"> as part of chemical status monitoring of groundwater bodies</w:t>
      </w:r>
      <w:r w:rsidR="00CA4D78" w:rsidRPr="007F04EF">
        <w:rPr>
          <w:lang w:val="en-GB"/>
        </w:rPr>
        <w:t>.</w:t>
      </w:r>
    </w:p>
    <w:p w14:paraId="6B4ED19F" w14:textId="77777777" w:rsidR="001A1968" w:rsidRPr="007F04EF" w:rsidRDefault="001A1968" w:rsidP="005A3ECC">
      <w:pPr>
        <w:jc w:val="both"/>
        <w:rPr>
          <w:lang w:val="en-GB"/>
        </w:rPr>
      </w:pPr>
    </w:p>
    <w:p w14:paraId="17FCC416" w14:textId="77777777" w:rsidR="0044487F" w:rsidRPr="007F04EF" w:rsidRDefault="008104E3" w:rsidP="005A3ECC">
      <w:pPr>
        <w:jc w:val="both"/>
        <w:rPr>
          <w:lang w:val="en-GB"/>
        </w:rPr>
      </w:pPr>
      <w:r w:rsidRPr="007F04EF">
        <w:rPr>
          <w:lang w:val="en-GB"/>
        </w:rPr>
        <w:t>Based on measurements, t</w:t>
      </w:r>
      <w:r w:rsidR="00CA4D78" w:rsidRPr="007F04EF">
        <w:rPr>
          <w:lang w:val="en-GB"/>
        </w:rPr>
        <w:t>he</w:t>
      </w:r>
      <w:r w:rsidR="003B2DA9" w:rsidRPr="007F04EF">
        <w:rPr>
          <w:lang w:val="en-GB"/>
        </w:rPr>
        <w:t xml:space="preserve"> Slovenian </w:t>
      </w:r>
      <w:r w:rsidR="00CA4D78" w:rsidRPr="007F04EF">
        <w:rPr>
          <w:lang w:val="en-GB"/>
        </w:rPr>
        <w:t>Environment Agency</w:t>
      </w:r>
      <w:r w:rsidR="003B2DA9" w:rsidRPr="007F04EF">
        <w:rPr>
          <w:lang w:val="en-GB"/>
        </w:rPr>
        <w:t xml:space="preserve"> (ARSO)</w:t>
      </w:r>
      <w:r w:rsidR="0044487F" w:rsidRPr="007F04EF">
        <w:rPr>
          <w:lang w:val="en-GB"/>
        </w:rPr>
        <w:t xml:space="preserve"> </w:t>
      </w:r>
      <w:r w:rsidR="00CA4D78" w:rsidRPr="007F04EF">
        <w:rPr>
          <w:lang w:val="en-GB"/>
        </w:rPr>
        <w:t xml:space="preserve">prepared </w:t>
      </w:r>
      <w:r w:rsidR="003B2DA9" w:rsidRPr="007F04EF">
        <w:rPr>
          <w:lang w:val="en-GB"/>
        </w:rPr>
        <w:t>an</w:t>
      </w:r>
      <w:r w:rsidR="00CA4D78" w:rsidRPr="007F04EF">
        <w:rPr>
          <w:lang w:val="en-GB"/>
        </w:rPr>
        <w:t xml:space="preserve"> assessment of groundwater</w:t>
      </w:r>
      <w:r w:rsidR="0044487F" w:rsidRPr="007F04EF">
        <w:rPr>
          <w:lang w:val="en-GB"/>
        </w:rPr>
        <w:t xml:space="preserve"> chemical status</w:t>
      </w:r>
      <w:r w:rsidR="00CA4D78" w:rsidRPr="007F04EF">
        <w:rPr>
          <w:lang w:val="en-GB"/>
        </w:rPr>
        <w:t>.</w:t>
      </w:r>
      <w:r w:rsidR="0044487F" w:rsidRPr="007F04EF">
        <w:rPr>
          <w:lang w:val="en-GB"/>
        </w:rPr>
        <w:t xml:space="preserve"> </w:t>
      </w:r>
    </w:p>
    <w:p w14:paraId="0275E048" w14:textId="77777777" w:rsidR="0044487F" w:rsidRPr="007F04EF" w:rsidRDefault="0044487F" w:rsidP="005A3ECC">
      <w:pPr>
        <w:jc w:val="both"/>
        <w:rPr>
          <w:lang w:val="en-GB"/>
        </w:rPr>
      </w:pPr>
    </w:p>
    <w:p w14:paraId="3E711F05" w14:textId="2A517683" w:rsidR="00426900" w:rsidRPr="007F04EF" w:rsidRDefault="0044487F" w:rsidP="005A3ECC">
      <w:pPr>
        <w:jc w:val="both"/>
        <w:rPr>
          <w:lang w:val="en-GB"/>
        </w:rPr>
      </w:pPr>
      <w:r w:rsidRPr="007F04EF">
        <w:rPr>
          <w:lang w:val="en-GB"/>
        </w:rPr>
        <w:t>C</w:t>
      </w:r>
      <w:r w:rsidR="00CA4D78" w:rsidRPr="007F04EF">
        <w:rPr>
          <w:lang w:val="en-GB"/>
        </w:rPr>
        <w:t>hemical stat</w:t>
      </w:r>
      <w:r w:rsidRPr="007F04EF">
        <w:rPr>
          <w:lang w:val="en-GB"/>
        </w:rPr>
        <w:t xml:space="preserve">us of </w:t>
      </w:r>
      <w:r w:rsidR="00CA4D78" w:rsidRPr="007F04EF">
        <w:rPr>
          <w:lang w:val="en-GB"/>
        </w:rPr>
        <w:t>the Mura,</w:t>
      </w:r>
      <w:r w:rsidRPr="007F04EF">
        <w:rPr>
          <w:lang w:val="en-GB"/>
        </w:rPr>
        <w:t xml:space="preserve"> </w:t>
      </w:r>
      <w:proofErr w:type="spellStart"/>
      <w:r w:rsidR="00CA4D78" w:rsidRPr="007F04EF">
        <w:rPr>
          <w:lang w:val="en-GB"/>
        </w:rPr>
        <w:t>Savinja</w:t>
      </w:r>
      <w:proofErr w:type="spellEnd"/>
      <w:r w:rsidRPr="007F04EF">
        <w:rPr>
          <w:lang w:val="en-GB"/>
        </w:rPr>
        <w:t xml:space="preserve">, </w:t>
      </w:r>
      <w:r w:rsidR="00CA4D78" w:rsidRPr="007F04EF">
        <w:rPr>
          <w:lang w:val="en-GB"/>
        </w:rPr>
        <w:t xml:space="preserve">and </w:t>
      </w:r>
      <w:proofErr w:type="gramStart"/>
      <w:r w:rsidR="00CA4D78" w:rsidRPr="007F04EF">
        <w:rPr>
          <w:lang w:val="en-GB"/>
        </w:rPr>
        <w:t xml:space="preserve">Drava </w:t>
      </w:r>
      <w:r w:rsidRPr="007F04EF">
        <w:rPr>
          <w:lang w:val="en-GB"/>
        </w:rPr>
        <w:t>river</w:t>
      </w:r>
      <w:proofErr w:type="gramEnd"/>
      <w:r w:rsidRPr="007F04EF">
        <w:rPr>
          <w:lang w:val="en-GB"/>
        </w:rPr>
        <w:t xml:space="preserve"> </w:t>
      </w:r>
      <w:r w:rsidR="00CA4D78" w:rsidRPr="007F04EF">
        <w:rPr>
          <w:lang w:val="en-GB"/>
        </w:rPr>
        <w:t>basin</w:t>
      </w:r>
      <w:r w:rsidRPr="007F04EF">
        <w:rPr>
          <w:lang w:val="en-GB"/>
        </w:rPr>
        <w:t xml:space="preserve">s </w:t>
      </w:r>
      <w:r w:rsidR="00CA4D78" w:rsidRPr="007F04EF">
        <w:rPr>
          <w:lang w:val="en-GB"/>
        </w:rPr>
        <w:t xml:space="preserve">is poor due to </w:t>
      </w:r>
      <w:r w:rsidRPr="007F04EF">
        <w:rPr>
          <w:lang w:val="en-GB"/>
        </w:rPr>
        <w:t xml:space="preserve">the presence of all the above </w:t>
      </w:r>
      <w:r w:rsidR="00CA4D78" w:rsidRPr="007F04EF">
        <w:rPr>
          <w:lang w:val="en-GB"/>
        </w:rPr>
        <w:t>parameters.</w:t>
      </w:r>
      <w:r w:rsidRPr="007F04EF">
        <w:rPr>
          <w:lang w:val="en-GB"/>
        </w:rPr>
        <w:t xml:space="preserve"> </w:t>
      </w:r>
      <w:r w:rsidR="00CA4D78" w:rsidRPr="007F04EF">
        <w:rPr>
          <w:lang w:val="en-GB"/>
        </w:rPr>
        <w:t xml:space="preserve">In the Mura and </w:t>
      </w:r>
      <w:proofErr w:type="gramStart"/>
      <w:r w:rsidR="00CA4D78" w:rsidRPr="007F04EF">
        <w:rPr>
          <w:lang w:val="en-GB"/>
        </w:rPr>
        <w:t>Drava</w:t>
      </w:r>
      <w:r w:rsidRPr="007F04EF">
        <w:rPr>
          <w:lang w:val="en-GB"/>
        </w:rPr>
        <w:t xml:space="preserve"> river</w:t>
      </w:r>
      <w:proofErr w:type="gramEnd"/>
      <w:r w:rsidRPr="007F04EF">
        <w:rPr>
          <w:lang w:val="en-GB"/>
        </w:rPr>
        <w:t xml:space="preserve"> </w:t>
      </w:r>
      <w:r w:rsidR="00CA4D78" w:rsidRPr="007F04EF">
        <w:rPr>
          <w:lang w:val="en-GB"/>
        </w:rPr>
        <w:t>basins, the</w:t>
      </w:r>
      <w:r w:rsidRPr="007F04EF">
        <w:rPr>
          <w:lang w:val="en-GB"/>
        </w:rPr>
        <w:t xml:space="preserve"> presence </w:t>
      </w:r>
      <w:r w:rsidR="00CA4D78" w:rsidRPr="007F04EF">
        <w:rPr>
          <w:lang w:val="en-GB"/>
        </w:rPr>
        <w:t>of</w:t>
      </w:r>
      <w:r w:rsidRPr="007F04EF">
        <w:rPr>
          <w:lang w:val="en-GB"/>
        </w:rPr>
        <w:t xml:space="preserve"> </w:t>
      </w:r>
      <w:r w:rsidR="00CA4D78" w:rsidRPr="007F04EF">
        <w:rPr>
          <w:lang w:val="en-GB"/>
        </w:rPr>
        <w:t>prohibited atrazine</w:t>
      </w:r>
      <w:r w:rsidRPr="007F04EF">
        <w:rPr>
          <w:lang w:val="en-GB"/>
        </w:rPr>
        <w:t xml:space="preserve"> </w:t>
      </w:r>
      <w:r w:rsidR="00CA4D78" w:rsidRPr="007F04EF">
        <w:rPr>
          <w:lang w:val="en-GB"/>
        </w:rPr>
        <w:t xml:space="preserve">and its degradation product </w:t>
      </w:r>
      <w:proofErr w:type="spellStart"/>
      <w:r w:rsidR="00CA4D78" w:rsidRPr="007F04EF">
        <w:rPr>
          <w:lang w:val="en-GB"/>
        </w:rPr>
        <w:t>desethylatrazine</w:t>
      </w:r>
      <w:proofErr w:type="spellEnd"/>
      <w:r w:rsidRPr="007F04EF">
        <w:rPr>
          <w:lang w:val="en-GB"/>
        </w:rPr>
        <w:t xml:space="preserve"> </w:t>
      </w:r>
      <w:r w:rsidR="00CA4D78" w:rsidRPr="007F04EF">
        <w:rPr>
          <w:lang w:val="en-GB"/>
        </w:rPr>
        <w:t>are</w:t>
      </w:r>
      <w:r w:rsidRPr="007F04EF">
        <w:rPr>
          <w:lang w:val="en-GB"/>
        </w:rPr>
        <w:t xml:space="preserve"> </w:t>
      </w:r>
      <w:r w:rsidR="00CA4D78" w:rsidRPr="007F04EF">
        <w:rPr>
          <w:lang w:val="en-GB"/>
        </w:rPr>
        <w:t>measured</w:t>
      </w:r>
      <w:r w:rsidRPr="007F04EF">
        <w:rPr>
          <w:lang w:val="en-GB"/>
        </w:rPr>
        <w:t xml:space="preserve">, and the values are showing a downward </w:t>
      </w:r>
      <w:r w:rsidR="00CA4D78" w:rsidRPr="007F04EF">
        <w:rPr>
          <w:lang w:val="en-GB"/>
        </w:rPr>
        <w:t>trend</w:t>
      </w:r>
      <w:r w:rsidR="008104E3" w:rsidRPr="007F04EF">
        <w:rPr>
          <w:lang w:val="en-GB"/>
        </w:rPr>
        <w:t>.</w:t>
      </w:r>
      <w:r w:rsidR="00063128" w:rsidRPr="007F04EF">
        <w:rPr>
          <w:lang w:val="en-GB"/>
        </w:rPr>
        <w:t xml:space="preserve"> M</w:t>
      </w:r>
      <w:r w:rsidR="008104E3" w:rsidRPr="007F04EF">
        <w:rPr>
          <w:lang w:val="en-GB"/>
        </w:rPr>
        <w:t xml:space="preserve">ore detailed information on groundwater monitoring </w:t>
      </w:r>
      <w:r w:rsidR="00063128" w:rsidRPr="007F04EF">
        <w:rPr>
          <w:lang w:val="en-GB"/>
        </w:rPr>
        <w:t xml:space="preserve">is available on ARSO </w:t>
      </w:r>
      <w:r w:rsidR="008104E3" w:rsidRPr="007F04EF">
        <w:rPr>
          <w:lang w:val="en-GB"/>
        </w:rPr>
        <w:t>website: arso.gov.si/</w:t>
      </w:r>
      <w:proofErr w:type="spellStart"/>
      <w:r w:rsidR="008104E3" w:rsidRPr="007F04EF">
        <w:rPr>
          <w:lang w:val="en-GB"/>
        </w:rPr>
        <w:t>vode</w:t>
      </w:r>
      <w:proofErr w:type="spellEnd"/>
      <w:r w:rsidR="00C868EF" w:rsidRPr="007F04EF">
        <w:rPr>
          <w:rStyle w:val="Sprotnaopomba-sklic"/>
          <w:rFonts w:eastAsia="Times New Roman" w:cs="Arial"/>
          <w:lang w:val="en-GB"/>
        </w:rPr>
        <w:footnoteReference w:id="15"/>
      </w:r>
      <w:r w:rsidR="00BA24EA" w:rsidRPr="007F04EF">
        <w:rPr>
          <w:lang w:val="en-GB"/>
        </w:rPr>
        <w:t>.</w:t>
      </w:r>
      <w:bookmarkEnd w:id="32"/>
    </w:p>
    <w:p w14:paraId="0BFA41BA" w14:textId="259CA723" w:rsidR="00F574B2" w:rsidRPr="007F04EF" w:rsidRDefault="008104E3" w:rsidP="00015CB7">
      <w:pPr>
        <w:pStyle w:val="Naslov3"/>
        <w:rPr>
          <w:lang w:val="en-GB"/>
        </w:rPr>
      </w:pPr>
      <w:bookmarkStart w:id="62" w:name="_Toc172027301"/>
      <w:r w:rsidRPr="007F04EF">
        <w:rPr>
          <w:lang w:val="en-GB"/>
        </w:rPr>
        <w:t>Aerial spraying</w:t>
      </w:r>
      <w:r w:rsidR="00063128" w:rsidRPr="007F04EF">
        <w:rPr>
          <w:lang w:val="en-GB"/>
        </w:rPr>
        <w:t xml:space="preserve"> of PPPs</w:t>
      </w:r>
      <w:bookmarkEnd w:id="62"/>
    </w:p>
    <w:p w14:paraId="4EC113F9" w14:textId="77777777" w:rsidR="005A3ECC" w:rsidRPr="007F04EF" w:rsidRDefault="005A3ECC" w:rsidP="005A3ECC">
      <w:pPr>
        <w:rPr>
          <w:lang w:val="en-GB"/>
        </w:rPr>
      </w:pPr>
    </w:p>
    <w:p w14:paraId="5AB242F8" w14:textId="14866D26" w:rsidR="008104E3" w:rsidRPr="007F04EF" w:rsidRDefault="008104E3" w:rsidP="005A3ECC">
      <w:pPr>
        <w:jc w:val="both"/>
        <w:rPr>
          <w:lang w:val="en-GB"/>
        </w:rPr>
      </w:pPr>
      <w:r w:rsidRPr="007F04EF">
        <w:rPr>
          <w:lang w:val="en-GB"/>
        </w:rPr>
        <w:t>In the Republic of Slovenia, aerial spraying</w:t>
      </w:r>
      <w:r w:rsidR="00063128" w:rsidRPr="007F04EF">
        <w:rPr>
          <w:lang w:val="en-GB"/>
        </w:rPr>
        <w:t xml:space="preserve"> of PPPs </w:t>
      </w:r>
      <w:r w:rsidRPr="007F04EF">
        <w:rPr>
          <w:lang w:val="en-GB"/>
        </w:rPr>
        <w:t xml:space="preserve">is prohibited by </w:t>
      </w:r>
      <w:r w:rsidR="00683F5F" w:rsidRPr="007F04EF">
        <w:rPr>
          <w:lang w:val="en-GB"/>
        </w:rPr>
        <w:t>law,</w:t>
      </w:r>
      <w:r w:rsidRPr="007F04EF">
        <w:rPr>
          <w:lang w:val="en-GB"/>
        </w:rPr>
        <w:t xml:space="preserve"> and it is not carried out.</w:t>
      </w:r>
      <w:r w:rsidR="005A3ECC" w:rsidRPr="007F04EF">
        <w:rPr>
          <w:lang w:val="en-GB"/>
        </w:rPr>
        <w:t xml:space="preserve"> AFSVSPP has </w:t>
      </w:r>
      <w:r w:rsidRPr="007F04EF">
        <w:rPr>
          <w:lang w:val="en-GB"/>
        </w:rPr>
        <w:t>not</w:t>
      </w:r>
      <w:r w:rsidR="005A3ECC" w:rsidRPr="007F04EF">
        <w:rPr>
          <w:lang w:val="en-GB"/>
        </w:rPr>
        <w:t xml:space="preserve"> grant</w:t>
      </w:r>
      <w:r w:rsidRPr="007F04EF">
        <w:rPr>
          <w:lang w:val="en-GB"/>
        </w:rPr>
        <w:t xml:space="preserve">ed any </w:t>
      </w:r>
      <w:r w:rsidR="00ED1B93" w:rsidRPr="007F04EF">
        <w:rPr>
          <w:lang w:val="en-GB"/>
        </w:rPr>
        <w:t>PPP</w:t>
      </w:r>
      <w:r w:rsidR="005A3ECC" w:rsidRPr="007F04EF">
        <w:rPr>
          <w:lang w:val="en-GB"/>
        </w:rPr>
        <w:t>-</w:t>
      </w:r>
      <w:r w:rsidRPr="007F04EF">
        <w:rPr>
          <w:lang w:val="en-GB"/>
        </w:rPr>
        <w:t>authorisation</w:t>
      </w:r>
      <w:r w:rsidR="005A3ECC" w:rsidRPr="007F04EF">
        <w:rPr>
          <w:lang w:val="en-GB"/>
        </w:rPr>
        <w:t>s</w:t>
      </w:r>
      <w:r w:rsidRPr="007F04EF">
        <w:rPr>
          <w:lang w:val="en-GB"/>
        </w:rPr>
        <w:t xml:space="preserve"> for aerial spraying</w:t>
      </w:r>
      <w:r w:rsidR="00063128" w:rsidRPr="007F04EF">
        <w:rPr>
          <w:lang w:val="en-GB"/>
        </w:rPr>
        <w:t xml:space="preserve"> thereof</w:t>
      </w:r>
      <w:r w:rsidRPr="007F04EF">
        <w:rPr>
          <w:lang w:val="en-GB"/>
        </w:rPr>
        <w:t>.</w:t>
      </w:r>
    </w:p>
    <w:p w14:paraId="38D56072" w14:textId="0BC2FBB4" w:rsidR="001B1AEF" w:rsidRPr="007F04EF" w:rsidRDefault="008104E3" w:rsidP="00015CB7">
      <w:pPr>
        <w:pStyle w:val="Naslov3"/>
        <w:rPr>
          <w:lang w:val="en-GB"/>
        </w:rPr>
      </w:pPr>
      <w:bookmarkStart w:id="63" w:name="_Toc172027302"/>
      <w:bookmarkStart w:id="64" w:name="_Hlk147229847"/>
      <w:r w:rsidRPr="007F04EF">
        <w:rPr>
          <w:lang w:val="en-GB"/>
        </w:rPr>
        <w:t>PPP</w:t>
      </w:r>
      <w:r w:rsidR="005A3ECC" w:rsidRPr="007F04EF">
        <w:rPr>
          <w:lang w:val="en-GB"/>
        </w:rPr>
        <w:t>-</w:t>
      </w:r>
      <w:r w:rsidRPr="007F04EF">
        <w:rPr>
          <w:lang w:val="en-GB"/>
        </w:rPr>
        <w:t>application equipment</w:t>
      </w:r>
      <w:bookmarkEnd w:id="63"/>
    </w:p>
    <w:p w14:paraId="7D0118B5" w14:textId="77777777" w:rsidR="005A3ECC" w:rsidRPr="007F04EF" w:rsidRDefault="005A3ECC" w:rsidP="005A3ECC">
      <w:pPr>
        <w:rPr>
          <w:lang w:val="en-GB"/>
        </w:rPr>
      </w:pPr>
    </w:p>
    <w:p w14:paraId="4EFBA5CA" w14:textId="7D5AC882" w:rsidR="00063128" w:rsidRPr="007F04EF" w:rsidRDefault="00063128" w:rsidP="00063128">
      <w:pPr>
        <w:jc w:val="both"/>
        <w:rPr>
          <w:lang w:val="en-GB"/>
        </w:rPr>
      </w:pPr>
      <w:r w:rsidRPr="007F04EF">
        <w:rPr>
          <w:lang w:val="en-GB"/>
        </w:rPr>
        <w:t>I</w:t>
      </w:r>
      <w:r w:rsidR="008104E3" w:rsidRPr="007F04EF">
        <w:rPr>
          <w:lang w:val="en-GB"/>
        </w:rPr>
        <w:t xml:space="preserve">nspection of </w:t>
      </w:r>
      <w:r w:rsidR="00B214BE" w:rsidRPr="007F04EF">
        <w:rPr>
          <w:lang w:val="en-GB"/>
        </w:rPr>
        <w:t>PPP</w:t>
      </w:r>
      <w:r w:rsidRPr="007F04EF">
        <w:rPr>
          <w:lang w:val="en-GB"/>
        </w:rPr>
        <w:t>-</w:t>
      </w:r>
      <w:r w:rsidR="00B214BE" w:rsidRPr="007F04EF">
        <w:rPr>
          <w:lang w:val="en-GB"/>
        </w:rPr>
        <w:t>application equipment</w:t>
      </w:r>
      <w:r w:rsidRPr="007F04EF">
        <w:rPr>
          <w:lang w:val="en-GB"/>
        </w:rPr>
        <w:t xml:space="preserve">, laid down by law as early as 1994, </w:t>
      </w:r>
      <w:r w:rsidR="008104E3" w:rsidRPr="007F04EF">
        <w:rPr>
          <w:lang w:val="en-GB"/>
        </w:rPr>
        <w:t xml:space="preserve">has been carried out in the Republic of Slovenia for many years. </w:t>
      </w:r>
    </w:p>
    <w:p w14:paraId="484C060B" w14:textId="77777777" w:rsidR="00063128" w:rsidRPr="007F04EF" w:rsidRDefault="00063128" w:rsidP="00063128">
      <w:pPr>
        <w:jc w:val="both"/>
        <w:rPr>
          <w:lang w:val="en-GB"/>
        </w:rPr>
      </w:pPr>
    </w:p>
    <w:p w14:paraId="23964466" w14:textId="6861778B" w:rsidR="008104E3" w:rsidRPr="007F04EF" w:rsidRDefault="008104E3" w:rsidP="00063128">
      <w:pPr>
        <w:jc w:val="both"/>
        <w:rPr>
          <w:lang w:val="en-GB"/>
        </w:rPr>
      </w:pPr>
      <w:r w:rsidRPr="007F04EF">
        <w:rPr>
          <w:lang w:val="en-GB"/>
        </w:rPr>
        <w:t xml:space="preserve">The </w:t>
      </w:r>
      <w:r w:rsidR="00063128" w:rsidRPr="007F04EF">
        <w:rPr>
          <w:lang w:val="en-GB"/>
        </w:rPr>
        <w:t xml:space="preserve">inspection </w:t>
      </w:r>
      <w:r w:rsidRPr="007F04EF">
        <w:rPr>
          <w:lang w:val="en-GB"/>
        </w:rPr>
        <w:t xml:space="preserve">system is well established and </w:t>
      </w:r>
      <w:r w:rsidR="00063128" w:rsidRPr="007F04EF">
        <w:rPr>
          <w:lang w:val="en-GB"/>
        </w:rPr>
        <w:t xml:space="preserve">is regularly upgraded in line with new EU </w:t>
      </w:r>
      <w:r w:rsidRPr="007F04EF">
        <w:rPr>
          <w:lang w:val="en-GB"/>
        </w:rPr>
        <w:t>regulations and standards.</w:t>
      </w:r>
    </w:p>
    <w:p w14:paraId="72D46EA5" w14:textId="77777777" w:rsidR="00063128" w:rsidRPr="007F04EF" w:rsidRDefault="00063128" w:rsidP="00063128">
      <w:pPr>
        <w:jc w:val="both"/>
        <w:rPr>
          <w:lang w:val="en-GB"/>
        </w:rPr>
      </w:pPr>
    </w:p>
    <w:p w14:paraId="56CABFAA" w14:textId="1FA7CD0B" w:rsidR="008104E3" w:rsidRPr="007F04EF" w:rsidRDefault="008104E3" w:rsidP="00063128">
      <w:pPr>
        <w:jc w:val="both"/>
        <w:rPr>
          <w:lang w:val="en-GB"/>
        </w:rPr>
      </w:pPr>
      <w:r w:rsidRPr="007F04EF">
        <w:rPr>
          <w:lang w:val="en-GB"/>
        </w:rPr>
        <w:t xml:space="preserve">According to regulatory requirements, </w:t>
      </w:r>
      <w:r w:rsidR="00B214BE" w:rsidRPr="007F04EF">
        <w:rPr>
          <w:lang w:val="en-GB"/>
        </w:rPr>
        <w:t>PPP</w:t>
      </w:r>
      <w:r w:rsidR="005A3ECC" w:rsidRPr="007F04EF">
        <w:rPr>
          <w:lang w:val="en-GB"/>
        </w:rPr>
        <w:t>-</w:t>
      </w:r>
      <w:r w:rsidR="00B214BE" w:rsidRPr="007F04EF">
        <w:rPr>
          <w:lang w:val="en-GB"/>
        </w:rPr>
        <w:t>application equipment</w:t>
      </w:r>
      <w:r w:rsidR="00936129" w:rsidRPr="007F04EF">
        <w:rPr>
          <w:lang w:val="en-GB"/>
        </w:rPr>
        <w:t xml:space="preserve"> is </w:t>
      </w:r>
      <w:r w:rsidRPr="007F04EF">
        <w:rPr>
          <w:lang w:val="en-GB"/>
        </w:rPr>
        <w:t>regularly inspected every three years, except for new devices, which are inspected for the first time 5 years after the date of purchase.</w:t>
      </w:r>
    </w:p>
    <w:p w14:paraId="68AAF4F7" w14:textId="77777777" w:rsidR="005A3ECC" w:rsidRPr="007F04EF" w:rsidRDefault="005A3ECC" w:rsidP="00063128">
      <w:pPr>
        <w:jc w:val="both"/>
        <w:rPr>
          <w:lang w:val="en-GB"/>
        </w:rPr>
      </w:pPr>
    </w:p>
    <w:p w14:paraId="3B27C8F4" w14:textId="3076E43E" w:rsidR="008104E3" w:rsidRPr="007F04EF" w:rsidRDefault="008104E3" w:rsidP="00063128">
      <w:pPr>
        <w:jc w:val="both"/>
        <w:rPr>
          <w:lang w:val="en-GB"/>
        </w:rPr>
      </w:pPr>
      <w:r w:rsidRPr="007F04EF">
        <w:rPr>
          <w:lang w:val="en-GB"/>
        </w:rPr>
        <w:lastRenderedPageBreak/>
        <w:t xml:space="preserve">Inspection is not mandatory for hand-held or backpack-borne sprayers, sprayers and devices intended for contact </w:t>
      </w:r>
      <w:r w:rsidR="002C47D3" w:rsidRPr="007F04EF">
        <w:rPr>
          <w:lang w:val="en-GB"/>
        </w:rPr>
        <w:t>suppression</w:t>
      </w:r>
      <w:r w:rsidRPr="007F04EF">
        <w:rPr>
          <w:lang w:val="en-GB"/>
        </w:rPr>
        <w:t xml:space="preserve"> of weeds</w:t>
      </w:r>
      <w:r w:rsidR="00936129" w:rsidRPr="007F04EF">
        <w:rPr>
          <w:lang w:val="en-GB"/>
        </w:rPr>
        <w:t xml:space="preserve">, which are </w:t>
      </w:r>
      <w:r w:rsidRPr="007F04EF">
        <w:rPr>
          <w:lang w:val="en-GB"/>
        </w:rPr>
        <w:t>not used as</w:t>
      </w:r>
      <w:r w:rsidR="00936129" w:rsidRPr="007F04EF">
        <w:rPr>
          <w:lang w:val="en-GB"/>
        </w:rPr>
        <w:t xml:space="preserve"> </w:t>
      </w:r>
      <w:r w:rsidRPr="007F04EF">
        <w:rPr>
          <w:lang w:val="en-GB"/>
        </w:rPr>
        <w:t>tractor</w:t>
      </w:r>
      <w:r w:rsidR="00936129" w:rsidRPr="007F04EF">
        <w:rPr>
          <w:lang w:val="en-GB"/>
        </w:rPr>
        <w:t>-</w:t>
      </w:r>
      <w:r w:rsidR="002C47D3" w:rsidRPr="007F04EF">
        <w:rPr>
          <w:lang w:val="en-GB"/>
        </w:rPr>
        <w:t xml:space="preserve">mounted </w:t>
      </w:r>
      <w:r w:rsidR="00006838" w:rsidRPr="007F04EF">
        <w:rPr>
          <w:lang w:val="en-GB"/>
        </w:rPr>
        <w:t>equipment</w:t>
      </w:r>
      <w:r w:rsidRPr="007F04EF">
        <w:rPr>
          <w:lang w:val="en-GB"/>
        </w:rPr>
        <w:t xml:space="preserve"> (</w:t>
      </w:r>
      <w:proofErr w:type="gramStart"/>
      <w:r w:rsidR="002C47D3" w:rsidRPr="007F04EF">
        <w:rPr>
          <w:lang w:val="en-GB"/>
        </w:rPr>
        <w:t>e.g.</w:t>
      </w:r>
      <w:proofErr w:type="gramEnd"/>
      <w:r w:rsidR="00936129" w:rsidRPr="007F04EF">
        <w:rPr>
          <w:lang w:val="en-GB"/>
        </w:rPr>
        <w:t xml:space="preserve"> </w:t>
      </w:r>
      <w:r w:rsidR="002C47D3" w:rsidRPr="007F04EF">
        <w:rPr>
          <w:lang w:val="en-GB"/>
        </w:rPr>
        <w:t>lubrication</w:t>
      </w:r>
      <w:r w:rsidRPr="007F04EF">
        <w:rPr>
          <w:lang w:val="en-GB"/>
        </w:rPr>
        <w:t xml:space="preserve"> </w:t>
      </w:r>
      <w:r w:rsidR="002C47D3" w:rsidRPr="007F04EF">
        <w:rPr>
          <w:lang w:val="en-GB"/>
        </w:rPr>
        <w:t>device</w:t>
      </w:r>
      <w:r w:rsidR="00006838" w:rsidRPr="007F04EF">
        <w:rPr>
          <w:lang w:val="en-GB"/>
        </w:rPr>
        <w:t>s</w:t>
      </w:r>
      <w:r w:rsidRPr="007F04EF">
        <w:rPr>
          <w:lang w:val="en-GB"/>
        </w:rPr>
        <w:t>).</w:t>
      </w:r>
    </w:p>
    <w:p w14:paraId="573A03DE" w14:textId="77777777" w:rsidR="005A3ECC" w:rsidRPr="007F04EF" w:rsidRDefault="005A3ECC" w:rsidP="00063128">
      <w:pPr>
        <w:jc w:val="both"/>
        <w:rPr>
          <w:lang w:val="en-GB"/>
        </w:rPr>
      </w:pPr>
    </w:p>
    <w:p w14:paraId="00551D93" w14:textId="230C7A1E" w:rsidR="008104E3" w:rsidRPr="007F04EF" w:rsidRDefault="00006838" w:rsidP="00063128">
      <w:pPr>
        <w:jc w:val="both"/>
        <w:rPr>
          <w:lang w:val="en-GB"/>
        </w:rPr>
      </w:pPr>
      <w:r w:rsidRPr="007F04EF">
        <w:rPr>
          <w:lang w:val="en-GB"/>
        </w:rPr>
        <w:t>Authorised PPP</w:t>
      </w:r>
      <w:r w:rsidR="005A3ECC" w:rsidRPr="007F04EF">
        <w:rPr>
          <w:lang w:val="en-GB"/>
        </w:rPr>
        <w:t>-</w:t>
      </w:r>
      <w:r w:rsidRPr="007F04EF">
        <w:rPr>
          <w:lang w:val="en-GB"/>
        </w:rPr>
        <w:t>application equipment</w:t>
      </w:r>
      <w:r w:rsidR="008104E3" w:rsidRPr="007F04EF">
        <w:rPr>
          <w:lang w:val="en-GB"/>
        </w:rPr>
        <w:t xml:space="preserve"> inspectors </w:t>
      </w:r>
      <w:r w:rsidRPr="007F04EF">
        <w:rPr>
          <w:lang w:val="en-GB"/>
        </w:rPr>
        <w:t xml:space="preserve">enter and </w:t>
      </w:r>
      <w:r w:rsidR="008104E3" w:rsidRPr="007F04EF">
        <w:rPr>
          <w:lang w:val="en-GB"/>
        </w:rPr>
        <w:t xml:space="preserve">maintain data on inspections electronically in the </w:t>
      </w:r>
      <w:r w:rsidR="00582A74" w:rsidRPr="007F04EF">
        <w:rPr>
          <w:lang w:val="en-GB"/>
        </w:rPr>
        <w:t>Registry</w:t>
      </w:r>
      <w:r w:rsidR="008104E3" w:rsidRPr="007F04EF">
        <w:rPr>
          <w:lang w:val="en-GB"/>
        </w:rPr>
        <w:t xml:space="preserve"> of Inspected </w:t>
      </w:r>
      <w:r w:rsidRPr="007F04EF">
        <w:rPr>
          <w:lang w:val="en-GB"/>
        </w:rPr>
        <w:t>PPP</w:t>
      </w:r>
      <w:r w:rsidR="00936129" w:rsidRPr="007F04EF">
        <w:rPr>
          <w:lang w:val="en-GB"/>
        </w:rPr>
        <w:t>-</w:t>
      </w:r>
      <w:r w:rsidRPr="007F04EF">
        <w:rPr>
          <w:lang w:val="en-GB"/>
        </w:rPr>
        <w:t xml:space="preserve">application </w:t>
      </w:r>
      <w:r w:rsidR="00936129" w:rsidRPr="007F04EF">
        <w:rPr>
          <w:lang w:val="en-GB"/>
        </w:rPr>
        <w:t>E</w:t>
      </w:r>
      <w:r w:rsidRPr="007F04EF">
        <w:rPr>
          <w:lang w:val="en-GB"/>
        </w:rPr>
        <w:t>quipment</w:t>
      </w:r>
      <w:r w:rsidR="008104E3" w:rsidRPr="007F04EF">
        <w:rPr>
          <w:lang w:val="en-GB"/>
        </w:rPr>
        <w:t xml:space="preserve">, </w:t>
      </w:r>
      <w:r w:rsidRPr="007F04EF">
        <w:rPr>
          <w:lang w:val="en-GB"/>
        </w:rPr>
        <w:t>managed</w:t>
      </w:r>
      <w:r w:rsidR="008104E3" w:rsidRPr="007F04EF">
        <w:rPr>
          <w:lang w:val="en-GB"/>
        </w:rPr>
        <w:t xml:space="preserve"> by </w:t>
      </w:r>
      <w:r w:rsidR="005A3ECC" w:rsidRPr="007F04EF">
        <w:rPr>
          <w:lang w:val="en-GB"/>
        </w:rPr>
        <w:t>AFSVSPP</w:t>
      </w:r>
      <w:r w:rsidR="008104E3" w:rsidRPr="007F04EF">
        <w:rPr>
          <w:lang w:val="en-GB"/>
        </w:rPr>
        <w:t>.</w:t>
      </w:r>
    </w:p>
    <w:p w14:paraId="4FDEECD2" w14:textId="77777777" w:rsidR="005A3ECC" w:rsidRPr="007F04EF" w:rsidRDefault="005A3ECC" w:rsidP="00063128">
      <w:pPr>
        <w:jc w:val="both"/>
        <w:rPr>
          <w:lang w:val="en-GB"/>
        </w:rPr>
      </w:pPr>
    </w:p>
    <w:p w14:paraId="3CC6F46A" w14:textId="0A548726" w:rsidR="003D6AB3" w:rsidRPr="007F04EF" w:rsidRDefault="006626E5" w:rsidP="00063128">
      <w:pPr>
        <w:jc w:val="both"/>
        <w:rPr>
          <w:lang w:val="en-GB"/>
        </w:rPr>
      </w:pPr>
      <w:r w:rsidRPr="007F04EF">
        <w:rPr>
          <w:lang w:val="en-GB"/>
        </w:rPr>
        <w:t>Table 8</w:t>
      </w:r>
      <w:r w:rsidR="008104E3" w:rsidRPr="007F04EF">
        <w:rPr>
          <w:lang w:val="en-GB"/>
        </w:rPr>
        <w:t xml:space="preserve"> shows the number of </w:t>
      </w:r>
      <w:r w:rsidR="00DB1CD5" w:rsidRPr="007F04EF">
        <w:rPr>
          <w:lang w:val="en-GB"/>
        </w:rPr>
        <w:t>PPP-</w:t>
      </w:r>
      <w:r w:rsidR="000B39C6" w:rsidRPr="007F04EF">
        <w:rPr>
          <w:lang w:val="en-GB"/>
        </w:rPr>
        <w:t>application equipment in the Re</w:t>
      </w:r>
      <w:r w:rsidR="00582A74" w:rsidRPr="007F04EF">
        <w:rPr>
          <w:lang w:val="en-GB"/>
        </w:rPr>
        <w:t>gistry</w:t>
      </w:r>
      <w:r w:rsidR="008104E3" w:rsidRPr="007F04EF">
        <w:rPr>
          <w:lang w:val="en-GB"/>
        </w:rPr>
        <w:t xml:space="preserve">, the number of inspected </w:t>
      </w:r>
      <w:r w:rsidR="000B39C6" w:rsidRPr="007F04EF">
        <w:rPr>
          <w:lang w:val="en-GB"/>
        </w:rPr>
        <w:t>equipment</w:t>
      </w:r>
      <w:r w:rsidR="008104E3" w:rsidRPr="007F04EF">
        <w:rPr>
          <w:lang w:val="en-GB"/>
        </w:rPr>
        <w:t xml:space="preserve"> and the proportion of inspected and </w:t>
      </w:r>
      <w:r w:rsidR="000B39C6" w:rsidRPr="007F04EF">
        <w:rPr>
          <w:lang w:val="en-GB"/>
        </w:rPr>
        <w:t>compliant</w:t>
      </w:r>
      <w:r w:rsidR="008104E3" w:rsidRPr="007F04EF">
        <w:rPr>
          <w:lang w:val="en-GB"/>
        </w:rPr>
        <w:t xml:space="preserve"> </w:t>
      </w:r>
      <w:r w:rsidR="000B39C6" w:rsidRPr="007F04EF">
        <w:rPr>
          <w:lang w:val="en-GB"/>
        </w:rPr>
        <w:t>equipment</w:t>
      </w:r>
      <w:r w:rsidR="00DB1CD5" w:rsidRPr="007F04EF">
        <w:rPr>
          <w:lang w:val="en-GB"/>
        </w:rPr>
        <w:t xml:space="preserve"> per </w:t>
      </w:r>
      <w:r w:rsidR="008104E3" w:rsidRPr="007F04EF">
        <w:rPr>
          <w:lang w:val="en-GB"/>
        </w:rPr>
        <w:t>individual years</w:t>
      </w:r>
      <w:r w:rsidR="00DB1C32" w:rsidRPr="007F04EF">
        <w:rPr>
          <w:lang w:val="en-GB"/>
        </w:rPr>
        <w:t xml:space="preserve">. </w:t>
      </w:r>
    </w:p>
    <w:p w14:paraId="6DDCCB2C" w14:textId="77777777" w:rsidR="005A3ECC" w:rsidRPr="007F04EF" w:rsidRDefault="005A3ECC" w:rsidP="00015CB7">
      <w:pPr>
        <w:rPr>
          <w:lang w:val="en-GB"/>
        </w:rPr>
      </w:pPr>
    </w:p>
    <w:p w14:paraId="1A645B7B" w14:textId="66D36296" w:rsidR="0096288A" w:rsidRPr="007F04EF" w:rsidRDefault="000B39C6" w:rsidP="00DC3204">
      <w:pPr>
        <w:pStyle w:val="Napis"/>
        <w:rPr>
          <w:rFonts w:cs="Arial"/>
          <w:sz w:val="20"/>
          <w:szCs w:val="20"/>
          <w:lang w:val="en-GB"/>
        </w:rPr>
      </w:pPr>
      <w:bookmarkStart w:id="65" w:name="_Toc149825608"/>
      <w:bookmarkStart w:id="66" w:name="_Toc151116357"/>
      <w:bookmarkStart w:id="67" w:name="_Toc152153151"/>
      <w:bookmarkStart w:id="68" w:name="_Toc161657870"/>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8</w:t>
      </w:r>
      <w:r w:rsidR="00DC3204" w:rsidRPr="007F04EF">
        <w:rPr>
          <w:rFonts w:cs="Arial"/>
          <w:sz w:val="20"/>
          <w:szCs w:val="20"/>
          <w:lang w:val="en-GB"/>
        </w:rPr>
        <w:fldChar w:fldCharType="end"/>
      </w:r>
      <w:r w:rsidR="0096288A" w:rsidRPr="007F04EF">
        <w:rPr>
          <w:rFonts w:cs="Arial"/>
          <w:sz w:val="20"/>
          <w:szCs w:val="20"/>
          <w:lang w:val="en-GB"/>
        </w:rPr>
        <w:t xml:space="preserve">: </w:t>
      </w:r>
      <w:bookmarkEnd w:id="65"/>
      <w:bookmarkEnd w:id="66"/>
      <w:bookmarkEnd w:id="67"/>
      <w:r w:rsidRPr="007F04EF">
        <w:rPr>
          <w:rFonts w:cs="Arial"/>
          <w:sz w:val="20"/>
          <w:szCs w:val="20"/>
          <w:lang w:val="en-GB"/>
        </w:rPr>
        <w:t>Statistics of PPP</w:t>
      </w:r>
      <w:r w:rsidR="00DB1CD5" w:rsidRPr="007F04EF">
        <w:rPr>
          <w:rFonts w:cs="Arial"/>
          <w:sz w:val="20"/>
          <w:szCs w:val="20"/>
          <w:lang w:val="en-GB"/>
        </w:rPr>
        <w:t>-</w:t>
      </w:r>
      <w:r w:rsidRPr="007F04EF">
        <w:rPr>
          <w:rFonts w:cs="Arial"/>
          <w:sz w:val="20"/>
          <w:szCs w:val="20"/>
          <w:lang w:val="en-GB"/>
        </w:rPr>
        <w:t>application equipment inspections</w:t>
      </w:r>
      <w:bookmarkEnd w:id="68"/>
      <w:r w:rsidR="0027315A" w:rsidRPr="007F04EF">
        <w:rPr>
          <w:rStyle w:val="Sprotnaopomba-sklic"/>
          <w:rFonts w:cs="Arial"/>
          <w:sz w:val="20"/>
          <w:szCs w:val="20"/>
          <w:lang w:val="en-GB"/>
        </w:rPr>
        <w:footnoteReference w:id="16"/>
      </w:r>
    </w:p>
    <w:p w14:paraId="12BD6108" w14:textId="77777777" w:rsidR="005A3ECC" w:rsidRPr="007F04EF" w:rsidRDefault="005A3ECC" w:rsidP="005A3ECC">
      <w:pPr>
        <w:rPr>
          <w:lang w:val="en-GB"/>
        </w:rPr>
      </w:pPr>
    </w:p>
    <w:tbl>
      <w:tblPr>
        <w:tblW w:w="5000" w:type="pct"/>
        <w:tblCellMar>
          <w:left w:w="70" w:type="dxa"/>
          <w:right w:w="70" w:type="dxa"/>
        </w:tblCellMar>
        <w:tblLook w:val="04A0" w:firstRow="1" w:lastRow="0" w:firstColumn="1" w:lastColumn="0" w:noHBand="0" w:noVBand="1"/>
      </w:tblPr>
      <w:tblGrid>
        <w:gridCol w:w="3418"/>
        <w:gridCol w:w="952"/>
        <w:gridCol w:w="952"/>
        <w:gridCol w:w="951"/>
        <w:gridCol w:w="951"/>
        <w:gridCol w:w="951"/>
        <w:gridCol w:w="951"/>
      </w:tblGrid>
      <w:tr w:rsidR="00015CB7" w:rsidRPr="007F04EF" w14:paraId="11BE2D80" w14:textId="77777777" w:rsidTr="00015CB7">
        <w:trPr>
          <w:trHeight w:val="289"/>
        </w:trPr>
        <w:tc>
          <w:tcPr>
            <w:tcW w:w="1871" w:type="pct"/>
            <w:tcBorders>
              <w:top w:val="single" w:sz="4" w:space="0" w:color="auto"/>
              <w:left w:val="nil"/>
              <w:bottom w:val="single" w:sz="8" w:space="0" w:color="auto"/>
              <w:right w:val="nil"/>
            </w:tcBorders>
            <w:shd w:val="clear" w:color="auto" w:fill="auto"/>
            <w:vAlign w:val="center"/>
            <w:hideMark/>
          </w:tcPr>
          <w:p w14:paraId="2A2B22D6" w14:textId="06F14996" w:rsidR="00015CB7" w:rsidRPr="007F04EF" w:rsidRDefault="000B39C6" w:rsidP="00015CB7">
            <w:pPr>
              <w:rPr>
                <w:rFonts w:eastAsia="Times New Roman" w:cs="Arial"/>
                <w:color w:val="000000"/>
                <w:lang w:val="en-GB"/>
              </w:rPr>
            </w:pPr>
            <w:r w:rsidRPr="007F04EF">
              <w:rPr>
                <w:rFonts w:eastAsia="Times New Roman" w:cs="Arial"/>
                <w:color w:val="000000"/>
                <w:lang w:val="en-GB"/>
              </w:rPr>
              <w:t>Year</w:t>
            </w:r>
          </w:p>
        </w:tc>
        <w:tc>
          <w:tcPr>
            <w:tcW w:w="521" w:type="pct"/>
            <w:tcBorders>
              <w:top w:val="single" w:sz="4" w:space="0" w:color="auto"/>
              <w:left w:val="nil"/>
              <w:bottom w:val="single" w:sz="8" w:space="0" w:color="auto"/>
              <w:right w:val="nil"/>
            </w:tcBorders>
            <w:shd w:val="clear" w:color="auto" w:fill="auto"/>
            <w:noWrap/>
            <w:vAlign w:val="center"/>
            <w:hideMark/>
          </w:tcPr>
          <w:p w14:paraId="53E43A91"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2017</w:t>
            </w:r>
          </w:p>
        </w:tc>
        <w:tc>
          <w:tcPr>
            <w:tcW w:w="521" w:type="pct"/>
            <w:tcBorders>
              <w:top w:val="single" w:sz="4" w:space="0" w:color="auto"/>
              <w:left w:val="nil"/>
              <w:bottom w:val="single" w:sz="8" w:space="0" w:color="auto"/>
              <w:right w:val="nil"/>
            </w:tcBorders>
            <w:shd w:val="clear" w:color="auto" w:fill="auto"/>
            <w:noWrap/>
            <w:vAlign w:val="center"/>
            <w:hideMark/>
          </w:tcPr>
          <w:p w14:paraId="75A7A9CF"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2018</w:t>
            </w:r>
          </w:p>
        </w:tc>
        <w:tc>
          <w:tcPr>
            <w:tcW w:w="521" w:type="pct"/>
            <w:tcBorders>
              <w:top w:val="single" w:sz="4" w:space="0" w:color="auto"/>
              <w:left w:val="nil"/>
              <w:bottom w:val="single" w:sz="8" w:space="0" w:color="auto"/>
              <w:right w:val="nil"/>
            </w:tcBorders>
            <w:shd w:val="clear" w:color="auto" w:fill="auto"/>
            <w:noWrap/>
            <w:vAlign w:val="center"/>
            <w:hideMark/>
          </w:tcPr>
          <w:p w14:paraId="3C2A61EF"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2019</w:t>
            </w:r>
          </w:p>
        </w:tc>
        <w:tc>
          <w:tcPr>
            <w:tcW w:w="521" w:type="pct"/>
            <w:tcBorders>
              <w:top w:val="single" w:sz="4" w:space="0" w:color="auto"/>
              <w:left w:val="nil"/>
              <w:bottom w:val="single" w:sz="8" w:space="0" w:color="auto"/>
              <w:right w:val="nil"/>
            </w:tcBorders>
            <w:shd w:val="clear" w:color="auto" w:fill="auto"/>
            <w:noWrap/>
            <w:vAlign w:val="center"/>
            <w:hideMark/>
          </w:tcPr>
          <w:p w14:paraId="40FBF1DB"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2020</w:t>
            </w:r>
          </w:p>
        </w:tc>
        <w:tc>
          <w:tcPr>
            <w:tcW w:w="521" w:type="pct"/>
            <w:tcBorders>
              <w:top w:val="single" w:sz="4" w:space="0" w:color="auto"/>
              <w:left w:val="nil"/>
              <w:bottom w:val="single" w:sz="8" w:space="0" w:color="auto"/>
              <w:right w:val="nil"/>
            </w:tcBorders>
            <w:shd w:val="clear" w:color="auto" w:fill="auto"/>
            <w:noWrap/>
            <w:vAlign w:val="center"/>
            <w:hideMark/>
          </w:tcPr>
          <w:p w14:paraId="1C7A24D8"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2021</w:t>
            </w:r>
          </w:p>
        </w:tc>
        <w:tc>
          <w:tcPr>
            <w:tcW w:w="521" w:type="pct"/>
            <w:tcBorders>
              <w:top w:val="single" w:sz="4" w:space="0" w:color="auto"/>
              <w:left w:val="nil"/>
              <w:bottom w:val="single" w:sz="8" w:space="0" w:color="auto"/>
              <w:right w:val="nil"/>
            </w:tcBorders>
            <w:shd w:val="clear" w:color="auto" w:fill="auto"/>
            <w:noWrap/>
            <w:vAlign w:val="center"/>
            <w:hideMark/>
          </w:tcPr>
          <w:p w14:paraId="14E4347C"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2022</w:t>
            </w:r>
          </w:p>
        </w:tc>
      </w:tr>
      <w:tr w:rsidR="00015CB7" w:rsidRPr="007F04EF" w14:paraId="7D838011" w14:textId="77777777" w:rsidTr="00015CB7">
        <w:trPr>
          <w:trHeight w:val="289"/>
        </w:trPr>
        <w:tc>
          <w:tcPr>
            <w:tcW w:w="1871" w:type="pct"/>
            <w:tcBorders>
              <w:top w:val="single" w:sz="8" w:space="0" w:color="auto"/>
              <w:left w:val="nil"/>
              <w:bottom w:val="single" w:sz="8" w:space="0" w:color="auto"/>
              <w:right w:val="nil"/>
            </w:tcBorders>
            <w:shd w:val="clear" w:color="auto" w:fill="auto"/>
            <w:vAlign w:val="center"/>
            <w:hideMark/>
          </w:tcPr>
          <w:p w14:paraId="47E440AC" w14:textId="633809C7" w:rsidR="00015CB7" w:rsidRPr="007F04EF" w:rsidRDefault="000B39C6" w:rsidP="00015CB7">
            <w:pPr>
              <w:rPr>
                <w:rFonts w:eastAsia="Times New Roman" w:cs="Arial"/>
                <w:color w:val="000000"/>
                <w:lang w:val="en-GB"/>
              </w:rPr>
            </w:pPr>
            <w:r w:rsidRPr="007F04EF">
              <w:rPr>
                <w:rFonts w:eastAsia="Times New Roman" w:cs="Arial"/>
                <w:color w:val="000000"/>
                <w:lang w:val="en-GB"/>
              </w:rPr>
              <w:t>No. of equipment in the Re</w:t>
            </w:r>
            <w:r w:rsidR="00ED1B93" w:rsidRPr="007F04EF">
              <w:rPr>
                <w:rFonts w:eastAsia="Times New Roman" w:cs="Arial"/>
                <w:color w:val="000000"/>
                <w:lang w:val="en-GB"/>
              </w:rPr>
              <w:t>gistry</w:t>
            </w:r>
          </w:p>
        </w:tc>
        <w:tc>
          <w:tcPr>
            <w:tcW w:w="521" w:type="pct"/>
            <w:tcBorders>
              <w:top w:val="single" w:sz="8" w:space="0" w:color="auto"/>
              <w:left w:val="nil"/>
              <w:bottom w:val="single" w:sz="8" w:space="0" w:color="auto"/>
              <w:right w:val="nil"/>
            </w:tcBorders>
            <w:shd w:val="clear" w:color="auto" w:fill="auto"/>
            <w:noWrap/>
            <w:vAlign w:val="center"/>
            <w:hideMark/>
          </w:tcPr>
          <w:p w14:paraId="1A91D0AA" w14:textId="23DD8952"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17</w:t>
            </w:r>
            <w:r w:rsidR="00DB1CD5" w:rsidRPr="007F04EF">
              <w:rPr>
                <w:rFonts w:eastAsia="Times New Roman" w:cs="Arial"/>
                <w:color w:val="000000"/>
                <w:lang w:val="en-GB"/>
              </w:rPr>
              <w:t>,</w:t>
            </w:r>
            <w:r w:rsidRPr="007F04EF">
              <w:rPr>
                <w:rFonts w:eastAsia="Times New Roman" w:cs="Arial"/>
                <w:color w:val="000000"/>
                <w:lang w:val="en-GB"/>
              </w:rPr>
              <w:t>988</w:t>
            </w:r>
          </w:p>
        </w:tc>
        <w:tc>
          <w:tcPr>
            <w:tcW w:w="521" w:type="pct"/>
            <w:tcBorders>
              <w:top w:val="single" w:sz="8" w:space="0" w:color="auto"/>
              <w:left w:val="nil"/>
              <w:bottom w:val="single" w:sz="8" w:space="0" w:color="auto"/>
              <w:right w:val="nil"/>
            </w:tcBorders>
            <w:shd w:val="clear" w:color="auto" w:fill="auto"/>
            <w:noWrap/>
            <w:vAlign w:val="center"/>
            <w:hideMark/>
          </w:tcPr>
          <w:p w14:paraId="66FEDCDA" w14:textId="1B57C821"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18</w:t>
            </w:r>
            <w:r w:rsidR="00DB1CD5" w:rsidRPr="007F04EF">
              <w:rPr>
                <w:rFonts w:eastAsia="Times New Roman" w:cs="Arial"/>
                <w:color w:val="000000"/>
                <w:lang w:val="en-GB"/>
              </w:rPr>
              <w:t>,</w:t>
            </w:r>
            <w:r w:rsidRPr="007F04EF">
              <w:rPr>
                <w:rFonts w:eastAsia="Times New Roman" w:cs="Arial"/>
                <w:color w:val="000000"/>
                <w:lang w:val="en-GB"/>
              </w:rPr>
              <w:t>636</w:t>
            </w:r>
          </w:p>
        </w:tc>
        <w:tc>
          <w:tcPr>
            <w:tcW w:w="521" w:type="pct"/>
            <w:tcBorders>
              <w:top w:val="single" w:sz="8" w:space="0" w:color="auto"/>
              <w:left w:val="nil"/>
              <w:bottom w:val="single" w:sz="8" w:space="0" w:color="auto"/>
              <w:right w:val="nil"/>
            </w:tcBorders>
            <w:shd w:val="clear" w:color="auto" w:fill="auto"/>
            <w:noWrap/>
            <w:vAlign w:val="center"/>
            <w:hideMark/>
          </w:tcPr>
          <w:p w14:paraId="5A6B81E4" w14:textId="10FDB8D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17</w:t>
            </w:r>
            <w:r w:rsidR="00DB1CD5" w:rsidRPr="007F04EF">
              <w:rPr>
                <w:rFonts w:eastAsia="Times New Roman" w:cs="Arial"/>
                <w:color w:val="000000"/>
                <w:lang w:val="en-GB"/>
              </w:rPr>
              <w:t>,</w:t>
            </w:r>
            <w:r w:rsidRPr="007F04EF">
              <w:rPr>
                <w:rFonts w:eastAsia="Times New Roman" w:cs="Arial"/>
                <w:color w:val="000000"/>
                <w:lang w:val="en-GB"/>
              </w:rPr>
              <w:t>978</w:t>
            </w:r>
          </w:p>
        </w:tc>
        <w:tc>
          <w:tcPr>
            <w:tcW w:w="521" w:type="pct"/>
            <w:tcBorders>
              <w:top w:val="single" w:sz="8" w:space="0" w:color="auto"/>
              <w:left w:val="nil"/>
              <w:bottom w:val="single" w:sz="8" w:space="0" w:color="auto"/>
              <w:right w:val="nil"/>
            </w:tcBorders>
            <w:shd w:val="clear" w:color="auto" w:fill="auto"/>
            <w:noWrap/>
            <w:vAlign w:val="center"/>
            <w:hideMark/>
          </w:tcPr>
          <w:p w14:paraId="6962FAD7" w14:textId="2408542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16</w:t>
            </w:r>
            <w:r w:rsidR="00DB1CD5" w:rsidRPr="007F04EF">
              <w:rPr>
                <w:rFonts w:eastAsia="Times New Roman" w:cs="Arial"/>
                <w:color w:val="000000"/>
                <w:lang w:val="en-GB"/>
              </w:rPr>
              <w:t>,</w:t>
            </w:r>
            <w:r w:rsidRPr="007F04EF">
              <w:rPr>
                <w:rFonts w:eastAsia="Times New Roman" w:cs="Arial"/>
                <w:color w:val="000000"/>
                <w:lang w:val="en-GB"/>
              </w:rPr>
              <w:t>758</w:t>
            </w:r>
          </w:p>
        </w:tc>
        <w:tc>
          <w:tcPr>
            <w:tcW w:w="521" w:type="pct"/>
            <w:tcBorders>
              <w:top w:val="single" w:sz="8" w:space="0" w:color="auto"/>
              <w:left w:val="nil"/>
              <w:bottom w:val="single" w:sz="8" w:space="0" w:color="auto"/>
              <w:right w:val="nil"/>
            </w:tcBorders>
            <w:shd w:val="clear" w:color="auto" w:fill="auto"/>
            <w:noWrap/>
            <w:vAlign w:val="center"/>
            <w:hideMark/>
          </w:tcPr>
          <w:p w14:paraId="153E0358" w14:textId="5ED2BDA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17</w:t>
            </w:r>
            <w:r w:rsidR="00DB1CD5" w:rsidRPr="007F04EF">
              <w:rPr>
                <w:rFonts w:eastAsia="Times New Roman" w:cs="Arial"/>
                <w:color w:val="000000"/>
                <w:lang w:val="en-GB"/>
              </w:rPr>
              <w:t>,</w:t>
            </w:r>
            <w:r w:rsidRPr="007F04EF">
              <w:rPr>
                <w:rFonts w:eastAsia="Times New Roman" w:cs="Arial"/>
                <w:color w:val="000000"/>
                <w:lang w:val="en-GB"/>
              </w:rPr>
              <w:t>090</w:t>
            </w:r>
          </w:p>
        </w:tc>
        <w:tc>
          <w:tcPr>
            <w:tcW w:w="521" w:type="pct"/>
            <w:tcBorders>
              <w:top w:val="single" w:sz="8" w:space="0" w:color="auto"/>
              <w:left w:val="nil"/>
              <w:bottom w:val="single" w:sz="8" w:space="0" w:color="auto"/>
              <w:right w:val="nil"/>
            </w:tcBorders>
            <w:shd w:val="clear" w:color="auto" w:fill="auto"/>
            <w:noWrap/>
            <w:vAlign w:val="center"/>
            <w:hideMark/>
          </w:tcPr>
          <w:p w14:paraId="0712F667" w14:textId="2D03A01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16</w:t>
            </w:r>
            <w:r w:rsidR="00DB1CD5" w:rsidRPr="007F04EF">
              <w:rPr>
                <w:rFonts w:eastAsia="Times New Roman" w:cs="Arial"/>
                <w:color w:val="000000"/>
                <w:lang w:val="en-GB"/>
              </w:rPr>
              <w:t>,</w:t>
            </w:r>
            <w:r w:rsidRPr="007F04EF">
              <w:rPr>
                <w:rFonts w:eastAsia="Times New Roman" w:cs="Arial"/>
                <w:color w:val="000000"/>
                <w:lang w:val="en-GB"/>
              </w:rPr>
              <w:t>373</w:t>
            </w:r>
          </w:p>
        </w:tc>
      </w:tr>
      <w:tr w:rsidR="00015CB7" w:rsidRPr="007F04EF" w14:paraId="4C33ECF9"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38D50449" w14:textId="62AC8017" w:rsidR="00015CB7" w:rsidRPr="007F04EF" w:rsidRDefault="000B39C6" w:rsidP="00015CB7">
            <w:pPr>
              <w:rPr>
                <w:rFonts w:eastAsia="Times New Roman" w:cs="Arial"/>
                <w:color w:val="000000"/>
                <w:lang w:val="en-GB"/>
              </w:rPr>
            </w:pPr>
            <w:r w:rsidRPr="007F04EF">
              <w:rPr>
                <w:rFonts w:eastAsia="Times New Roman" w:cs="Arial"/>
                <w:color w:val="000000"/>
                <w:lang w:val="en-GB"/>
              </w:rPr>
              <w:t>No. of inspected equipment</w:t>
            </w:r>
          </w:p>
        </w:tc>
        <w:tc>
          <w:tcPr>
            <w:tcW w:w="521" w:type="pct"/>
            <w:tcBorders>
              <w:top w:val="nil"/>
              <w:left w:val="nil"/>
              <w:bottom w:val="single" w:sz="8" w:space="0" w:color="auto"/>
              <w:right w:val="nil"/>
            </w:tcBorders>
            <w:shd w:val="clear" w:color="auto" w:fill="auto"/>
            <w:noWrap/>
            <w:vAlign w:val="center"/>
            <w:hideMark/>
          </w:tcPr>
          <w:p w14:paraId="5F1244F3" w14:textId="42E12D9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8</w:t>
            </w:r>
            <w:r w:rsidR="00DB1CD5" w:rsidRPr="007F04EF">
              <w:rPr>
                <w:rFonts w:eastAsia="Times New Roman" w:cs="Arial"/>
                <w:color w:val="000000"/>
                <w:lang w:val="en-GB"/>
              </w:rPr>
              <w:t>,</w:t>
            </w:r>
            <w:r w:rsidRPr="007F04EF">
              <w:rPr>
                <w:rFonts w:eastAsia="Times New Roman" w:cs="Arial"/>
                <w:color w:val="000000"/>
                <w:lang w:val="en-GB"/>
              </w:rPr>
              <w:t>372</w:t>
            </w:r>
          </w:p>
        </w:tc>
        <w:tc>
          <w:tcPr>
            <w:tcW w:w="521" w:type="pct"/>
            <w:tcBorders>
              <w:top w:val="nil"/>
              <w:left w:val="nil"/>
              <w:bottom w:val="single" w:sz="8" w:space="0" w:color="auto"/>
              <w:right w:val="nil"/>
            </w:tcBorders>
            <w:shd w:val="clear" w:color="auto" w:fill="auto"/>
            <w:noWrap/>
            <w:vAlign w:val="center"/>
            <w:hideMark/>
          </w:tcPr>
          <w:p w14:paraId="5AEC15B6" w14:textId="7752B80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368</w:t>
            </w:r>
          </w:p>
        </w:tc>
        <w:tc>
          <w:tcPr>
            <w:tcW w:w="521" w:type="pct"/>
            <w:tcBorders>
              <w:top w:val="nil"/>
              <w:left w:val="nil"/>
              <w:bottom w:val="single" w:sz="8" w:space="0" w:color="auto"/>
              <w:right w:val="nil"/>
            </w:tcBorders>
            <w:shd w:val="clear" w:color="auto" w:fill="auto"/>
            <w:noWrap/>
            <w:vAlign w:val="center"/>
            <w:hideMark/>
          </w:tcPr>
          <w:p w14:paraId="2E09D57D" w14:textId="0436FF7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7</w:t>
            </w:r>
            <w:r w:rsidR="00DB1CD5" w:rsidRPr="007F04EF">
              <w:rPr>
                <w:rFonts w:eastAsia="Times New Roman" w:cs="Arial"/>
                <w:color w:val="000000"/>
                <w:lang w:val="en-GB"/>
              </w:rPr>
              <w:t>,</w:t>
            </w:r>
            <w:r w:rsidRPr="007F04EF">
              <w:rPr>
                <w:rFonts w:eastAsia="Times New Roman" w:cs="Arial"/>
                <w:color w:val="000000"/>
                <w:lang w:val="en-GB"/>
              </w:rPr>
              <w:t>325</w:t>
            </w:r>
          </w:p>
        </w:tc>
        <w:tc>
          <w:tcPr>
            <w:tcW w:w="521" w:type="pct"/>
            <w:tcBorders>
              <w:top w:val="nil"/>
              <w:left w:val="nil"/>
              <w:bottom w:val="single" w:sz="8" w:space="0" w:color="auto"/>
              <w:right w:val="nil"/>
            </w:tcBorders>
            <w:shd w:val="clear" w:color="auto" w:fill="auto"/>
            <w:noWrap/>
            <w:vAlign w:val="center"/>
            <w:hideMark/>
          </w:tcPr>
          <w:p w14:paraId="4A4FE53D" w14:textId="3DABF56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638</w:t>
            </w:r>
          </w:p>
        </w:tc>
        <w:tc>
          <w:tcPr>
            <w:tcW w:w="521" w:type="pct"/>
            <w:tcBorders>
              <w:top w:val="nil"/>
              <w:left w:val="nil"/>
              <w:bottom w:val="single" w:sz="8" w:space="0" w:color="auto"/>
              <w:right w:val="nil"/>
            </w:tcBorders>
            <w:shd w:val="clear" w:color="auto" w:fill="auto"/>
            <w:noWrap/>
            <w:vAlign w:val="center"/>
            <w:hideMark/>
          </w:tcPr>
          <w:p w14:paraId="761A4447" w14:textId="54DD97B4"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985</w:t>
            </w:r>
          </w:p>
        </w:tc>
        <w:tc>
          <w:tcPr>
            <w:tcW w:w="521" w:type="pct"/>
            <w:tcBorders>
              <w:top w:val="nil"/>
              <w:left w:val="nil"/>
              <w:bottom w:val="single" w:sz="8" w:space="0" w:color="auto"/>
              <w:right w:val="nil"/>
            </w:tcBorders>
            <w:shd w:val="clear" w:color="auto" w:fill="auto"/>
            <w:noWrap/>
            <w:vAlign w:val="center"/>
            <w:hideMark/>
          </w:tcPr>
          <w:p w14:paraId="68BA3FF1" w14:textId="47F3A0F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648</w:t>
            </w:r>
          </w:p>
        </w:tc>
      </w:tr>
      <w:tr w:rsidR="00015CB7" w:rsidRPr="007F04EF" w14:paraId="745AC7F8"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7F16DFEC" w14:textId="32EFE108" w:rsidR="00015CB7" w:rsidRPr="007F04EF" w:rsidRDefault="000B39C6" w:rsidP="00015CB7">
            <w:pPr>
              <w:rPr>
                <w:rFonts w:eastAsia="Times New Roman" w:cs="Arial"/>
                <w:color w:val="000000"/>
                <w:lang w:val="en-GB"/>
              </w:rPr>
            </w:pPr>
            <w:r w:rsidRPr="007F04EF">
              <w:rPr>
                <w:rFonts w:eastAsia="Times New Roman" w:cs="Arial"/>
                <w:color w:val="000000"/>
                <w:lang w:val="en-GB"/>
              </w:rPr>
              <w:t>No. of compliant equipment</w:t>
            </w:r>
          </w:p>
        </w:tc>
        <w:tc>
          <w:tcPr>
            <w:tcW w:w="521" w:type="pct"/>
            <w:tcBorders>
              <w:top w:val="nil"/>
              <w:left w:val="nil"/>
              <w:bottom w:val="single" w:sz="8" w:space="0" w:color="auto"/>
              <w:right w:val="nil"/>
            </w:tcBorders>
            <w:shd w:val="clear" w:color="auto" w:fill="auto"/>
            <w:noWrap/>
            <w:vAlign w:val="center"/>
            <w:hideMark/>
          </w:tcPr>
          <w:p w14:paraId="2B996E47" w14:textId="29B9BA00"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8</w:t>
            </w:r>
            <w:r w:rsidR="00DB1CD5" w:rsidRPr="007F04EF">
              <w:rPr>
                <w:rFonts w:eastAsia="Times New Roman" w:cs="Arial"/>
                <w:color w:val="000000"/>
                <w:lang w:val="en-GB"/>
              </w:rPr>
              <w:t>,</w:t>
            </w:r>
            <w:r w:rsidRPr="007F04EF">
              <w:rPr>
                <w:rFonts w:eastAsia="Times New Roman" w:cs="Arial"/>
                <w:color w:val="000000"/>
                <w:lang w:val="en-GB"/>
              </w:rPr>
              <w:t>312</w:t>
            </w:r>
          </w:p>
        </w:tc>
        <w:tc>
          <w:tcPr>
            <w:tcW w:w="521" w:type="pct"/>
            <w:tcBorders>
              <w:top w:val="nil"/>
              <w:left w:val="nil"/>
              <w:bottom w:val="single" w:sz="8" w:space="0" w:color="auto"/>
              <w:right w:val="nil"/>
            </w:tcBorders>
            <w:shd w:val="clear" w:color="auto" w:fill="auto"/>
            <w:noWrap/>
            <w:vAlign w:val="center"/>
            <w:hideMark/>
          </w:tcPr>
          <w:p w14:paraId="382851EA" w14:textId="79DA7AD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347</w:t>
            </w:r>
          </w:p>
        </w:tc>
        <w:tc>
          <w:tcPr>
            <w:tcW w:w="521" w:type="pct"/>
            <w:tcBorders>
              <w:top w:val="nil"/>
              <w:left w:val="nil"/>
              <w:bottom w:val="single" w:sz="8" w:space="0" w:color="auto"/>
              <w:right w:val="nil"/>
            </w:tcBorders>
            <w:shd w:val="clear" w:color="auto" w:fill="auto"/>
            <w:noWrap/>
            <w:vAlign w:val="center"/>
            <w:hideMark/>
          </w:tcPr>
          <w:p w14:paraId="7DDB59B7" w14:textId="15EC107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7</w:t>
            </w:r>
            <w:r w:rsidR="00DB1CD5" w:rsidRPr="007F04EF">
              <w:rPr>
                <w:rFonts w:eastAsia="Times New Roman" w:cs="Arial"/>
                <w:color w:val="000000"/>
                <w:lang w:val="en-GB"/>
              </w:rPr>
              <w:t>,</w:t>
            </w:r>
            <w:r w:rsidRPr="007F04EF">
              <w:rPr>
                <w:rFonts w:eastAsia="Times New Roman" w:cs="Arial"/>
                <w:color w:val="000000"/>
                <w:lang w:val="en-GB"/>
              </w:rPr>
              <w:t>278</w:t>
            </w:r>
          </w:p>
        </w:tc>
        <w:tc>
          <w:tcPr>
            <w:tcW w:w="521" w:type="pct"/>
            <w:tcBorders>
              <w:top w:val="nil"/>
              <w:left w:val="nil"/>
              <w:bottom w:val="single" w:sz="8" w:space="0" w:color="auto"/>
              <w:right w:val="nil"/>
            </w:tcBorders>
            <w:shd w:val="clear" w:color="auto" w:fill="auto"/>
            <w:noWrap/>
            <w:vAlign w:val="center"/>
            <w:hideMark/>
          </w:tcPr>
          <w:p w14:paraId="630DCE45" w14:textId="05965E0A"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577</w:t>
            </w:r>
          </w:p>
        </w:tc>
        <w:tc>
          <w:tcPr>
            <w:tcW w:w="521" w:type="pct"/>
            <w:tcBorders>
              <w:top w:val="nil"/>
              <w:left w:val="nil"/>
              <w:bottom w:val="single" w:sz="8" w:space="0" w:color="auto"/>
              <w:right w:val="nil"/>
            </w:tcBorders>
            <w:shd w:val="clear" w:color="auto" w:fill="auto"/>
            <w:noWrap/>
            <w:vAlign w:val="center"/>
            <w:hideMark/>
          </w:tcPr>
          <w:p w14:paraId="23AF1299" w14:textId="1504A48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972</w:t>
            </w:r>
          </w:p>
        </w:tc>
        <w:tc>
          <w:tcPr>
            <w:tcW w:w="521" w:type="pct"/>
            <w:tcBorders>
              <w:top w:val="nil"/>
              <w:left w:val="nil"/>
              <w:bottom w:val="single" w:sz="8" w:space="0" w:color="auto"/>
              <w:right w:val="nil"/>
            </w:tcBorders>
            <w:shd w:val="clear" w:color="auto" w:fill="auto"/>
            <w:noWrap/>
            <w:vAlign w:val="center"/>
            <w:hideMark/>
          </w:tcPr>
          <w:p w14:paraId="0E692FC8" w14:textId="3ADAE8DA"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619</w:t>
            </w:r>
          </w:p>
        </w:tc>
      </w:tr>
      <w:tr w:rsidR="00015CB7" w:rsidRPr="007F04EF" w14:paraId="780594F3"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59B67DC3" w14:textId="579FC985" w:rsidR="00015CB7" w:rsidRPr="007F04EF" w:rsidRDefault="000B39C6" w:rsidP="00015CB7">
            <w:pPr>
              <w:rPr>
                <w:rFonts w:eastAsia="Times New Roman" w:cs="Arial"/>
                <w:color w:val="000000"/>
                <w:lang w:val="en-GB"/>
              </w:rPr>
            </w:pPr>
            <w:r w:rsidRPr="007F04EF">
              <w:rPr>
                <w:rFonts w:eastAsia="Times New Roman" w:cs="Arial"/>
                <w:color w:val="000000"/>
                <w:lang w:val="en-GB"/>
              </w:rPr>
              <w:t>Proportion of inspected equipment</w:t>
            </w:r>
          </w:p>
        </w:tc>
        <w:tc>
          <w:tcPr>
            <w:tcW w:w="521" w:type="pct"/>
            <w:tcBorders>
              <w:top w:val="nil"/>
              <w:left w:val="nil"/>
              <w:bottom w:val="single" w:sz="8" w:space="0" w:color="auto"/>
              <w:right w:val="nil"/>
            </w:tcBorders>
            <w:shd w:val="clear" w:color="auto" w:fill="auto"/>
            <w:noWrap/>
            <w:vAlign w:val="center"/>
            <w:hideMark/>
          </w:tcPr>
          <w:p w14:paraId="490387AB" w14:textId="282A1C2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46</w:t>
            </w:r>
            <w:r w:rsidR="00DB1CD5" w:rsidRPr="007F04EF">
              <w:rPr>
                <w:rFonts w:eastAsia="Times New Roman" w:cs="Arial"/>
                <w:color w:val="000000"/>
                <w:lang w:val="en-GB"/>
              </w:rPr>
              <w:t>.</w:t>
            </w:r>
            <w:r w:rsidRPr="007F04EF">
              <w:rPr>
                <w:rFonts w:eastAsia="Times New Roman" w:cs="Arial"/>
                <w:color w:val="000000"/>
                <w:lang w:val="en-GB"/>
              </w:rPr>
              <w:t>54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7787F31" w14:textId="6662D0A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7</w:t>
            </w:r>
            <w:r w:rsidR="00DB1CD5" w:rsidRPr="007F04EF">
              <w:rPr>
                <w:rFonts w:eastAsia="Times New Roman" w:cs="Arial"/>
                <w:color w:val="000000"/>
                <w:lang w:val="en-GB"/>
              </w:rPr>
              <w:t>.</w:t>
            </w:r>
            <w:r w:rsidRPr="007F04EF">
              <w:rPr>
                <w:rFonts w:eastAsia="Times New Roman" w:cs="Arial"/>
                <w:color w:val="000000"/>
                <w:lang w:val="en-GB"/>
              </w:rPr>
              <w:t>34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54B44CFF" w14:textId="4BC770D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40</w:t>
            </w:r>
            <w:r w:rsidR="00DB1CD5" w:rsidRPr="007F04EF">
              <w:rPr>
                <w:rFonts w:eastAsia="Times New Roman" w:cs="Arial"/>
                <w:color w:val="000000"/>
                <w:lang w:val="en-GB"/>
              </w:rPr>
              <w:t>.</w:t>
            </w:r>
            <w:r w:rsidRPr="007F04EF">
              <w:rPr>
                <w:rFonts w:eastAsia="Times New Roman" w:cs="Arial"/>
                <w:color w:val="000000"/>
                <w:lang w:val="en-GB"/>
              </w:rPr>
              <w:t>74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3FAB671" w14:textId="24BD337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39</w:t>
            </w:r>
            <w:r w:rsidR="00DB1CD5" w:rsidRPr="007F04EF">
              <w:rPr>
                <w:rFonts w:eastAsia="Times New Roman" w:cs="Arial"/>
                <w:color w:val="000000"/>
                <w:lang w:val="en-GB"/>
              </w:rPr>
              <w:t>.</w:t>
            </w:r>
            <w:r w:rsidRPr="007F04EF">
              <w:rPr>
                <w:rFonts w:eastAsia="Times New Roman" w:cs="Arial"/>
                <w:color w:val="000000"/>
                <w:lang w:val="en-GB"/>
              </w:rPr>
              <w:t>61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6435E4CA" w14:textId="3C8236A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11</w:t>
            </w:r>
            <w:r w:rsidR="00DB1CD5" w:rsidRPr="007F04EF">
              <w:rPr>
                <w:rFonts w:eastAsia="Times New Roman" w:cs="Arial"/>
                <w:color w:val="000000"/>
                <w:lang w:val="en-GB"/>
              </w:rPr>
              <w:t>.</w:t>
            </w:r>
            <w:r w:rsidRPr="007F04EF">
              <w:rPr>
                <w:rFonts w:eastAsia="Times New Roman" w:cs="Arial"/>
                <w:color w:val="000000"/>
                <w:lang w:val="en-GB"/>
              </w:rPr>
              <w:t>61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02970E20" w14:textId="0FE2184D"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40</w:t>
            </w:r>
            <w:r w:rsidR="00DB1CD5" w:rsidRPr="007F04EF">
              <w:rPr>
                <w:rFonts w:eastAsia="Times New Roman" w:cs="Arial"/>
                <w:color w:val="000000"/>
                <w:lang w:val="en-GB"/>
              </w:rPr>
              <w:t>.</w:t>
            </w:r>
            <w:r w:rsidRPr="007F04EF">
              <w:rPr>
                <w:rFonts w:eastAsia="Times New Roman" w:cs="Arial"/>
                <w:color w:val="000000"/>
                <w:lang w:val="en-GB"/>
              </w:rPr>
              <w:t>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r w:rsidR="00015CB7" w:rsidRPr="007F04EF" w14:paraId="7FA5BD9F"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09301862" w14:textId="71446D6B" w:rsidR="00015CB7" w:rsidRPr="007F04EF" w:rsidRDefault="000B39C6" w:rsidP="00015CB7">
            <w:pPr>
              <w:rPr>
                <w:rFonts w:eastAsia="Times New Roman" w:cs="Arial"/>
                <w:color w:val="000000"/>
                <w:lang w:val="en-GB"/>
              </w:rPr>
            </w:pPr>
            <w:r w:rsidRPr="007F04EF">
              <w:rPr>
                <w:rFonts w:eastAsia="Times New Roman" w:cs="Arial"/>
                <w:color w:val="000000"/>
                <w:lang w:val="en-GB"/>
              </w:rPr>
              <w:t>Proportion of compliant equipment</w:t>
            </w:r>
          </w:p>
        </w:tc>
        <w:tc>
          <w:tcPr>
            <w:tcW w:w="521" w:type="pct"/>
            <w:tcBorders>
              <w:top w:val="nil"/>
              <w:left w:val="nil"/>
              <w:bottom w:val="single" w:sz="8" w:space="0" w:color="auto"/>
              <w:right w:val="nil"/>
            </w:tcBorders>
            <w:shd w:val="clear" w:color="auto" w:fill="auto"/>
            <w:noWrap/>
            <w:vAlign w:val="center"/>
            <w:hideMark/>
          </w:tcPr>
          <w:p w14:paraId="15241396" w14:textId="5917445C"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28</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4102CDF" w14:textId="47EF4EA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98</w:t>
            </w:r>
            <w:r w:rsidR="00DB1CD5" w:rsidRPr="007F04EF">
              <w:rPr>
                <w:rFonts w:eastAsia="Times New Roman" w:cs="Arial"/>
                <w:color w:val="000000"/>
                <w:lang w:val="en-GB"/>
              </w:rPr>
              <w:t>.</w:t>
            </w:r>
            <w:r w:rsidRPr="007F04EF">
              <w:rPr>
                <w:rFonts w:eastAsia="Times New Roman" w:cs="Arial"/>
                <w:color w:val="000000"/>
                <w:lang w:val="en-GB"/>
              </w:rPr>
              <w:t>46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1B963683" w14:textId="7ED9C6E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36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6CB60EB6" w14:textId="31341D5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08</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1F5F5521" w14:textId="6F30B29C"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35</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75193F4" w14:textId="6CE91E1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56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bl>
    <w:p w14:paraId="2F239917" w14:textId="0FD06C24" w:rsidR="00DB1C32" w:rsidRPr="007F04EF" w:rsidRDefault="00DB1C32" w:rsidP="00B7219E">
      <w:pPr>
        <w:spacing w:before="80" w:after="80" w:line="220" w:lineRule="atLeast"/>
        <w:rPr>
          <w:rFonts w:eastAsia="Times New Roman" w:cs="Arial"/>
          <w:lang w:val="en-GB"/>
        </w:rPr>
      </w:pPr>
    </w:p>
    <w:p w14:paraId="25204FC9" w14:textId="68CC3F31" w:rsidR="000B39C6" w:rsidRPr="007F04EF" w:rsidRDefault="000B39C6" w:rsidP="005A3ECC">
      <w:pPr>
        <w:jc w:val="both"/>
        <w:rPr>
          <w:lang w:val="en-GB"/>
        </w:rPr>
      </w:pPr>
      <w:r w:rsidRPr="007F04EF">
        <w:rPr>
          <w:lang w:val="en-GB"/>
        </w:rPr>
        <w:t xml:space="preserve">We estimate that all </w:t>
      </w:r>
      <w:r w:rsidR="00ED1B93" w:rsidRPr="007F04EF">
        <w:rPr>
          <w:lang w:val="en-GB"/>
        </w:rPr>
        <w:t>PPP</w:t>
      </w:r>
      <w:r w:rsidR="003C321A" w:rsidRPr="007F04EF">
        <w:rPr>
          <w:lang w:val="en-GB"/>
        </w:rPr>
        <w:t>-</w:t>
      </w:r>
      <w:r w:rsidR="00B516D8" w:rsidRPr="007F04EF">
        <w:rPr>
          <w:lang w:val="en-GB"/>
        </w:rPr>
        <w:t>equipment</w:t>
      </w:r>
      <w:r w:rsidRPr="007F04EF">
        <w:rPr>
          <w:lang w:val="en-GB"/>
        </w:rPr>
        <w:t xml:space="preserve"> in use </w:t>
      </w:r>
      <w:r w:rsidR="003C321A" w:rsidRPr="007F04EF">
        <w:rPr>
          <w:lang w:val="en-GB"/>
        </w:rPr>
        <w:t xml:space="preserve">is </w:t>
      </w:r>
      <w:r w:rsidRPr="007F04EF">
        <w:rPr>
          <w:lang w:val="en-GB"/>
        </w:rPr>
        <w:t xml:space="preserve">entered in the </w:t>
      </w:r>
      <w:r w:rsidR="00582A74" w:rsidRPr="007F04EF">
        <w:rPr>
          <w:lang w:val="en-GB"/>
        </w:rPr>
        <w:t>Registry</w:t>
      </w:r>
      <w:r w:rsidRPr="007F04EF">
        <w:rPr>
          <w:lang w:val="en-GB"/>
        </w:rPr>
        <w:t xml:space="preserve"> of inspected </w:t>
      </w:r>
      <w:r w:rsidR="00ED1B93" w:rsidRPr="007F04EF">
        <w:rPr>
          <w:lang w:val="en-GB"/>
        </w:rPr>
        <w:t>PPP</w:t>
      </w:r>
      <w:r w:rsidR="003C321A" w:rsidRPr="007F04EF">
        <w:rPr>
          <w:lang w:val="en-GB"/>
        </w:rPr>
        <w:t>-</w:t>
      </w:r>
      <w:r w:rsidR="00B516D8" w:rsidRPr="007F04EF">
        <w:rPr>
          <w:lang w:val="en-GB"/>
        </w:rPr>
        <w:t>equipment</w:t>
      </w:r>
      <w:r w:rsidRPr="007F04EF">
        <w:rPr>
          <w:lang w:val="en-GB"/>
        </w:rPr>
        <w:t>. Their number fluctuates slightly, depending on the exchange of old devices for new ones</w:t>
      </w:r>
      <w:r w:rsidR="00ED1B93" w:rsidRPr="007F04EF">
        <w:rPr>
          <w:lang w:val="en-GB"/>
        </w:rPr>
        <w:t>.</w:t>
      </w:r>
      <w:r w:rsidRPr="007F04EF">
        <w:rPr>
          <w:lang w:val="en-GB"/>
        </w:rPr>
        <w:t xml:space="preserve"> </w:t>
      </w:r>
      <w:r w:rsidR="00ED1B93" w:rsidRPr="007F04EF">
        <w:rPr>
          <w:lang w:val="en-GB"/>
        </w:rPr>
        <w:t>A</w:t>
      </w:r>
      <w:r w:rsidRPr="007F04EF">
        <w:rPr>
          <w:lang w:val="en-GB"/>
        </w:rPr>
        <w:t xml:space="preserve"> slight downward trend may indicate a decrease in the number of professional </w:t>
      </w:r>
      <w:r w:rsidR="00B516D8" w:rsidRPr="007F04EF">
        <w:rPr>
          <w:lang w:val="en-GB"/>
        </w:rPr>
        <w:t>PPP</w:t>
      </w:r>
      <w:r w:rsidR="003C321A" w:rsidRPr="007F04EF">
        <w:rPr>
          <w:lang w:val="en-GB"/>
        </w:rPr>
        <w:t>-</w:t>
      </w:r>
      <w:r w:rsidRPr="007F04EF">
        <w:rPr>
          <w:lang w:val="en-GB"/>
        </w:rPr>
        <w:t xml:space="preserve">users. The number of </w:t>
      </w:r>
      <w:r w:rsidR="00AA54B2" w:rsidRPr="007F04EF">
        <w:rPr>
          <w:lang w:val="en-GB"/>
        </w:rPr>
        <w:t xml:space="preserve">registered </w:t>
      </w:r>
      <w:r w:rsidRPr="007F04EF">
        <w:rPr>
          <w:lang w:val="en-GB"/>
        </w:rPr>
        <w:t xml:space="preserve">devices </w:t>
      </w:r>
      <w:r w:rsidR="00AA54B2" w:rsidRPr="007F04EF">
        <w:rPr>
          <w:lang w:val="en-GB"/>
        </w:rPr>
        <w:t xml:space="preserve">in use </w:t>
      </w:r>
      <w:r w:rsidRPr="007F04EF">
        <w:rPr>
          <w:lang w:val="en-GB"/>
        </w:rPr>
        <w:t xml:space="preserve">has </w:t>
      </w:r>
      <w:r w:rsidR="003C321A" w:rsidRPr="007F04EF">
        <w:rPr>
          <w:lang w:val="en-GB"/>
        </w:rPr>
        <w:t xml:space="preserve">from 2017 up to 2022 </w:t>
      </w:r>
      <w:r w:rsidRPr="007F04EF">
        <w:rPr>
          <w:lang w:val="en-GB"/>
        </w:rPr>
        <w:t>decreased by around 10</w:t>
      </w:r>
      <w:r w:rsidR="003C321A" w:rsidRPr="007F04EF">
        <w:rPr>
          <w:lang w:val="en-GB"/>
        </w:rPr>
        <w:t xml:space="preserve"> </w:t>
      </w:r>
      <w:r w:rsidRPr="007F04EF">
        <w:rPr>
          <w:lang w:val="en-GB"/>
        </w:rPr>
        <w:t>%.</w:t>
      </w:r>
    </w:p>
    <w:p w14:paraId="183AC051" w14:textId="77777777" w:rsidR="005A3ECC" w:rsidRPr="007F04EF" w:rsidRDefault="005A3ECC" w:rsidP="00015CB7">
      <w:pPr>
        <w:rPr>
          <w:lang w:val="en-GB"/>
        </w:rPr>
      </w:pPr>
    </w:p>
    <w:p w14:paraId="29400727" w14:textId="5A2D068D" w:rsidR="0096288A" w:rsidRPr="007F04EF" w:rsidRDefault="00531032" w:rsidP="00C6444F">
      <w:pPr>
        <w:jc w:val="center"/>
        <w:rPr>
          <w:lang w:val="en-GB"/>
        </w:rPr>
      </w:pPr>
      <w:r w:rsidRPr="007F04EF">
        <w:rPr>
          <w:noProof/>
          <w:lang w:val="en-GB"/>
        </w:rPr>
        <w:drawing>
          <wp:inline distT="0" distB="0" distL="0" distR="0" wp14:anchorId="5F305A76" wp14:editId="18681C12">
            <wp:extent cx="4572000" cy="2743200"/>
            <wp:effectExtent l="0" t="0" r="0" b="0"/>
            <wp:docPr id="6" name="Grafikon 6">
              <a:extLst xmlns:a="http://schemas.openxmlformats.org/drawingml/2006/main">
                <a:ext uri="{FF2B5EF4-FFF2-40B4-BE49-F238E27FC236}">
                  <a16:creationId xmlns:a16="http://schemas.microsoft.com/office/drawing/2014/main" id="{03A13A0B-AB3B-9BFF-7920-9B11C967A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D4BB1B" w14:textId="77777777" w:rsidR="0062752D" w:rsidRPr="007F04EF" w:rsidRDefault="0062752D" w:rsidP="00736EE3">
      <w:pPr>
        <w:pStyle w:val="Napis"/>
        <w:jc w:val="center"/>
        <w:rPr>
          <w:rFonts w:cs="Arial"/>
          <w:sz w:val="20"/>
          <w:szCs w:val="20"/>
          <w:lang w:val="en-GB"/>
        </w:rPr>
      </w:pPr>
      <w:bookmarkStart w:id="69" w:name="_Toc161658229"/>
    </w:p>
    <w:p w14:paraId="7AA6D3FC" w14:textId="593EB4CE" w:rsidR="00B516D8" w:rsidRPr="007F04EF" w:rsidRDefault="00B516D8" w:rsidP="00736EE3">
      <w:pPr>
        <w:pStyle w:val="Napis"/>
        <w:jc w:val="center"/>
        <w:rPr>
          <w:rFonts w:cs="Arial"/>
          <w:color w:val="000000"/>
          <w:sz w:val="20"/>
          <w:szCs w:val="20"/>
          <w:lang w:val="en-GB"/>
        </w:rPr>
      </w:pPr>
      <w:r w:rsidRPr="007F04EF">
        <w:rPr>
          <w:rFonts w:cs="Arial"/>
          <w:sz w:val="20"/>
          <w:szCs w:val="20"/>
          <w:lang w:val="en-GB"/>
        </w:rPr>
        <w:t>Graph</w:t>
      </w:r>
      <w:r w:rsidR="005F009C" w:rsidRPr="007F04EF">
        <w:rPr>
          <w:rFonts w:cs="Arial"/>
          <w:sz w:val="20"/>
          <w:szCs w:val="20"/>
          <w:lang w:val="en-GB"/>
        </w:rPr>
        <w:t xml:space="preserve"> </w:t>
      </w:r>
      <w:r w:rsidR="005F009C" w:rsidRPr="007F04EF">
        <w:rPr>
          <w:rFonts w:cs="Arial"/>
          <w:sz w:val="20"/>
          <w:szCs w:val="20"/>
          <w:lang w:val="en-GB"/>
        </w:rPr>
        <w:fldChar w:fldCharType="begin"/>
      </w:r>
      <w:r w:rsidR="005F009C" w:rsidRPr="007F04EF">
        <w:rPr>
          <w:rFonts w:cs="Arial"/>
          <w:sz w:val="20"/>
          <w:szCs w:val="20"/>
          <w:lang w:val="en-GB"/>
        </w:rPr>
        <w:instrText xml:space="preserve"> SEQ Slika \* ARABIC </w:instrText>
      </w:r>
      <w:r w:rsidR="005F009C" w:rsidRPr="007F04EF">
        <w:rPr>
          <w:rFonts w:cs="Arial"/>
          <w:sz w:val="20"/>
          <w:szCs w:val="20"/>
          <w:lang w:val="en-GB"/>
        </w:rPr>
        <w:fldChar w:fldCharType="separate"/>
      </w:r>
      <w:r w:rsidR="001A6882" w:rsidRPr="007F04EF">
        <w:rPr>
          <w:rFonts w:cs="Arial"/>
          <w:sz w:val="20"/>
          <w:szCs w:val="20"/>
          <w:lang w:val="en-GB"/>
        </w:rPr>
        <w:t>5</w:t>
      </w:r>
      <w:r w:rsidR="005F009C" w:rsidRPr="007F04EF">
        <w:rPr>
          <w:rFonts w:cs="Arial"/>
          <w:sz w:val="20"/>
          <w:szCs w:val="20"/>
          <w:lang w:val="en-GB"/>
        </w:rPr>
        <w:fldChar w:fldCharType="end"/>
      </w:r>
      <w:r w:rsidR="00533ABD" w:rsidRPr="007F04EF">
        <w:rPr>
          <w:rFonts w:cs="Arial"/>
          <w:sz w:val="20"/>
          <w:szCs w:val="20"/>
          <w:lang w:val="en-GB"/>
        </w:rPr>
        <w:t xml:space="preserve">: </w:t>
      </w:r>
      <w:bookmarkStart w:id="70" w:name="_Hlk172026187"/>
      <w:r w:rsidRPr="007F04EF">
        <w:rPr>
          <w:rFonts w:cs="Arial"/>
          <w:sz w:val="20"/>
          <w:szCs w:val="20"/>
          <w:lang w:val="en-GB"/>
        </w:rPr>
        <w:t xml:space="preserve">The number of </w:t>
      </w:r>
      <w:r w:rsidR="00D474D8" w:rsidRPr="007F04EF">
        <w:rPr>
          <w:rFonts w:cs="Arial"/>
          <w:sz w:val="20"/>
          <w:szCs w:val="20"/>
          <w:lang w:val="en-GB"/>
        </w:rPr>
        <w:t>PPP</w:t>
      </w:r>
      <w:r w:rsidR="005A6C5E" w:rsidRPr="007F04EF">
        <w:rPr>
          <w:rFonts w:cs="Arial"/>
          <w:sz w:val="20"/>
          <w:szCs w:val="20"/>
          <w:lang w:val="en-GB"/>
        </w:rPr>
        <w:t>-</w:t>
      </w:r>
      <w:r w:rsidRPr="007F04EF">
        <w:rPr>
          <w:rFonts w:cs="Arial"/>
          <w:sz w:val="20"/>
          <w:szCs w:val="20"/>
          <w:lang w:val="en-GB"/>
        </w:rPr>
        <w:t>equipment</w:t>
      </w:r>
      <w:r w:rsidR="005A6C5E" w:rsidRPr="007F04EF">
        <w:rPr>
          <w:rFonts w:cs="Arial"/>
          <w:sz w:val="20"/>
          <w:szCs w:val="20"/>
          <w:lang w:val="en-GB"/>
        </w:rPr>
        <w:t xml:space="preserve"> </w:t>
      </w:r>
      <w:r w:rsidRPr="007F04EF">
        <w:rPr>
          <w:rFonts w:cs="Arial"/>
          <w:sz w:val="20"/>
          <w:szCs w:val="20"/>
          <w:lang w:val="en-GB"/>
        </w:rPr>
        <w:t>in the Re</w:t>
      </w:r>
      <w:r w:rsidR="00D474D8" w:rsidRPr="007F04EF">
        <w:rPr>
          <w:rFonts w:cs="Arial"/>
          <w:sz w:val="20"/>
          <w:szCs w:val="20"/>
          <w:lang w:val="en-GB"/>
        </w:rPr>
        <w:t>gistry</w:t>
      </w:r>
      <w:r w:rsidRPr="007F04EF">
        <w:rPr>
          <w:rFonts w:cs="Arial"/>
          <w:sz w:val="20"/>
          <w:szCs w:val="20"/>
          <w:lang w:val="en-GB"/>
        </w:rPr>
        <w:t xml:space="preserve"> and the number of inspected </w:t>
      </w:r>
      <w:r w:rsidR="00D474D8" w:rsidRPr="007F04EF">
        <w:rPr>
          <w:rFonts w:cs="Arial"/>
          <w:sz w:val="20"/>
          <w:szCs w:val="20"/>
          <w:lang w:val="en-GB"/>
        </w:rPr>
        <w:t>PPP</w:t>
      </w:r>
      <w:r w:rsidR="005A6C5E" w:rsidRPr="007F04EF">
        <w:rPr>
          <w:rFonts w:cs="Arial"/>
          <w:sz w:val="20"/>
          <w:szCs w:val="20"/>
          <w:lang w:val="en-GB"/>
        </w:rPr>
        <w:t>-</w:t>
      </w:r>
      <w:r w:rsidRPr="007F04EF">
        <w:rPr>
          <w:rFonts w:cs="Arial"/>
          <w:sz w:val="20"/>
          <w:szCs w:val="20"/>
          <w:lang w:val="en-GB"/>
        </w:rPr>
        <w:t>equipment</w:t>
      </w:r>
      <w:bookmarkEnd w:id="69"/>
      <w:bookmarkEnd w:id="70"/>
    </w:p>
    <w:p w14:paraId="24717A5F" w14:textId="77777777" w:rsidR="0062752D" w:rsidRPr="007F04EF" w:rsidRDefault="0062752D" w:rsidP="00B516D8">
      <w:pPr>
        <w:rPr>
          <w:lang w:val="en-GB"/>
        </w:rPr>
      </w:pPr>
    </w:p>
    <w:p w14:paraId="37888214" w14:textId="77777777" w:rsidR="0062752D" w:rsidRPr="007F04EF" w:rsidRDefault="0062752D" w:rsidP="00B516D8">
      <w:pPr>
        <w:rPr>
          <w:lang w:val="en-GB"/>
        </w:rPr>
      </w:pPr>
    </w:p>
    <w:p w14:paraId="41E63608" w14:textId="77777777" w:rsidR="001F797E" w:rsidRPr="007F04EF" w:rsidRDefault="001F797E">
      <w:pPr>
        <w:rPr>
          <w:lang w:val="en-GB"/>
        </w:rPr>
      </w:pPr>
      <w:r w:rsidRPr="007F04EF">
        <w:rPr>
          <w:lang w:val="en-GB"/>
        </w:rPr>
        <w:br w:type="page"/>
      </w:r>
    </w:p>
    <w:p w14:paraId="6C2AD1CD" w14:textId="51A4FF62" w:rsidR="00B516D8" w:rsidRPr="007F04EF" w:rsidRDefault="00B516D8" w:rsidP="005A6C5E">
      <w:pPr>
        <w:jc w:val="both"/>
        <w:rPr>
          <w:lang w:val="en-GB"/>
        </w:rPr>
      </w:pPr>
      <w:r w:rsidRPr="007F04EF">
        <w:rPr>
          <w:lang w:val="en-GB"/>
        </w:rPr>
        <w:lastRenderedPageBreak/>
        <w:t xml:space="preserve">The number of inspections fluctuates due to the 3-year interval in which the equipment </w:t>
      </w:r>
      <w:r w:rsidR="00ED1B93" w:rsidRPr="007F04EF">
        <w:rPr>
          <w:lang w:val="en-GB"/>
        </w:rPr>
        <w:t>must</w:t>
      </w:r>
      <w:r w:rsidRPr="007F04EF">
        <w:rPr>
          <w:lang w:val="en-GB"/>
        </w:rPr>
        <w:t xml:space="preserve"> be inspected</w:t>
      </w:r>
      <w:r w:rsidR="00736EE3" w:rsidRPr="007F04EF">
        <w:rPr>
          <w:lang w:val="en-GB"/>
        </w:rPr>
        <w:t>,</w:t>
      </w:r>
      <w:r w:rsidRPr="007F04EF">
        <w:rPr>
          <w:lang w:val="en-GB"/>
        </w:rPr>
        <w:t xml:space="preserve"> and </w:t>
      </w:r>
      <w:r w:rsidR="002578B3" w:rsidRPr="007F04EF">
        <w:rPr>
          <w:lang w:val="en-GB"/>
        </w:rPr>
        <w:t xml:space="preserve">thus </w:t>
      </w:r>
      <w:r w:rsidRPr="007F04EF">
        <w:rPr>
          <w:lang w:val="en-GB"/>
        </w:rPr>
        <w:t>changes</w:t>
      </w:r>
      <w:r w:rsidR="002578B3" w:rsidRPr="007F04EF">
        <w:rPr>
          <w:lang w:val="en-GB"/>
        </w:rPr>
        <w:t xml:space="preserve"> </w:t>
      </w:r>
      <w:r w:rsidRPr="007F04EF">
        <w:rPr>
          <w:lang w:val="en-GB"/>
        </w:rPr>
        <w:t>every third year.</w:t>
      </w:r>
    </w:p>
    <w:p w14:paraId="76555B9D" w14:textId="77777777" w:rsidR="0062752D" w:rsidRPr="007F04EF" w:rsidRDefault="0062752D" w:rsidP="005A6C5E">
      <w:pPr>
        <w:jc w:val="both"/>
        <w:rPr>
          <w:lang w:val="en-GB"/>
        </w:rPr>
      </w:pPr>
    </w:p>
    <w:p w14:paraId="6788EDEE" w14:textId="263321B8" w:rsidR="00B516D8" w:rsidRPr="007F04EF" w:rsidRDefault="00B516D8" w:rsidP="005A6C5E">
      <w:pPr>
        <w:jc w:val="both"/>
        <w:rPr>
          <w:lang w:val="en-GB"/>
        </w:rPr>
      </w:pPr>
      <w:r w:rsidRPr="007F04EF">
        <w:rPr>
          <w:lang w:val="en-GB"/>
        </w:rPr>
        <w:t xml:space="preserve">The share of </w:t>
      </w:r>
      <w:r w:rsidR="00736EE3" w:rsidRPr="007F04EF">
        <w:rPr>
          <w:lang w:val="en-GB"/>
        </w:rPr>
        <w:t>compliant equipment</w:t>
      </w:r>
      <w:r w:rsidRPr="007F04EF">
        <w:rPr>
          <w:lang w:val="en-GB"/>
        </w:rPr>
        <w:t xml:space="preserve"> is very high</w:t>
      </w:r>
      <w:r w:rsidR="005A6C5E" w:rsidRPr="007F04EF">
        <w:rPr>
          <w:lang w:val="en-GB"/>
        </w:rPr>
        <w:t>. A</w:t>
      </w:r>
      <w:r w:rsidRPr="007F04EF">
        <w:rPr>
          <w:lang w:val="en-GB"/>
        </w:rPr>
        <w:t>round 99</w:t>
      </w:r>
      <w:r w:rsidR="005A6C5E" w:rsidRPr="007F04EF">
        <w:rPr>
          <w:lang w:val="en-GB"/>
        </w:rPr>
        <w:t xml:space="preserve"> </w:t>
      </w:r>
      <w:r w:rsidRPr="007F04EF">
        <w:rPr>
          <w:lang w:val="en-GB"/>
        </w:rPr>
        <w:t xml:space="preserve">% of </w:t>
      </w:r>
      <w:r w:rsidR="00736EE3" w:rsidRPr="007F04EF">
        <w:rPr>
          <w:lang w:val="en-GB"/>
        </w:rPr>
        <w:t>equipment</w:t>
      </w:r>
      <w:r w:rsidRPr="007F04EF">
        <w:rPr>
          <w:lang w:val="en-GB"/>
        </w:rPr>
        <w:t xml:space="preserve"> successfully pass</w:t>
      </w:r>
      <w:r w:rsidR="005A6C5E" w:rsidRPr="007F04EF">
        <w:rPr>
          <w:lang w:val="en-GB"/>
        </w:rPr>
        <w:t xml:space="preserve">es </w:t>
      </w:r>
      <w:r w:rsidRPr="007F04EF">
        <w:rPr>
          <w:lang w:val="en-GB"/>
        </w:rPr>
        <w:t xml:space="preserve">the first </w:t>
      </w:r>
      <w:r w:rsidR="005A6C5E" w:rsidRPr="007F04EF">
        <w:rPr>
          <w:lang w:val="en-GB"/>
        </w:rPr>
        <w:t xml:space="preserve">and </w:t>
      </w:r>
      <w:r w:rsidRPr="007F04EF">
        <w:rPr>
          <w:lang w:val="en-GB"/>
        </w:rPr>
        <w:t>second inspection</w:t>
      </w:r>
      <w:r w:rsidR="005A6C5E" w:rsidRPr="007F04EF">
        <w:rPr>
          <w:lang w:val="en-GB"/>
        </w:rPr>
        <w:t>s</w:t>
      </w:r>
      <w:r w:rsidRPr="007F04EF">
        <w:rPr>
          <w:lang w:val="en-GB"/>
        </w:rPr>
        <w:t xml:space="preserve">. </w:t>
      </w:r>
      <w:r w:rsidR="005A6C5E" w:rsidRPr="007F04EF">
        <w:rPr>
          <w:lang w:val="en-GB"/>
        </w:rPr>
        <w:t>Equipment that is found non-compliant during inspection</w:t>
      </w:r>
      <w:r w:rsidR="002578B3" w:rsidRPr="007F04EF">
        <w:rPr>
          <w:lang w:val="en-GB"/>
        </w:rPr>
        <w:t xml:space="preserve"> </w:t>
      </w:r>
      <w:r w:rsidR="005A6C5E" w:rsidRPr="007F04EF">
        <w:rPr>
          <w:lang w:val="en-GB"/>
        </w:rPr>
        <w:t xml:space="preserve">is required to be submitted to </w:t>
      </w:r>
      <w:r w:rsidRPr="007F04EF">
        <w:rPr>
          <w:lang w:val="en-GB"/>
        </w:rPr>
        <w:t>repair</w:t>
      </w:r>
      <w:r w:rsidR="00736EE3" w:rsidRPr="007F04EF">
        <w:rPr>
          <w:lang w:val="en-GB"/>
        </w:rPr>
        <w:t>.</w:t>
      </w:r>
      <w:r w:rsidR="005A6C5E" w:rsidRPr="007F04EF">
        <w:rPr>
          <w:lang w:val="en-GB"/>
        </w:rPr>
        <w:t xml:space="preserve"> Upon repair, </w:t>
      </w:r>
      <w:r w:rsidR="00736EE3" w:rsidRPr="007F04EF">
        <w:rPr>
          <w:lang w:val="en-GB"/>
        </w:rPr>
        <w:t>the inspector</w:t>
      </w:r>
      <w:r w:rsidR="005A6C5E" w:rsidRPr="007F04EF">
        <w:rPr>
          <w:lang w:val="en-GB"/>
        </w:rPr>
        <w:t xml:space="preserve"> </w:t>
      </w:r>
      <w:r w:rsidRPr="007F04EF">
        <w:rPr>
          <w:lang w:val="en-GB"/>
        </w:rPr>
        <w:t>issue</w:t>
      </w:r>
      <w:r w:rsidR="005A6C5E" w:rsidRPr="007F04EF">
        <w:rPr>
          <w:lang w:val="en-GB"/>
        </w:rPr>
        <w:t xml:space="preserve">s </w:t>
      </w:r>
      <w:r w:rsidRPr="007F04EF">
        <w:rPr>
          <w:lang w:val="en-GB"/>
        </w:rPr>
        <w:t>a certificate and</w:t>
      </w:r>
      <w:r w:rsidR="005A6C5E" w:rsidRPr="007F04EF">
        <w:rPr>
          <w:lang w:val="en-GB"/>
        </w:rPr>
        <w:t xml:space="preserve"> affixes </w:t>
      </w:r>
      <w:r w:rsidR="00736EE3" w:rsidRPr="007F04EF">
        <w:rPr>
          <w:lang w:val="en-GB"/>
        </w:rPr>
        <w:t xml:space="preserve">a </w:t>
      </w:r>
      <w:r w:rsidR="002578B3" w:rsidRPr="007F04EF">
        <w:rPr>
          <w:lang w:val="en-GB"/>
        </w:rPr>
        <w:t xml:space="preserve">label </w:t>
      </w:r>
      <w:r w:rsidRPr="007F04EF">
        <w:rPr>
          <w:lang w:val="en-GB"/>
        </w:rPr>
        <w:t>on the</w:t>
      </w:r>
      <w:r w:rsidR="005A6C5E" w:rsidRPr="007F04EF">
        <w:rPr>
          <w:lang w:val="en-GB"/>
        </w:rPr>
        <w:t xml:space="preserve"> device as proof of compliance</w:t>
      </w:r>
      <w:r w:rsidRPr="007F04EF">
        <w:rPr>
          <w:lang w:val="en-GB"/>
        </w:rPr>
        <w:t>.</w:t>
      </w:r>
    </w:p>
    <w:p w14:paraId="1075E04D" w14:textId="7727994A" w:rsidR="002D6BF5" w:rsidRPr="007F04EF" w:rsidRDefault="00683F5F" w:rsidP="00015CB7">
      <w:pPr>
        <w:pStyle w:val="Naslov3"/>
        <w:rPr>
          <w:lang w:val="en-GB"/>
        </w:rPr>
      </w:pPr>
      <w:bookmarkStart w:id="71" w:name="_Toc172027303"/>
      <w:r w:rsidRPr="007F04EF">
        <w:rPr>
          <w:lang w:val="en-GB"/>
        </w:rPr>
        <w:t>Training on plant protection products</w:t>
      </w:r>
      <w:r w:rsidR="002578B3" w:rsidRPr="007F04EF">
        <w:rPr>
          <w:lang w:val="en-GB"/>
        </w:rPr>
        <w:t xml:space="preserve"> of the PPP-users</w:t>
      </w:r>
      <w:bookmarkEnd w:id="71"/>
    </w:p>
    <w:p w14:paraId="216C3F87" w14:textId="77777777" w:rsidR="005A6C5E" w:rsidRPr="007F04EF" w:rsidRDefault="005A6C5E" w:rsidP="00015CB7">
      <w:pPr>
        <w:rPr>
          <w:lang w:val="en-GB"/>
        </w:rPr>
      </w:pPr>
    </w:p>
    <w:p w14:paraId="23EB691F" w14:textId="77777777" w:rsidR="002578B3" w:rsidRPr="007F04EF" w:rsidRDefault="00ED1B93" w:rsidP="002578B3">
      <w:pPr>
        <w:jc w:val="both"/>
        <w:rPr>
          <w:lang w:val="en-GB"/>
        </w:rPr>
      </w:pPr>
      <w:r w:rsidRPr="007F04EF">
        <w:rPr>
          <w:lang w:val="en-GB"/>
        </w:rPr>
        <w:t>Like</w:t>
      </w:r>
      <w:r w:rsidR="00683F5F" w:rsidRPr="007F04EF">
        <w:rPr>
          <w:lang w:val="en-GB"/>
        </w:rPr>
        <w:t xml:space="preserve"> the inspection of PPP</w:t>
      </w:r>
      <w:r w:rsidR="002578B3" w:rsidRPr="007F04EF">
        <w:rPr>
          <w:lang w:val="en-GB"/>
        </w:rPr>
        <w:t>-</w:t>
      </w:r>
      <w:r w:rsidR="00683F5F" w:rsidRPr="007F04EF">
        <w:rPr>
          <w:lang w:val="en-GB"/>
        </w:rPr>
        <w:t xml:space="preserve">application equipment, the training of </w:t>
      </w:r>
      <w:r w:rsidR="00AA54B2" w:rsidRPr="007F04EF">
        <w:rPr>
          <w:lang w:val="en-GB"/>
        </w:rPr>
        <w:t>professional PPP</w:t>
      </w:r>
      <w:r w:rsidR="002578B3" w:rsidRPr="007F04EF">
        <w:rPr>
          <w:lang w:val="en-GB"/>
        </w:rPr>
        <w:t>-</w:t>
      </w:r>
      <w:r w:rsidR="00AA54B2" w:rsidRPr="007F04EF">
        <w:rPr>
          <w:lang w:val="en-GB"/>
        </w:rPr>
        <w:t>users</w:t>
      </w:r>
      <w:r w:rsidR="00683F5F" w:rsidRPr="007F04EF">
        <w:rPr>
          <w:lang w:val="en-GB"/>
        </w:rPr>
        <w:t>, PPP</w:t>
      </w:r>
      <w:r w:rsidR="002578B3" w:rsidRPr="007F04EF">
        <w:rPr>
          <w:lang w:val="en-GB"/>
        </w:rPr>
        <w:t>-</w:t>
      </w:r>
      <w:r w:rsidR="00683F5F" w:rsidRPr="007F04EF">
        <w:rPr>
          <w:lang w:val="en-GB"/>
        </w:rPr>
        <w:t xml:space="preserve">sellers and </w:t>
      </w:r>
      <w:r w:rsidR="002578B3" w:rsidRPr="007F04EF">
        <w:rPr>
          <w:lang w:val="en-GB"/>
        </w:rPr>
        <w:t>PPP-</w:t>
      </w:r>
      <w:r w:rsidR="00683F5F" w:rsidRPr="007F04EF">
        <w:rPr>
          <w:lang w:val="en-GB"/>
        </w:rPr>
        <w:t>advisors</w:t>
      </w:r>
      <w:r w:rsidR="002578B3" w:rsidRPr="007F04EF">
        <w:rPr>
          <w:lang w:val="en-GB"/>
        </w:rPr>
        <w:t xml:space="preserve"> </w:t>
      </w:r>
      <w:r w:rsidR="00683F5F" w:rsidRPr="007F04EF">
        <w:rPr>
          <w:lang w:val="en-GB"/>
        </w:rPr>
        <w:t>is a long-</w:t>
      </w:r>
      <w:r w:rsidR="002578B3" w:rsidRPr="007F04EF">
        <w:rPr>
          <w:lang w:val="en-GB"/>
        </w:rPr>
        <w:t xml:space="preserve">established </w:t>
      </w:r>
      <w:r w:rsidR="00683F5F" w:rsidRPr="007F04EF">
        <w:rPr>
          <w:lang w:val="en-GB"/>
        </w:rPr>
        <w:t>system.</w:t>
      </w:r>
    </w:p>
    <w:p w14:paraId="4CF29411" w14:textId="4E8D75C2" w:rsidR="002578B3" w:rsidRPr="007F04EF" w:rsidRDefault="00683F5F" w:rsidP="002578B3">
      <w:pPr>
        <w:jc w:val="both"/>
        <w:rPr>
          <w:lang w:val="en-GB"/>
        </w:rPr>
      </w:pPr>
      <w:r w:rsidRPr="007F04EF">
        <w:rPr>
          <w:lang w:val="en-GB"/>
        </w:rPr>
        <w:t xml:space="preserve"> </w:t>
      </w:r>
    </w:p>
    <w:p w14:paraId="359C09F0" w14:textId="2571C72F" w:rsidR="00683F5F" w:rsidRPr="007F04EF" w:rsidRDefault="002578B3" w:rsidP="002578B3">
      <w:pPr>
        <w:jc w:val="both"/>
        <w:rPr>
          <w:lang w:val="en-GB"/>
        </w:rPr>
      </w:pPr>
      <w:r w:rsidRPr="007F04EF">
        <w:rPr>
          <w:lang w:val="en-GB"/>
        </w:rPr>
        <w:t>All th</w:t>
      </w:r>
      <w:r w:rsidR="00683F5F" w:rsidRPr="007F04EF">
        <w:rPr>
          <w:lang w:val="en-GB"/>
        </w:rPr>
        <w:t>e</w:t>
      </w:r>
      <w:r w:rsidRPr="007F04EF">
        <w:rPr>
          <w:lang w:val="en-GB"/>
        </w:rPr>
        <w:t xml:space="preserve"> PPP-</w:t>
      </w:r>
      <w:r w:rsidR="00683F5F" w:rsidRPr="007F04EF">
        <w:rPr>
          <w:lang w:val="en-GB"/>
        </w:rPr>
        <w:t>advisors, PPP</w:t>
      </w:r>
      <w:r w:rsidRPr="007F04EF">
        <w:rPr>
          <w:lang w:val="en-GB"/>
        </w:rPr>
        <w:t>-</w:t>
      </w:r>
      <w:r w:rsidR="00683F5F" w:rsidRPr="007F04EF">
        <w:rPr>
          <w:lang w:val="en-GB"/>
        </w:rPr>
        <w:t>sellers and PPP</w:t>
      </w:r>
      <w:r w:rsidRPr="007F04EF">
        <w:rPr>
          <w:lang w:val="en-GB"/>
        </w:rPr>
        <w:t>-</w:t>
      </w:r>
      <w:r w:rsidR="00683F5F" w:rsidRPr="007F04EF">
        <w:rPr>
          <w:lang w:val="en-GB"/>
        </w:rPr>
        <w:t xml:space="preserve">professional users </w:t>
      </w:r>
      <w:r w:rsidRPr="007F04EF">
        <w:rPr>
          <w:lang w:val="en-GB"/>
        </w:rPr>
        <w:t xml:space="preserve">shall </w:t>
      </w:r>
      <w:r w:rsidR="00683F5F" w:rsidRPr="007F04EF">
        <w:rPr>
          <w:lang w:val="en-GB"/>
        </w:rPr>
        <w:t xml:space="preserve">have completed the basic training and </w:t>
      </w:r>
      <w:r w:rsidRPr="007F04EF">
        <w:rPr>
          <w:lang w:val="en-GB"/>
        </w:rPr>
        <w:t xml:space="preserve">shall </w:t>
      </w:r>
      <w:r w:rsidR="00683F5F" w:rsidRPr="007F04EF">
        <w:rPr>
          <w:lang w:val="en-GB"/>
        </w:rPr>
        <w:t xml:space="preserve">regularly attend </w:t>
      </w:r>
      <w:r w:rsidRPr="007F04EF">
        <w:rPr>
          <w:lang w:val="en-GB"/>
        </w:rPr>
        <w:t xml:space="preserve">the </w:t>
      </w:r>
      <w:r w:rsidR="00683F5F" w:rsidRPr="007F04EF">
        <w:rPr>
          <w:lang w:val="en-GB"/>
        </w:rPr>
        <w:t>refresher</w:t>
      </w:r>
      <w:r w:rsidRPr="007F04EF">
        <w:rPr>
          <w:lang w:val="en-GB"/>
        </w:rPr>
        <w:t xml:space="preserve"> courses </w:t>
      </w:r>
      <w:proofErr w:type="gramStart"/>
      <w:r w:rsidRPr="007F04EF">
        <w:rPr>
          <w:lang w:val="en-GB"/>
        </w:rPr>
        <w:t xml:space="preserve">so as </w:t>
      </w:r>
      <w:r w:rsidR="00683F5F" w:rsidRPr="007F04EF">
        <w:rPr>
          <w:lang w:val="en-GB"/>
        </w:rPr>
        <w:t>to</w:t>
      </w:r>
      <w:proofErr w:type="gramEnd"/>
      <w:r w:rsidR="00683F5F" w:rsidRPr="007F04EF">
        <w:rPr>
          <w:lang w:val="en-GB"/>
        </w:rPr>
        <w:t xml:space="preserve"> renew the validity of the</w:t>
      </w:r>
      <w:r w:rsidRPr="007F04EF">
        <w:rPr>
          <w:lang w:val="en-GB"/>
        </w:rPr>
        <w:t xml:space="preserve">ir respective </w:t>
      </w:r>
      <w:r w:rsidR="00ED1B93" w:rsidRPr="007F04EF">
        <w:rPr>
          <w:lang w:val="en-GB"/>
        </w:rPr>
        <w:t xml:space="preserve">training </w:t>
      </w:r>
      <w:r w:rsidR="00CE18F6" w:rsidRPr="007F04EF">
        <w:rPr>
          <w:lang w:val="en-GB"/>
        </w:rPr>
        <w:t>certificate</w:t>
      </w:r>
      <w:r w:rsidRPr="007F04EF">
        <w:rPr>
          <w:lang w:val="en-GB"/>
        </w:rPr>
        <w:t>s</w:t>
      </w:r>
      <w:r w:rsidR="00683F5F" w:rsidRPr="007F04EF">
        <w:rPr>
          <w:lang w:val="en-GB"/>
        </w:rPr>
        <w:t>.</w:t>
      </w:r>
    </w:p>
    <w:p w14:paraId="3325D01A" w14:textId="77777777" w:rsidR="0062752D" w:rsidRPr="007F04EF" w:rsidRDefault="0062752D" w:rsidP="002578B3">
      <w:pPr>
        <w:jc w:val="both"/>
        <w:rPr>
          <w:lang w:val="en-GB"/>
        </w:rPr>
      </w:pPr>
    </w:p>
    <w:p w14:paraId="4E1A2044" w14:textId="5824FC16" w:rsidR="00CE18F6" w:rsidRPr="007F04EF" w:rsidRDefault="00CC49AF" w:rsidP="002578B3">
      <w:pPr>
        <w:jc w:val="both"/>
        <w:rPr>
          <w:lang w:val="en-GB"/>
        </w:rPr>
      </w:pPr>
      <w:r w:rsidRPr="007F04EF">
        <w:rPr>
          <w:lang w:val="en-GB"/>
        </w:rPr>
        <w:t xml:space="preserve">At training </w:t>
      </w:r>
      <w:r w:rsidR="00CE18F6" w:rsidRPr="007F04EF">
        <w:rPr>
          <w:lang w:val="en-GB"/>
        </w:rPr>
        <w:t>courses,</w:t>
      </w:r>
      <w:r w:rsidR="00E53BCA" w:rsidRPr="007F04EF">
        <w:rPr>
          <w:lang w:val="en-GB"/>
        </w:rPr>
        <w:t xml:space="preserve"> </w:t>
      </w:r>
      <w:r w:rsidRPr="007F04EF">
        <w:rPr>
          <w:lang w:val="en-GB"/>
        </w:rPr>
        <w:t>the</w:t>
      </w:r>
      <w:r w:rsidR="00E53BCA" w:rsidRPr="007F04EF">
        <w:rPr>
          <w:lang w:val="en-GB"/>
        </w:rPr>
        <w:t xml:space="preserve"> </w:t>
      </w:r>
      <w:r w:rsidR="00CE18F6" w:rsidRPr="007F04EF">
        <w:rPr>
          <w:lang w:val="en-GB"/>
        </w:rPr>
        <w:t>content</w:t>
      </w:r>
      <w:r w:rsidR="00E53BCA" w:rsidRPr="007F04EF">
        <w:rPr>
          <w:lang w:val="en-GB"/>
        </w:rPr>
        <w:t xml:space="preserve">s covered shall include applicable </w:t>
      </w:r>
      <w:r w:rsidR="00CE18F6" w:rsidRPr="007F04EF">
        <w:rPr>
          <w:lang w:val="en-GB"/>
        </w:rPr>
        <w:t>legislation</w:t>
      </w:r>
      <w:r w:rsidR="00E53BCA" w:rsidRPr="007F04EF">
        <w:rPr>
          <w:lang w:val="en-GB"/>
        </w:rPr>
        <w:t xml:space="preserve"> </w:t>
      </w:r>
      <w:r w:rsidR="00CE18F6" w:rsidRPr="007F04EF">
        <w:rPr>
          <w:lang w:val="en-GB"/>
        </w:rPr>
        <w:t xml:space="preserve">implementing </w:t>
      </w:r>
      <w:r w:rsidR="00582A74" w:rsidRPr="007F04EF">
        <w:rPr>
          <w:lang w:val="en-GB"/>
        </w:rPr>
        <w:t xml:space="preserve">the requirements of </w:t>
      </w:r>
      <w:r w:rsidR="00CE18F6" w:rsidRPr="007F04EF">
        <w:rPr>
          <w:lang w:val="en-GB"/>
        </w:rPr>
        <w:t>Directive 2009/128/EC on sustainable use of PPP</w:t>
      </w:r>
      <w:r w:rsidR="00582A74" w:rsidRPr="007F04EF">
        <w:rPr>
          <w:lang w:val="en-GB"/>
        </w:rPr>
        <w:t>s</w:t>
      </w:r>
      <w:r w:rsidR="00CE18F6" w:rsidRPr="007F04EF">
        <w:rPr>
          <w:lang w:val="en-GB"/>
        </w:rPr>
        <w:t xml:space="preserve">. </w:t>
      </w:r>
    </w:p>
    <w:p w14:paraId="2D68F07B" w14:textId="77777777" w:rsidR="0062752D" w:rsidRPr="007F04EF" w:rsidRDefault="0062752D" w:rsidP="00015CB7">
      <w:pPr>
        <w:rPr>
          <w:lang w:val="en-GB"/>
        </w:rPr>
      </w:pPr>
    </w:p>
    <w:p w14:paraId="4D23C815" w14:textId="36CB8487" w:rsidR="002D6BF5" w:rsidRPr="007F04EF" w:rsidRDefault="00CE18F6" w:rsidP="00DC3204">
      <w:pPr>
        <w:pStyle w:val="Napis"/>
        <w:rPr>
          <w:rFonts w:cs="Arial"/>
          <w:sz w:val="20"/>
          <w:szCs w:val="20"/>
          <w:lang w:val="en-GB"/>
        </w:rPr>
      </w:pPr>
      <w:bookmarkStart w:id="72" w:name="_Toc161657871"/>
      <w:bookmarkStart w:id="73" w:name="_Toc149825609"/>
      <w:bookmarkStart w:id="74" w:name="_Toc151116358"/>
      <w:bookmarkStart w:id="75" w:name="_Toc152153152"/>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9</w:t>
      </w:r>
      <w:r w:rsidR="00DC3204" w:rsidRPr="007F04EF">
        <w:rPr>
          <w:rFonts w:cs="Arial"/>
          <w:sz w:val="20"/>
          <w:szCs w:val="20"/>
          <w:lang w:val="en-GB"/>
        </w:rPr>
        <w:fldChar w:fldCharType="end"/>
      </w:r>
      <w:r w:rsidR="008B7D3B" w:rsidRPr="007F04EF">
        <w:rPr>
          <w:rFonts w:cs="Arial"/>
          <w:sz w:val="20"/>
          <w:szCs w:val="20"/>
          <w:lang w:val="en-GB"/>
        </w:rPr>
        <w:t>:</w:t>
      </w:r>
      <w:r w:rsidR="002D6BF5" w:rsidRPr="007F04EF">
        <w:rPr>
          <w:rFonts w:cs="Arial"/>
          <w:sz w:val="20"/>
          <w:szCs w:val="20"/>
          <w:lang w:val="en-GB"/>
        </w:rPr>
        <w:t xml:space="preserve"> </w:t>
      </w:r>
      <w:r w:rsidRPr="007F04EF">
        <w:rPr>
          <w:rFonts w:cs="Arial"/>
          <w:sz w:val="20"/>
          <w:szCs w:val="20"/>
          <w:lang w:val="en-GB"/>
        </w:rPr>
        <w:t>Number of valid certificates</w:t>
      </w:r>
      <w:r w:rsidR="00E53BCA" w:rsidRPr="007F04EF">
        <w:rPr>
          <w:rFonts w:cs="Arial"/>
          <w:sz w:val="20"/>
          <w:szCs w:val="20"/>
          <w:lang w:val="en-GB"/>
        </w:rPr>
        <w:t xml:space="preserve"> on </w:t>
      </w:r>
      <w:r w:rsidRPr="007F04EF">
        <w:rPr>
          <w:rFonts w:cs="Arial"/>
          <w:sz w:val="20"/>
          <w:szCs w:val="20"/>
          <w:lang w:val="en-GB"/>
        </w:rPr>
        <w:t>training</w:t>
      </w:r>
      <w:r w:rsidR="00E53BCA" w:rsidRPr="007F04EF">
        <w:rPr>
          <w:rFonts w:cs="Arial"/>
          <w:sz w:val="20"/>
          <w:szCs w:val="20"/>
          <w:lang w:val="en-GB"/>
        </w:rPr>
        <w:t xml:space="preserve"> i</w:t>
      </w:r>
      <w:r w:rsidRPr="007F04EF">
        <w:rPr>
          <w:rFonts w:cs="Arial"/>
          <w:sz w:val="20"/>
          <w:szCs w:val="20"/>
          <w:lang w:val="en-GB"/>
        </w:rPr>
        <w:t>n</w:t>
      </w:r>
      <w:r w:rsidR="00E53BCA" w:rsidRPr="007F04EF">
        <w:rPr>
          <w:rFonts w:cs="Arial"/>
          <w:sz w:val="20"/>
          <w:szCs w:val="20"/>
          <w:lang w:val="en-GB"/>
        </w:rPr>
        <w:t xml:space="preserve"> </w:t>
      </w:r>
      <w:r w:rsidRPr="007F04EF">
        <w:rPr>
          <w:rFonts w:cs="Arial"/>
          <w:sz w:val="20"/>
          <w:szCs w:val="20"/>
          <w:lang w:val="en-GB"/>
        </w:rPr>
        <w:t>PPP</w:t>
      </w:r>
      <w:r w:rsidR="00582A74" w:rsidRPr="007F04EF">
        <w:rPr>
          <w:rFonts w:cs="Arial"/>
          <w:sz w:val="20"/>
          <w:szCs w:val="20"/>
          <w:lang w:val="en-GB"/>
        </w:rPr>
        <w:t>s</w:t>
      </w:r>
      <w:r w:rsidR="00E53BCA" w:rsidRPr="007F04EF">
        <w:rPr>
          <w:rFonts w:cs="Arial"/>
          <w:sz w:val="20"/>
          <w:szCs w:val="20"/>
          <w:lang w:val="en-GB"/>
        </w:rPr>
        <w:t xml:space="preserve"> per </w:t>
      </w:r>
      <w:r w:rsidRPr="007F04EF">
        <w:rPr>
          <w:rFonts w:cs="Arial"/>
          <w:sz w:val="20"/>
          <w:szCs w:val="20"/>
          <w:lang w:val="en-GB"/>
        </w:rPr>
        <w:t>year</w:t>
      </w:r>
      <w:r w:rsidR="00E53BCA" w:rsidRPr="007F04EF">
        <w:rPr>
          <w:rFonts w:cs="Arial"/>
          <w:sz w:val="20"/>
          <w:szCs w:val="20"/>
          <w:lang w:val="en-GB"/>
        </w:rPr>
        <w:t xml:space="preserve">, </w:t>
      </w:r>
      <w:r w:rsidRPr="007F04EF">
        <w:rPr>
          <w:rFonts w:cs="Arial"/>
          <w:sz w:val="20"/>
          <w:szCs w:val="20"/>
          <w:lang w:val="en-GB"/>
        </w:rPr>
        <w:t>and</w:t>
      </w:r>
      <w:r w:rsidR="00E53BCA" w:rsidRPr="007F04EF">
        <w:rPr>
          <w:rFonts w:cs="Arial"/>
          <w:sz w:val="20"/>
          <w:szCs w:val="20"/>
          <w:lang w:val="en-GB"/>
        </w:rPr>
        <w:t xml:space="preserve"> </w:t>
      </w:r>
      <w:r w:rsidRPr="007F04EF">
        <w:rPr>
          <w:rFonts w:cs="Arial"/>
          <w:sz w:val="20"/>
          <w:szCs w:val="20"/>
          <w:lang w:val="en-GB"/>
        </w:rPr>
        <w:t xml:space="preserve">proportion </w:t>
      </w:r>
      <w:r w:rsidR="00582A74" w:rsidRPr="007F04EF">
        <w:rPr>
          <w:rFonts w:cs="Arial"/>
          <w:sz w:val="20"/>
          <w:szCs w:val="20"/>
          <w:lang w:val="en-GB"/>
        </w:rPr>
        <w:t xml:space="preserve">of certificates issued to </w:t>
      </w:r>
      <w:r w:rsidR="00E53BCA" w:rsidRPr="007F04EF">
        <w:rPr>
          <w:rFonts w:cs="Arial"/>
          <w:sz w:val="20"/>
          <w:szCs w:val="20"/>
          <w:lang w:val="en-GB"/>
        </w:rPr>
        <w:t>PPP-</w:t>
      </w:r>
      <w:r w:rsidR="00582A74" w:rsidRPr="007F04EF">
        <w:rPr>
          <w:rFonts w:cs="Arial"/>
          <w:sz w:val="20"/>
          <w:szCs w:val="20"/>
          <w:lang w:val="en-GB"/>
        </w:rPr>
        <w:t>advisors,</w:t>
      </w:r>
      <w:r w:rsidR="00E53BCA" w:rsidRPr="007F04EF">
        <w:rPr>
          <w:rFonts w:cs="Arial"/>
          <w:sz w:val="20"/>
          <w:szCs w:val="20"/>
          <w:lang w:val="en-GB"/>
        </w:rPr>
        <w:t xml:space="preserve"> </w:t>
      </w:r>
      <w:r w:rsidR="00582A74" w:rsidRPr="007F04EF">
        <w:rPr>
          <w:rFonts w:cs="Arial"/>
          <w:sz w:val="20"/>
          <w:szCs w:val="20"/>
          <w:lang w:val="en-GB"/>
        </w:rPr>
        <w:t>PPP</w:t>
      </w:r>
      <w:r w:rsidR="00E53BCA" w:rsidRPr="007F04EF">
        <w:rPr>
          <w:rFonts w:cs="Arial"/>
          <w:sz w:val="20"/>
          <w:szCs w:val="20"/>
          <w:lang w:val="en-GB"/>
        </w:rPr>
        <w:t>-</w:t>
      </w:r>
      <w:proofErr w:type="gramStart"/>
      <w:r w:rsidR="00582A74" w:rsidRPr="007F04EF">
        <w:rPr>
          <w:rFonts w:cs="Arial"/>
          <w:sz w:val="20"/>
          <w:szCs w:val="20"/>
          <w:lang w:val="en-GB"/>
        </w:rPr>
        <w:t>sellers</w:t>
      </w:r>
      <w:proofErr w:type="gramEnd"/>
      <w:r w:rsidR="00582A74" w:rsidRPr="007F04EF">
        <w:rPr>
          <w:rFonts w:cs="Arial"/>
          <w:sz w:val="20"/>
          <w:szCs w:val="20"/>
          <w:lang w:val="en-GB"/>
        </w:rPr>
        <w:t xml:space="preserve"> and PPP</w:t>
      </w:r>
      <w:r w:rsidR="00E53BCA" w:rsidRPr="007F04EF">
        <w:rPr>
          <w:rFonts w:cs="Arial"/>
          <w:sz w:val="20"/>
          <w:szCs w:val="20"/>
          <w:lang w:val="en-GB"/>
        </w:rPr>
        <w:t>-</w:t>
      </w:r>
      <w:r w:rsidR="00582A74" w:rsidRPr="007F04EF">
        <w:rPr>
          <w:rFonts w:cs="Arial"/>
          <w:sz w:val="20"/>
          <w:szCs w:val="20"/>
          <w:lang w:val="en-GB"/>
        </w:rPr>
        <w:t>users</w:t>
      </w:r>
      <w:r w:rsidR="0027315A" w:rsidRPr="007F04EF">
        <w:rPr>
          <w:rStyle w:val="Sprotnaopomba-sklic"/>
          <w:rFonts w:cs="Arial"/>
          <w:sz w:val="20"/>
          <w:szCs w:val="20"/>
          <w:lang w:val="en-GB"/>
        </w:rPr>
        <w:footnoteReference w:id="17"/>
      </w:r>
      <w:r w:rsidR="00582A74" w:rsidRPr="007F04EF">
        <w:rPr>
          <w:rFonts w:cs="Arial"/>
          <w:sz w:val="20"/>
          <w:szCs w:val="20"/>
          <w:lang w:val="en-GB"/>
        </w:rPr>
        <w:t>.</w:t>
      </w:r>
      <w:bookmarkEnd w:id="72"/>
      <w:r w:rsidR="00582A74" w:rsidRPr="007F04EF">
        <w:rPr>
          <w:rFonts w:cs="Arial"/>
          <w:sz w:val="20"/>
          <w:szCs w:val="20"/>
          <w:lang w:val="en-GB"/>
        </w:rPr>
        <w:t xml:space="preserve"> </w:t>
      </w:r>
      <w:bookmarkEnd w:id="73"/>
      <w:bookmarkEnd w:id="74"/>
      <w:bookmarkEnd w:id="75"/>
    </w:p>
    <w:p w14:paraId="48C5B53E" w14:textId="77777777" w:rsidR="0062752D" w:rsidRPr="007F04EF" w:rsidRDefault="0062752D" w:rsidP="0062752D">
      <w:pPr>
        <w:rPr>
          <w:lang w:val="en-GB"/>
        </w:rPr>
      </w:pPr>
    </w:p>
    <w:tbl>
      <w:tblPr>
        <w:tblW w:w="5000" w:type="pct"/>
        <w:tblCellMar>
          <w:left w:w="70" w:type="dxa"/>
          <w:right w:w="70" w:type="dxa"/>
        </w:tblCellMar>
        <w:tblLook w:val="04A0" w:firstRow="1" w:lastRow="0" w:firstColumn="1" w:lastColumn="0" w:noHBand="0" w:noVBand="1"/>
      </w:tblPr>
      <w:tblGrid>
        <w:gridCol w:w="3155"/>
        <w:gridCol w:w="996"/>
        <w:gridCol w:w="995"/>
        <w:gridCol w:w="995"/>
        <w:gridCol w:w="995"/>
        <w:gridCol w:w="995"/>
        <w:gridCol w:w="995"/>
      </w:tblGrid>
      <w:tr w:rsidR="00015CB7" w:rsidRPr="007F04EF" w14:paraId="62D6DFDC" w14:textId="77777777" w:rsidTr="00015CB7">
        <w:trPr>
          <w:trHeight w:val="289"/>
        </w:trPr>
        <w:tc>
          <w:tcPr>
            <w:tcW w:w="1727" w:type="pct"/>
            <w:tcBorders>
              <w:top w:val="single" w:sz="4" w:space="0" w:color="auto"/>
              <w:left w:val="nil"/>
              <w:bottom w:val="single" w:sz="8" w:space="0" w:color="auto"/>
              <w:right w:val="nil"/>
            </w:tcBorders>
            <w:shd w:val="clear" w:color="auto" w:fill="auto"/>
            <w:vAlign w:val="center"/>
            <w:hideMark/>
          </w:tcPr>
          <w:p w14:paraId="3148ADFE" w14:textId="15FF0870" w:rsidR="00015CB7" w:rsidRPr="007F04EF" w:rsidRDefault="00582A74" w:rsidP="00015CB7">
            <w:pPr>
              <w:rPr>
                <w:rFonts w:eastAsia="Times New Roman" w:cs="Arial"/>
                <w:color w:val="000000"/>
                <w:lang w:val="en-GB"/>
              </w:rPr>
            </w:pPr>
            <w:r w:rsidRPr="007F04EF">
              <w:rPr>
                <w:rFonts w:eastAsia="Times New Roman" w:cs="Arial"/>
                <w:color w:val="000000"/>
                <w:lang w:val="en-GB"/>
              </w:rPr>
              <w:t>Year</w:t>
            </w:r>
          </w:p>
        </w:tc>
        <w:tc>
          <w:tcPr>
            <w:tcW w:w="545" w:type="pct"/>
            <w:tcBorders>
              <w:top w:val="single" w:sz="4" w:space="0" w:color="auto"/>
              <w:left w:val="nil"/>
              <w:bottom w:val="single" w:sz="8" w:space="0" w:color="auto"/>
              <w:right w:val="nil"/>
            </w:tcBorders>
            <w:shd w:val="clear" w:color="auto" w:fill="auto"/>
            <w:noWrap/>
            <w:vAlign w:val="center"/>
            <w:hideMark/>
          </w:tcPr>
          <w:p w14:paraId="4C47C2F6"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2017</w:t>
            </w:r>
          </w:p>
        </w:tc>
        <w:tc>
          <w:tcPr>
            <w:tcW w:w="545" w:type="pct"/>
            <w:tcBorders>
              <w:top w:val="single" w:sz="4" w:space="0" w:color="auto"/>
              <w:left w:val="nil"/>
              <w:bottom w:val="single" w:sz="8" w:space="0" w:color="auto"/>
              <w:right w:val="nil"/>
            </w:tcBorders>
            <w:shd w:val="clear" w:color="auto" w:fill="auto"/>
            <w:noWrap/>
            <w:vAlign w:val="center"/>
            <w:hideMark/>
          </w:tcPr>
          <w:p w14:paraId="780F4176"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2018</w:t>
            </w:r>
          </w:p>
        </w:tc>
        <w:tc>
          <w:tcPr>
            <w:tcW w:w="545" w:type="pct"/>
            <w:tcBorders>
              <w:top w:val="single" w:sz="4" w:space="0" w:color="auto"/>
              <w:left w:val="nil"/>
              <w:bottom w:val="single" w:sz="8" w:space="0" w:color="auto"/>
              <w:right w:val="nil"/>
            </w:tcBorders>
            <w:shd w:val="clear" w:color="auto" w:fill="auto"/>
            <w:noWrap/>
            <w:vAlign w:val="center"/>
            <w:hideMark/>
          </w:tcPr>
          <w:p w14:paraId="7C4F53DC"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2019</w:t>
            </w:r>
          </w:p>
        </w:tc>
        <w:tc>
          <w:tcPr>
            <w:tcW w:w="545" w:type="pct"/>
            <w:tcBorders>
              <w:top w:val="single" w:sz="4" w:space="0" w:color="auto"/>
              <w:left w:val="nil"/>
              <w:bottom w:val="single" w:sz="8" w:space="0" w:color="auto"/>
              <w:right w:val="nil"/>
            </w:tcBorders>
            <w:shd w:val="clear" w:color="auto" w:fill="auto"/>
            <w:noWrap/>
            <w:vAlign w:val="center"/>
            <w:hideMark/>
          </w:tcPr>
          <w:p w14:paraId="0A5112D7"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2020</w:t>
            </w:r>
          </w:p>
        </w:tc>
        <w:tc>
          <w:tcPr>
            <w:tcW w:w="545" w:type="pct"/>
            <w:tcBorders>
              <w:top w:val="single" w:sz="4" w:space="0" w:color="auto"/>
              <w:left w:val="nil"/>
              <w:bottom w:val="single" w:sz="8" w:space="0" w:color="auto"/>
              <w:right w:val="nil"/>
            </w:tcBorders>
            <w:shd w:val="clear" w:color="auto" w:fill="auto"/>
            <w:noWrap/>
            <w:vAlign w:val="center"/>
            <w:hideMark/>
          </w:tcPr>
          <w:p w14:paraId="634C7594"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2021</w:t>
            </w:r>
          </w:p>
        </w:tc>
        <w:tc>
          <w:tcPr>
            <w:tcW w:w="545" w:type="pct"/>
            <w:tcBorders>
              <w:top w:val="single" w:sz="4" w:space="0" w:color="auto"/>
              <w:left w:val="nil"/>
              <w:bottom w:val="single" w:sz="8" w:space="0" w:color="auto"/>
              <w:right w:val="nil"/>
            </w:tcBorders>
            <w:shd w:val="clear" w:color="auto" w:fill="auto"/>
            <w:noWrap/>
            <w:vAlign w:val="center"/>
            <w:hideMark/>
          </w:tcPr>
          <w:p w14:paraId="0747A6CE"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2022</w:t>
            </w:r>
          </w:p>
        </w:tc>
      </w:tr>
      <w:tr w:rsidR="00015CB7" w:rsidRPr="007F04EF" w14:paraId="7E13F3F2"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6856EF82" w14:textId="6A04A8DA" w:rsidR="00015CB7" w:rsidRPr="007F04EF" w:rsidRDefault="00582A74" w:rsidP="00015CB7">
            <w:pPr>
              <w:rPr>
                <w:rFonts w:eastAsia="Times New Roman" w:cs="Arial"/>
                <w:color w:val="000000"/>
                <w:lang w:val="en-GB"/>
              </w:rPr>
            </w:pPr>
            <w:r w:rsidRPr="007F04EF">
              <w:rPr>
                <w:rFonts w:eastAsia="Times New Roman" w:cs="Arial"/>
                <w:color w:val="000000"/>
                <w:lang w:val="en-GB"/>
              </w:rPr>
              <w:t>No. of valid certificates</w:t>
            </w:r>
          </w:p>
        </w:tc>
        <w:tc>
          <w:tcPr>
            <w:tcW w:w="545" w:type="pct"/>
            <w:tcBorders>
              <w:top w:val="nil"/>
              <w:left w:val="nil"/>
              <w:bottom w:val="single" w:sz="8" w:space="0" w:color="auto"/>
              <w:right w:val="nil"/>
            </w:tcBorders>
            <w:shd w:val="clear" w:color="auto" w:fill="auto"/>
            <w:noWrap/>
            <w:vAlign w:val="center"/>
            <w:hideMark/>
          </w:tcPr>
          <w:p w14:paraId="6A2F4057" w14:textId="069C7A3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58</w:t>
            </w:r>
            <w:r w:rsidR="00E53BCA" w:rsidRPr="007F04EF">
              <w:rPr>
                <w:rFonts w:eastAsia="Times New Roman" w:cs="Arial"/>
                <w:color w:val="000000"/>
                <w:lang w:val="en-GB"/>
              </w:rPr>
              <w:t>,</w:t>
            </w:r>
            <w:r w:rsidRPr="007F04EF">
              <w:rPr>
                <w:rFonts w:eastAsia="Times New Roman" w:cs="Arial"/>
                <w:color w:val="000000"/>
                <w:lang w:val="en-GB"/>
              </w:rPr>
              <w:t>795</w:t>
            </w:r>
          </w:p>
        </w:tc>
        <w:tc>
          <w:tcPr>
            <w:tcW w:w="545" w:type="pct"/>
            <w:tcBorders>
              <w:top w:val="nil"/>
              <w:left w:val="nil"/>
              <w:bottom w:val="single" w:sz="8" w:space="0" w:color="auto"/>
              <w:right w:val="nil"/>
            </w:tcBorders>
            <w:shd w:val="clear" w:color="auto" w:fill="auto"/>
            <w:noWrap/>
            <w:vAlign w:val="center"/>
            <w:hideMark/>
          </w:tcPr>
          <w:p w14:paraId="31C43BF2" w14:textId="7510261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56</w:t>
            </w:r>
            <w:r w:rsidR="00E53BCA" w:rsidRPr="007F04EF">
              <w:rPr>
                <w:rFonts w:eastAsia="Times New Roman" w:cs="Arial"/>
                <w:color w:val="000000"/>
                <w:lang w:val="en-GB"/>
              </w:rPr>
              <w:t>,</w:t>
            </w:r>
            <w:r w:rsidRPr="007F04EF">
              <w:rPr>
                <w:rFonts w:eastAsia="Times New Roman" w:cs="Arial"/>
                <w:color w:val="000000"/>
                <w:lang w:val="en-GB"/>
              </w:rPr>
              <w:t>908</w:t>
            </w:r>
          </w:p>
        </w:tc>
        <w:tc>
          <w:tcPr>
            <w:tcW w:w="545" w:type="pct"/>
            <w:tcBorders>
              <w:top w:val="nil"/>
              <w:left w:val="nil"/>
              <w:bottom w:val="single" w:sz="8" w:space="0" w:color="auto"/>
              <w:right w:val="nil"/>
            </w:tcBorders>
            <w:shd w:val="clear" w:color="auto" w:fill="auto"/>
            <w:noWrap/>
            <w:vAlign w:val="center"/>
            <w:hideMark/>
          </w:tcPr>
          <w:p w14:paraId="503C93CC" w14:textId="3F5F86F1"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54</w:t>
            </w:r>
            <w:r w:rsidR="00E53BCA" w:rsidRPr="007F04EF">
              <w:rPr>
                <w:rFonts w:eastAsia="Times New Roman" w:cs="Arial"/>
                <w:color w:val="000000"/>
                <w:lang w:val="en-GB"/>
              </w:rPr>
              <w:t>,</w:t>
            </w:r>
            <w:r w:rsidRPr="007F04EF">
              <w:rPr>
                <w:rFonts w:eastAsia="Times New Roman" w:cs="Arial"/>
                <w:color w:val="000000"/>
                <w:lang w:val="en-GB"/>
              </w:rPr>
              <w:t>934</w:t>
            </w:r>
          </w:p>
        </w:tc>
        <w:tc>
          <w:tcPr>
            <w:tcW w:w="545" w:type="pct"/>
            <w:tcBorders>
              <w:top w:val="nil"/>
              <w:left w:val="nil"/>
              <w:bottom w:val="single" w:sz="8" w:space="0" w:color="auto"/>
              <w:right w:val="nil"/>
            </w:tcBorders>
            <w:shd w:val="clear" w:color="auto" w:fill="auto"/>
            <w:noWrap/>
            <w:vAlign w:val="center"/>
            <w:hideMark/>
          </w:tcPr>
          <w:p w14:paraId="3EFECDA1" w14:textId="7F4A83D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54</w:t>
            </w:r>
            <w:r w:rsidR="00E53BCA" w:rsidRPr="007F04EF">
              <w:rPr>
                <w:rFonts w:eastAsia="Times New Roman" w:cs="Arial"/>
                <w:color w:val="000000"/>
                <w:lang w:val="en-GB"/>
              </w:rPr>
              <w:t>,</w:t>
            </w:r>
            <w:r w:rsidRPr="007F04EF">
              <w:rPr>
                <w:rFonts w:eastAsia="Times New Roman" w:cs="Arial"/>
                <w:color w:val="000000"/>
                <w:lang w:val="en-GB"/>
              </w:rPr>
              <w:t>161</w:t>
            </w:r>
          </w:p>
        </w:tc>
        <w:tc>
          <w:tcPr>
            <w:tcW w:w="545" w:type="pct"/>
            <w:tcBorders>
              <w:top w:val="nil"/>
              <w:left w:val="nil"/>
              <w:bottom w:val="single" w:sz="8" w:space="0" w:color="auto"/>
              <w:right w:val="nil"/>
            </w:tcBorders>
            <w:shd w:val="clear" w:color="auto" w:fill="auto"/>
            <w:noWrap/>
            <w:vAlign w:val="center"/>
            <w:hideMark/>
          </w:tcPr>
          <w:p w14:paraId="50236F21" w14:textId="76C54CC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54</w:t>
            </w:r>
            <w:r w:rsidR="00E53BCA" w:rsidRPr="007F04EF">
              <w:rPr>
                <w:rFonts w:eastAsia="Times New Roman" w:cs="Arial"/>
                <w:color w:val="000000"/>
                <w:lang w:val="en-GB"/>
              </w:rPr>
              <w:t>,</w:t>
            </w:r>
            <w:r w:rsidRPr="007F04EF">
              <w:rPr>
                <w:rFonts w:eastAsia="Times New Roman" w:cs="Arial"/>
                <w:color w:val="000000"/>
                <w:lang w:val="en-GB"/>
              </w:rPr>
              <w:t>754</w:t>
            </w:r>
          </w:p>
        </w:tc>
        <w:tc>
          <w:tcPr>
            <w:tcW w:w="545" w:type="pct"/>
            <w:tcBorders>
              <w:top w:val="nil"/>
              <w:left w:val="nil"/>
              <w:bottom w:val="single" w:sz="8" w:space="0" w:color="auto"/>
              <w:right w:val="nil"/>
            </w:tcBorders>
            <w:shd w:val="clear" w:color="auto" w:fill="auto"/>
            <w:noWrap/>
            <w:vAlign w:val="center"/>
            <w:hideMark/>
          </w:tcPr>
          <w:p w14:paraId="7A6B366D" w14:textId="5AB2066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52</w:t>
            </w:r>
            <w:r w:rsidR="00E53BCA" w:rsidRPr="007F04EF">
              <w:rPr>
                <w:rFonts w:eastAsia="Times New Roman" w:cs="Arial"/>
                <w:color w:val="000000"/>
                <w:lang w:val="en-GB"/>
              </w:rPr>
              <w:t>,</w:t>
            </w:r>
            <w:r w:rsidRPr="007F04EF">
              <w:rPr>
                <w:rFonts w:eastAsia="Times New Roman" w:cs="Arial"/>
                <w:color w:val="000000"/>
                <w:lang w:val="en-GB"/>
              </w:rPr>
              <w:t>789</w:t>
            </w:r>
          </w:p>
        </w:tc>
      </w:tr>
      <w:tr w:rsidR="00015CB7" w:rsidRPr="007F04EF" w14:paraId="1A6F4907"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E8290F6" w14:textId="63BBEF6C" w:rsidR="00015CB7" w:rsidRPr="007F04EF" w:rsidRDefault="00582A74" w:rsidP="00015CB7">
            <w:pPr>
              <w:rPr>
                <w:rFonts w:eastAsia="Times New Roman" w:cs="Arial"/>
                <w:color w:val="000000"/>
                <w:lang w:val="en-GB"/>
              </w:rPr>
            </w:pPr>
            <w:r w:rsidRPr="007F04EF">
              <w:rPr>
                <w:rFonts w:eastAsia="Times New Roman" w:cs="Arial"/>
                <w:color w:val="000000"/>
                <w:lang w:val="en-GB"/>
              </w:rPr>
              <w:t>Proportion of PPP</w:t>
            </w:r>
            <w:r w:rsidR="00E53BCA" w:rsidRPr="007F04EF">
              <w:rPr>
                <w:rFonts w:eastAsia="Times New Roman" w:cs="Arial"/>
                <w:color w:val="000000"/>
                <w:lang w:val="en-GB"/>
              </w:rPr>
              <w:t>-advisor</w:t>
            </w:r>
            <w:r w:rsidR="00CC3017" w:rsidRPr="007F04EF">
              <w:rPr>
                <w:rFonts w:eastAsia="Times New Roman" w:cs="Arial"/>
                <w:color w:val="000000"/>
                <w:lang w:val="en-GB"/>
              </w:rPr>
              <w:t>s</w:t>
            </w:r>
          </w:p>
        </w:tc>
        <w:tc>
          <w:tcPr>
            <w:tcW w:w="545" w:type="pct"/>
            <w:tcBorders>
              <w:top w:val="nil"/>
              <w:left w:val="nil"/>
              <w:bottom w:val="single" w:sz="8" w:space="0" w:color="auto"/>
              <w:right w:val="nil"/>
            </w:tcBorders>
            <w:shd w:val="clear" w:color="auto" w:fill="auto"/>
            <w:noWrap/>
            <w:vAlign w:val="center"/>
            <w:hideMark/>
          </w:tcPr>
          <w:p w14:paraId="5200058F" w14:textId="3D88EB4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0</w:t>
            </w:r>
            <w:r w:rsidR="00E53BCA" w:rsidRPr="007F04EF">
              <w:rPr>
                <w:rFonts w:eastAsia="Times New Roman" w:cs="Arial"/>
                <w:color w:val="000000"/>
                <w:lang w:val="en-GB"/>
              </w:rPr>
              <w:t>.</w:t>
            </w:r>
            <w:r w:rsidRPr="007F04EF">
              <w:rPr>
                <w:rFonts w:eastAsia="Times New Roman" w:cs="Arial"/>
                <w:color w:val="000000"/>
                <w:lang w:val="en-GB"/>
              </w:rPr>
              <w:t>91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65E210C5" w14:textId="5428619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0</w:t>
            </w:r>
            <w:r w:rsidR="00E53BCA" w:rsidRPr="007F04EF">
              <w:rPr>
                <w:rFonts w:eastAsia="Times New Roman" w:cs="Arial"/>
                <w:color w:val="000000"/>
                <w:lang w:val="en-GB"/>
              </w:rPr>
              <w:t>.</w:t>
            </w:r>
            <w:r w:rsidRPr="007F04EF">
              <w:rPr>
                <w:rFonts w:eastAsia="Times New Roman" w:cs="Arial"/>
                <w:color w:val="000000"/>
                <w:lang w:val="en-GB"/>
              </w:rPr>
              <w:t>96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2CAA3CE5" w14:textId="32EA9C1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9EEE32D" w14:textId="2ABDEFE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01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7C8E01D9" w14:textId="145D13A2"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02</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6EE9CD20" w14:textId="58AA8390"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07</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r w:rsidR="00015CB7" w:rsidRPr="007F04EF" w14:paraId="292DDF5B"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3A514385" w14:textId="25FE9387" w:rsidR="00015CB7" w:rsidRPr="007F04EF" w:rsidRDefault="00582A74" w:rsidP="00015CB7">
            <w:pPr>
              <w:rPr>
                <w:rFonts w:eastAsia="Times New Roman" w:cs="Arial"/>
                <w:color w:val="000000"/>
                <w:lang w:val="en-GB"/>
              </w:rPr>
            </w:pPr>
            <w:r w:rsidRPr="007F04EF">
              <w:rPr>
                <w:rFonts w:eastAsia="Times New Roman" w:cs="Arial"/>
                <w:color w:val="000000"/>
                <w:lang w:val="en-GB"/>
              </w:rPr>
              <w:t>Proportion of PPP</w:t>
            </w:r>
            <w:r w:rsidR="00E53BCA" w:rsidRPr="007F04EF">
              <w:rPr>
                <w:rFonts w:eastAsia="Times New Roman" w:cs="Arial"/>
                <w:color w:val="000000"/>
                <w:lang w:val="en-GB"/>
              </w:rPr>
              <w:t>-</w:t>
            </w:r>
            <w:r w:rsidRPr="007F04EF">
              <w:rPr>
                <w:rFonts w:eastAsia="Times New Roman" w:cs="Arial"/>
                <w:color w:val="000000"/>
                <w:lang w:val="en-GB"/>
              </w:rPr>
              <w:t>sellers</w:t>
            </w:r>
          </w:p>
        </w:tc>
        <w:tc>
          <w:tcPr>
            <w:tcW w:w="545" w:type="pct"/>
            <w:tcBorders>
              <w:top w:val="nil"/>
              <w:left w:val="nil"/>
              <w:bottom w:val="single" w:sz="8" w:space="0" w:color="auto"/>
              <w:right w:val="nil"/>
            </w:tcBorders>
            <w:shd w:val="clear" w:color="auto" w:fill="auto"/>
            <w:noWrap/>
            <w:vAlign w:val="center"/>
            <w:hideMark/>
          </w:tcPr>
          <w:p w14:paraId="5A982513" w14:textId="50D6B6F6"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28</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9D328FD" w14:textId="22E83372"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34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54D838A4" w14:textId="48B5354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39</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0601D767" w14:textId="7EDBE64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44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0FB14C82" w14:textId="1B52B6CD"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52</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FD0D2A6" w14:textId="3ADD18CD"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44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r w:rsidR="00015CB7" w:rsidRPr="007F04EF" w14:paraId="5FCBB054"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FDE709C" w14:textId="52DE46EC" w:rsidR="00015CB7" w:rsidRPr="007F04EF" w:rsidRDefault="00582A74" w:rsidP="00015CB7">
            <w:pPr>
              <w:rPr>
                <w:rFonts w:eastAsia="Times New Roman" w:cs="Arial"/>
                <w:color w:val="000000"/>
                <w:lang w:val="en-GB"/>
              </w:rPr>
            </w:pPr>
            <w:r w:rsidRPr="007F04EF">
              <w:rPr>
                <w:rFonts w:eastAsia="Times New Roman" w:cs="Arial"/>
                <w:color w:val="000000"/>
                <w:lang w:val="en-GB"/>
              </w:rPr>
              <w:t>Proportion of PPP</w:t>
            </w:r>
            <w:r w:rsidR="00E53BCA" w:rsidRPr="007F04EF">
              <w:rPr>
                <w:rFonts w:eastAsia="Times New Roman" w:cs="Arial"/>
                <w:color w:val="000000"/>
                <w:lang w:val="en-GB"/>
              </w:rPr>
              <w:t>-</w:t>
            </w:r>
            <w:r w:rsidRPr="007F04EF">
              <w:rPr>
                <w:rFonts w:eastAsia="Times New Roman" w:cs="Arial"/>
                <w:color w:val="000000"/>
                <w:lang w:val="en-GB"/>
              </w:rPr>
              <w:t>users</w:t>
            </w:r>
          </w:p>
        </w:tc>
        <w:tc>
          <w:tcPr>
            <w:tcW w:w="545" w:type="pct"/>
            <w:tcBorders>
              <w:top w:val="nil"/>
              <w:left w:val="nil"/>
              <w:bottom w:val="single" w:sz="8" w:space="0" w:color="auto"/>
              <w:right w:val="nil"/>
            </w:tcBorders>
            <w:shd w:val="clear" w:color="auto" w:fill="auto"/>
            <w:noWrap/>
            <w:vAlign w:val="center"/>
            <w:hideMark/>
          </w:tcPr>
          <w:p w14:paraId="7393069B" w14:textId="4D2D821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81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6A7164C3" w14:textId="381D961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71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B3381CE" w14:textId="16C0097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61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22078412" w14:textId="09E14A4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55</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5625DEA" w14:textId="3D305F76"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45</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79B99666" w14:textId="1DB2A5C4"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49</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bl>
    <w:p w14:paraId="12F2B066" w14:textId="77777777" w:rsidR="002D6BF5" w:rsidRPr="007F04EF" w:rsidRDefault="002D6BF5" w:rsidP="002D6BF5">
      <w:pPr>
        <w:spacing w:before="80" w:after="80" w:line="220" w:lineRule="atLeast"/>
        <w:rPr>
          <w:rFonts w:eastAsia="Times New Roman" w:cs="Arial"/>
          <w:lang w:val="en-GB"/>
        </w:rPr>
      </w:pPr>
    </w:p>
    <w:p w14:paraId="26219E92" w14:textId="15B822F3" w:rsidR="00582A74" w:rsidRPr="007F04EF" w:rsidRDefault="00582A74" w:rsidP="00E53BCA">
      <w:pPr>
        <w:jc w:val="both"/>
        <w:rPr>
          <w:lang w:val="en-GB"/>
        </w:rPr>
      </w:pPr>
      <w:r w:rsidRPr="007F04EF">
        <w:rPr>
          <w:lang w:val="en-GB"/>
        </w:rPr>
        <w:t xml:space="preserve">The number of valid </w:t>
      </w:r>
      <w:r w:rsidR="008C1374" w:rsidRPr="007F04EF">
        <w:rPr>
          <w:lang w:val="en-GB"/>
        </w:rPr>
        <w:t xml:space="preserve">training </w:t>
      </w:r>
      <w:r w:rsidRPr="007F04EF">
        <w:rPr>
          <w:lang w:val="en-GB"/>
        </w:rPr>
        <w:t xml:space="preserve">certificates is </w:t>
      </w:r>
      <w:r w:rsidR="00E53BCA" w:rsidRPr="007F04EF">
        <w:rPr>
          <w:lang w:val="en-GB"/>
        </w:rPr>
        <w:t>o</w:t>
      </w:r>
      <w:r w:rsidRPr="007F04EF">
        <w:rPr>
          <w:lang w:val="en-GB"/>
        </w:rPr>
        <w:t>n a downward trend</w:t>
      </w:r>
      <w:r w:rsidR="00E53BCA" w:rsidRPr="007F04EF">
        <w:rPr>
          <w:lang w:val="en-GB"/>
        </w:rPr>
        <w:t>. I</w:t>
      </w:r>
      <w:r w:rsidRPr="007F04EF">
        <w:rPr>
          <w:lang w:val="en-GB"/>
        </w:rPr>
        <w:t>n 2022</w:t>
      </w:r>
      <w:r w:rsidR="00E53BCA" w:rsidRPr="007F04EF">
        <w:rPr>
          <w:lang w:val="en-GB"/>
        </w:rPr>
        <w:t xml:space="preserve">, </w:t>
      </w:r>
      <w:r w:rsidRPr="007F04EF">
        <w:rPr>
          <w:lang w:val="en-GB"/>
        </w:rPr>
        <w:t>there were around 10</w:t>
      </w:r>
      <w:r w:rsidR="00E53BCA" w:rsidRPr="007F04EF">
        <w:rPr>
          <w:lang w:val="en-GB"/>
        </w:rPr>
        <w:t xml:space="preserve"> </w:t>
      </w:r>
      <w:r w:rsidRPr="007F04EF">
        <w:rPr>
          <w:lang w:val="en-GB"/>
        </w:rPr>
        <w:t>% fewer valid certificates entered in the Registry</w:t>
      </w:r>
      <w:r w:rsidR="00E53BCA" w:rsidRPr="007F04EF">
        <w:rPr>
          <w:lang w:val="en-GB"/>
        </w:rPr>
        <w:t xml:space="preserve">, as </w:t>
      </w:r>
      <w:r w:rsidRPr="007F04EF">
        <w:rPr>
          <w:lang w:val="en-GB"/>
        </w:rPr>
        <w:t xml:space="preserve">compared to 2017, mainly due to </w:t>
      </w:r>
      <w:proofErr w:type="gramStart"/>
      <w:r w:rsidR="00E53BCA" w:rsidRPr="007F04EF">
        <w:rPr>
          <w:lang w:val="en-GB"/>
        </w:rPr>
        <w:t xml:space="preserve">a </w:t>
      </w:r>
      <w:r w:rsidRPr="007F04EF">
        <w:rPr>
          <w:lang w:val="en-GB"/>
        </w:rPr>
        <w:t>dec</w:t>
      </w:r>
      <w:r w:rsidR="00E53BCA" w:rsidRPr="007F04EF">
        <w:rPr>
          <w:lang w:val="en-GB"/>
        </w:rPr>
        <w:t xml:space="preserve">reased </w:t>
      </w:r>
      <w:r w:rsidRPr="007F04EF">
        <w:rPr>
          <w:lang w:val="en-GB"/>
        </w:rPr>
        <w:t>number of</w:t>
      </w:r>
      <w:proofErr w:type="gramEnd"/>
      <w:r w:rsidRPr="007F04EF">
        <w:rPr>
          <w:lang w:val="en-GB"/>
        </w:rPr>
        <w:t xml:space="preserve"> certificates for PPP</w:t>
      </w:r>
      <w:r w:rsidR="00B62278" w:rsidRPr="007F04EF">
        <w:rPr>
          <w:lang w:val="en-GB"/>
        </w:rPr>
        <w:t>-</w:t>
      </w:r>
      <w:r w:rsidRPr="007F04EF">
        <w:rPr>
          <w:lang w:val="en-GB"/>
        </w:rPr>
        <w:t xml:space="preserve">users. This trend is comparable to the declining trend in the number of </w:t>
      </w:r>
      <w:r w:rsidR="00CC3017" w:rsidRPr="007F04EF">
        <w:rPr>
          <w:lang w:val="en-GB"/>
        </w:rPr>
        <w:t>inspected PPP</w:t>
      </w:r>
      <w:r w:rsidR="00B62278" w:rsidRPr="007F04EF">
        <w:rPr>
          <w:lang w:val="en-GB"/>
        </w:rPr>
        <w:t>-</w:t>
      </w:r>
      <w:r w:rsidR="00CC3017" w:rsidRPr="007F04EF">
        <w:rPr>
          <w:lang w:val="en-GB"/>
        </w:rPr>
        <w:t>application equipment</w:t>
      </w:r>
      <w:r w:rsidRPr="007F04EF">
        <w:rPr>
          <w:lang w:val="en-GB"/>
        </w:rPr>
        <w:t>, which is also around 10</w:t>
      </w:r>
      <w:r w:rsidR="00B62278" w:rsidRPr="007F04EF">
        <w:rPr>
          <w:lang w:val="en-GB"/>
        </w:rPr>
        <w:t xml:space="preserve"> </w:t>
      </w:r>
      <w:r w:rsidRPr="007F04EF">
        <w:rPr>
          <w:lang w:val="en-GB"/>
        </w:rPr>
        <w:t>%</w:t>
      </w:r>
      <w:r w:rsidR="00CC3017" w:rsidRPr="007F04EF">
        <w:rPr>
          <w:lang w:val="en-GB"/>
        </w:rPr>
        <w:t>.</w:t>
      </w:r>
      <w:r w:rsidRPr="007F04EF">
        <w:rPr>
          <w:lang w:val="en-GB"/>
        </w:rPr>
        <w:t xml:space="preserve"> </w:t>
      </w:r>
      <w:r w:rsidR="00CC3017" w:rsidRPr="007F04EF">
        <w:rPr>
          <w:lang w:val="en-GB"/>
        </w:rPr>
        <w:t>This</w:t>
      </w:r>
      <w:r w:rsidRPr="007F04EF">
        <w:rPr>
          <w:lang w:val="en-GB"/>
        </w:rPr>
        <w:t xml:space="preserve"> could mean a declining trend in the number of farmers in</w:t>
      </w:r>
      <w:r w:rsidR="00B62278" w:rsidRPr="007F04EF">
        <w:rPr>
          <w:lang w:val="en-GB"/>
        </w:rPr>
        <w:t xml:space="preserve"> </w:t>
      </w:r>
      <w:r w:rsidRPr="007F04EF">
        <w:rPr>
          <w:lang w:val="en-GB"/>
        </w:rPr>
        <w:t>intensive agricultural production.</w:t>
      </w:r>
    </w:p>
    <w:p w14:paraId="7BDEC4A8" w14:textId="77777777" w:rsidR="002D6BF5" w:rsidRPr="007F04EF" w:rsidRDefault="002D6BF5" w:rsidP="002D6BF5">
      <w:pPr>
        <w:spacing w:before="80" w:after="80" w:line="220" w:lineRule="atLeast"/>
        <w:rPr>
          <w:rFonts w:eastAsia="Times New Roman" w:cs="Arial"/>
          <w:lang w:val="en-GB"/>
        </w:rPr>
      </w:pPr>
    </w:p>
    <w:p w14:paraId="2C2B57CB" w14:textId="77777777" w:rsidR="002D6BF5" w:rsidRPr="007F04EF" w:rsidRDefault="002D6BF5" w:rsidP="002D6BF5">
      <w:pPr>
        <w:spacing w:before="80" w:after="80" w:line="220" w:lineRule="atLeast"/>
        <w:jc w:val="center"/>
        <w:rPr>
          <w:rFonts w:eastAsia="Times New Roman" w:cs="Arial"/>
          <w:lang w:val="en-GB"/>
        </w:rPr>
      </w:pPr>
      <w:r w:rsidRPr="007F04EF">
        <w:rPr>
          <w:noProof/>
          <w:lang w:val="en-GB"/>
        </w:rPr>
        <w:lastRenderedPageBreak/>
        <w:drawing>
          <wp:inline distT="0" distB="0" distL="0" distR="0" wp14:anchorId="29965A26" wp14:editId="728CF57C">
            <wp:extent cx="4572000" cy="2743200"/>
            <wp:effectExtent l="0" t="0" r="0" b="0"/>
            <wp:docPr id="4" name="Grafikon 4">
              <a:extLst xmlns:a="http://schemas.openxmlformats.org/drawingml/2006/main">
                <a:ext uri="{FF2B5EF4-FFF2-40B4-BE49-F238E27FC236}">
                  <a16:creationId xmlns:a16="http://schemas.microsoft.com/office/drawing/2014/main" id="{8CE0201E-2D75-35F7-9BB1-9BDAD6100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27F21D" w14:textId="4A5F457F" w:rsidR="002D6BF5" w:rsidRPr="007F04EF" w:rsidRDefault="00CC3017" w:rsidP="005F009C">
      <w:pPr>
        <w:pStyle w:val="Napis"/>
        <w:jc w:val="center"/>
        <w:rPr>
          <w:rFonts w:cs="Arial"/>
          <w:sz w:val="20"/>
          <w:szCs w:val="20"/>
          <w:lang w:val="en-GB"/>
        </w:rPr>
      </w:pPr>
      <w:bookmarkStart w:id="76" w:name="_Toc161658230"/>
      <w:r w:rsidRPr="007F04EF">
        <w:rPr>
          <w:rFonts w:cs="Arial"/>
          <w:sz w:val="20"/>
          <w:szCs w:val="20"/>
          <w:lang w:val="en-GB"/>
        </w:rPr>
        <w:t>Graph</w:t>
      </w:r>
      <w:r w:rsidR="005F009C" w:rsidRPr="007F04EF">
        <w:rPr>
          <w:rFonts w:cs="Arial"/>
          <w:sz w:val="20"/>
          <w:szCs w:val="20"/>
          <w:lang w:val="en-GB"/>
        </w:rPr>
        <w:t xml:space="preserve"> </w:t>
      </w:r>
      <w:r w:rsidR="005F009C" w:rsidRPr="007F04EF">
        <w:rPr>
          <w:rFonts w:cs="Arial"/>
          <w:sz w:val="20"/>
          <w:szCs w:val="20"/>
          <w:lang w:val="en-GB"/>
        </w:rPr>
        <w:fldChar w:fldCharType="begin"/>
      </w:r>
      <w:r w:rsidR="005F009C" w:rsidRPr="007F04EF">
        <w:rPr>
          <w:rFonts w:cs="Arial"/>
          <w:sz w:val="20"/>
          <w:szCs w:val="20"/>
          <w:lang w:val="en-GB"/>
        </w:rPr>
        <w:instrText xml:space="preserve"> SEQ Slika \* ARABIC </w:instrText>
      </w:r>
      <w:r w:rsidR="005F009C" w:rsidRPr="007F04EF">
        <w:rPr>
          <w:rFonts w:cs="Arial"/>
          <w:sz w:val="20"/>
          <w:szCs w:val="20"/>
          <w:lang w:val="en-GB"/>
        </w:rPr>
        <w:fldChar w:fldCharType="separate"/>
      </w:r>
      <w:r w:rsidR="001A6882" w:rsidRPr="007F04EF">
        <w:rPr>
          <w:rFonts w:cs="Arial"/>
          <w:sz w:val="20"/>
          <w:szCs w:val="20"/>
          <w:lang w:val="en-GB"/>
        </w:rPr>
        <w:t>6</w:t>
      </w:r>
      <w:r w:rsidR="005F009C" w:rsidRPr="007F04EF">
        <w:rPr>
          <w:rFonts w:cs="Arial"/>
          <w:sz w:val="20"/>
          <w:szCs w:val="20"/>
          <w:lang w:val="en-GB"/>
        </w:rPr>
        <w:fldChar w:fldCharType="end"/>
      </w:r>
      <w:r w:rsidR="002D6BF5" w:rsidRPr="007F04EF">
        <w:rPr>
          <w:rFonts w:cs="Arial"/>
          <w:sz w:val="20"/>
          <w:szCs w:val="20"/>
          <w:lang w:val="en-GB"/>
        </w:rPr>
        <w:t xml:space="preserve">: </w:t>
      </w:r>
      <w:r w:rsidR="002172BB" w:rsidRPr="007F04EF">
        <w:rPr>
          <w:rFonts w:cs="Arial"/>
          <w:sz w:val="20"/>
          <w:szCs w:val="20"/>
          <w:lang w:val="en-GB"/>
        </w:rPr>
        <w:t>D</w:t>
      </w:r>
      <w:r w:rsidRPr="007F04EF">
        <w:rPr>
          <w:rFonts w:cs="Arial"/>
          <w:sz w:val="20"/>
          <w:szCs w:val="20"/>
          <w:lang w:val="en-GB"/>
        </w:rPr>
        <w:t xml:space="preserve">eclining trend in numbers of valid </w:t>
      </w:r>
      <w:r w:rsidR="00D474D8" w:rsidRPr="007F04EF">
        <w:rPr>
          <w:rFonts w:cs="Arial"/>
          <w:sz w:val="20"/>
          <w:szCs w:val="20"/>
          <w:lang w:val="en-GB"/>
        </w:rPr>
        <w:t xml:space="preserve">training </w:t>
      </w:r>
      <w:r w:rsidRPr="007F04EF">
        <w:rPr>
          <w:rFonts w:cs="Arial"/>
          <w:sz w:val="20"/>
          <w:szCs w:val="20"/>
          <w:lang w:val="en-GB"/>
        </w:rPr>
        <w:t>certificates</w:t>
      </w:r>
      <w:bookmarkEnd w:id="76"/>
    </w:p>
    <w:p w14:paraId="23F32DAA" w14:textId="77777777" w:rsidR="00B62278" w:rsidRPr="007F04EF" w:rsidRDefault="00B62278" w:rsidP="002D6BF5">
      <w:pPr>
        <w:pStyle w:val="Napis"/>
        <w:rPr>
          <w:rFonts w:cs="Arial"/>
          <w:i w:val="0"/>
          <w:iCs w:val="0"/>
          <w:color w:val="auto"/>
          <w:sz w:val="22"/>
          <w:szCs w:val="22"/>
          <w:lang w:val="en-GB"/>
        </w:rPr>
      </w:pPr>
    </w:p>
    <w:p w14:paraId="7C194BCE" w14:textId="77777777" w:rsidR="00B62278" w:rsidRPr="007F04EF" w:rsidRDefault="00B62278" w:rsidP="002D6BF5">
      <w:pPr>
        <w:pStyle w:val="Napis"/>
        <w:rPr>
          <w:rFonts w:cs="Arial"/>
          <w:i w:val="0"/>
          <w:iCs w:val="0"/>
          <w:color w:val="auto"/>
          <w:sz w:val="22"/>
          <w:szCs w:val="22"/>
          <w:lang w:val="en-GB"/>
        </w:rPr>
      </w:pPr>
    </w:p>
    <w:p w14:paraId="49802477" w14:textId="0DD8626A" w:rsidR="002D6BF5" w:rsidRPr="007F04EF" w:rsidRDefault="002172BB" w:rsidP="00B62278">
      <w:pPr>
        <w:pStyle w:val="Napis"/>
        <w:jc w:val="both"/>
        <w:rPr>
          <w:rFonts w:cs="Arial"/>
          <w:i w:val="0"/>
          <w:iCs w:val="0"/>
          <w:color w:val="auto"/>
          <w:sz w:val="22"/>
          <w:szCs w:val="22"/>
          <w:lang w:val="en-GB"/>
        </w:rPr>
      </w:pPr>
      <w:r w:rsidRPr="007F04EF">
        <w:rPr>
          <w:rFonts w:cs="Arial"/>
          <w:i w:val="0"/>
          <w:iCs w:val="0"/>
          <w:color w:val="auto"/>
          <w:sz w:val="22"/>
          <w:szCs w:val="22"/>
          <w:lang w:val="en-GB"/>
        </w:rPr>
        <w:t xml:space="preserve">Certificates have a </w:t>
      </w:r>
      <w:r w:rsidR="00493427" w:rsidRPr="007F04EF">
        <w:rPr>
          <w:rFonts w:cs="Arial"/>
          <w:i w:val="0"/>
          <w:iCs w:val="0"/>
          <w:color w:val="auto"/>
          <w:sz w:val="22"/>
          <w:szCs w:val="22"/>
          <w:lang w:val="en-GB"/>
        </w:rPr>
        <w:t>3-year</w:t>
      </w:r>
      <w:r w:rsidRPr="007F04EF">
        <w:rPr>
          <w:rFonts w:cs="Arial"/>
          <w:i w:val="0"/>
          <w:iCs w:val="0"/>
          <w:color w:val="auto"/>
          <w:sz w:val="22"/>
          <w:szCs w:val="22"/>
          <w:lang w:val="en-GB"/>
        </w:rPr>
        <w:t xml:space="preserve"> validity for </w:t>
      </w:r>
      <w:r w:rsidR="00B62278" w:rsidRPr="007F04EF">
        <w:rPr>
          <w:rFonts w:cs="Arial"/>
          <w:i w:val="0"/>
          <w:iCs w:val="0"/>
          <w:color w:val="auto"/>
          <w:sz w:val="22"/>
          <w:szCs w:val="22"/>
          <w:lang w:val="en-GB"/>
        </w:rPr>
        <w:t>PPP-</w:t>
      </w:r>
      <w:r w:rsidRPr="007F04EF">
        <w:rPr>
          <w:rFonts w:cs="Arial"/>
          <w:i w:val="0"/>
          <w:iCs w:val="0"/>
          <w:color w:val="auto"/>
          <w:sz w:val="22"/>
          <w:szCs w:val="22"/>
          <w:lang w:val="en-GB"/>
        </w:rPr>
        <w:t>advisors</w:t>
      </w:r>
      <w:r w:rsidR="00B62278" w:rsidRPr="007F04EF">
        <w:rPr>
          <w:rFonts w:cs="Arial"/>
          <w:i w:val="0"/>
          <w:iCs w:val="0"/>
          <w:color w:val="auto"/>
          <w:sz w:val="22"/>
          <w:szCs w:val="22"/>
          <w:lang w:val="en-GB"/>
        </w:rPr>
        <w:t xml:space="preserve"> </w:t>
      </w:r>
      <w:r w:rsidRPr="007F04EF">
        <w:rPr>
          <w:rFonts w:cs="Arial"/>
          <w:i w:val="0"/>
          <w:iCs w:val="0"/>
          <w:color w:val="auto"/>
          <w:sz w:val="22"/>
          <w:szCs w:val="22"/>
          <w:lang w:val="en-GB"/>
        </w:rPr>
        <w:t>and PPP</w:t>
      </w:r>
      <w:r w:rsidR="00B62278" w:rsidRPr="007F04EF">
        <w:rPr>
          <w:rFonts w:cs="Arial"/>
          <w:i w:val="0"/>
          <w:iCs w:val="0"/>
          <w:color w:val="auto"/>
          <w:sz w:val="22"/>
          <w:szCs w:val="22"/>
          <w:lang w:val="en-GB"/>
        </w:rPr>
        <w:t>-</w:t>
      </w:r>
      <w:r w:rsidRPr="007F04EF">
        <w:rPr>
          <w:rFonts w:cs="Arial"/>
          <w:i w:val="0"/>
          <w:iCs w:val="0"/>
          <w:color w:val="auto"/>
          <w:sz w:val="22"/>
          <w:szCs w:val="22"/>
          <w:lang w:val="en-GB"/>
        </w:rPr>
        <w:t xml:space="preserve">sellers, and a </w:t>
      </w:r>
      <w:r w:rsidR="008C1374" w:rsidRPr="007F04EF">
        <w:rPr>
          <w:rFonts w:cs="Arial"/>
          <w:i w:val="0"/>
          <w:iCs w:val="0"/>
          <w:color w:val="auto"/>
          <w:sz w:val="22"/>
          <w:szCs w:val="22"/>
          <w:lang w:val="en-GB"/>
        </w:rPr>
        <w:t>5-year</w:t>
      </w:r>
      <w:r w:rsidRPr="007F04EF">
        <w:rPr>
          <w:rFonts w:cs="Arial"/>
          <w:i w:val="0"/>
          <w:iCs w:val="0"/>
          <w:color w:val="auto"/>
          <w:sz w:val="22"/>
          <w:szCs w:val="22"/>
          <w:lang w:val="en-GB"/>
        </w:rPr>
        <w:t xml:space="preserve"> validity for PPP</w:t>
      </w:r>
      <w:r w:rsidR="00B62278" w:rsidRPr="007F04EF">
        <w:rPr>
          <w:rFonts w:cs="Arial"/>
          <w:i w:val="0"/>
          <w:iCs w:val="0"/>
          <w:color w:val="auto"/>
          <w:sz w:val="22"/>
          <w:szCs w:val="22"/>
          <w:lang w:val="en-GB"/>
        </w:rPr>
        <w:t>-</w:t>
      </w:r>
      <w:r w:rsidRPr="007F04EF">
        <w:rPr>
          <w:rFonts w:cs="Arial"/>
          <w:i w:val="0"/>
          <w:iCs w:val="0"/>
          <w:color w:val="auto"/>
          <w:sz w:val="22"/>
          <w:szCs w:val="22"/>
          <w:lang w:val="en-GB"/>
        </w:rPr>
        <w:t xml:space="preserve">users. The number of </w:t>
      </w:r>
      <w:r w:rsidR="00B62278" w:rsidRPr="007F04EF">
        <w:rPr>
          <w:rFonts w:cs="Arial"/>
          <w:i w:val="0"/>
          <w:iCs w:val="0"/>
          <w:color w:val="auto"/>
          <w:sz w:val="22"/>
          <w:szCs w:val="22"/>
          <w:lang w:val="en-GB"/>
        </w:rPr>
        <w:t xml:space="preserve">mandatory training </w:t>
      </w:r>
      <w:r w:rsidRPr="007F04EF">
        <w:rPr>
          <w:rFonts w:cs="Arial"/>
          <w:i w:val="0"/>
          <w:iCs w:val="0"/>
          <w:color w:val="auto"/>
          <w:sz w:val="22"/>
          <w:szCs w:val="22"/>
          <w:lang w:val="en-GB"/>
        </w:rPr>
        <w:t xml:space="preserve">courses </w:t>
      </w:r>
      <w:r w:rsidR="00B62278" w:rsidRPr="007F04EF">
        <w:rPr>
          <w:rFonts w:cs="Arial"/>
          <w:i w:val="0"/>
          <w:iCs w:val="0"/>
          <w:color w:val="auto"/>
          <w:sz w:val="22"/>
          <w:szCs w:val="22"/>
          <w:lang w:val="en-GB"/>
        </w:rPr>
        <w:t xml:space="preserve">for prolongation of certificate </w:t>
      </w:r>
      <w:r w:rsidRPr="007F04EF">
        <w:rPr>
          <w:rFonts w:cs="Arial"/>
          <w:i w:val="0"/>
          <w:iCs w:val="0"/>
          <w:color w:val="auto"/>
          <w:sz w:val="22"/>
          <w:szCs w:val="22"/>
          <w:lang w:val="en-GB"/>
        </w:rPr>
        <w:t>validity</w:t>
      </w:r>
      <w:r w:rsidR="00B62278" w:rsidRPr="007F04EF">
        <w:rPr>
          <w:rFonts w:cs="Arial"/>
          <w:i w:val="0"/>
          <w:iCs w:val="0"/>
          <w:color w:val="auto"/>
          <w:sz w:val="22"/>
          <w:szCs w:val="22"/>
          <w:lang w:val="en-GB"/>
        </w:rPr>
        <w:t xml:space="preserve"> thus </w:t>
      </w:r>
      <w:r w:rsidRPr="007F04EF">
        <w:rPr>
          <w:rFonts w:cs="Arial"/>
          <w:i w:val="0"/>
          <w:iCs w:val="0"/>
          <w:color w:val="auto"/>
          <w:sz w:val="22"/>
          <w:szCs w:val="22"/>
          <w:lang w:val="en-GB"/>
        </w:rPr>
        <w:t>varies from year to year.</w:t>
      </w:r>
      <w:r w:rsidR="002D6BF5" w:rsidRPr="007F04EF">
        <w:rPr>
          <w:rFonts w:cs="Arial"/>
          <w:i w:val="0"/>
          <w:iCs w:val="0"/>
          <w:color w:val="auto"/>
          <w:sz w:val="22"/>
          <w:szCs w:val="22"/>
          <w:lang w:val="en-GB"/>
        </w:rPr>
        <w:t xml:space="preserve"> </w:t>
      </w:r>
    </w:p>
    <w:p w14:paraId="560BAC3C" w14:textId="77777777" w:rsidR="0054182E" w:rsidRPr="007F04EF" w:rsidRDefault="0054182E" w:rsidP="0054182E">
      <w:pPr>
        <w:rPr>
          <w:lang w:val="en-GB"/>
        </w:rPr>
      </w:pPr>
    </w:p>
    <w:p w14:paraId="5403D294" w14:textId="29084691" w:rsidR="002D6BF5" w:rsidRPr="007F04EF" w:rsidRDefault="00493427" w:rsidP="00DC3204">
      <w:pPr>
        <w:pStyle w:val="Napis"/>
        <w:rPr>
          <w:rFonts w:cs="Arial"/>
          <w:sz w:val="20"/>
          <w:szCs w:val="20"/>
          <w:lang w:val="en-GB"/>
        </w:rPr>
      </w:pPr>
      <w:bookmarkStart w:id="77" w:name="_Toc161657872"/>
      <w:bookmarkStart w:id="78" w:name="_Toc151116359"/>
      <w:bookmarkStart w:id="79" w:name="_Toc152153153"/>
      <w:bookmarkStart w:id="80" w:name="_Toc149825610"/>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10</w:t>
      </w:r>
      <w:r w:rsidR="00DC3204" w:rsidRPr="007F04EF">
        <w:rPr>
          <w:rFonts w:cs="Arial"/>
          <w:sz w:val="20"/>
          <w:szCs w:val="20"/>
          <w:lang w:val="en-GB"/>
        </w:rPr>
        <w:fldChar w:fldCharType="end"/>
      </w:r>
      <w:r w:rsidR="002D6BF5" w:rsidRPr="007F04EF">
        <w:rPr>
          <w:rFonts w:cs="Arial"/>
          <w:sz w:val="20"/>
          <w:szCs w:val="20"/>
          <w:lang w:val="en-GB"/>
        </w:rPr>
        <w:t xml:space="preserve">: </w:t>
      </w:r>
      <w:r w:rsidRPr="007F04EF">
        <w:rPr>
          <w:rFonts w:cs="Arial"/>
          <w:sz w:val="20"/>
          <w:szCs w:val="20"/>
          <w:lang w:val="en-GB"/>
        </w:rPr>
        <w:t xml:space="preserve">The number of courses performed </w:t>
      </w:r>
      <w:r w:rsidR="00B62278" w:rsidRPr="007F04EF">
        <w:rPr>
          <w:rFonts w:cs="Arial"/>
          <w:sz w:val="20"/>
          <w:szCs w:val="20"/>
          <w:lang w:val="en-GB"/>
        </w:rPr>
        <w:t xml:space="preserve">per </w:t>
      </w:r>
      <w:r w:rsidRPr="007F04EF">
        <w:rPr>
          <w:rFonts w:cs="Arial"/>
          <w:sz w:val="20"/>
          <w:szCs w:val="20"/>
          <w:lang w:val="en-GB"/>
        </w:rPr>
        <w:t>year and</w:t>
      </w:r>
      <w:r w:rsidR="00B62278" w:rsidRPr="007F04EF">
        <w:rPr>
          <w:rFonts w:cs="Arial"/>
          <w:sz w:val="20"/>
          <w:szCs w:val="20"/>
          <w:lang w:val="en-GB"/>
        </w:rPr>
        <w:t xml:space="preserve"> per training </w:t>
      </w:r>
      <w:r w:rsidRPr="007F04EF">
        <w:rPr>
          <w:rFonts w:cs="Arial"/>
          <w:sz w:val="20"/>
          <w:szCs w:val="20"/>
          <w:lang w:val="en-GB"/>
        </w:rPr>
        <w:t>program</w:t>
      </w:r>
      <w:r w:rsidR="000B1910" w:rsidRPr="007F04EF">
        <w:rPr>
          <w:rStyle w:val="Sprotnaopomba-sklic"/>
          <w:rFonts w:cs="Arial"/>
          <w:sz w:val="20"/>
          <w:szCs w:val="20"/>
          <w:lang w:val="en-GB"/>
        </w:rPr>
        <w:footnoteReference w:id="18"/>
      </w:r>
      <w:bookmarkEnd w:id="77"/>
      <w:r w:rsidR="00B62278" w:rsidRPr="007F04EF">
        <w:rPr>
          <w:rFonts w:cs="Arial"/>
          <w:sz w:val="20"/>
          <w:szCs w:val="20"/>
          <w:lang w:val="en-GB"/>
        </w:rPr>
        <w:t>.</w:t>
      </w:r>
      <w:r w:rsidRPr="007F04EF">
        <w:rPr>
          <w:rFonts w:cs="Arial"/>
          <w:sz w:val="20"/>
          <w:szCs w:val="20"/>
          <w:lang w:val="en-GB"/>
        </w:rPr>
        <w:t xml:space="preserve"> </w:t>
      </w:r>
      <w:bookmarkEnd w:id="78"/>
      <w:bookmarkEnd w:id="79"/>
      <w:bookmarkEnd w:id="80"/>
    </w:p>
    <w:p w14:paraId="30FF0792" w14:textId="77777777" w:rsidR="0054182E" w:rsidRPr="007F04EF" w:rsidRDefault="0054182E" w:rsidP="0054182E">
      <w:pPr>
        <w:rPr>
          <w:lang w:val="en-GB"/>
        </w:rPr>
      </w:pPr>
    </w:p>
    <w:tbl>
      <w:tblPr>
        <w:tblW w:w="5000" w:type="pct"/>
        <w:tblBorders>
          <w:top w:val="single" w:sz="4" w:space="0" w:color="auto"/>
          <w:bottom w:val="single" w:sz="8" w:space="0" w:color="auto"/>
          <w:insideH w:val="single" w:sz="8" w:space="0" w:color="auto"/>
        </w:tblBorders>
        <w:tblCellMar>
          <w:left w:w="70" w:type="dxa"/>
          <w:right w:w="70" w:type="dxa"/>
        </w:tblCellMar>
        <w:tblLook w:val="04A0" w:firstRow="1" w:lastRow="0" w:firstColumn="1" w:lastColumn="0" w:noHBand="0" w:noVBand="1"/>
      </w:tblPr>
      <w:tblGrid>
        <w:gridCol w:w="4513"/>
        <w:gridCol w:w="794"/>
        <w:gridCol w:w="798"/>
        <w:gridCol w:w="796"/>
        <w:gridCol w:w="664"/>
        <w:gridCol w:w="798"/>
        <w:gridCol w:w="763"/>
      </w:tblGrid>
      <w:tr w:rsidR="009A3F14" w:rsidRPr="007F04EF" w14:paraId="510FB3EF" w14:textId="77777777" w:rsidTr="00B62278">
        <w:trPr>
          <w:trHeight w:val="289"/>
        </w:trPr>
        <w:tc>
          <w:tcPr>
            <w:tcW w:w="2473" w:type="pct"/>
            <w:shd w:val="clear" w:color="auto" w:fill="auto"/>
            <w:vAlign w:val="center"/>
            <w:hideMark/>
          </w:tcPr>
          <w:p w14:paraId="1DBCA2E6" w14:textId="16C7B338" w:rsidR="009A3F14" w:rsidRPr="007F04EF" w:rsidRDefault="00493427" w:rsidP="009A3F14">
            <w:pPr>
              <w:rPr>
                <w:rFonts w:eastAsia="Times New Roman" w:cs="Arial"/>
                <w:color w:val="000000"/>
                <w:lang w:val="en-GB"/>
              </w:rPr>
            </w:pPr>
            <w:r w:rsidRPr="007F04EF">
              <w:rPr>
                <w:rFonts w:eastAsia="Times New Roman" w:cs="Arial"/>
                <w:color w:val="000000"/>
                <w:lang w:val="en-GB"/>
              </w:rPr>
              <w:t>Year</w:t>
            </w:r>
          </w:p>
        </w:tc>
        <w:tc>
          <w:tcPr>
            <w:tcW w:w="435" w:type="pct"/>
            <w:shd w:val="clear" w:color="auto" w:fill="auto"/>
            <w:noWrap/>
            <w:vAlign w:val="center"/>
            <w:hideMark/>
          </w:tcPr>
          <w:p w14:paraId="68C2139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2017</w:t>
            </w:r>
          </w:p>
        </w:tc>
        <w:tc>
          <w:tcPr>
            <w:tcW w:w="437" w:type="pct"/>
            <w:shd w:val="clear" w:color="auto" w:fill="auto"/>
            <w:noWrap/>
            <w:vAlign w:val="center"/>
            <w:hideMark/>
          </w:tcPr>
          <w:p w14:paraId="78757C7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2018</w:t>
            </w:r>
          </w:p>
        </w:tc>
        <w:tc>
          <w:tcPr>
            <w:tcW w:w="436" w:type="pct"/>
            <w:shd w:val="clear" w:color="auto" w:fill="auto"/>
            <w:noWrap/>
            <w:vAlign w:val="center"/>
            <w:hideMark/>
          </w:tcPr>
          <w:p w14:paraId="4E35A6F1"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2019</w:t>
            </w:r>
          </w:p>
        </w:tc>
        <w:tc>
          <w:tcPr>
            <w:tcW w:w="364" w:type="pct"/>
            <w:shd w:val="clear" w:color="auto" w:fill="auto"/>
            <w:noWrap/>
            <w:vAlign w:val="center"/>
            <w:hideMark/>
          </w:tcPr>
          <w:p w14:paraId="7B525C2A"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2020</w:t>
            </w:r>
          </w:p>
        </w:tc>
        <w:tc>
          <w:tcPr>
            <w:tcW w:w="437" w:type="pct"/>
            <w:shd w:val="clear" w:color="auto" w:fill="auto"/>
            <w:noWrap/>
            <w:vAlign w:val="center"/>
            <w:hideMark/>
          </w:tcPr>
          <w:p w14:paraId="21A6B7B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2021</w:t>
            </w:r>
          </w:p>
        </w:tc>
        <w:tc>
          <w:tcPr>
            <w:tcW w:w="418" w:type="pct"/>
            <w:shd w:val="clear" w:color="auto" w:fill="auto"/>
            <w:noWrap/>
            <w:vAlign w:val="center"/>
            <w:hideMark/>
          </w:tcPr>
          <w:p w14:paraId="13E19B4E"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2022</w:t>
            </w:r>
          </w:p>
        </w:tc>
      </w:tr>
      <w:tr w:rsidR="009A3F14" w:rsidRPr="007F04EF" w14:paraId="227F7FD8" w14:textId="77777777" w:rsidTr="00B62278">
        <w:trPr>
          <w:trHeight w:val="289"/>
        </w:trPr>
        <w:tc>
          <w:tcPr>
            <w:tcW w:w="2473" w:type="pct"/>
            <w:shd w:val="clear" w:color="auto" w:fill="auto"/>
            <w:vAlign w:val="center"/>
            <w:hideMark/>
          </w:tcPr>
          <w:p w14:paraId="6276C54B" w14:textId="62536FE0" w:rsidR="009A3F14" w:rsidRPr="007F04EF" w:rsidRDefault="00493427" w:rsidP="009A3F14">
            <w:pPr>
              <w:rPr>
                <w:rFonts w:eastAsia="Times New Roman" w:cs="Arial"/>
                <w:color w:val="000000"/>
                <w:lang w:val="en-GB"/>
              </w:rPr>
            </w:pPr>
            <w:r w:rsidRPr="007F04EF">
              <w:rPr>
                <w:rFonts w:eastAsia="Times New Roman" w:cs="Arial"/>
                <w:color w:val="000000"/>
                <w:lang w:val="en-GB"/>
              </w:rPr>
              <w:t>Number of courses for professional users</w:t>
            </w:r>
          </w:p>
        </w:tc>
        <w:tc>
          <w:tcPr>
            <w:tcW w:w="435" w:type="pct"/>
            <w:shd w:val="clear" w:color="auto" w:fill="auto"/>
            <w:noWrap/>
            <w:vAlign w:val="center"/>
            <w:hideMark/>
          </w:tcPr>
          <w:p w14:paraId="017BB68D"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131</w:t>
            </w:r>
          </w:p>
        </w:tc>
        <w:tc>
          <w:tcPr>
            <w:tcW w:w="437" w:type="pct"/>
            <w:shd w:val="clear" w:color="auto" w:fill="auto"/>
            <w:noWrap/>
            <w:vAlign w:val="center"/>
            <w:hideMark/>
          </w:tcPr>
          <w:p w14:paraId="0216ECB5"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265</w:t>
            </w:r>
          </w:p>
        </w:tc>
        <w:tc>
          <w:tcPr>
            <w:tcW w:w="436" w:type="pct"/>
            <w:shd w:val="clear" w:color="auto" w:fill="auto"/>
            <w:noWrap/>
            <w:vAlign w:val="center"/>
            <w:hideMark/>
          </w:tcPr>
          <w:p w14:paraId="4483990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451</w:t>
            </w:r>
          </w:p>
        </w:tc>
        <w:tc>
          <w:tcPr>
            <w:tcW w:w="364" w:type="pct"/>
            <w:shd w:val="clear" w:color="auto" w:fill="auto"/>
            <w:noWrap/>
            <w:vAlign w:val="center"/>
            <w:hideMark/>
          </w:tcPr>
          <w:p w14:paraId="079336AB"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218</w:t>
            </w:r>
          </w:p>
        </w:tc>
        <w:tc>
          <w:tcPr>
            <w:tcW w:w="437" w:type="pct"/>
            <w:shd w:val="clear" w:color="auto" w:fill="auto"/>
            <w:noWrap/>
            <w:vAlign w:val="center"/>
            <w:hideMark/>
          </w:tcPr>
          <w:p w14:paraId="35A4E60F"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294</w:t>
            </w:r>
          </w:p>
        </w:tc>
        <w:tc>
          <w:tcPr>
            <w:tcW w:w="418" w:type="pct"/>
            <w:shd w:val="clear" w:color="auto" w:fill="auto"/>
            <w:noWrap/>
            <w:vAlign w:val="center"/>
            <w:hideMark/>
          </w:tcPr>
          <w:p w14:paraId="121AA02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156</w:t>
            </w:r>
          </w:p>
        </w:tc>
      </w:tr>
      <w:tr w:rsidR="009A3F14" w:rsidRPr="007F04EF" w14:paraId="2B9312A5" w14:textId="77777777" w:rsidTr="00B62278">
        <w:trPr>
          <w:trHeight w:val="289"/>
        </w:trPr>
        <w:tc>
          <w:tcPr>
            <w:tcW w:w="2473" w:type="pct"/>
            <w:shd w:val="clear" w:color="auto" w:fill="auto"/>
            <w:vAlign w:val="center"/>
            <w:hideMark/>
          </w:tcPr>
          <w:p w14:paraId="10583C5E" w14:textId="25C13488" w:rsidR="009A3F14" w:rsidRPr="007F04EF" w:rsidRDefault="00493427" w:rsidP="009A3F14">
            <w:pPr>
              <w:rPr>
                <w:rFonts w:eastAsia="Times New Roman" w:cs="Arial"/>
                <w:color w:val="000000"/>
                <w:lang w:val="en-GB"/>
              </w:rPr>
            </w:pPr>
            <w:r w:rsidRPr="007F04EF">
              <w:rPr>
                <w:rFonts w:eastAsia="Times New Roman" w:cs="Arial"/>
                <w:color w:val="000000"/>
                <w:lang w:val="en-GB"/>
              </w:rPr>
              <w:t>Number of courses for PPP</w:t>
            </w:r>
            <w:r w:rsidR="00B62278" w:rsidRPr="007F04EF">
              <w:rPr>
                <w:rFonts w:eastAsia="Times New Roman" w:cs="Arial"/>
                <w:color w:val="000000"/>
                <w:lang w:val="en-GB"/>
              </w:rPr>
              <w:t>-</w:t>
            </w:r>
            <w:r w:rsidRPr="007F04EF">
              <w:rPr>
                <w:rFonts w:eastAsia="Times New Roman" w:cs="Arial"/>
                <w:color w:val="000000"/>
                <w:lang w:val="en-GB"/>
              </w:rPr>
              <w:t>sellers</w:t>
            </w:r>
          </w:p>
        </w:tc>
        <w:tc>
          <w:tcPr>
            <w:tcW w:w="435" w:type="pct"/>
            <w:shd w:val="clear" w:color="auto" w:fill="auto"/>
            <w:noWrap/>
            <w:vAlign w:val="center"/>
            <w:hideMark/>
          </w:tcPr>
          <w:p w14:paraId="24108CC9"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14</w:t>
            </w:r>
          </w:p>
        </w:tc>
        <w:tc>
          <w:tcPr>
            <w:tcW w:w="437" w:type="pct"/>
            <w:shd w:val="clear" w:color="auto" w:fill="auto"/>
            <w:noWrap/>
            <w:vAlign w:val="center"/>
            <w:hideMark/>
          </w:tcPr>
          <w:p w14:paraId="29F5BC0F"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8</w:t>
            </w:r>
          </w:p>
        </w:tc>
        <w:tc>
          <w:tcPr>
            <w:tcW w:w="436" w:type="pct"/>
            <w:shd w:val="clear" w:color="auto" w:fill="auto"/>
            <w:noWrap/>
            <w:vAlign w:val="center"/>
            <w:hideMark/>
          </w:tcPr>
          <w:p w14:paraId="533C5866"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18</w:t>
            </w:r>
          </w:p>
        </w:tc>
        <w:tc>
          <w:tcPr>
            <w:tcW w:w="364" w:type="pct"/>
            <w:shd w:val="clear" w:color="auto" w:fill="auto"/>
            <w:noWrap/>
            <w:vAlign w:val="center"/>
            <w:hideMark/>
          </w:tcPr>
          <w:p w14:paraId="4D182FC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11</w:t>
            </w:r>
          </w:p>
        </w:tc>
        <w:tc>
          <w:tcPr>
            <w:tcW w:w="437" w:type="pct"/>
            <w:shd w:val="clear" w:color="auto" w:fill="auto"/>
            <w:noWrap/>
            <w:vAlign w:val="center"/>
            <w:hideMark/>
          </w:tcPr>
          <w:p w14:paraId="33EE90C8"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17</w:t>
            </w:r>
          </w:p>
        </w:tc>
        <w:tc>
          <w:tcPr>
            <w:tcW w:w="418" w:type="pct"/>
            <w:shd w:val="clear" w:color="auto" w:fill="auto"/>
            <w:noWrap/>
            <w:vAlign w:val="center"/>
            <w:hideMark/>
          </w:tcPr>
          <w:p w14:paraId="6235232B"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14</w:t>
            </w:r>
          </w:p>
        </w:tc>
      </w:tr>
      <w:tr w:rsidR="009A3F14" w:rsidRPr="007F04EF" w14:paraId="12FAC4F8" w14:textId="77777777" w:rsidTr="00B62278">
        <w:trPr>
          <w:trHeight w:val="289"/>
        </w:trPr>
        <w:tc>
          <w:tcPr>
            <w:tcW w:w="2473" w:type="pct"/>
            <w:shd w:val="clear" w:color="auto" w:fill="auto"/>
            <w:vAlign w:val="center"/>
            <w:hideMark/>
          </w:tcPr>
          <w:p w14:paraId="443F1E9B" w14:textId="172A2893" w:rsidR="009A3F14" w:rsidRPr="007F04EF" w:rsidRDefault="00493427" w:rsidP="009A3F14">
            <w:pPr>
              <w:rPr>
                <w:rFonts w:eastAsia="Times New Roman" w:cs="Arial"/>
                <w:color w:val="000000"/>
                <w:lang w:val="en-GB"/>
              </w:rPr>
            </w:pPr>
            <w:r w:rsidRPr="007F04EF">
              <w:rPr>
                <w:rFonts w:eastAsia="Times New Roman" w:cs="Arial"/>
                <w:color w:val="000000"/>
                <w:lang w:val="en-GB"/>
              </w:rPr>
              <w:t xml:space="preserve">Number of courses for </w:t>
            </w:r>
            <w:r w:rsidR="00B62278" w:rsidRPr="007F04EF">
              <w:rPr>
                <w:rFonts w:eastAsia="Times New Roman" w:cs="Arial"/>
                <w:color w:val="000000"/>
                <w:lang w:val="en-GB"/>
              </w:rPr>
              <w:t>PPP-</w:t>
            </w:r>
            <w:r w:rsidRPr="007F04EF">
              <w:rPr>
                <w:rFonts w:eastAsia="Times New Roman" w:cs="Arial"/>
                <w:color w:val="000000"/>
                <w:lang w:val="en-GB"/>
              </w:rPr>
              <w:t>advisors</w:t>
            </w:r>
          </w:p>
        </w:tc>
        <w:tc>
          <w:tcPr>
            <w:tcW w:w="435" w:type="pct"/>
            <w:shd w:val="clear" w:color="auto" w:fill="auto"/>
            <w:noWrap/>
            <w:vAlign w:val="center"/>
            <w:hideMark/>
          </w:tcPr>
          <w:p w14:paraId="4485F1E8"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7</w:t>
            </w:r>
          </w:p>
        </w:tc>
        <w:tc>
          <w:tcPr>
            <w:tcW w:w="437" w:type="pct"/>
            <w:shd w:val="clear" w:color="auto" w:fill="auto"/>
            <w:noWrap/>
            <w:vAlign w:val="center"/>
            <w:hideMark/>
          </w:tcPr>
          <w:p w14:paraId="619E23B3"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c>
          <w:tcPr>
            <w:tcW w:w="436" w:type="pct"/>
            <w:shd w:val="clear" w:color="auto" w:fill="auto"/>
            <w:noWrap/>
            <w:vAlign w:val="center"/>
            <w:hideMark/>
          </w:tcPr>
          <w:p w14:paraId="0ACC82BE"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c>
          <w:tcPr>
            <w:tcW w:w="364" w:type="pct"/>
            <w:shd w:val="clear" w:color="auto" w:fill="auto"/>
            <w:noWrap/>
            <w:vAlign w:val="center"/>
            <w:hideMark/>
          </w:tcPr>
          <w:p w14:paraId="62C05809"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7</w:t>
            </w:r>
          </w:p>
        </w:tc>
        <w:tc>
          <w:tcPr>
            <w:tcW w:w="437" w:type="pct"/>
            <w:shd w:val="clear" w:color="auto" w:fill="auto"/>
            <w:noWrap/>
            <w:vAlign w:val="center"/>
            <w:hideMark/>
          </w:tcPr>
          <w:p w14:paraId="07FE4723"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c>
          <w:tcPr>
            <w:tcW w:w="418" w:type="pct"/>
            <w:shd w:val="clear" w:color="auto" w:fill="auto"/>
            <w:noWrap/>
            <w:vAlign w:val="center"/>
            <w:hideMark/>
          </w:tcPr>
          <w:p w14:paraId="40FBB27A"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r>
      <w:tr w:rsidR="009A3F14" w:rsidRPr="007F04EF" w14:paraId="24FF6967" w14:textId="77777777" w:rsidTr="00B62278">
        <w:trPr>
          <w:trHeight w:val="289"/>
        </w:trPr>
        <w:tc>
          <w:tcPr>
            <w:tcW w:w="2473" w:type="pct"/>
            <w:shd w:val="clear" w:color="auto" w:fill="auto"/>
            <w:vAlign w:val="center"/>
            <w:hideMark/>
          </w:tcPr>
          <w:p w14:paraId="39631EFB" w14:textId="5BF331EE" w:rsidR="009A3F14" w:rsidRPr="007F04EF" w:rsidRDefault="00B62278" w:rsidP="009A3F14">
            <w:pPr>
              <w:rPr>
                <w:rFonts w:eastAsia="Times New Roman" w:cs="Arial"/>
                <w:color w:val="000000"/>
                <w:lang w:val="en-GB"/>
              </w:rPr>
            </w:pPr>
            <w:r w:rsidRPr="007F04EF">
              <w:rPr>
                <w:rFonts w:eastAsia="Times New Roman" w:cs="Arial"/>
                <w:color w:val="000000"/>
                <w:lang w:val="en-GB"/>
              </w:rPr>
              <w:t>TOTAL</w:t>
            </w:r>
          </w:p>
        </w:tc>
        <w:tc>
          <w:tcPr>
            <w:tcW w:w="435" w:type="pct"/>
            <w:shd w:val="clear" w:color="auto" w:fill="auto"/>
            <w:noWrap/>
            <w:vAlign w:val="center"/>
            <w:hideMark/>
          </w:tcPr>
          <w:p w14:paraId="2AA8689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152</w:t>
            </w:r>
          </w:p>
        </w:tc>
        <w:tc>
          <w:tcPr>
            <w:tcW w:w="437" w:type="pct"/>
            <w:shd w:val="clear" w:color="auto" w:fill="auto"/>
            <w:noWrap/>
            <w:vAlign w:val="center"/>
            <w:hideMark/>
          </w:tcPr>
          <w:p w14:paraId="19C02CF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278</w:t>
            </w:r>
          </w:p>
        </w:tc>
        <w:tc>
          <w:tcPr>
            <w:tcW w:w="436" w:type="pct"/>
            <w:shd w:val="clear" w:color="auto" w:fill="auto"/>
            <w:noWrap/>
            <w:vAlign w:val="center"/>
            <w:hideMark/>
          </w:tcPr>
          <w:p w14:paraId="7C88B7BE"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474</w:t>
            </w:r>
          </w:p>
        </w:tc>
        <w:tc>
          <w:tcPr>
            <w:tcW w:w="364" w:type="pct"/>
            <w:shd w:val="clear" w:color="auto" w:fill="auto"/>
            <w:noWrap/>
            <w:vAlign w:val="center"/>
            <w:hideMark/>
          </w:tcPr>
          <w:p w14:paraId="23FDFBF2"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236</w:t>
            </w:r>
          </w:p>
        </w:tc>
        <w:tc>
          <w:tcPr>
            <w:tcW w:w="437" w:type="pct"/>
            <w:shd w:val="clear" w:color="auto" w:fill="auto"/>
            <w:noWrap/>
            <w:vAlign w:val="center"/>
            <w:hideMark/>
          </w:tcPr>
          <w:p w14:paraId="61B73992"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316</w:t>
            </w:r>
          </w:p>
        </w:tc>
        <w:tc>
          <w:tcPr>
            <w:tcW w:w="418" w:type="pct"/>
            <w:shd w:val="clear" w:color="auto" w:fill="auto"/>
            <w:noWrap/>
            <w:vAlign w:val="center"/>
            <w:hideMark/>
          </w:tcPr>
          <w:p w14:paraId="4D287AE4"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175</w:t>
            </w:r>
          </w:p>
        </w:tc>
      </w:tr>
    </w:tbl>
    <w:p w14:paraId="4EF6DA49" w14:textId="77777777" w:rsidR="00B62278" w:rsidRPr="007F04EF" w:rsidRDefault="00B62278" w:rsidP="00F267BA">
      <w:pPr>
        <w:pStyle w:val="Naslov3"/>
        <w:rPr>
          <w:lang w:val="en-GB"/>
        </w:rPr>
      </w:pPr>
      <w:bookmarkStart w:id="81" w:name="_Hlk148615286"/>
    </w:p>
    <w:p w14:paraId="61F68AA4" w14:textId="77777777" w:rsidR="00B62278" w:rsidRPr="007F04EF" w:rsidRDefault="00B62278" w:rsidP="00B62278">
      <w:pPr>
        <w:rPr>
          <w:lang w:val="en-GB"/>
        </w:rPr>
      </w:pPr>
    </w:p>
    <w:p w14:paraId="193B4614" w14:textId="77777777" w:rsidR="00B62278" w:rsidRPr="007F04EF" w:rsidRDefault="00B62278">
      <w:pPr>
        <w:rPr>
          <w:rFonts w:eastAsia="Times New Roman"/>
          <w:b/>
          <w:bCs/>
          <w:sz w:val="26"/>
          <w:szCs w:val="26"/>
          <w:lang w:val="en-GB"/>
        </w:rPr>
      </w:pPr>
      <w:r w:rsidRPr="007F04EF">
        <w:rPr>
          <w:lang w:val="en-GB"/>
        </w:rPr>
        <w:br w:type="page"/>
      </w:r>
    </w:p>
    <w:p w14:paraId="7B7C21C3" w14:textId="382BBD30" w:rsidR="00C4266C" w:rsidRPr="007F04EF" w:rsidRDefault="00C4266C" w:rsidP="00F267BA">
      <w:pPr>
        <w:pStyle w:val="Naslov3"/>
        <w:rPr>
          <w:lang w:val="en-GB"/>
        </w:rPr>
      </w:pPr>
      <w:bookmarkStart w:id="82" w:name="_Toc172027304"/>
      <w:r w:rsidRPr="007F04EF">
        <w:rPr>
          <w:lang w:val="en-GB"/>
        </w:rPr>
        <w:lastRenderedPageBreak/>
        <w:t>Integr</w:t>
      </w:r>
      <w:r w:rsidR="0099019B" w:rsidRPr="007F04EF">
        <w:rPr>
          <w:lang w:val="en-GB"/>
        </w:rPr>
        <w:t xml:space="preserve">ated </w:t>
      </w:r>
      <w:r w:rsidR="001F797E" w:rsidRPr="007F04EF">
        <w:rPr>
          <w:lang w:val="en-GB"/>
        </w:rPr>
        <w:t xml:space="preserve">Pest Management </w:t>
      </w:r>
      <w:r w:rsidRPr="007F04EF">
        <w:rPr>
          <w:lang w:val="en-GB"/>
        </w:rPr>
        <w:t>(</w:t>
      </w:r>
      <w:r w:rsidR="0099019B" w:rsidRPr="007F04EF">
        <w:rPr>
          <w:lang w:val="en-GB"/>
        </w:rPr>
        <w:t>IPM</w:t>
      </w:r>
      <w:r w:rsidRPr="007F04EF">
        <w:rPr>
          <w:lang w:val="en-GB"/>
        </w:rPr>
        <w:t>)</w:t>
      </w:r>
      <w:bookmarkEnd w:id="82"/>
    </w:p>
    <w:p w14:paraId="14462327" w14:textId="77777777" w:rsidR="0054182E" w:rsidRPr="007F04EF" w:rsidRDefault="0054182E" w:rsidP="00F267BA">
      <w:pPr>
        <w:rPr>
          <w:lang w:val="en-GB"/>
        </w:rPr>
      </w:pPr>
    </w:p>
    <w:p w14:paraId="17E26524" w14:textId="33EAC712" w:rsidR="009D04A7" w:rsidRPr="007F04EF" w:rsidRDefault="009D04A7" w:rsidP="00B62278">
      <w:pPr>
        <w:jc w:val="both"/>
        <w:rPr>
          <w:lang w:val="en-GB"/>
        </w:rPr>
      </w:pPr>
      <w:r w:rsidRPr="007F04EF">
        <w:rPr>
          <w:lang w:val="en-GB"/>
        </w:rPr>
        <w:t>Integrated Pest Man</w:t>
      </w:r>
      <w:r w:rsidR="004716DF" w:rsidRPr="007F04EF">
        <w:rPr>
          <w:lang w:val="en-GB"/>
        </w:rPr>
        <w:t>a</w:t>
      </w:r>
      <w:r w:rsidRPr="007F04EF">
        <w:rPr>
          <w:lang w:val="en-GB"/>
        </w:rPr>
        <w:t>gement (hereinafter</w:t>
      </w:r>
      <w:r w:rsidR="00B62278" w:rsidRPr="007F04EF">
        <w:rPr>
          <w:lang w:val="en-GB"/>
        </w:rPr>
        <w:t xml:space="preserve"> referred to as</w:t>
      </w:r>
      <w:r w:rsidRPr="007F04EF">
        <w:rPr>
          <w:lang w:val="en-GB"/>
        </w:rPr>
        <w:t>: IPM) means the systematic and planned control of harmful organisms and combines various plant protection approaches into a comprehensive, sustainable program</w:t>
      </w:r>
      <w:r w:rsidR="00EA785D" w:rsidRPr="007F04EF">
        <w:rPr>
          <w:lang w:val="en-GB"/>
        </w:rPr>
        <w:t xml:space="preserve">, </w:t>
      </w:r>
      <w:r w:rsidRPr="007F04EF">
        <w:rPr>
          <w:lang w:val="en-GB"/>
        </w:rPr>
        <w:t xml:space="preserve">based on a combination of preventive measures, low-risk </w:t>
      </w:r>
      <w:r w:rsidR="008C1374" w:rsidRPr="007F04EF">
        <w:rPr>
          <w:lang w:val="en-GB"/>
        </w:rPr>
        <w:t>methods,</w:t>
      </w:r>
      <w:r w:rsidRPr="007F04EF">
        <w:rPr>
          <w:lang w:val="en-GB"/>
        </w:rPr>
        <w:t xml:space="preserve"> and the use of PPPs. The aim of IPM is reducing the risk to the economy of agricultural production,</w:t>
      </w:r>
      <w:r w:rsidR="00ED604A" w:rsidRPr="007F04EF">
        <w:rPr>
          <w:lang w:val="en-GB"/>
        </w:rPr>
        <w:t xml:space="preserve"> to</w:t>
      </w:r>
      <w:r w:rsidRPr="007F04EF">
        <w:rPr>
          <w:lang w:val="en-GB"/>
        </w:rPr>
        <w:t xml:space="preserve"> human health and</w:t>
      </w:r>
      <w:r w:rsidR="00B62278" w:rsidRPr="007F04EF">
        <w:rPr>
          <w:lang w:val="en-GB"/>
        </w:rPr>
        <w:t xml:space="preserve"> to </w:t>
      </w:r>
      <w:r w:rsidRPr="007F04EF">
        <w:rPr>
          <w:lang w:val="en-GB"/>
        </w:rPr>
        <w:t>the environment.</w:t>
      </w:r>
    </w:p>
    <w:p w14:paraId="57AE5D4C" w14:textId="77777777" w:rsidR="0054182E" w:rsidRPr="007F04EF" w:rsidRDefault="0054182E" w:rsidP="00F267BA">
      <w:pPr>
        <w:rPr>
          <w:lang w:val="en-GB"/>
        </w:rPr>
      </w:pPr>
    </w:p>
    <w:p w14:paraId="47D08EDF" w14:textId="53845412" w:rsidR="004716DF" w:rsidRPr="007F04EF" w:rsidRDefault="004716DF" w:rsidP="004716DF">
      <w:pPr>
        <w:rPr>
          <w:lang w:val="en-GB"/>
        </w:rPr>
      </w:pPr>
      <w:r w:rsidRPr="007F04EF">
        <w:rPr>
          <w:lang w:val="en-GB"/>
        </w:rPr>
        <w:t xml:space="preserve">IPM includes eight </w:t>
      </w:r>
      <w:r w:rsidR="001F797E" w:rsidRPr="007F04EF">
        <w:rPr>
          <w:lang w:val="en-GB"/>
        </w:rPr>
        <w:t xml:space="preserve">essential </w:t>
      </w:r>
      <w:r w:rsidRPr="007F04EF">
        <w:rPr>
          <w:lang w:val="en-GB"/>
        </w:rPr>
        <w:t xml:space="preserve">principles </w:t>
      </w:r>
      <w:r w:rsidR="00B62278" w:rsidRPr="007F04EF">
        <w:rPr>
          <w:lang w:val="en-GB"/>
        </w:rPr>
        <w:t xml:space="preserve">laid down in the EU </w:t>
      </w:r>
      <w:r w:rsidRPr="007F04EF">
        <w:rPr>
          <w:lang w:val="en-GB"/>
        </w:rPr>
        <w:t>legislation:</w:t>
      </w:r>
    </w:p>
    <w:p w14:paraId="5B9EBD9D" w14:textId="77777777" w:rsidR="0054182E" w:rsidRPr="007F04EF" w:rsidRDefault="0054182E" w:rsidP="004716DF">
      <w:pPr>
        <w:rPr>
          <w:lang w:val="en-GB"/>
        </w:rPr>
      </w:pPr>
    </w:p>
    <w:p w14:paraId="2705CBCB" w14:textId="69067410" w:rsidR="004716DF" w:rsidRPr="007F04EF" w:rsidRDefault="00B62278" w:rsidP="00B62278">
      <w:pPr>
        <w:spacing w:after="60"/>
        <w:ind w:left="284" w:hanging="284"/>
        <w:rPr>
          <w:lang w:val="en-GB"/>
        </w:rPr>
      </w:pPr>
      <w:r w:rsidRPr="007F04EF">
        <w:rPr>
          <w:lang w:val="en-GB"/>
        </w:rPr>
        <w:t>-</w:t>
      </w:r>
      <w:r w:rsidRPr="007F04EF">
        <w:rPr>
          <w:lang w:val="en-GB"/>
        </w:rPr>
        <w:tab/>
        <w:t>Prevention and suppression of harmful organisms with agrot</w:t>
      </w:r>
      <w:r w:rsidR="004716DF" w:rsidRPr="007F04EF">
        <w:rPr>
          <w:lang w:val="en-GB"/>
        </w:rPr>
        <w:t>echnical measures,</w:t>
      </w:r>
    </w:p>
    <w:p w14:paraId="2467E8DD" w14:textId="65C71C50" w:rsidR="004716DF" w:rsidRPr="007F04EF" w:rsidRDefault="004716DF" w:rsidP="00B62278">
      <w:pPr>
        <w:spacing w:after="60"/>
        <w:ind w:left="284" w:hanging="284"/>
        <w:rPr>
          <w:lang w:val="en-GB"/>
        </w:rPr>
      </w:pPr>
      <w:r w:rsidRPr="007F04EF">
        <w:rPr>
          <w:lang w:val="en-GB"/>
        </w:rPr>
        <w:t>-</w:t>
      </w:r>
      <w:r w:rsidR="00B62278" w:rsidRPr="007F04EF">
        <w:rPr>
          <w:lang w:val="en-GB"/>
        </w:rPr>
        <w:tab/>
        <w:t>M</w:t>
      </w:r>
      <w:r w:rsidRPr="007F04EF">
        <w:rPr>
          <w:lang w:val="en-GB"/>
        </w:rPr>
        <w:t xml:space="preserve">onitoring and </w:t>
      </w:r>
      <w:r w:rsidR="000A155D" w:rsidRPr="007F04EF">
        <w:rPr>
          <w:lang w:val="en-GB"/>
        </w:rPr>
        <w:t>forecasting</w:t>
      </w:r>
      <w:r w:rsidRPr="007F04EF">
        <w:rPr>
          <w:lang w:val="en-GB"/>
        </w:rPr>
        <w:t xml:space="preserve"> of harmful organisms,</w:t>
      </w:r>
    </w:p>
    <w:p w14:paraId="415D3004" w14:textId="1AFA7BB8" w:rsidR="004716DF" w:rsidRPr="007F04EF" w:rsidRDefault="004716DF" w:rsidP="00B62278">
      <w:pPr>
        <w:spacing w:after="60"/>
        <w:ind w:left="284" w:hanging="284"/>
        <w:rPr>
          <w:lang w:val="en-GB"/>
        </w:rPr>
      </w:pPr>
      <w:r w:rsidRPr="007F04EF">
        <w:rPr>
          <w:lang w:val="en-GB"/>
        </w:rPr>
        <w:t>-</w:t>
      </w:r>
      <w:r w:rsidR="00B62278" w:rsidRPr="007F04EF">
        <w:rPr>
          <w:lang w:val="en-GB"/>
        </w:rPr>
        <w:tab/>
        <w:t>D</w:t>
      </w:r>
      <w:r w:rsidRPr="007F04EF">
        <w:rPr>
          <w:lang w:val="en-GB"/>
        </w:rPr>
        <w:t xml:space="preserve">eciding on measures based on </w:t>
      </w:r>
      <w:r w:rsidR="00C64B4B" w:rsidRPr="007F04EF">
        <w:rPr>
          <w:lang w:val="en-GB"/>
        </w:rPr>
        <w:t xml:space="preserve">pest control </w:t>
      </w:r>
      <w:r w:rsidR="00C45EEA" w:rsidRPr="007F04EF">
        <w:rPr>
          <w:lang w:val="en-GB"/>
        </w:rPr>
        <w:t>threshold</w:t>
      </w:r>
      <w:r w:rsidR="00500731" w:rsidRPr="007F04EF">
        <w:rPr>
          <w:lang w:val="en-GB"/>
        </w:rPr>
        <w:t>s</w:t>
      </w:r>
      <w:r w:rsidRPr="007F04EF">
        <w:rPr>
          <w:lang w:val="en-GB"/>
        </w:rPr>
        <w:t xml:space="preserve"> and local factors,</w:t>
      </w:r>
    </w:p>
    <w:p w14:paraId="2F07D91A" w14:textId="5CDDE671" w:rsidR="004716DF" w:rsidRPr="007F04EF" w:rsidRDefault="004716DF" w:rsidP="00B62278">
      <w:pPr>
        <w:spacing w:after="60"/>
        <w:ind w:left="284" w:hanging="284"/>
        <w:rPr>
          <w:lang w:val="en-GB"/>
        </w:rPr>
      </w:pPr>
      <w:r w:rsidRPr="007F04EF">
        <w:rPr>
          <w:lang w:val="en-GB"/>
        </w:rPr>
        <w:t>-</w:t>
      </w:r>
      <w:r w:rsidR="00B62278" w:rsidRPr="007F04EF">
        <w:rPr>
          <w:lang w:val="en-GB"/>
        </w:rPr>
        <w:tab/>
        <w:t>P</w:t>
      </w:r>
      <w:r w:rsidRPr="007F04EF">
        <w:rPr>
          <w:lang w:val="en-GB"/>
        </w:rPr>
        <w:t>referred choice of non-chemical methods of controlling harmful organisms,</w:t>
      </w:r>
    </w:p>
    <w:p w14:paraId="5B209781" w14:textId="386F3FA0" w:rsidR="004716DF" w:rsidRPr="007F04EF" w:rsidRDefault="004716DF" w:rsidP="00B62278">
      <w:pPr>
        <w:spacing w:after="60"/>
        <w:ind w:left="284" w:hanging="284"/>
        <w:rPr>
          <w:lang w:val="en-GB"/>
        </w:rPr>
      </w:pPr>
      <w:r w:rsidRPr="007F04EF">
        <w:rPr>
          <w:lang w:val="en-GB"/>
        </w:rPr>
        <w:t>-</w:t>
      </w:r>
      <w:r w:rsidR="00B62278" w:rsidRPr="007F04EF">
        <w:rPr>
          <w:lang w:val="en-GB"/>
        </w:rPr>
        <w:tab/>
        <w:t>S</w:t>
      </w:r>
      <w:r w:rsidRPr="007F04EF">
        <w:rPr>
          <w:lang w:val="en-GB"/>
        </w:rPr>
        <w:t xml:space="preserve">election of </w:t>
      </w:r>
      <w:r w:rsidR="00EA785D" w:rsidRPr="007F04EF">
        <w:rPr>
          <w:lang w:val="en-GB"/>
        </w:rPr>
        <w:t>PPP</w:t>
      </w:r>
      <w:r w:rsidR="00B62278" w:rsidRPr="007F04EF">
        <w:rPr>
          <w:lang w:val="en-GB"/>
        </w:rPr>
        <w:t>s</w:t>
      </w:r>
      <w:r w:rsidRPr="007F04EF">
        <w:rPr>
          <w:lang w:val="en-GB"/>
        </w:rPr>
        <w:t xml:space="preserve"> with specific </w:t>
      </w:r>
      <w:r w:rsidR="00C64B4B" w:rsidRPr="007F04EF">
        <w:rPr>
          <w:lang w:val="en-GB"/>
        </w:rPr>
        <w:t>mode of action</w:t>
      </w:r>
      <w:r w:rsidRPr="007F04EF">
        <w:rPr>
          <w:lang w:val="en-GB"/>
        </w:rPr>
        <w:t xml:space="preserve"> and </w:t>
      </w:r>
      <w:r w:rsidR="00C64B4B" w:rsidRPr="007F04EF">
        <w:rPr>
          <w:lang w:val="en-GB"/>
        </w:rPr>
        <w:t>lower</w:t>
      </w:r>
      <w:r w:rsidRPr="007F04EF">
        <w:rPr>
          <w:lang w:val="en-GB"/>
        </w:rPr>
        <w:t xml:space="preserve"> impact on the environment and health,</w:t>
      </w:r>
    </w:p>
    <w:p w14:paraId="0C6120A2" w14:textId="6F511423" w:rsidR="004716DF" w:rsidRPr="007F04EF" w:rsidRDefault="004716DF" w:rsidP="00B62278">
      <w:pPr>
        <w:spacing w:after="60"/>
        <w:ind w:left="284" w:hanging="284"/>
        <w:rPr>
          <w:lang w:val="en-GB"/>
        </w:rPr>
      </w:pPr>
      <w:r w:rsidRPr="007F04EF">
        <w:rPr>
          <w:lang w:val="en-GB"/>
        </w:rPr>
        <w:t>-</w:t>
      </w:r>
      <w:r w:rsidR="00B62278" w:rsidRPr="007F04EF">
        <w:rPr>
          <w:lang w:val="en-GB"/>
        </w:rPr>
        <w:tab/>
        <w:t>U</w:t>
      </w:r>
      <w:r w:rsidRPr="007F04EF">
        <w:rPr>
          <w:lang w:val="en-GB"/>
        </w:rPr>
        <w:t xml:space="preserve">se of </w:t>
      </w:r>
      <w:r w:rsidR="00EA785D" w:rsidRPr="007F04EF">
        <w:rPr>
          <w:lang w:val="en-GB"/>
        </w:rPr>
        <w:t xml:space="preserve">PPPs </w:t>
      </w:r>
      <w:r w:rsidR="00B62278" w:rsidRPr="007F04EF">
        <w:rPr>
          <w:lang w:val="en-GB"/>
        </w:rPr>
        <w:t>at lower doses</w:t>
      </w:r>
      <w:r w:rsidRPr="007F04EF">
        <w:rPr>
          <w:lang w:val="en-GB"/>
        </w:rPr>
        <w:t xml:space="preserve"> while simultaneously preventing the resistance of harmful organisms,</w:t>
      </w:r>
    </w:p>
    <w:p w14:paraId="052DA87E" w14:textId="6B714FEE" w:rsidR="004716DF" w:rsidRPr="007F04EF" w:rsidRDefault="004716DF" w:rsidP="00B62278">
      <w:pPr>
        <w:spacing w:after="60"/>
        <w:ind w:left="284" w:hanging="284"/>
        <w:rPr>
          <w:lang w:val="en-GB"/>
        </w:rPr>
      </w:pPr>
      <w:r w:rsidRPr="007F04EF">
        <w:rPr>
          <w:lang w:val="en-GB"/>
        </w:rPr>
        <w:t>-</w:t>
      </w:r>
      <w:r w:rsidR="00B62278" w:rsidRPr="007F04EF">
        <w:rPr>
          <w:lang w:val="en-GB"/>
        </w:rPr>
        <w:tab/>
        <w:t>P</w:t>
      </w:r>
      <w:r w:rsidRPr="007F04EF">
        <w:rPr>
          <w:lang w:val="en-GB"/>
        </w:rPr>
        <w:t>revention of the resistance of harmful organisms by using different</w:t>
      </w:r>
      <w:r w:rsidR="00B62278" w:rsidRPr="007F04EF">
        <w:rPr>
          <w:lang w:val="en-GB"/>
        </w:rPr>
        <w:t xml:space="preserve"> </w:t>
      </w:r>
      <w:r w:rsidR="00EA785D" w:rsidRPr="007F04EF">
        <w:rPr>
          <w:lang w:val="en-GB"/>
        </w:rPr>
        <w:t>PPPs</w:t>
      </w:r>
      <w:r w:rsidRPr="007F04EF">
        <w:rPr>
          <w:lang w:val="en-GB"/>
        </w:rPr>
        <w:t>,</w:t>
      </w:r>
    </w:p>
    <w:p w14:paraId="77B97E5E" w14:textId="64B436A8" w:rsidR="004716DF" w:rsidRPr="007F04EF" w:rsidRDefault="004716DF" w:rsidP="00B62278">
      <w:pPr>
        <w:spacing w:after="60"/>
        <w:ind w:left="284" w:hanging="284"/>
        <w:rPr>
          <w:lang w:val="en-GB"/>
        </w:rPr>
      </w:pPr>
      <w:r w:rsidRPr="007F04EF">
        <w:rPr>
          <w:lang w:val="en-GB"/>
        </w:rPr>
        <w:t>-</w:t>
      </w:r>
      <w:r w:rsidR="00B62278" w:rsidRPr="007F04EF">
        <w:rPr>
          <w:lang w:val="en-GB"/>
        </w:rPr>
        <w:tab/>
        <w:t>K</w:t>
      </w:r>
      <w:r w:rsidRPr="007F04EF">
        <w:rPr>
          <w:lang w:val="en-GB"/>
        </w:rPr>
        <w:t>eeping records of implemented</w:t>
      </w:r>
      <w:r w:rsidR="00B62278" w:rsidRPr="007F04EF">
        <w:rPr>
          <w:lang w:val="en-GB"/>
        </w:rPr>
        <w:t xml:space="preserve"> IPM </w:t>
      </w:r>
      <w:r w:rsidRPr="007F04EF">
        <w:rPr>
          <w:lang w:val="en-GB"/>
        </w:rPr>
        <w:t>measures and checking their effectiveness.</w:t>
      </w:r>
    </w:p>
    <w:p w14:paraId="38F97AC7" w14:textId="77777777" w:rsidR="00C45EEA" w:rsidRPr="007F04EF" w:rsidRDefault="00C45EEA" w:rsidP="004716DF">
      <w:pPr>
        <w:spacing w:after="60"/>
        <w:rPr>
          <w:lang w:val="en-GB"/>
        </w:rPr>
      </w:pPr>
    </w:p>
    <w:p w14:paraId="755231E2" w14:textId="63E25CED" w:rsidR="00500731" w:rsidRPr="007F04EF" w:rsidRDefault="00EA785D" w:rsidP="00B62278">
      <w:pPr>
        <w:jc w:val="both"/>
        <w:rPr>
          <w:lang w:val="en-GB"/>
        </w:rPr>
      </w:pPr>
      <w:proofErr w:type="gramStart"/>
      <w:r w:rsidRPr="007F04EF">
        <w:rPr>
          <w:lang w:val="en-GB"/>
        </w:rPr>
        <w:t>On account of</w:t>
      </w:r>
      <w:proofErr w:type="gramEnd"/>
      <w:r w:rsidRPr="007F04EF">
        <w:rPr>
          <w:lang w:val="en-GB"/>
        </w:rPr>
        <w:t xml:space="preserve"> </w:t>
      </w:r>
      <w:r w:rsidR="00500731" w:rsidRPr="007F04EF">
        <w:rPr>
          <w:lang w:val="en-GB"/>
        </w:rPr>
        <w:t>focused professional work of</w:t>
      </w:r>
      <w:r w:rsidRPr="007F04EF">
        <w:rPr>
          <w:lang w:val="en-GB"/>
        </w:rPr>
        <w:t xml:space="preserve"> the </w:t>
      </w:r>
      <w:r w:rsidR="00500731" w:rsidRPr="007F04EF">
        <w:rPr>
          <w:lang w:val="en-GB"/>
        </w:rPr>
        <w:t xml:space="preserve">public agricultural </w:t>
      </w:r>
      <w:r w:rsidRPr="007F04EF">
        <w:rPr>
          <w:lang w:val="en-GB"/>
        </w:rPr>
        <w:t xml:space="preserve">extension </w:t>
      </w:r>
      <w:r w:rsidR="00500731" w:rsidRPr="007F04EF">
        <w:rPr>
          <w:lang w:val="en-GB"/>
        </w:rPr>
        <w:t>service, the public</w:t>
      </w:r>
      <w:r w:rsidRPr="007F04EF">
        <w:rPr>
          <w:lang w:val="en-GB"/>
        </w:rPr>
        <w:t xml:space="preserve"> </w:t>
      </w:r>
      <w:r w:rsidR="0053419E" w:rsidRPr="007F04EF">
        <w:rPr>
          <w:lang w:val="en-GB"/>
        </w:rPr>
        <w:t>plant health</w:t>
      </w:r>
      <w:r w:rsidRPr="007F04EF">
        <w:rPr>
          <w:lang w:val="en-GB"/>
        </w:rPr>
        <w:t xml:space="preserve"> service, </w:t>
      </w:r>
      <w:r w:rsidR="00500731" w:rsidRPr="007F04EF">
        <w:rPr>
          <w:lang w:val="en-GB"/>
        </w:rPr>
        <w:t xml:space="preserve">and </w:t>
      </w:r>
      <w:r w:rsidR="00691B4A" w:rsidRPr="007F04EF">
        <w:rPr>
          <w:lang w:val="en-GB"/>
        </w:rPr>
        <w:t>expert</w:t>
      </w:r>
      <w:r w:rsidR="00500731" w:rsidRPr="007F04EF">
        <w:rPr>
          <w:lang w:val="en-GB"/>
        </w:rPr>
        <w:t xml:space="preserve"> work at agricultural institutes and centres</w:t>
      </w:r>
      <w:r w:rsidRPr="007F04EF">
        <w:rPr>
          <w:lang w:val="en-GB"/>
        </w:rPr>
        <w:t xml:space="preserve"> of </w:t>
      </w:r>
      <w:r w:rsidR="00500731" w:rsidRPr="007F04EF">
        <w:rPr>
          <w:lang w:val="en-GB"/>
        </w:rPr>
        <w:t>long</w:t>
      </w:r>
      <w:r w:rsidRPr="007F04EF">
        <w:rPr>
          <w:lang w:val="en-GB"/>
        </w:rPr>
        <w:t xml:space="preserve">-standing </w:t>
      </w:r>
      <w:r w:rsidR="00500731" w:rsidRPr="007F04EF">
        <w:rPr>
          <w:lang w:val="en-GB"/>
        </w:rPr>
        <w:t xml:space="preserve">operation, the basic </w:t>
      </w:r>
      <w:r w:rsidRPr="007F04EF">
        <w:rPr>
          <w:lang w:val="en-GB"/>
        </w:rPr>
        <w:t xml:space="preserve">IPM </w:t>
      </w:r>
      <w:r w:rsidR="00500731" w:rsidRPr="007F04EF">
        <w:rPr>
          <w:lang w:val="en-GB"/>
        </w:rPr>
        <w:t>principles are</w:t>
      </w:r>
      <w:r w:rsidRPr="007F04EF">
        <w:rPr>
          <w:lang w:val="en-GB"/>
        </w:rPr>
        <w:t xml:space="preserve"> applied i</w:t>
      </w:r>
      <w:r w:rsidR="00500731" w:rsidRPr="007F04EF">
        <w:rPr>
          <w:lang w:val="en-GB"/>
        </w:rPr>
        <w:t>n most cultivated areas.</w:t>
      </w:r>
    </w:p>
    <w:p w14:paraId="05FDF7F1" w14:textId="77777777" w:rsidR="0054182E" w:rsidRPr="007F04EF" w:rsidRDefault="0054182E" w:rsidP="00B62278">
      <w:pPr>
        <w:jc w:val="both"/>
        <w:rPr>
          <w:lang w:val="en-GB"/>
        </w:rPr>
      </w:pPr>
    </w:p>
    <w:p w14:paraId="6D50AF0C" w14:textId="111EC775" w:rsidR="00500731" w:rsidRPr="007F04EF" w:rsidRDefault="00500731" w:rsidP="00B62278">
      <w:pPr>
        <w:jc w:val="both"/>
        <w:rPr>
          <w:lang w:val="en-GB"/>
        </w:rPr>
      </w:pPr>
      <w:r w:rsidRPr="007F04EF">
        <w:rPr>
          <w:lang w:val="en-GB"/>
        </w:rPr>
        <w:t xml:space="preserve">In addition to the basic </w:t>
      </w:r>
      <w:r w:rsidR="00691B4A" w:rsidRPr="007F04EF">
        <w:rPr>
          <w:lang w:val="en-GB"/>
        </w:rPr>
        <w:t xml:space="preserve">IPM </w:t>
      </w:r>
      <w:r w:rsidRPr="007F04EF">
        <w:rPr>
          <w:lang w:val="en-GB"/>
        </w:rPr>
        <w:t xml:space="preserve">principles, Slovenia is also developing </w:t>
      </w:r>
      <w:r w:rsidR="00691B4A" w:rsidRPr="007F04EF">
        <w:rPr>
          <w:lang w:val="en-GB"/>
        </w:rPr>
        <w:t>voluntary specific IPM</w:t>
      </w:r>
      <w:r w:rsidRPr="007F04EF">
        <w:rPr>
          <w:lang w:val="en-GB"/>
        </w:rPr>
        <w:t xml:space="preserve"> guidelines for individual cultivated plants.</w:t>
      </w:r>
    </w:p>
    <w:p w14:paraId="45AC1623" w14:textId="77777777" w:rsidR="0054182E" w:rsidRPr="007F04EF" w:rsidRDefault="0054182E" w:rsidP="00B62278">
      <w:pPr>
        <w:jc w:val="both"/>
        <w:rPr>
          <w:lang w:val="en-GB"/>
        </w:rPr>
      </w:pPr>
    </w:p>
    <w:p w14:paraId="4B585A9E" w14:textId="29676A01" w:rsidR="00500731" w:rsidRPr="007F04EF" w:rsidRDefault="00500731" w:rsidP="00B62278">
      <w:pPr>
        <w:jc w:val="both"/>
        <w:rPr>
          <w:lang w:val="en-GB"/>
        </w:rPr>
      </w:pPr>
      <w:r w:rsidRPr="007F04EF">
        <w:rPr>
          <w:lang w:val="en-GB"/>
        </w:rPr>
        <w:t xml:space="preserve">All </w:t>
      </w:r>
      <w:r w:rsidR="00EA785D" w:rsidRPr="007F04EF">
        <w:rPr>
          <w:lang w:val="en-GB"/>
        </w:rPr>
        <w:t xml:space="preserve">the </w:t>
      </w:r>
      <w:r w:rsidR="00691B4A" w:rsidRPr="007F04EF">
        <w:rPr>
          <w:lang w:val="en-GB"/>
        </w:rPr>
        <w:t xml:space="preserve">IPM </w:t>
      </w:r>
      <w:r w:rsidRPr="007F04EF">
        <w:rPr>
          <w:lang w:val="en-GB"/>
        </w:rPr>
        <w:t xml:space="preserve">guidelines are </w:t>
      </w:r>
      <w:r w:rsidR="00691B4A" w:rsidRPr="007F04EF">
        <w:rPr>
          <w:lang w:val="en-GB"/>
        </w:rPr>
        <w:t>published</w:t>
      </w:r>
      <w:r w:rsidRPr="007F04EF">
        <w:rPr>
          <w:lang w:val="en-GB"/>
        </w:rPr>
        <w:t xml:space="preserve"> on the website</w:t>
      </w:r>
      <w:r w:rsidR="00EA785D" w:rsidRPr="007F04EF">
        <w:rPr>
          <w:lang w:val="en-GB"/>
        </w:rPr>
        <w:t xml:space="preserve">: </w:t>
      </w:r>
      <w:r w:rsidR="00691B4A" w:rsidRPr="007F04EF">
        <w:rPr>
          <w:lang w:val="en-GB"/>
        </w:rPr>
        <w:t>ivr.si</w:t>
      </w:r>
      <w:r w:rsidR="00691B4A" w:rsidRPr="007F04EF">
        <w:rPr>
          <w:rFonts w:cs="Arial"/>
          <w:color w:val="000000"/>
          <w:vertAlign w:val="superscript"/>
          <w:lang w:val="en-GB"/>
        </w:rPr>
        <w:footnoteReference w:id="19"/>
      </w:r>
      <w:r w:rsidR="00EA785D" w:rsidRPr="007F04EF">
        <w:rPr>
          <w:lang w:val="en-GB"/>
        </w:rPr>
        <w:t xml:space="preserve">, </w:t>
      </w:r>
      <w:r w:rsidR="00BB242A" w:rsidRPr="007F04EF">
        <w:rPr>
          <w:lang w:val="en-GB"/>
        </w:rPr>
        <w:t xml:space="preserve">as a collection of </w:t>
      </w:r>
      <w:r w:rsidRPr="007F04EF">
        <w:rPr>
          <w:lang w:val="en-GB"/>
        </w:rPr>
        <w:t>expert contributions from a</w:t>
      </w:r>
      <w:r w:rsidR="00691B4A" w:rsidRPr="007F04EF">
        <w:rPr>
          <w:lang w:val="en-GB"/>
        </w:rPr>
        <w:t xml:space="preserve">gricultural </w:t>
      </w:r>
      <w:r w:rsidR="00F85696" w:rsidRPr="007F04EF">
        <w:rPr>
          <w:lang w:val="en-GB"/>
        </w:rPr>
        <w:t>faculties</w:t>
      </w:r>
      <w:r w:rsidR="00691B4A" w:rsidRPr="007F04EF">
        <w:rPr>
          <w:lang w:val="en-GB"/>
        </w:rPr>
        <w:t>,</w:t>
      </w:r>
      <w:r w:rsidRPr="007F04EF">
        <w:rPr>
          <w:lang w:val="en-GB"/>
        </w:rPr>
        <w:t xml:space="preserve"> </w:t>
      </w:r>
      <w:proofErr w:type="gramStart"/>
      <w:r w:rsidRPr="007F04EF">
        <w:rPr>
          <w:lang w:val="en-GB"/>
        </w:rPr>
        <w:t>institutes</w:t>
      </w:r>
      <w:proofErr w:type="gramEnd"/>
      <w:r w:rsidRPr="007F04EF">
        <w:rPr>
          <w:lang w:val="en-GB"/>
        </w:rPr>
        <w:t xml:space="preserve"> and </w:t>
      </w:r>
      <w:r w:rsidR="00691B4A" w:rsidRPr="007F04EF">
        <w:rPr>
          <w:lang w:val="en-GB"/>
        </w:rPr>
        <w:t>centres</w:t>
      </w:r>
      <w:r w:rsidRPr="007F04EF">
        <w:rPr>
          <w:lang w:val="en-GB"/>
        </w:rPr>
        <w:t xml:space="preserve"> in Slovenia</w:t>
      </w:r>
      <w:r w:rsidR="00BB242A" w:rsidRPr="007F04EF">
        <w:rPr>
          <w:lang w:val="en-GB"/>
        </w:rPr>
        <w:t xml:space="preserve">, which are involved in </w:t>
      </w:r>
      <w:r w:rsidRPr="007F04EF">
        <w:rPr>
          <w:lang w:val="en-GB"/>
        </w:rPr>
        <w:t>plant protection</w:t>
      </w:r>
      <w:r w:rsidR="008C1374" w:rsidRPr="007F04EF">
        <w:rPr>
          <w:lang w:val="en-GB"/>
        </w:rPr>
        <w:t>.</w:t>
      </w:r>
      <w:r w:rsidRPr="007F04EF">
        <w:rPr>
          <w:lang w:val="en-GB"/>
        </w:rPr>
        <w:t xml:space="preserve"> </w:t>
      </w:r>
    </w:p>
    <w:p w14:paraId="4D2C99E6" w14:textId="77777777" w:rsidR="0054182E" w:rsidRPr="007F04EF" w:rsidRDefault="0054182E" w:rsidP="00500731">
      <w:pPr>
        <w:rPr>
          <w:lang w:val="en-GB"/>
        </w:rPr>
      </w:pPr>
    </w:p>
    <w:p w14:paraId="067E352A" w14:textId="201EDA22" w:rsidR="00C038F9" w:rsidRPr="007F04EF" w:rsidRDefault="00C6444F" w:rsidP="00C038F9">
      <w:pPr>
        <w:jc w:val="center"/>
        <w:rPr>
          <w:lang w:val="en-GB"/>
        </w:rPr>
      </w:pPr>
      <w:r w:rsidRPr="007F04EF">
        <w:rPr>
          <w:noProof/>
          <w:lang w:val="en-GB"/>
        </w:rPr>
        <w:lastRenderedPageBreak/>
        <w:drawing>
          <wp:inline distT="0" distB="0" distL="0" distR="0" wp14:anchorId="5AA315E1" wp14:editId="3D8B362D">
            <wp:extent cx="5038725" cy="3051175"/>
            <wp:effectExtent l="0" t="0" r="9525" b="15875"/>
            <wp:docPr id="7" name="Grafikon 7">
              <a:extLst xmlns:a="http://schemas.openxmlformats.org/drawingml/2006/main">
                <a:ext uri="{FF2B5EF4-FFF2-40B4-BE49-F238E27FC236}">
                  <a16:creationId xmlns:a16="http://schemas.microsoft.com/office/drawing/2014/main" id="{8DC72738-4963-B704-904A-97A71E8D8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B8698A" w14:textId="5040CC66" w:rsidR="00C038F9" w:rsidRPr="007F04EF" w:rsidRDefault="00BB242A" w:rsidP="00C038F9">
      <w:pPr>
        <w:pStyle w:val="Napis"/>
        <w:jc w:val="center"/>
        <w:rPr>
          <w:lang w:val="en-GB"/>
        </w:rPr>
      </w:pPr>
      <w:r w:rsidRPr="007F04EF">
        <w:rPr>
          <w:lang w:val="en-GB"/>
        </w:rPr>
        <w:t xml:space="preserve">Graph </w:t>
      </w:r>
      <w:r w:rsidR="00C038F9" w:rsidRPr="007F04EF">
        <w:rPr>
          <w:lang w:val="en-GB"/>
        </w:rPr>
        <w:fldChar w:fldCharType="begin"/>
      </w:r>
      <w:r w:rsidR="00C038F9" w:rsidRPr="007F04EF">
        <w:rPr>
          <w:lang w:val="en-GB"/>
        </w:rPr>
        <w:instrText xml:space="preserve"> SEQ Slika \* ARABIC </w:instrText>
      </w:r>
      <w:r w:rsidR="00C038F9" w:rsidRPr="007F04EF">
        <w:rPr>
          <w:lang w:val="en-GB"/>
        </w:rPr>
        <w:fldChar w:fldCharType="separate"/>
      </w:r>
      <w:r w:rsidR="00C038F9" w:rsidRPr="007F04EF">
        <w:rPr>
          <w:lang w:val="en-GB"/>
        </w:rPr>
        <w:t>7</w:t>
      </w:r>
      <w:r w:rsidR="00C038F9" w:rsidRPr="007F04EF">
        <w:rPr>
          <w:lang w:val="en-GB"/>
        </w:rPr>
        <w:fldChar w:fldCharType="end"/>
      </w:r>
      <w:r w:rsidR="00C038F9" w:rsidRPr="007F04EF">
        <w:rPr>
          <w:lang w:val="en-GB"/>
        </w:rPr>
        <w:t>:</w:t>
      </w:r>
      <w:r w:rsidR="0046399A" w:rsidRPr="007F04EF">
        <w:rPr>
          <w:lang w:val="en-GB"/>
        </w:rPr>
        <w:t xml:space="preserve"> </w:t>
      </w:r>
      <w:r w:rsidR="002D27BC" w:rsidRPr="007F04EF">
        <w:rPr>
          <w:lang w:val="en-GB"/>
        </w:rPr>
        <w:t>Number of visits to the IPM Portal</w:t>
      </w:r>
      <w:r w:rsidR="00C038F9" w:rsidRPr="007F04EF">
        <w:rPr>
          <w:lang w:val="en-GB"/>
        </w:rPr>
        <w:t xml:space="preserve"> </w:t>
      </w:r>
    </w:p>
    <w:p w14:paraId="41572DCA" w14:textId="77777777" w:rsidR="00944CBB" w:rsidRPr="007F04EF" w:rsidRDefault="00944CBB" w:rsidP="00500731">
      <w:pPr>
        <w:rPr>
          <w:lang w:val="en-GB"/>
        </w:rPr>
      </w:pPr>
    </w:p>
    <w:p w14:paraId="37A9744A" w14:textId="7DAEDCAC" w:rsidR="00500731" w:rsidRPr="007F04EF" w:rsidRDefault="002D27BC" w:rsidP="00BB242A">
      <w:pPr>
        <w:jc w:val="both"/>
        <w:rPr>
          <w:lang w:val="en-GB"/>
        </w:rPr>
      </w:pPr>
      <w:r w:rsidRPr="007F04EF">
        <w:rPr>
          <w:lang w:val="en-GB"/>
        </w:rPr>
        <w:t>E</w:t>
      </w:r>
      <w:r w:rsidR="000D4D6C" w:rsidRPr="007F04EF">
        <w:rPr>
          <w:lang w:val="en-GB"/>
        </w:rPr>
        <w:t>xpert</w:t>
      </w:r>
      <w:r w:rsidR="00500731" w:rsidRPr="007F04EF">
        <w:rPr>
          <w:lang w:val="en-GB"/>
        </w:rPr>
        <w:t xml:space="preserve"> work and</w:t>
      </w:r>
      <w:r w:rsidRPr="007F04EF">
        <w:rPr>
          <w:lang w:val="en-GB"/>
        </w:rPr>
        <w:t xml:space="preserve"> </w:t>
      </w:r>
      <w:r w:rsidR="00500731" w:rsidRPr="007F04EF">
        <w:rPr>
          <w:lang w:val="en-GB"/>
        </w:rPr>
        <w:t>the</w:t>
      </w:r>
      <w:r w:rsidRPr="007F04EF">
        <w:rPr>
          <w:lang w:val="en-GB"/>
        </w:rPr>
        <w:t xml:space="preserve"> IPM-</w:t>
      </w:r>
      <w:r w:rsidR="00500731" w:rsidRPr="007F04EF">
        <w:rPr>
          <w:lang w:val="en-GB"/>
        </w:rPr>
        <w:t>website are financed by A</w:t>
      </w:r>
      <w:r w:rsidRPr="007F04EF">
        <w:rPr>
          <w:lang w:val="en-GB"/>
        </w:rPr>
        <w:t>FSVSPP</w:t>
      </w:r>
      <w:r w:rsidR="00500731" w:rsidRPr="007F04EF">
        <w:rPr>
          <w:lang w:val="en-GB"/>
        </w:rPr>
        <w:t>.</w:t>
      </w:r>
      <w:r w:rsidRPr="007F04EF">
        <w:rPr>
          <w:lang w:val="en-GB"/>
        </w:rPr>
        <w:t xml:space="preserve"> </w:t>
      </w:r>
      <w:r w:rsidR="000D4D6C" w:rsidRPr="007F04EF">
        <w:rPr>
          <w:lang w:val="en-GB"/>
        </w:rPr>
        <w:t>PPP</w:t>
      </w:r>
      <w:r w:rsidRPr="007F04EF">
        <w:rPr>
          <w:lang w:val="en-GB"/>
        </w:rPr>
        <w:t>-</w:t>
      </w:r>
      <w:r w:rsidR="00500731" w:rsidRPr="007F04EF">
        <w:rPr>
          <w:lang w:val="en-GB"/>
        </w:rPr>
        <w:t xml:space="preserve">users can </w:t>
      </w:r>
      <w:r w:rsidRPr="007F04EF">
        <w:rPr>
          <w:lang w:val="en-GB"/>
        </w:rPr>
        <w:t xml:space="preserve">additionally </w:t>
      </w:r>
      <w:r w:rsidR="00500731" w:rsidRPr="007F04EF">
        <w:rPr>
          <w:lang w:val="en-GB"/>
        </w:rPr>
        <w:t>get expert advice in person</w:t>
      </w:r>
      <w:r w:rsidRPr="007F04EF">
        <w:rPr>
          <w:lang w:val="en-GB"/>
        </w:rPr>
        <w:t>,</w:t>
      </w:r>
      <w:r w:rsidR="00500731" w:rsidRPr="007F04EF">
        <w:rPr>
          <w:lang w:val="en-GB"/>
        </w:rPr>
        <w:t xml:space="preserve"> or by phone</w:t>
      </w:r>
      <w:r w:rsidRPr="007F04EF">
        <w:rPr>
          <w:lang w:val="en-GB"/>
        </w:rPr>
        <w:t xml:space="preserve">, </w:t>
      </w:r>
      <w:r w:rsidR="00500731" w:rsidRPr="007F04EF">
        <w:rPr>
          <w:lang w:val="en-GB"/>
        </w:rPr>
        <w:t xml:space="preserve">from the Public Agricultural </w:t>
      </w:r>
      <w:r w:rsidRPr="007F04EF">
        <w:rPr>
          <w:lang w:val="en-GB"/>
        </w:rPr>
        <w:t xml:space="preserve">Extension </w:t>
      </w:r>
      <w:r w:rsidR="00500731" w:rsidRPr="007F04EF">
        <w:rPr>
          <w:lang w:val="en-GB"/>
        </w:rPr>
        <w:t>Service</w:t>
      </w:r>
      <w:r w:rsidRPr="007F04EF">
        <w:rPr>
          <w:lang w:val="en-GB"/>
        </w:rPr>
        <w:t xml:space="preserve">, </w:t>
      </w:r>
      <w:r w:rsidR="00500731" w:rsidRPr="007F04EF">
        <w:rPr>
          <w:lang w:val="en-GB"/>
        </w:rPr>
        <w:t xml:space="preserve">and </w:t>
      </w:r>
      <w:r w:rsidRPr="007F04EF">
        <w:rPr>
          <w:lang w:val="en-GB"/>
        </w:rPr>
        <w:t>P</w:t>
      </w:r>
      <w:r w:rsidR="00500731" w:rsidRPr="007F04EF">
        <w:rPr>
          <w:lang w:val="en-GB"/>
        </w:rPr>
        <w:t>ublic Plant Health Service</w:t>
      </w:r>
      <w:r w:rsidR="000D4D6C" w:rsidRPr="007F04EF">
        <w:rPr>
          <w:lang w:val="en-GB"/>
        </w:rPr>
        <w:t>.</w:t>
      </w:r>
    </w:p>
    <w:p w14:paraId="0E210120" w14:textId="287A6541" w:rsidR="003E7211" w:rsidRPr="007F04EF" w:rsidRDefault="00FC2450" w:rsidP="00132266">
      <w:pPr>
        <w:pStyle w:val="Naslov3"/>
        <w:rPr>
          <w:lang w:val="en-GB"/>
        </w:rPr>
      </w:pPr>
      <w:bookmarkStart w:id="83" w:name="_Toc172027305"/>
      <w:r w:rsidRPr="007F04EF">
        <w:rPr>
          <w:lang w:val="en-GB"/>
        </w:rPr>
        <w:t xml:space="preserve">Assessment of </w:t>
      </w:r>
      <w:r w:rsidR="00F85696" w:rsidRPr="007F04EF">
        <w:rPr>
          <w:lang w:val="en-GB"/>
        </w:rPr>
        <w:t>exten</w:t>
      </w:r>
      <w:r w:rsidR="0046399A" w:rsidRPr="007F04EF">
        <w:rPr>
          <w:lang w:val="en-GB"/>
        </w:rPr>
        <w:t xml:space="preserve">t </w:t>
      </w:r>
      <w:r w:rsidR="00F85696" w:rsidRPr="007F04EF">
        <w:rPr>
          <w:lang w:val="en-GB"/>
        </w:rPr>
        <w:t>of use</w:t>
      </w:r>
      <w:r w:rsidRPr="007F04EF">
        <w:rPr>
          <w:lang w:val="en-GB"/>
        </w:rPr>
        <w:t xml:space="preserve"> </w:t>
      </w:r>
      <w:r w:rsidR="00F85696" w:rsidRPr="007F04EF">
        <w:rPr>
          <w:lang w:val="en-GB"/>
        </w:rPr>
        <w:t xml:space="preserve">of non-chemical plant </w:t>
      </w:r>
      <w:r w:rsidR="00DC4644" w:rsidRPr="007F04EF">
        <w:rPr>
          <w:lang w:val="en-GB"/>
        </w:rPr>
        <w:t>protection</w:t>
      </w:r>
      <w:r w:rsidRPr="007F04EF">
        <w:rPr>
          <w:lang w:val="en-GB"/>
        </w:rPr>
        <w:t xml:space="preserve"> methods</w:t>
      </w:r>
      <w:bookmarkEnd w:id="83"/>
      <w:r w:rsidRPr="007F04EF">
        <w:rPr>
          <w:lang w:val="en-GB"/>
        </w:rPr>
        <w:t xml:space="preserve"> </w:t>
      </w:r>
    </w:p>
    <w:p w14:paraId="1F0A5D1A" w14:textId="77777777" w:rsidR="00944CBB" w:rsidRPr="007F04EF" w:rsidRDefault="00944CBB" w:rsidP="00132266">
      <w:pPr>
        <w:rPr>
          <w:color w:val="000000"/>
          <w:lang w:val="en-GB"/>
        </w:rPr>
      </w:pPr>
    </w:p>
    <w:p w14:paraId="34E82B1D" w14:textId="48D759E2" w:rsidR="00F85696" w:rsidRPr="007F04EF" w:rsidRDefault="00F85696" w:rsidP="00BB242A">
      <w:pPr>
        <w:jc w:val="both"/>
        <w:rPr>
          <w:color w:val="000000"/>
          <w:lang w:val="en-GB"/>
        </w:rPr>
      </w:pPr>
      <w:r w:rsidRPr="007F04EF">
        <w:rPr>
          <w:color w:val="000000"/>
          <w:lang w:val="en-GB"/>
        </w:rPr>
        <w:t xml:space="preserve">Non-chemical plant protection </w:t>
      </w:r>
      <w:r w:rsidR="00FC2450" w:rsidRPr="007F04EF">
        <w:rPr>
          <w:color w:val="000000"/>
          <w:lang w:val="en-GB"/>
        </w:rPr>
        <w:t xml:space="preserve">methods </w:t>
      </w:r>
      <w:r w:rsidR="00DC4644" w:rsidRPr="007F04EF">
        <w:rPr>
          <w:color w:val="000000"/>
          <w:lang w:val="en-GB"/>
        </w:rPr>
        <w:t>have</w:t>
      </w:r>
      <w:r w:rsidR="00AA54B2" w:rsidRPr="007F04EF">
        <w:rPr>
          <w:color w:val="000000"/>
          <w:lang w:val="en-GB"/>
        </w:rPr>
        <w:t xml:space="preserve"> been</w:t>
      </w:r>
      <w:r w:rsidR="00DC4644" w:rsidRPr="007F04EF">
        <w:rPr>
          <w:color w:val="000000"/>
          <w:lang w:val="en-GB"/>
        </w:rPr>
        <w:t xml:space="preserve"> </w:t>
      </w:r>
      <w:r w:rsidRPr="007F04EF">
        <w:rPr>
          <w:color w:val="000000"/>
          <w:lang w:val="en-GB"/>
        </w:rPr>
        <w:t xml:space="preserve">most </w:t>
      </w:r>
      <w:r w:rsidR="00DC4644" w:rsidRPr="007F04EF">
        <w:rPr>
          <w:color w:val="000000"/>
          <w:lang w:val="en-GB"/>
        </w:rPr>
        <w:t>success</w:t>
      </w:r>
      <w:r w:rsidR="00AA54B2" w:rsidRPr="007F04EF">
        <w:rPr>
          <w:color w:val="000000"/>
          <w:lang w:val="en-GB"/>
        </w:rPr>
        <w:t>ful</w:t>
      </w:r>
      <w:r w:rsidR="00DC4644" w:rsidRPr="007F04EF">
        <w:rPr>
          <w:color w:val="000000"/>
          <w:lang w:val="en-GB"/>
        </w:rPr>
        <w:t xml:space="preserve"> </w:t>
      </w:r>
      <w:r w:rsidRPr="007F04EF">
        <w:rPr>
          <w:color w:val="000000"/>
          <w:lang w:val="en-GB"/>
        </w:rPr>
        <w:t xml:space="preserve">in controlling </w:t>
      </w:r>
      <w:r w:rsidR="00FC2450" w:rsidRPr="007F04EF">
        <w:rPr>
          <w:color w:val="000000"/>
          <w:lang w:val="en-GB"/>
        </w:rPr>
        <w:t xml:space="preserve">the </w:t>
      </w:r>
      <w:r w:rsidRPr="007F04EF">
        <w:rPr>
          <w:color w:val="000000"/>
          <w:lang w:val="en-GB"/>
        </w:rPr>
        <w:t xml:space="preserve">weeds and </w:t>
      </w:r>
      <w:r w:rsidR="00DC4644" w:rsidRPr="007F04EF">
        <w:rPr>
          <w:color w:val="000000"/>
          <w:lang w:val="en-GB"/>
        </w:rPr>
        <w:t>insects.</w:t>
      </w:r>
      <w:r w:rsidR="00FC2450" w:rsidRPr="007F04EF">
        <w:rPr>
          <w:color w:val="000000"/>
          <w:lang w:val="en-GB"/>
        </w:rPr>
        <w:t xml:space="preserve"> Unlike</w:t>
      </w:r>
      <w:r w:rsidR="00997D85" w:rsidRPr="007F04EF">
        <w:rPr>
          <w:color w:val="000000"/>
          <w:lang w:val="en-GB"/>
        </w:rPr>
        <w:t xml:space="preserve"> </w:t>
      </w:r>
      <w:r w:rsidR="00FC2450" w:rsidRPr="007F04EF">
        <w:rPr>
          <w:color w:val="000000"/>
          <w:lang w:val="en-GB"/>
        </w:rPr>
        <w:t>i</w:t>
      </w:r>
      <w:r w:rsidRPr="007F04EF">
        <w:rPr>
          <w:color w:val="000000"/>
          <w:lang w:val="en-GB"/>
        </w:rPr>
        <w:t>n</w:t>
      </w:r>
      <w:r w:rsidR="00FC2450" w:rsidRPr="007F04EF">
        <w:rPr>
          <w:color w:val="000000"/>
          <w:lang w:val="en-GB"/>
        </w:rPr>
        <w:t xml:space="preserve"> </w:t>
      </w:r>
      <w:r w:rsidRPr="007F04EF">
        <w:rPr>
          <w:color w:val="000000"/>
          <w:lang w:val="en-GB"/>
        </w:rPr>
        <w:t>the</w:t>
      </w:r>
      <w:r w:rsidR="00FC2450" w:rsidRPr="007F04EF">
        <w:rPr>
          <w:color w:val="000000"/>
          <w:lang w:val="en-GB"/>
        </w:rPr>
        <w:t xml:space="preserve"> </w:t>
      </w:r>
      <w:r w:rsidRPr="007F04EF">
        <w:rPr>
          <w:color w:val="000000"/>
          <w:lang w:val="en-GB"/>
        </w:rPr>
        <w:t>past</w:t>
      </w:r>
      <w:r w:rsidR="00DC4644" w:rsidRPr="007F04EF">
        <w:rPr>
          <w:color w:val="000000"/>
          <w:lang w:val="en-GB"/>
        </w:rPr>
        <w:t>,</w:t>
      </w:r>
      <w:r w:rsidR="00FC2450" w:rsidRPr="007F04EF">
        <w:rPr>
          <w:color w:val="000000"/>
          <w:lang w:val="en-GB"/>
        </w:rPr>
        <w:t xml:space="preserve"> </w:t>
      </w:r>
      <w:r w:rsidRPr="007F04EF">
        <w:rPr>
          <w:color w:val="000000"/>
          <w:lang w:val="en-GB"/>
        </w:rPr>
        <w:t xml:space="preserve">growers </w:t>
      </w:r>
      <w:r w:rsidR="00FC2450" w:rsidRPr="007F04EF">
        <w:rPr>
          <w:color w:val="000000"/>
          <w:lang w:val="en-GB"/>
        </w:rPr>
        <w:t xml:space="preserve">have more recently been using </w:t>
      </w:r>
      <w:r w:rsidRPr="007F04EF">
        <w:rPr>
          <w:color w:val="000000"/>
          <w:lang w:val="en-GB"/>
        </w:rPr>
        <w:t>a combination of mechanical measures (</w:t>
      </w:r>
      <w:r w:rsidR="00AA54B2" w:rsidRPr="007F04EF">
        <w:rPr>
          <w:color w:val="000000"/>
          <w:lang w:val="en-GB"/>
        </w:rPr>
        <w:t xml:space="preserve">for example, </w:t>
      </w:r>
      <w:r w:rsidRPr="007F04EF">
        <w:rPr>
          <w:color w:val="000000"/>
          <w:lang w:val="en-GB"/>
        </w:rPr>
        <w:t>dominating hoeing or combing crops) and herbicides</w:t>
      </w:r>
      <w:r w:rsidR="00DC4644" w:rsidRPr="007F04EF">
        <w:rPr>
          <w:color w:val="000000"/>
          <w:lang w:val="en-GB"/>
        </w:rPr>
        <w:t xml:space="preserve"> for controlling </w:t>
      </w:r>
      <w:r w:rsidR="00D947B3" w:rsidRPr="007F04EF">
        <w:rPr>
          <w:color w:val="000000"/>
          <w:lang w:val="en-GB"/>
        </w:rPr>
        <w:t xml:space="preserve">the </w:t>
      </w:r>
      <w:r w:rsidR="00DC4644" w:rsidRPr="007F04EF">
        <w:rPr>
          <w:color w:val="000000"/>
          <w:lang w:val="en-GB"/>
        </w:rPr>
        <w:t xml:space="preserve">weeds. </w:t>
      </w:r>
      <w:r w:rsidRPr="007F04EF">
        <w:rPr>
          <w:color w:val="000000"/>
          <w:lang w:val="en-GB"/>
        </w:rPr>
        <w:t>Mechanical weed control by hoeing is a common supplementary measure in the production of corn, soybeans, sunflowers, oil pumpkins and potatoes (performed by 40-60</w:t>
      </w:r>
      <w:r w:rsidR="00D947B3" w:rsidRPr="007F04EF">
        <w:rPr>
          <w:color w:val="000000"/>
          <w:lang w:val="en-GB"/>
        </w:rPr>
        <w:t xml:space="preserve"> </w:t>
      </w:r>
      <w:r w:rsidRPr="007F04EF">
        <w:rPr>
          <w:color w:val="000000"/>
          <w:lang w:val="en-GB"/>
        </w:rPr>
        <w:t>% of market growers). In cereal production, growers often perform mechanical weed control by combing the crop (up to 30</w:t>
      </w:r>
      <w:r w:rsidR="00D947B3" w:rsidRPr="007F04EF">
        <w:rPr>
          <w:color w:val="000000"/>
          <w:lang w:val="en-GB"/>
        </w:rPr>
        <w:t xml:space="preserve"> </w:t>
      </w:r>
      <w:r w:rsidRPr="007F04EF">
        <w:rPr>
          <w:color w:val="000000"/>
          <w:lang w:val="en-GB"/>
        </w:rPr>
        <w:t>% of the crop). In</w:t>
      </w:r>
      <w:r w:rsidR="00D947B3" w:rsidRPr="007F04EF">
        <w:rPr>
          <w:color w:val="000000"/>
          <w:lang w:val="en-GB"/>
        </w:rPr>
        <w:t xml:space="preserve"> hops </w:t>
      </w:r>
      <w:r w:rsidRPr="007F04EF">
        <w:rPr>
          <w:color w:val="000000"/>
          <w:lang w:val="en-GB"/>
        </w:rPr>
        <w:t>cultivation,</w:t>
      </w:r>
      <w:r w:rsidR="00D947B3" w:rsidRPr="007F04EF">
        <w:rPr>
          <w:color w:val="000000"/>
          <w:lang w:val="en-GB"/>
        </w:rPr>
        <w:t xml:space="preserve"> </w:t>
      </w:r>
      <w:r w:rsidRPr="007F04EF">
        <w:rPr>
          <w:color w:val="000000"/>
          <w:lang w:val="en-GB"/>
        </w:rPr>
        <w:t>growers do not use herbicides (100</w:t>
      </w:r>
      <w:r w:rsidR="00D947B3" w:rsidRPr="007F04EF">
        <w:rPr>
          <w:color w:val="000000"/>
          <w:lang w:val="en-GB"/>
        </w:rPr>
        <w:t xml:space="preserve"> </w:t>
      </w:r>
      <w:r w:rsidRPr="007F04EF">
        <w:rPr>
          <w:color w:val="000000"/>
          <w:lang w:val="en-GB"/>
        </w:rPr>
        <w:t>%)</w:t>
      </w:r>
      <w:r w:rsidR="00DC4644" w:rsidRPr="007F04EF">
        <w:rPr>
          <w:color w:val="000000"/>
          <w:lang w:val="en-GB"/>
        </w:rPr>
        <w:t xml:space="preserve">; </w:t>
      </w:r>
      <w:r w:rsidR="00670DBE" w:rsidRPr="007F04EF">
        <w:rPr>
          <w:color w:val="000000"/>
          <w:lang w:val="en-GB"/>
        </w:rPr>
        <w:t xml:space="preserve">they regulate </w:t>
      </w:r>
      <w:r w:rsidRPr="007F04EF">
        <w:rPr>
          <w:color w:val="000000"/>
          <w:lang w:val="en-GB"/>
        </w:rPr>
        <w:t xml:space="preserve">weed vegetation by more frequent mechanical tillage and by </w:t>
      </w:r>
      <w:r w:rsidR="00670DBE" w:rsidRPr="007F04EF">
        <w:rPr>
          <w:color w:val="000000"/>
          <w:lang w:val="en-GB"/>
        </w:rPr>
        <w:t>companion planting</w:t>
      </w:r>
      <w:r w:rsidRPr="007F04EF">
        <w:rPr>
          <w:color w:val="000000"/>
          <w:lang w:val="en-GB"/>
        </w:rPr>
        <w:t>.</w:t>
      </w:r>
      <w:r w:rsidR="00D947B3" w:rsidRPr="007F04EF">
        <w:rPr>
          <w:color w:val="000000"/>
          <w:lang w:val="en-GB"/>
        </w:rPr>
        <w:t xml:space="preserve"> And, t</w:t>
      </w:r>
      <w:r w:rsidR="00670DBE" w:rsidRPr="007F04EF">
        <w:rPr>
          <w:color w:val="000000"/>
          <w:lang w:val="en-GB"/>
        </w:rPr>
        <w:t>he</w:t>
      </w:r>
      <w:r w:rsidR="00D947B3" w:rsidRPr="007F04EF">
        <w:rPr>
          <w:color w:val="000000"/>
          <w:lang w:val="en-GB"/>
        </w:rPr>
        <w:t xml:space="preserve"> </w:t>
      </w:r>
      <w:r w:rsidR="00670DBE" w:rsidRPr="007F04EF">
        <w:rPr>
          <w:color w:val="000000"/>
          <w:lang w:val="en-GB"/>
        </w:rPr>
        <w:t>e</w:t>
      </w:r>
      <w:r w:rsidRPr="007F04EF">
        <w:rPr>
          <w:color w:val="000000"/>
          <w:lang w:val="en-GB"/>
        </w:rPr>
        <w:t xml:space="preserve">xcess </w:t>
      </w:r>
      <w:r w:rsidR="00670DBE" w:rsidRPr="007F04EF">
        <w:rPr>
          <w:color w:val="000000"/>
          <w:lang w:val="en-GB"/>
        </w:rPr>
        <w:t xml:space="preserve">hop </w:t>
      </w:r>
      <w:r w:rsidRPr="007F04EF">
        <w:rPr>
          <w:color w:val="000000"/>
          <w:lang w:val="en-GB"/>
        </w:rPr>
        <w:t xml:space="preserve">shoots </w:t>
      </w:r>
      <w:r w:rsidR="00D947B3" w:rsidRPr="007F04EF">
        <w:rPr>
          <w:color w:val="000000"/>
          <w:lang w:val="en-GB"/>
        </w:rPr>
        <w:t xml:space="preserve">are removed manually, </w:t>
      </w:r>
      <w:proofErr w:type="gramStart"/>
      <w:r w:rsidR="00D947B3" w:rsidRPr="007F04EF">
        <w:rPr>
          <w:color w:val="000000"/>
          <w:lang w:val="en-GB"/>
        </w:rPr>
        <w:t>i.e.</w:t>
      </w:r>
      <w:proofErr w:type="gramEnd"/>
      <w:r w:rsidR="00D947B3" w:rsidRPr="007F04EF">
        <w:rPr>
          <w:color w:val="000000"/>
          <w:lang w:val="en-GB"/>
        </w:rPr>
        <w:t xml:space="preserve"> </w:t>
      </w:r>
      <w:r w:rsidRPr="007F04EF">
        <w:rPr>
          <w:color w:val="000000"/>
          <w:lang w:val="en-GB"/>
        </w:rPr>
        <w:t>non-chemically.</w:t>
      </w:r>
    </w:p>
    <w:p w14:paraId="53538136" w14:textId="77777777" w:rsidR="00944CBB" w:rsidRPr="007F04EF" w:rsidRDefault="00944CBB" w:rsidP="00BB242A">
      <w:pPr>
        <w:jc w:val="both"/>
        <w:rPr>
          <w:color w:val="000000"/>
          <w:lang w:val="en-GB"/>
        </w:rPr>
      </w:pPr>
    </w:p>
    <w:p w14:paraId="6696A829" w14:textId="40AAB5EB" w:rsidR="00A66FC4" w:rsidRPr="007F04EF" w:rsidRDefault="00A66FC4" w:rsidP="00BB242A">
      <w:pPr>
        <w:jc w:val="both"/>
        <w:rPr>
          <w:lang w:val="en-GB"/>
        </w:rPr>
      </w:pPr>
      <w:r w:rsidRPr="007F04EF">
        <w:rPr>
          <w:lang w:val="en-GB"/>
        </w:rPr>
        <w:t>In the cultivation of vegetables, growers use less herbicides for weed control (up to 30</w:t>
      </w:r>
      <w:r w:rsidR="002D27BC" w:rsidRPr="007F04EF">
        <w:rPr>
          <w:lang w:val="en-GB"/>
        </w:rPr>
        <w:t xml:space="preserve"> </w:t>
      </w:r>
      <w:r w:rsidRPr="007F04EF">
        <w:rPr>
          <w:lang w:val="en-GB"/>
        </w:rPr>
        <w:t>% of areas).</w:t>
      </w:r>
      <w:r w:rsidR="00D947B3" w:rsidRPr="007F04EF">
        <w:rPr>
          <w:lang w:val="en-GB"/>
        </w:rPr>
        <w:t xml:space="preserve"> Instead of herbicides they m</w:t>
      </w:r>
      <w:r w:rsidRPr="007F04EF">
        <w:rPr>
          <w:lang w:val="en-GB"/>
        </w:rPr>
        <w:t>ost often</w:t>
      </w:r>
      <w:r w:rsidR="00D947B3" w:rsidRPr="007F04EF">
        <w:rPr>
          <w:lang w:val="en-GB"/>
        </w:rPr>
        <w:t xml:space="preserve"> </w:t>
      </w:r>
      <w:r w:rsidRPr="007F04EF">
        <w:rPr>
          <w:lang w:val="en-GB"/>
        </w:rPr>
        <w:t>use different cover foils and frequent mechanical tillage.</w:t>
      </w:r>
      <w:r w:rsidR="00D947B3" w:rsidRPr="007F04EF">
        <w:rPr>
          <w:lang w:val="en-GB"/>
        </w:rPr>
        <w:t xml:space="preserve"> </w:t>
      </w:r>
      <w:r w:rsidRPr="007F04EF">
        <w:rPr>
          <w:lang w:val="en-GB"/>
        </w:rPr>
        <w:t>They use insect nets and agr</w:t>
      </w:r>
      <w:r w:rsidR="001D0AAD" w:rsidRPr="007F04EF">
        <w:rPr>
          <w:lang w:val="en-GB"/>
        </w:rPr>
        <w:t xml:space="preserve">iculture </w:t>
      </w:r>
      <w:r w:rsidRPr="007F04EF">
        <w:rPr>
          <w:lang w:val="en-GB"/>
        </w:rPr>
        <w:t>textile coverings to protect crops from pests. Up to 60</w:t>
      </w:r>
      <w:r w:rsidR="00D947B3" w:rsidRPr="007F04EF">
        <w:rPr>
          <w:lang w:val="en-GB"/>
        </w:rPr>
        <w:t xml:space="preserve"> </w:t>
      </w:r>
      <w:r w:rsidRPr="007F04EF">
        <w:rPr>
          <w:lang w:val="en-GB"/>
        </w:rPr>
        <w:t xml:space="preserve">% of market growers regularly use various </w:t>
      </w:r>
      <w:r w:rsidR="001D0AAD" w:rsidRPr="007F04EF">
        <w:rPr>
          <w:lang w:val="en-GB"/>
        </w:rPr>
        <w:t>bio stimulants</w:t>
      </w:r>
      <w:r w:rsidRPr="007F04EF">
        <w:rPr>
          <w:lang w:val="en-GB"/>
        </w:rPr>
        <w:t xml:space="preserve"> (algae, amino acids). Beneficial organisms (20</w:t>
      </w:r>
      <w:r w:rsidR="00D947B3" w:rsidRPr="007F04EF">
        <w:rPr>
          <w:lang w:val="en-GB"/>
        </w:rPr>
        <w:t xml:space="preserve"> </w:t>
      </w:r>
      <w:r w:rsidRPr="007F04EF">
        <w:rPr>
          <w:lang w:val="en-GB"/>
        </w:rPr>
        <w:t>% of areas) are used</w:t>
      </w:r>
      <w:r w:rsidR="00D947B3" w:rsidRPr="007F04EF">
        <w:rPr>
          <w:lang w:val="en-GB"/>
        </w:rPr>
        <w:t xml:space="preserve"> as pest control at </w:t>
      </w:r>
      <w:r w:rsidRPr="007F04EF">
        <w:rPr>
          <w:lang w:val="en-GB"/>
        </w:rPr>
        <w:t>cultivation in sheltered areas</w:t>
      </w:r>
      <w:r w:rsidR="00D947B3" w:rsidRPr="007F04EF">
        <w:rPr>
          <w:lang w:val="en-GB"/>
        </w:rPr>
        <w:t xml:space="preserve"> </w:t>
      </w:r>
      <w:r w:rsidRPr="007F04EF">
        <w:rPr>
          <w:lang w:val="en-GB"/>
        </w:rPr>
        <w:t>(</w:t>
      </w:r>
      <w:proofErr w:type="gramStart"/>
      <w:r w:rsidR="001D0AAD" w:rsidRPr="007F04EF">
        <w:rPr>
          <w:lang w:val="en-GB"/>
        </w:rPr>
        <w:t>e.g.</w:t>
      </w:r>
      <w:proofErr w:type="gramEnd"/>
      <w:r w:rsidR="00D947B3" w:rsidRPr="007F04EF">
        <w:rPr>
          <w:lang w:val="en-GB"/>
        </w:rPr>
        <w:t xml:space="preserve"> </w:t>
      </w:r>
      <w:r w:rsidR="001D0AAD" w:rsidRPr="007F04EF">
        <w:rPr>
          <w:lang w:val="en-GB"/>
        </w:rPr>
        <w:t>thrips</w:t>
      </w:r>
      <w:r w:rsidRPr="007F04EF">
        <w:rPr>
          <w:lang w:val="en-GB"/>
        </w:rPr>
        <w:t>, mite</w:t>
      </w:r>
      <w:r w:rsidR="00C015B1" w:rsidRPr="007F04EF">
        <w:rPr>
          <w:lang w:val="en-GB"/>
        </w:rPr>
        <w:t>s</w:t>
      </w:r>
      <w:r w:rsidRPr="007F04EF">
        <w:rPr>
          <w:lang w:val="en-GB"/>
        </w:rPr>
        <w:t>, greenhouse whitefly).</w:t>
      </w:r>
    </w:p>
    <w:p w14:paraId="5FEE28EF" w14:textId="77777777" w:rsidR="00944CBB" w:rsidRPr="007F04EF" w:rsidRDefault="00944CBB" w:rsidP="00BB242A">
      <w:pPr>
        <w:jc w:val="both"/>
        <w:rPr>
          <w:lang w:val="en-GB"/>
        </w:rPr>
      </w:pPr>
    </w:p>
    <w:p w14:paraId="2A178A54" w14:textId="02A888FF" w:rsidR="00EA3184" w:rsidRPr="007F04EF" w:rsidRDefault="00EA3184" w:rsidP="00BB242A">
      <w:pPr>
        <w:jc w:val="both"/>
        <w:rPr>
          <w:lang w:val="en-GB"/>
        </w:rPr>
      </w:pPr>
      <w:r w:rsidRPr="007F04EF">
        <w:rPr>
          <w:lang w:val="en-GB"/>
        </w:rPr>
        <w:t>In the cultivation of berries</w:t>
      </w:r>
      <w:r w:rsidR="008C1374" w:rsidRPr="007F04EF">
        <w:rPr>
          <w:lang w:val="en-GB"/>
        </w:rPr>
        <w:t xml:space="preserve"> and small fruits</w:t>
      </w:r>
      <w:r w:rsidRPr="007F04EF">
        <w:rPr>
          <w:lang w:val="en-GB"/>
        </w:rPr>
        <w:t>, growers cover the soil with various foils against weeds. In the last two years</w:t>
      </w:r>
      <w:r w:rsidR="00E52A52" w:rsidRPr="007F04EF">
        <w:rPr>
          <w:lang w:val="en-GB"/>
        </w:rPr>
        <w:t xml:space="preserve">, </w:t>
      </w:r>
      <w:r w:rsidRPr="007F04EF">
        <w:rPr>
          <w:lang w:val="en-GB"/>
        </w:rPr>
        <w:t xml:space="preserve">growers </w:t>
      </w:r>
      <w:r w:rsidR="003F783E" w:rsidRPr="007F04EF">
        <w:rPr>
          <w:lang w:val="en-GB"/>
        </w:rPr>
        <w:t xml:space="preserve">have </w:t>
      </w:r>
      <w:r w:rsidRPr="007F04EF">
        <w:rPr>
          <w:lang w:val="en-GB"/>
        </w:rPr>
        <w:t xml:space="preserve">also </w:t>
      </w:r>
      <w:r w:rsidR="003F783E" w:rsidRPr="007F04EF">
        <w:rPr>
          <w:lang w:val="en-GB"/>
        </w:rPr>
        <w:t xml:space="preserve">been </w:t>
      </w:r>
      <w:r w:rsidRPr="007F04EF">
        <w:rPr>
          <w:lang w:val="en-GB"/>
        </w:rPr>
        <w:t>grow</w:t>
      </w:r>
      <w:r w:rsidR="003F783E" w:rsidRPr="007F04EF">
        <w:rPr>
          <w:lang w:val="en-GB"/>
        </w:rPr>
        <w:t>ing</w:t>
      </w:r>
      <w:r w:rsidRPr="007F04EF">
        <w:rPr>
          <w:lang w:val="en-GB"/>
        </w:rPr>
        <w:t xml:space="preserve"> berries and small fruits in pots or bags</w:t>
      </w:r>
      <w:r w:rsidR="00E52A52" w:rsidRPr="007F04EF">
        <w:rPr>
          <w:lang w:val="en-GB"/>
        </w:rPr>
        <w:t xml:space="preserve">; </w:t>
      </w:r>
      <w:r w:rsidRPr="007F04EF">
        <w:rPr>
          <w:lang w:val="en-GB"/>
        </w:rPr>
        <w:t>50-60</w:t>
      </w:r>
      <w:r w:rsidR="00E52A52" w:rsidRPr="007F04EF">
        <w:rPr>
          <w:lang w:val="en-GB"/>
        </w:rPr>
        <w:t xml:space="preserve"> </w:t>
      </w:r>
      <w:r w:rsidRPr="007F04EF">
        <w:rPr>
          <w:lang w:val="en-GB"/>
        </w:rPr>
        <w:t>% of growers use nets and food traps</w:t>
      </w:r>
      <w:r w:rsidR="00E52A52" w:rsidRPr="007F04EF">
        <w:rPr>
          <w:lang w:val="en-GB"/>
        </w:rPr>
        <w:t xml:space="preserve"> against insects</w:t>
      </w:r>
      <w:r w:rsidRPr="007F04EF">
        <w:rPr>
          <w:lang w:val="en-GB"/>
        </w:rPr>
        <w:t>.</w:t>
      </w:r>
    </w:p>
    <w:p w14:paraId="326D373E" w14:textId="77777777" w:rsidR="00944CBB" w:rsidRPr="007F04EF" w:rsidRDefault="00944CBB" w:rsidP="00BB242A">
      <w:pPr>
        <w:jc w:val="both"/>
        <w:rPr>
          <w:lang w:val="en-GB"/>
        </w:rPr>
      </w:pPr>
    </w:p>
    <w:p w14:paraId="49105B41" w14:textId="4EF1B5FA" w:rsidR="005B31C0" w:rsidRPr="007F04EF" w:rsidRDefault="005B31C0" w:rsidP="00BB242A">
      <w:pPr>
        <w:jc w:val="both"/>
        <w:rPr>
          <w:lang w:val="en-GB"/>
        </w:rPr>
      </w:pPr>
      <w:r w:rsidRPr="007F04EF">
        <w:rPr>
          <w:lang w:val="en-GB"/>
        </w:rPr>
        <w:t>G</w:t>
      </w:r>
      <w:r w:rsidR="00EA3184" w:rsidRPr="007F04EF">
        <w:rPr>
          <w:lang w:val="en-GB"/>
        </w:rPr>
        <w:t xml:space="preserve">rowers </w:t>
      </w:r>
      <w:r w:rsidR="003F783E" w:rsidRPr="007F04EF">
        <w:rPr>
          <w:lang w:val="en-GB"/>
        </w:rPr>
        <w:t xml:space="preserve">have been </w:t>
      </w:r>
      <w:r w:rsidR="00EA3184" w:rsidRPr="007F04EF">
        <w:rPr>
          <w:lang w:val="en-GB"/>
        </w:rPr>
        <w:t>reducing the use of herbicides</w:t>
      </w:r>
      <w:r w:rsidRPr="007F04EF">
        <w:rPr>
          <w:lang w:val="en-GB"/>
        </w:rPr>
        <w:t xml:space="preserve"> also in orchards and vineyards</w:t>
      </w:r>
      <w:r w:rsidR="00EA3184" w:rsidRPr="007F04EF">
        <w:rPr>
          <w:lang w:val="en-GB"/>
        </w:rPr>
        <w:t>.</w:t>
      </w:r>
      <w:r w:rsidRPr="007F04EF">
        <w:rPr>
          <w:lang w:val="en-GB"/>
        </w:rPr>
        <w:t xml:space="preserve"> </w:t>
      </w:r>
      <w:r w:rsidR="00EA3184" w:rsidRPr="007F04EF">
        <w:rPr>
          <w:lang w:val="en-GB"/>
        </w:rPr>
        <w:t>When</w:t>
      </w:r>
      <w:r w:rsidRPr="007F04EF">
        <w:rPr>
          <w:lang w:val="en-GB"/>
        </w:rPr>
        <w:t xml:space="preserve"> </w:t>
      </w:r>
      <w:r w:rsidR="00EA3184" w:rsidRPr="007F04EF">
        <w:rPr>
          <w:lang w:val="en-GB"/>
        </w:rPr>
        <w:t>used,</w:t>
      </w:r>
      <w:r w:rsidRPr="007F04EF">
        <w:rPr>
          <w:lang w:val="en-GB"/>
        </w:rPr>
        <w:t xml:space="preserve"> herbicides </w:t>
      </w:r>
      <w:r w:rsidR="00EA3184" w:rsidRPr="007F04EF">
        <w:rPr>
          <w:lang w:val="en-GB"/>
        </w:rPr>
        <w:t xml:space="preserve">are only applied in </w:t>
      </w:r>
      <w:r w:rsidRPr="007F04EF">
        <w:rPr>
          <w:lang w:val="en-GB"/>
        </w:rPr>
        <w:t xml:space="preserve">a </w:t>
      </w:r>
      <w:r w:rsidR="00EA3184" w:rsidRPr="007F04EF">
        <w:rPr>
          <w:lang w:val="en-GB"/>
        </w:rPr>
        <w:t>belt under fruit trees or vines, and the space between the rows is mowed or mulched.</w:t>
      </w:r>
      <w:r w:rsidR="004644CF" w:rsidRPr="007F04EF">
        <w:rPr>
          <w:lang w:val="en-GB"/>
        </w:rPr>
        <w:t xml:space="preserve"> </w:t>
      </w:r>
      <w:r w:rsidR="00EA3184" w:rsidRPr="007F04EF">
        <w:rPr>
          <w:lang w:val="en-GB"/>
        </w:rPr>
        <w:t xml:space="preserve">Larger market growers regularly use pheromone baits and </w:t>
      </w:r>
      <w:r w:rsidR="000F2534" w:rsidRPr="007F04EF">
        <w:rPr>
          <w:lang w:val="en-GB"/>
        </w:rPr>
        <w:t>coloured</w:t>
      </w:r>
      <w:r w:rsidR="00EA3184" w:rsidRPr="007F04EF">
        <w:rPr>
          <w:lang w:val="en-GB"/>
        </w:rPr>
        <w:t xml:space="preserve"> sticky boards (</w:t>
      </w:r>
      <w:proofErr w:type="gramStart"/>
      <w:r w:rsidR="000F2534" w:rsidRPr="007F04EF">
        <w:rPr>
          <w:lang w:val="en-GB"/>
        </w:rPr>
        <w:t>e.g.</w:t>
      </w:r>
      <w:proofErr w:type="gramEnd"/>
      <w:r w:rsidRPr="007F04EF">
        <w:rPr>
          <w:lang w:val="en-GB"/>
        </w:rPr>
        <w:t xml:space="preserve"> </w:t>
      </w:r>
      <w:r w:rsidR="00EA3184" w:rsidRPr="007F04EF">
        <w:rPr>
          <w:lang w:val="en-GB"/>
        </w:rPr>
        <w:t xml:space="preserve">white for monitoring sawflies, yellow for cherry </w:t>
      </w:r>
      <w:r w:rsidR="000F2534" w:rsidRPr="007F04EF">
        <w:rPr>
          <w:lang w:val="en-GB"/>
        </w:rPr>
        <w:t xml:space="preserve">fruit </w:t>
      </w:r>
      <w:r w:rsidR="00EA3184" w:rsidRPr="007F04EF">
        <w:rPr>
          <w:lang w:val="en-GB"/>
        </w:rPr>
        <w:t xml:space="preserve">fly) to monitor the </w:t>
      </w:r>
      <w:r w:rsidR="00EA3184" w:rsidRPr="007F04EF">
        <w:rPr>
          <w:lang w:val="en-GB"/>
        </w:rPr>
        <w:lastRenderedPageBreak/>
        <w:t>occurrence and abundance of the most common pests.</w:t>
      </w:r>
      <w:r w:rsidR="004644CF" w:rsidRPr="007F04EF">
        <w:rPr>
          <w:lang w:val="en-GB"/>
        </w:rPr>
        <w:t xml:space="preserve"> </w:t>
      </w:r>
      <w:r w:rsidR="00EA3184" w:rsidRPr="007F04EF">
        <w:rPr>
          <w:lang w:val="en-GB"/>
        </w:rPr>
        <w:t xml:space="preserve">Pest control is then decided </w:t>
      </w:r>
      <w:r w:rsidR="000F2534" w:rsidRPr="007F04EF">
        <w:rPr>
          <w:lang w:val="en-GB"/>
        </w:rPr>
        <w:t>based on</w:t>
      </w:r>
      <w:r w:rsidR="00EA3184" w:rsidRPr="007F04EF">
        <w:rPr>
          <w:lang w:val="en-GB"/>
        </w:rPr>
        <w:t xml:space="preserve"> monitoring pest development and pest control thresholds. </w:t>
      </w:r>
    </w:p>
    <w:p w14:paraId="25F3DD16" w14:textId="77777777" w:rsidR="005B31C0" w:rsidRPr="007F04EF" w:rsidRDefault="005B31C0" w:rsidP="00BB242A">
      <w:pPr>
        <w:jc w:val="both"/>
        <w:rPr>
          <w:lang w:val="en-GB"/>
        </w:rPr>
      </w:pPr>
    </w:p>
    <w:p w14:paraId="0E9042D8" w14:textId="2EB3DBD7" w:rsidR="00EA3184" w:rsidRPr="007F04EF" w:rsidRDefault="00EA3184" w:rsidP="00BB242A">
      <w:pPr>
        <w:jc w:val="both"/>
        <w:rPr>
          <w:lang w:val="en-GB"/>
        </w:rPr>
      </w:pPr>
      <w:r w:rsidRPr="007F04EF">
        <w:rPr>
          <w:lang w:val="en-GB"/>
        </w:rPr>
        <w:t xml:space="preserve">Increasingly, biological </w:t>
      </w:r>
      <w:r w:rsidR="000F2534" w:rsidRPr="007F04EF">
        <w:rPr>
          <w:lang w:val="en-GB"/>
        </w:rPr>
        <w:t>PPPs</w:t>
      </w:r>
      <w:r w:rsidRPr="007F04EF">
        <w:rPr>
          <w:lang w:val="en-GB"/>
        </w:rPr>
        <w:t xml:space="preserve"> and methods of confusion are used </w:t>
      </w:r>
      <w:r w:rsidR="005B31C0" w:rsidRPr="007F04EF">
        <w:rPr>
          <w:lang w:val="en-GB"/>
        </w:rPr>
        <w:t xml:space="preserve">in pest </w:t>
      </w:r>
      <w:r w:rsidRPr="007F04EF">
        <w:rPr>
          <w:lang w:val="en-GB"/>
        </w:rPr>
        <w:t>control</w:t>
      </w:r>
      <w:r w:rsidR="005B31C0" w:rsidRPr="007F04EF">
        <w:rPr>
          <w:lang w:val="en-GB"/>
        </w:rPr>
        <w:t xml:space="preserve">. </w:t>
      </w:r>
      <w:r w:rsidRPr="007F04EF">
        <w:rPr>
          <w:lang w:val="en-GB"/>
        </w:rPr>
        <w:t xml:space="preserve">Growers are not </w:t>
      </w:r>
      <w:r w:rsidR="005B31C0" w:rsidRPr="007F04EF">
        <w:rPr>
          <w:lang w:val="en-GB"/>
        </w:rPr>
        <w:t xml:space="preserve">deciding on using the </w:t>
      </w:r>
      <w:r w:rsidRPr="007F04EF">
        <w:rPr>
          <w:lang w:val="en-GB"/>
        </w:rPr>
        <w:t xml:space="preserve">basic substances, plant extracts and MO-based </w:t>
      </w:r>
      <w:r w:rsidR="000F2534" w:rsidRPr="007F04EF">
        <w:rPr>
          <w:lang w:val="en-GB"/>
        </w:rPr>
        <w:t>PPPs</w:t>
      </w:r>
      <w:r w:rsidRPr="007F04EF">
        <w:rPr>
          <w:lang w:val="en-GB"/>
        </w:rPr>
        <w:t xml:space="preserve"> more </w:t>
      </w:r>
      <w:r w:rsidR="005B31C0" w:rsidRPr="007F04EF">
        <w:rPr>
          <w:lang w:val="en-GB"/>
        </w:rPr>
        <w:t>frequently becaus</w:t>
      </w:r>
      <w:r w:rsidRPr="007F04EF">
        <w:rPr>
          <w:lang w:val="en-GB"/>
        </w:rPr>
        <w:t>e</w:t>
      </w:r>
      <w:r w:rsidR="005B31C0" w:rsidRPr="007F04EF">
        <w:rPr>
          <w:lang w:val="en-GB"/>
        </w:rPr>
        <w:t xml:space="preserve"> </w:t>
      </w:r>
      <w:r w:rsidRPr="007F04EF">
        <w:rPr>
          <w:lang w:val="en-GB"/>
        </w:rPr>
        <w:t>o</w:t>
      </w:r>
      <w:r w:rsidR="005B31C0" w:rsidRPr="007F04EF">
        <w:rPr>
          <w:lang w:val="en-GB"/>
        </w:rPr>
        <w:t xml:space="preserve">f a </w:t>
      </w:r>
      <w:r w:rsidRPr="007F04EF">
        <w:rPr>
          <w:lang w:val="en-GB"/>
        </w:rPr>
        <w:t xml:space="preserve">limited supply </w:t>
      </w:r>
      <w:r w:rsidR="005B31C0" w:rsidRPr="007F04EF">
        <w:rPr>
          <w:lang w:val="en-GB"/>
        </w:rPr>
        <w:t>o</w:t>
      </w:r>
      <w:r w:rsidRPr="007F04EF">
        <w:rPr>
          <w:lang w:val="en-GB"/>
        </w:rPr>
        <w:t xml:space="preserve">n our market, </w:t>
      </w:r>
      <w:r w:rsidR="005B31C0" w:rsidRPr="007F04EF">
        <w:rPr>
          <w:lang w:val="en-GB"/>
        </w:rPr>
        <w:t xml:space="preserve">and </w:t>
      </w:r>
      <w:r w:rsidR="004644CF" w:rsidRPr="007F04EF">
        <w:rPr>
          <w:lang w:val="en-GB"/>
        </w:rPr>
        <w:t xml:space="preserve">due to </w:t>
      </w:r>
      <w:r w:rsidRPr="007F04EF">
        <w:rPr>
          <w:lang w:val="en-GB"/>
        </w:rPr>
        <w:t>concerns a</w:t>
      </w:r>
      <w:r w:rsidR="005B31C0" w:rsidRPr="007F04EF">
        <w:rPr>
          <w:lang w:val="en-GB"/>
        </w:rPr>
        <w:t xml:space="preserve">s to </w:t>
      </w:r>
      <w:r w:rsidR="004644CF" w:rsidRPr="007F04EF">
        <w:rPr>
          <w:lang w:val="en-GB"/>
        </w:rPr>
        <w:t xml:space="preserve">their </w:t>
      </w:r>
      <w:r w:rsidRPr="007F04EF">
        <w:rPr>
          <w:lang w:val="en-GB"/>
        </w:rPr>
        <w:t>eff</w:t>
      </w:r>
      <w:r w:rsidR="004644CF" w:rsidRPr="007F04EF">
        <w:rPr>
          <w:lang w:val="en-GB"/>
        </w:rPr>
        <w:t xml:space="preserve">icacy as opposed to </w:t>
      </w:r>
      <w:r w:rsidRPr="007F04EF">
        <w:rPr>
          <w:lang w:val="en-GB"/>
        </w:rPr>
        <w:t>chemical PPPs</w:t>
      </w:r>
      <w:r w:rsidR="005B31C0" w:rsidRPr="007F04EF">
        <w:rPr>
          <w:lang w:val="en-GB"/>
        </w:rPr>
        <w:t xml:space="preserve">, </w:t>
      </w:r>
      <w:r w:rsidRPr="007F04EF">
        <w:rPr>
          <w:lang w:val="en-GB"/>
        </w:rPr>
        <w:t xml:space="preserve">and bad experiences </w:t>
      </w:r>
      <w:r w:rsidR="005B31C0" w:rsidRPr="007F04EF">
        <w:rPr>
          <w:lang w:val="en-GB"/>
        </w:rPr>
        <w:t xml:space="preserve">at </w:t>
      </w:r>
      <w:r w:rsidRPr="007F04EF">
        <w:rPr>
          <w:lang w:val="en-GB"/>
        </w:rPr>
        <w:t xml:space="preserve">use of </w:t>
      </w:r>
      <w:r w:rsidR="005B31C0" w:rsidRPr="007F04EF">
        <w:rPr>
          <w:lang w:val="en-GB"/>
        </w:rPr>
        <w:t xml:space="preserve">such </w:t>
      </w:r>
      <w:r w:rsidR="000F2534" w:rsidRPr="007F04EF">
        <w:rPr>
          <w:lang w:val="en-GB"/>
        </w:rPr>
        <w:t>products</w:t>
      </w:r>
      <w:r w:rsidRPr="007F04EF">
        <w:rPr>
          <w:lang w:val="en-GB"/>
        </w:rPr>
        <w:t xml:space="preserve"> in the past. Stone fruit and berry growers rarely decide o</w:t>
      </w:r>
      <w:r w:rsidR="005B31C0" w:rsidRPr="007F04EF">
        <w:rPr>
          <w:lang w:val="en-GB"/>
        </w:rPr>
        <w:t>n</w:t>
      </w:r>
      <w:r w:rsidRPr="007F04EF">
        <w:rPr>
          <w:lang w:val="en-GB"/>
        </w:rPr>
        <w:t xml:space="preserve"> purchas</w:t>
      </w:r>
      <w:r w:rsidR="005B31C0" w:rsidRPr="007F04EF">
        <w:rPr>
          <w:lang w:val="en-GB"/>
        </w:rPr>
        <w:t xml:space="preserve">ing </w:t>
      </w:r>
      <w:r w:rsidRPr="007F04EF">
        <w:rPr>
          <w:lang w:val="en-GB"/>
        </w:rPr>
        <w:t>and us</w:t>
      </w:r>
      <w:r w:rsidR="005B31C0" w:rsidRPr="007F04EF">
        <w:rPr>
          <w:lang w:val="en-GB"/>
        </w:rPr>
        <w:t xml:space="preserve">ing </w:t>
      </w:r>
      <w:r w:rsidRPr="007F04EF">
        <w:rPr>
          <w:lang w:val="en-GB"/>
        </w:rPr>
        <w:t xml:space="preserve">insect nets, mainly due to </w:t>
      </w:r>
      <w:r w:rsidR="005B31C0" w:rsidRPr="007F04EF">
        <w:rPr>
          <w:lang w:val="en-GB"/>
        </w:rPr>
        <w:t>a</w:t>
      </w:r>
      <w:r w:rsidRPr="007F04EF">
        <w:rPr>
          <w:lang w:val="en-GB"/>
        </w:rPr>
        <w:t xml:space="preserve"> high cost of </w:t>
      </w:r>
      <w:r w:rsidR="003F783E" w:rsidRPr="007F04EF">
        <w:rPr>
          <w:lang w:val="en-GB"/>
        </w:rPr>
        <w:t>nets</w:t>
      </w:r>
      <w:r w:rsidRPr="007F04EF">
        <w:rPr>
          <w:lang w:val="en-GB"/>
        </w:rPr>
        <w:t xml:space="preserve"> and </w:t>
      </w:r>
      <w:r w:rsidR="003F783E" w:rsidRPr="007F04EF">
        <w:rPr>
          <w:lang w:val="en-GB"/>
        </w:rPr>
        <w:t xml:space="preserve">their </w:t>
      </w:r>
      <w:r w:rsidRPr="007F04EF">
        <w:rPr>
          <w:lang w:val="en-GB"/>
        </w:rPr>
        <w:t>installation.</w:t>
      </w:r>
    </w:p>
    <w:p w14:paraId="7AEDA614" w14:textId="77777777" w:rsidR="00944CBB" w:rsidRPr="007F04EF" w:rsidRDefault="00944CBB" w:rsidP="00BB242A">
      <w:pPr>
        <w:jc w:val="both"/>
        <w:rPr>
          <w:lang w:val="en-GB"/>
        </w:rPr>
      </w:pPr>
    </w:p>
    <w:p w14:paraId="5BC8D56B" w14:textId="158712E7" w:rsidR="00EA3184" w:rsidRPr="007F04EF" w:rsidRDefault="00423788" w:rsidP="00BB242A">
      <w:pPr>
        <w:jc w:val="both"/>
        <w:rPr>
          <w:lang w:val="en-GB"/>
        </w:rPr>
      </w:pPr>
      <w:r w:rsidRPr="007F04EF">
        <w:rPr>
          <w:lang w:val="en-GB"/>
        </w:rPr>
        <w:t xml:space="preserve">Market growers combine various non-chemical plant protection </w:t>
      </w:r>
      <w:r w:rsidR="007D069D" w:rsidRPr="007F04EF">
        <w:rPr>
          <w:lang w:val="en-GB"/>
        </w:rPr>
        <w:t xml:space="preserve">methods </w:t>
      </w:r>
      <w:r w:rsidRPr="007F04EF">
        <w:rPr>
          <w:lang w:val="en-GB"/>
        </w:rPr>
        <w:t>with chemical methods</w:t>
      </w:r>
      <w:r w:rsidR="007D069D" w:rsidRPr="007F04EF">
        <w:rPr>
          <w:lang w:val="en-GB"/>
        </w:rPr>
        <w:t xml:space="preserve"> </w:t>
      </w:r>
      <w:r w:rsidRPr="007F04EF">
        <w:rPr>
          <w:lang w:val="en-GB"/>
        </w:rPr>
        <w:t xml:space="preserve">(depending on </w:t>
      </w:r>
      <w:r w:rsidR="007D069D" w:rsidRPr="007F04EF">
        <w:rPr>
          <w:lang w:val="en-GB"/>
        </w:rPr>
        <w:t>a</w:t>
      </w:r>
      <w:r w:rsidRPr="007F04EF">
        <w:rPr>
          <w:lang w:val="en-GB"/>
        </w:rPr>
        <w:t xml:space="preserve"> year and </w:t>
      </w:r>
      <w:r w:rsidR="008C1374" w:rsidRPr="007F04EF">
        <w:rPr>
          <w:lang w:val="en-GB"/>
        </w:rPr>
        <w:t>pest pressure</w:t>
      </w:r>
      <w:r w:rsidRPr="007F04EF">
        <w:rPr>
          <w:lang w:val="en-GB"/>
        </w:rPr>
        <w:t xml:space="preserve"> </w:t>
      </w:r>
      <w:r w:rsidR="007D069D" w:rsidRPr="007F04EF">
        <w:rPr>
          <w:lang w:val="en-GB"/>
        </w:rPr>
        <w:t>i</w:t>
      </w:r>
      <w:r w:rsidR="008C1374" w:rsidRPr="007F04EF">
        <w:rPr>
          <w:lang w:val="en-GB"/>
        </w:rPr>
        <w:t>n</w:t>
      </w:r>
      <w:r w:rsidR="007D069D" w:rsidRPr="007F04EF">
        <w:rPr>
          <w:lang w:val="en-GB"/>
        </w:rPr>
        <w:t xml:space="preserve"> </w:t>
      </w:r>
      <w:r w:rsidR="009740D2" w:rsidRPr="007F04EF">
        <w:rPr>
          <w:lang w:val="en-GB"/>
        </w:rPr>
        <w:t xml:space="preserve">each </w:t>
      </w:r>
      <w:r w:rsidRPr="007F04EF">
        <w:rPr>
          <w:lang w:val="en-GB"/>
        </w:rPr>
        <w:t>individual year). At least 60</w:t>
      </w:r>
      <w:r w:rsidR="009740D2" w:rsidRPr="007F04EF">
        <w:rPr>
          <w:lang w:val="en-GB"/>
        </w:rPr>
        <w:t xml:space="preserve"> </w:t>
      </w:r>
      <w:r w:rsidRPr="007F04EF">
        <w:rPr>
          <w:lang w:val="en-GB"/>
        </w:rPr>
        <w:t>% of market growers have implemented more than 1 non-chemical plant protection</w:t>
      </w:r>
      <w:r w:rsidR="009740D2" w:rsidRPr="007F04EF">
        <w:rPr>
          <w:lang w:val="en-GB"/>
        </w:rPr>
        <w:t xml:space="preserve"> method per year, per </w:t>
      </w:r>
      <w:r w:rsidRPr="007F04EF">
        <w:rPr>
          <w:lang w:val="en-GB"/>
        </w:rPr>
        <w:t>crop or plantation.</w:t>
      </w:r>
    </w:p>
    <w:p w14:paraId="241C722D" w14:textId="79427FE7" w:rsidR="003E7211" w:rsidRPr="007F04EF" w:rsidRDefault="00423788" w:rsidP="00132266">
      <w:pPr>
        <w:pStyle w:val="Naslov3"/>
        <w:rPr>
          <w:lang w:val="en-GB"/>
        </w:rPr>
      </w:pPr>
      <w:bookmarkStart w:id="84" w:name="_Toc172027306"/>
      <w:r w:rsidRPr="007F04EF">
        <w:rPr>
          <w:lang w:val="en-GB"/>
        </w:rPr>
        <w:t xml:space="preserve">Public Agricultural </w:t>
      </w:r>
      <w:r w:rsidR="00BB242A" w:rsidRPr="007F04EF">
        <w:rPr>
          <w:lang w:val="en-GB"/>
        </w:rPr>
        <w:t xml:space="preserve">Extension </w:t>
      </w:r>
      <w:r w:rsidRPr="007F04EF">
        <w:rPr>
          <w:lang w:val="en-GB"/>
        </w:rPr>
        <w:t>Service</w:t>
      </w:r>
      <w:bookmarkEnd w:id="84"/>
    </w:p>
    <w:p w14:paraId="21750BC6" w14:textId="77777777" w:rsidR="00944CBB" w:rsidRPr="007F04EF" w:rsidRDefault="00944CBB" w:rsidP="00132266">
      <w:pPr>
        <w:rPr>
          <w:lang w:val="en-GB"/>
        </w:rPr>
      </w:pPr>
    </w:p>
    <w:p w14:paraId="2FFC43CC" w14:textId="7754B90C" w:rsidR="00423788" w:rsidRPr="007F04EF" w:rsidRDefault="009740D2" w:rsidP="00BB242A">
      <w:pPr>
        <w:jc w:val="both"/>
        <w:rPr>
          <w:lang w:val="en-GB"/>
        </w:rPr>
      </w:pPr>
      <w:r w:rsidRPr="007F04EF">
        <w:rPr>
          <w:lang w:val="en-GB"/>
        </w:rPr>
        <w:t>P</w:t>
      </w:r>
      <w:r w:rsidR="00423788" w:rsidRPr="007F04EF">
        <w:rPr>
          <w:lang w:val="en-GB"/>
        </w:rPr>
        <w:t xml:space="preserve">ublic </w:t>
      </w:r>
      <w:r w:rsidRPr="007F04EF">
        <w:rPr>
          <w:lang w:val="en-GB"/>
        </w:rPr>
        <w:t xml:space="preserve">Agricultural Extension Service </w:t>
      </w:r>
      <w:r w:rsidR="00423788" w:rsidRPr="007F04EF">
        <w:rPr>
          <w:lang w:val="en-GB"/>
        </w:rPr>
        <w:t>has been operating in Slovenia for many years. It is organized within the framework of the Agriculture and Forestry Chamber of Slovenia and divided by regions. In accordance with their work</w:t>
      </w:r>
      <w:r w:rsidR="008E7200" w:rsidRPr="007F04EF">
        <w:rPr>
          <w:lang w:val="en-GB"/>
        </w:rPr>
        <w:t xml:space="preserve"> </w:t>
      </w:r>
      <w:r w:rsidR="00423788" w:rsidRPr="007F04EF">
        <w:rPr>
          <w:lang w:val="en-GB"/>
        </w:rPr>
        <w:t>program, agricultural advisors provide expert support in monitoring activities related to harmful organisms. They also advise on the correct use of PPPs, based on the principles of good plant protection practice</w:t>
      </w:r>
      <w:r w:rsidR="00A964A3" w:rsidRPr="007F04EF">
        <w:rPr>
          <w:lang w:val="en-GB"/>
        </w:rPr>
        <w:t>,</w:t>
      </w:r>
      <w:r w:rsidR="00423788" w:rsidRPr="007F04EF">
        <w:rPr>
          <w:lang w:val="en-GB"/>
        </w:rPr>
        <w:t xml:space="preserve"> and consistent with the general</w:t>
      </w:r>
      <w:r w:rsidR="00A964A3" w:rsidRPr="007F04EF">
        <w:rPr>
          <w:lang w:val="en-GB"/>
        </w:rPr>
        <w:t xml:space="preserve"> IPM </w:t>
      </w:r>
      <w:r w:rsidR="00423788" w:rsidRPr="007F04EF">
        <w:rPr>
          <w:lang w:val="en-GB"/>
        </w:rPr>
        <w:t>principles.</w:t>
      </w:r>
    </w:p>
    <w:p w14:paraId="1F20787C" w14:textId="431F09A6" w:rsidR="007D50E1" w:rsidRPr="007F04EF" w:rsidRDefault="002F4CBC" w:rsidP="00132266">
      <w:pPr>
        <w:pStyle w:val="Naslov3"/>
        <w:rPr>
          <w:lang w:val="en-GB"/>
        </w:rPr>
      </w:pPr>
      <w:bookmarkStart w:id="85" w:name="_Toc172027307"/>
      <w:r w:rsidRPr="007F04EF">
        <w:rPr>
          <w:lang w:val="en-GB"/>
        </w:rPr>
        <w:t>Public Plant Health Service</w:t>
      </w:r>
      <w:bookmarkEnd w:id="85"/>
    </w:p>
    <w:p w14:paraId="2A8AC052" w14:textId="77777777" w:rsidR="00944CBB" w:rsidRPr="007F04EF" w:rsidRDefault="00944CBB" w:rsidP="00132266">
      <w:pPr>
        <w:rPr>
          <w:lang w:val="en-GB"/>
        </w:rPr>
      </w:pPr>
    </w:p>
    <w:p w14:paraId="79CE95AA" w14:textId="77777777" w:rsidR="00A964A3" w:rsidRPr="007F04EF" w:rsidRDefault="00B70034" w:rsidP="00BB242A">
      <w:pPr>
        <w:jc w:val="both"/>
        <w:rPr>
          <w:lang w:val="en-GB"/>
        </w:rPr>
      </w:pPr>
      <w:r w:rsidRPr="007F04EF">
        <w:rPr>
          <w:lang w:val="en-GB"/>
        </w:rPr>
        <w:t>P</w:t>
      </w:r>
      <w:r w:rsidR="002F4CBC" w:rsidRPr="007F04EF">
        <w:rPr>
          <w:lang w:val="en-GB"/>
        </w:rPr>
        <w:t xml:space="preserve">ublic </w:t>
      </w:r>
      <w:r w:rsidRPr="007F04EF">
        <w:rPr>
          <w:lang w:val="en-GB"/>
        </w:rPr>
        <w:t>P</w:t>
      </w:r>
      <w:r w:rsidR="002F4CBC" w:rsidRPr="007F04EF">
        <w:rPr>
          <w:lang w:val="en-GB"/>
        </w:rPr>
        <w:t xml:space="preserve">lant </w:t>
      </w:r>
      <w:r w:rsidRPr="007F04EF">
        <w:rPr>
          <w:lang w:val="en-GB"/>
        </w:rPr>
        <w:t>H</w:t>
      </w:r>
      <w:r w:rsidR="002F4CBC" w:rsidRPr="007F04EF">
        <w:rPr>
          <w:lang w:val="en-GB"/>
        </w:rPr>
        <w:t xml:space="preserve">ealth </w:t>
      </w:r>
      <w:r w:rsidRPr="007F04EF">
        <w:rPr>
          <w:lang w:val="en-GB"/>
        </w:rPr>
        <w:t>S</w:t>
      </w:r>
      <w:r w:rsidR="002F4CBC" w:rsidRPr="007F04EF">
        <w:rPr>
          <w:lang w:val="en-GB"/>
        </w:rPr>
        <w:t xml:space="preserve">ervice, organised by </w:t>
      </w:r>
      <w:r w:rsidR="00BB242A" w:rsidRPr="007F04EF">
        <w:rPr>
          <w:lang w:val="en-GB"/>
        </w:rPr>
        <w:t>AFSVSPP</w:t>
      </w:r>
      <w:r w:rsidR="002F4CBC" w:rsidRPr="007F04EF">
        <w:rPr>
          <w:lang w:val="en-GB"/>
        </w:rPr>
        <w:t>, carr</w:t>
      </w:r>
      <w:r w:rsidR="00BB242A" w:rsidRPr="007F04EF">
        <w:rPr>
          <w:lang w:val="en-GB"/>
        </w:rPr>
        <w:t xml:space="preserve">ies </w:t>
      </w:r>
      <w:r w:rsidR="002F4CBC" w:rsidRPr="007F04EF">
        <w:rPr>
          <w:lang w:val="en-GB"/>
        </w:rPr>
        <w:t xml:space="preserve">out tasks of monitoring, observation and forecasting the occurrence of plant diseases and pests (prognosis of harmful organisms). </w:t>
      </w:r>
    </w:p>
    <w:p w14:paraId="7F670BC5" w14:textId="77777777" w:rsidR="00A964A3" w:rsidRPr="007F04EF" w:rsidRDefault="00A964A3" w:rsidP="00BB242A">
      <w:pPr>
        <w:jc w:val="both"/>
        <w:rPr>
          <w:lang w:val="en-GB"/>
        </w:rPr>
      </w:pPr>
    </w:p>
    <w:p w14:paraId="6D48C653" w14:textId="2244F7F3" w:rsidR="002F4CBC" w:rsidRPr="007F04EF" w:rsidRDefault="002F4CBC" w:rsidP="00BB242A">
      <w:pPr>
        <w:jc w:val="both"/>
        <w:rPr>
          <w:lang w:val="en-GB"/>
        </w:rPr>
      </w:pPr>
      <w:r w:rsidRPr="007F04EF">
        <w:rPr>
          <w:lang w:val="en-GB"/>
        </w:rPr>
        <w:t>As part of the forecast, the</w:t>
      </w:r>
      <w:r w:rsidR="00A964A3" w:rsidRPr="007F04EF">
        <w:rPr>
          <w:lang w:val="en-GB"/>
        </w:rPr>
        <w:t xml:space="preserve"> P</w:t>
      </w:r>
      <w:r w:rsidRPr="007F04EF">
        <w:rPr>
          <w:lang w:val="en-GB"/>
        </w:rPr>
        <w:t>ublic</w:t>
      </w:r>
      <w:r w:rsidR="00A964A3" w:rsidRPr="007F04EF">
        <w:rPr>
          <w:lang w:val="en-GB"/>
        </w:rPr>
        <w:t xml:space="preserve"> Plant Health S</w:t>
      </w:r>
      <w:r w:rsidRPr="007F04EF">
        <w:rPr>
          <w:lang w:val="en-GB"/>
        </w:rPr>
        <w:t>ervice</w:t>
      </w:r>
      <w:r w:rsidR="00A964A3" w:rsidRPr="007F04EF">
        <w:rPr>
          <w:lang w:val="en-GB"/>
        </w:rPr>
        <w:t xml:space="preserve"> advises the </w:t>
      </w:r>
      <w:r w:rsidRPr="007F04EF">
        <w:rPr>
          <w:lang w:val="en-GB"/>
        </w:rPr>
        <w:t>growers and directs them</w:t>
      </w:r>
      <w:r w:rsidR="00A964A3" w:rsidRPr="007F04EF">
        <w:rPr>
          <w:lang w:val="en-GB"/>
        </w:rPr>
        <w:t xml:space="preserve"> regarding the </w:t>
      </w:r>
      <w:r w:rsidRPr="007F04EF">
        <w:rPr>
          <w:lang w:val="en-GB"/>
        </w:rPr>
        <w:t>appropriate protective measures to control plant diseases and pests through prognostic notifications</w:t>
      </w:r>
      <w:r w:rsidR="000B1910" w:rsidRPr="007F04EF">
        <w:rPr>
          <w:rStyle w:val="Sprotnaopomba-sklic"/>
          <w:lang w:val="en-GB"/>
        </w:rPr>
        <w:footnoteReference w:id="20"/>
      </w:r>
      <w:r w:rsidRPr="007F04EF">
        <w:rPr>
          <w:lang w:val="en-GB"/>
        </w:rPr>
        <w:t>. Forecasts are available free of charge on the Agrometeorological portal of Slovenia and on the websites of authorized institut</w:t>
      </w:r>
      <w:r w:rsidR="00B70034" w:rsidRPr="007F04EF">
        <w:rPr>
          <w:lang w:val="en-GB"/>
        </w:rPr>
        <w:t>es</w:t>
      </w:r>
      <w:r w:rsidRPr="007F04EF">
        <w:rPr>
          <w:lang w:val="en-GB"/>
        </w:rPr>
        <w:t xml:space="preserve"> and centres. The service users can order free forecasts </w:t>
      </w:r>
      <w:r w:rsidR="00A964A3" w:rsidRPr="007F04EF">
        <w:rPr>
          <w:lang w:val="en-GB"/>
        </w:rPr>
        <w:t xml:space="preserve">on </w:t>
      </w:r>
      <w:r w:rsidRPr="007F04EF">
        <w:rPr>
          <w:lang w:val="en-GB"/>
        </w:rPr>
        <w:t>the protection of vineyards, orchards, vegetables, or arable crops</w:t>
      </w:r>
      <w:r w:rsidR="00A964A3" w:rsidRPr="007F04EF">
        <w:rPr>
          <w:lang w:val="en-GB"/>
        </w:rPr>
        <w:t xml:space="preserve">, </w:t>
      </w:r>
      <w:r w:rsidRPr="007F04EF">
        <w:rPr>
          <w:lang w:val="en-GB"/>
        </w:rPr>
        <w:t>and receive them</w:t>
      </w:r>
      <w:r w:rsidR="00A964A3" w:rsidRPr="007F04EF">
        <w:rPr>
          <w:lang w:val="en-GB"/>
        </w:rPr>
        <w:t xml:space="preserve"> per </w:t>
      </w:r>
      <w:r w:rsidRPr="007F04EF">
        <w:rPr>
          <w:lang w:val="en-GB"/>
        </w:rPr>
        <w:t>e-mail or SMS message.</w:t>
      </w:r>
    </w:p>
    <w:p w14:paraId="4246AA66" w14:textId="77777777" w:rsidR="00944CBB" w:rsidRPr="007F04EF" w:rsidRDefault="00944CBB" w:rsidP="00BB242A">
      <w:pPr>
        <w:jc w:val="both"/>
        <w:rPr>
          <w:lang w:val="en-GB"/>
        </w:rPr>
      </w:pPr>
    </w:p>
    <w:p w14:paraId="2F2FEDF1" w14:textId="77777777" w:rsidR="00910A3A" w:rsidRPr="007F04EF" w:rsidRDefault="00910A3A" w:rsidP="00BB242A">
      <w:pPr>
        <w:jc w:val="both"/>
        <w:rPr>
          <w:lang w:val="en-GB"/>
        </w:rPr>
      </w:pPr>
      <w:r w:rsidRPr="007F04EF">
        <w:rPr>
          <w:lang w:val="en-GB"/>
        </w:rPr>
        <w:t>In disease and plant pest forecasting, t</w:t>
      </w:r>
      <w:r w:rsidR="00B70034" w:rsidRPr="007F04EF">
        <w:rPr>
          <w:lang w:val="en-GB"/>
        </w:rPr>
        <w:t>he Public Plant Health Service uses a variety of pest monitoring tools, from spore traps, light baits, pheromone baits, food baits, sticky boards</w:t>
      </w:r>
      <w:r w:rsidRPr="007F04EF">
        <w:rPr>
          <w:lang w:val="en-GB"/>
        </w:rPr>
        <w:t xml:space="preserve">, </w:t>
      </w:r>
      <w:r w:rsidR="00B70034" w:rsidRPr="007F04EF">
        <w:rPr>
          <w:lang w:val="en-GB"/>
        </w:rPr>
        <w:t>to</w:t>
      </w:r>
      <w:r w:rsidRPr="007F04EF">
        <w:rPr>
          <w:lang w:val="en-GB"/>
        </w:rPr>
        <w:t xml:space="preserve"> the novel </w:t>
      </w:r>
      <w:r w:rsidR="00B70034" w:rsidRPr="007F04EF">
        <w:rPr>
          <w:lang w:val="en-GB"/>
        </w:rPr>
        <w:t>remote monitoring techniques (</w:t>
      </w:r>
      <w:proofErr w:type="spellStart"/>
      <w:r w:rsidR="00B70034" w:rsidRPr="007F04EF">
        <w:rPr>
          <w:lang w:val="en-GB"/>
        </w:rPr>
        <w:t>Trapview</w:t>
      </w:r>
      <w:proofErr w:type="spellEnd"/>
      <w:r w:rsidR="00B70034" w:rsidRPr="007F04EF">
        <w:rPr>
          <w:lang w:val="en-GB"/>
        </w:rPr>
        <w:t>)</w:t>
      </w:r>
      <w:r w:rsidR="00B70034" w:rsidRPr="007F04EF">
        <w:rPr>
          <w:rStyle w:val="Sprotnaopomba-sklic"/>
          <w:rFonts w:cs="Arial"/>
          <w:color w:val="000000"/>
          <w:lang w:val="en-GB"/>
        </w:rPr>
        <w:t xml:space="preserve"> </w:t>
      </w:r>
      <w:r w:rsidR="00B70034" w:rsidRPr="007F04EF">
        <w:rPr>
          <w:rStyle w:val="Sprotnaopomba-sklic"/>
          <w:rFonts w:cs="Arial"/>
          <w:color w:val="000000"/>
          <w:lang w:val="en-GB"/>
        </w:rPr>
        <w:footnoteReference w:id="21"/>
      </w:r>
      <w:r w:rsidR="00B70034" w:rsidRPr="007F04EF">
        <w:rPr>
          <w:lang w:val="en-GB"/>
        </w:rPr>
        <w:t>.</w:t>
      </w:r>
      <w:r w:rsidRPr="007F04EF">
        <w:rPr>
          <w:lang w:val="en-GB"/>
        </w:rPr>
        <w:t xml:space="preserve"> </w:t>
      </w:r>
      <w:r w:rsidR="00B70034" w:rsidRPr="007F04EF">
        <w:rPr>
          <w:lang w:val="en-GB"/>
        </w:rPr>
        <w:t>A variety of hardware, software and other equipment is also needed</w:t>
      </w:r>
      <w:r w:rsidRPr="007F04EF">
        <w:rPr>
          <w:lang w:val="en-GB"/>
        </w:rPr>
        <w:t xml:space="preserve"> to </w:t>
      </w:r>
      <w:r w:rsidR="00B70034" w:rsidRPr="007F04EF">
        <w:rPr>
          <w:lang w:val="en-GB"/>
        </w:rPr>
        <w:t>enable</w:t>
      </w:r>
      <w:r w:rsidRPr="007F04EF">
        <w:rPr>
          <w:lang w:val="en-GB"/>
        </w:rPr>
        <w:t xml:space="preserve"> </w:t>
      </w:r>
      <w:r w:rsidR="00B70034" w:rsidRPr="007F04EF">
        <w:rPr>
          <w:lang w:val="en-GB"/>
        </w:rPr>
        <w:t>the measurement of various parameters, the collection and analysis, and the availability of data and measurements.</w:t>
      </w:r>
    </w:p>
    <w:p w14:paraId="7AF0AA52" w14:textId="6FA45123" w:rsidR="002F4CBC" w:rsidRPr="007F04EF" w:rsidRDefault="00E950A4" w:rsidP="00BB242A">
      <w:pPr>
        <w:jc w:val="both"/>
        <w:rPr>
          <w:lang w:val="en-GB"/>
        </w:rPr>
      </w:pPr>
      <w:r w:rsidRPr="007F04EF">
        <w:rPr>
          <w:lang w:val="en-GB"/>
        </w:rPr>
        <w:t>Measur</w:t>
      </w:r>
      <w:r w:rsidR="00910A3A" w:rsidRPr="007F04EF">
        <w:rPr>
          <w:lang w:val="en-GB"/>
        </w:rPr>
        <w:t>e</w:t>
      </w:r>
      <w:r w:rsidRPr="007F04EF">
        <w:rPr>
          <w:lang w:val="en-GB"/>
        </w:rPr>
        <w:t>ments</w:t>
      </w:r>
      <w:r w:rsidR="00B70034" w:rsidRPr="007F04EF">
        <w:rPr>
          <w:lang w:val="en-GB"/>
        </w:rPr>
        <w:t xml:space="preserve"> are provided from several agrometeorological stations</w:t>
      </w:r>
      <w:r w:rsidR="00910A3A" w:rsidRPr="007F04EF">
        <w:rPr>
          <w:lang w:val="en-GB"/>
        </w:rPr>
        <w:t xml:space="preserve">, reasonably </w:t>
      </w:r>
      <w:r w:rsidR="00B70034" w:rsidRPr="007F04EF">
        <w:rPr>
          <w:lang w:val="en-GB"/>
        </w:rPr>
        <w:t xml:space="preserve">distributed </w:t>
      </w:r>
      <w:r w:rsidR="00910A3A" w:rsidRPr="007F04EF">
        <w:rPr>
          <w:lang w:val="en-GB"/>
        </w:rPr>
        <w:t xml:space="preserve">in areas of </w:t>
      </w:r>
      <w:r w:rsidR="00B70034" w:rsidRPr="007F04EF">
        <w:rPr>
          <w:lang w:val="en-GB"/>
        </w:rPr>
        <w:t>Slovenia</w:t>
      </w:r>
      <w:r w:rsidR="00910A3A" w:rsidRPr="007F04EF">
        <w:rPr>
          <w:lang w:val="en-GB"/>
        </w:rPr>
        <w:t xml:space="preserve"> </w:t>
      </w:r>
      <w:r w:rsidR="00B70034" w:rsidRPr="007F04EF">
        <w:rPr>
          <w:lang w:val="en-GB"/>
        </w:rPr>
        <w:t>with</w:t>
      </w:r>
      <w:r w:rsidR="00910A3A" w:rsidRPr="007F04EF">
        <w:rPr>
          <w:lang w:val="en-GB"/>
        </w:rPr>
        <w:t xml:space="preserve"> </w:t>
      </w:r>
      <w:r w:rsidR="00B70034" w:rsidRPr="007F04EF">
        <w:rPr>
          <w:lang w:val="en-GB"/>
        </w:rPr>
        <w:t>most</w:t>
      </w:r>
      <w:r w:rsidR="00910A3A" w:rsidRPr="007F04EF">
        <w:rPr>
          <w:lang w:val="en-GB"/>
        </w:rPr>
        <w:t xml:space="preserve"> </w:t>
      </w:r>
      <w:r w:rsidR="00B70034" w:rsidRPr="007F04EF">
        <w:rPr>
          <w:lang w:val="en-GB"/>
        </w:rPr>
        <w:t>intensive</w:t>
      </w:r>
      <w:r w:rsidR="00910A3A" w:rsidRPr="007F04EF">
        <w:rPr>
          <w:lang w:val="en-GB"/>
        </w:rPr>
        <w:t xml:space="preserve"> </w:t>
      </w:r>
      <w:r w:rsidR="00B70034" w:rsidRPr="007F04EF">
        <w:rPr>
          <w:lang w:val="en-GB"/>
        </w:rPr>
        <w:t>agricultural</w:t>
      </w:r>
      <w:r w:rsidR="00910A3A" w:rsidRPr="007F04EF">
        <w:rPr>
          <w:lang w:val="en-GB"/>
        </w:rPr>
        <w:t xml:space="preserve"> </w:t>
      </w:r>
      <w:r w:rsidR="00B70034" w:rsidRPr="007F04EF">
        <w:rPr>
          <w:lang w:val="en-GB"/>
        </w:rPr>
        <w:t>production.</w:t>
      </w:r>
      <w:r w:rsidR="00910A3A" w:rsidRPr="007F04EF">
        <w:rPr>
          <w:lang w:val="en-GB"/>
        </w:rPr>
        <w:t xml:space="preserve"> T</w:t>
      </w:r>
      <w:r w:rsidR="00B70034" w:rsidRPr="007F04EF">
        <w:rPr>
          <w:lang w:val="en-GB"/>
        </w:rPr>
        <w:t>heir locations</w:t>
      </w:r>
      <w:r w:rsidR="00910A3A" w:rsidRPr="007F04EF">
        <w:rPr>
          <w:lang w:val="en-GB"/>
        </w:rPr>
        <w:t xml:space="preserve">, and </w:t>
      </w:r>
      <w:r w:rsidR="00B70034" w:rsidRPr="007F04EF">
        <w:rPr>
          <w:lang w:val="en-GB"/>
        </w:rPr>
        <w:t>measurement and observation data in each area</w:t>
      </w:r>
      <w:r w:rsidR="00910A3A" w:rsidRPr="007F04EF">
        <w:rPr>
          <w:lang w:val="en-GB"/>
        </w:rPr>
        <w:t xml:space="preserve"> are accessible to the </w:t>
      </w:r>
      <w:r w:rsidR="00B70034" w:rsidRPr="007F04EF">
        <w:rPr>
          <w:lang w:val="en-GB"/>
        </w:rPr>
        <w:t>public</w:t>
      </w:r>
      <w:r w:rsidR="00910A3A" w:rsidRPr="007F04EF">
        <w:rPr>
          <w:lang w:val="en-GB"/>
        </w:rPr>
        <w:t xml:space="preserve"> via the </w:t>
      </w:r>
      <w:r w:rsidR="00B70034" w:rsidRPr="007F04EF">
        <w:rPr>
          <w:lang w:val="en-GB"/>
        </w:rPr>
        <w:t>Agrometeorological Portal of Slovenia</w:t>
      </w:r>
      <w:r w:rsidR="00B70034" w:rsidRPr="007F04EF">
        <w:rPr>
          <w:rStyle w:val="Sprotnaopomba-sklic"/>
          <w:rFonts w:cs="Arial"/>
          <w:color w:val="000000"/>
          <w:lang w:val="en-GB"/>
        </w:rPr>
        <w:footnoteReference w:id="22"/>
      </w:r>
      <w:r w:rsidR="00B70034" w:rsidRPr="007F04EF">
        <w:rPr>
          <w:lang w:val="en-GB"/>
        </w:rPr>
        <w:t>.</w:t>
      </w:r>
    </w:p>
    <w:p w14:paraId="2A1DF1A3" w14:textId="77777777" w:rsidR="00944CBB" w:rsidRPr="007F04EF" w:rsidRDefault="00944CBB" w:rsidP="00BB242A">
      <w:pPr>
        <w:jc w:val="both"/>
        <w:rPr>
          <w:lang w:val="en-GB"/>
        </w:rPr>
      </w:pPr>
    </w:p>
    <w:bookmarkEnd w:id="81"/>
    <w:p w14:paraId="6D0C9C06" w14:textId="560CC666" w:rsidR="00B70034" w:rsidRPr="007F04EF" w:rsidRDefault="00910A3A" w:rsidP="00BB242A">
      <w:pPr>
        <w:jc w:val="both"/>
        <w:rPr>
          <w:lang w:val="en-GB"/>
        </w:rPr>
      </w:pPr>
      <w:r w:rsidRPr="007F04EF">
        <w:rPr>
          <w:lang w:val="en-GB"/>
        </w:rPr>
        <w:t>As f</w:t>
      </w:r>
      <w:r w:rsidR="00B70034" w:rsidRPr="007F04EF">
        <w:rPr>
          <w:lang w:val="en-GB"/>
        </w:rPr>
        <w:t>rom 2021,</w:t>
      </w:r>
      <w:r w:rsidRPr="007F04EF">
        <w:rPr>
          <w:lang w:val="en-GB"/>
        </w:rPr>
        <w:t xml:space="preserve"> </w:t>
      </w:r>
      <w:r w:rsidR="000A044C" w:rsidRPr="007F04EF">
        <w:rPr>
          <w:lang w:val="en-GB"/>
        </w:rPr>
        <w:t xml:space="preserve">AFSVSPP provides for the funding of </w:t>
      </w:r>
      <w:r w:rsidR="00B70034" w:rsidRPr="007F04EF">
        <w:rPr>
          <w:lang w:val="en-GB"/>
        </w:rPr>
        <w:t xml:space="preserve">institutes and </w:t>
      </w:r>
      <w:r w:rsidR="00BD5547" w:rsidRPr="007F04EF">
        <w:rPr>
          <w:lang w:val="en-GB"/>
        </w:rPr>
        <w:t>centres</w:t>
      </w:r>
      <w:r w:rsidR="00B70034" w:rsidRPr="007F04EF">
        <w:rPr>
          <w:lang w:val="en-GB"/>
        </w:rPr>
        <w:t xml:space="preserve"> </w:t>
      </w:r>
      <w:r w:rsidR="00BD5547" w:rsidRPr="007F04EF">
        <w:rPr>
          <w:lang w:val="en-GB"/>
        </w:rPr>
        <w:t>involved in</w:t>
      </w:r>
      <w:r w:rsidR="00B70034" w:rsidRPr="007F04EF">
        <w:rPr>
          <w:lang w:val="en-GB"/>
        </w:rPr>
        <w:t xml:space="preserve"> </w:t>
      </w:r>
      <w:r w:rsidR="000A044C" w:rsidRPr="007F04EF">
        <w:rPr>
          <w:lang w:val="en-GB"/>
        </w:rPr>
        <w:t xml:space="preserve">Public Plant Health Service so as </w:t>
      </w:r>
      <w:r w:rsidR="00BD5547" w:rsidRPr="007F04EF">
        <w:rPr>
          <w:lang w:val="en-GB"/>
        </w:rPr>
        <w:t>to</w:t>
      </w:r>
      <w:r w:rsidR="00B70034" w:rsidRPr="007F04EF">
        <w:rPr>
          <w:lang w:val="en-GB"/>
        </w:rPr>
        <w:t xml:space="preserve"> carry out many </w:t>
      </w:r>
      <w:r w:rsidR="00BD5547" w:rsidRPr="007F04EF">
        <w:rPr>
          <w:lang w:val="en-GB"/>
        </w:rPr>
        <w:t>professional</w:t>
      </w:r>
      <w:r w:rsidR="00B70034" w:rsidRPr="007F04EF">
        <w:rPr>
          <w:lang w:val="en-GB"/>
        </w:rPr>
        <w:t xml:space="preserve"> tasks</w:t>
      </w:r>
      <w:r w:rsidR="000A044C" w:rsidRPr="007F04EF">
        <w:rPr>
          <w:lang w:val="en-GB"/>
        </w:rPr>
        <w:t xml:space="preserve"> for d</w:t>
      </w:r>
      <w:r w:rsidR="00B70034" w:rsidRPr="007F04EF">
        <w:rPr>
          <w:lang w:val="en-GB"/>
        </w:rPr>
        <w:t>evelop</w:t>
      </w:r>
      <w:r w:rsidR="000A044C" w:rsidRPr="007F04EF">
        <w:rPr>
          <w:lang w:val="en-GB"/>
        </w:rPr>
        <w:t xml:space="preserve">ing the </w:t>
      </w:r>
      <w:r w:rsidR="00B70034" w:rsidRPr="007F04EF">
        <w:rPr>
          <w:lang w:val="en-GB"/>
        </w:rPr>
        <w:t>alternative</w:t>
      </w:r>
      <w:r w:rsidRPr="007F04EF">
        <w:rPr>
          <w:lang w:val="en-GB"/>
        </w:rPr>
        <w:t xml:space="preserve"> plant protection </w:t>
      </w:r>
      <w:r w:rsidR="00B70034" w:rsidRPr="007F04EF">
        <w:rPr>
          <w:lang w:val="en-GB"/>
        </w:rPr>
        <w:t>methods and techniques</w:t>
      </w:r>
      <w:r w:rsidRPr="007F04EF">
        <w:rPr>
          <w:lang w:val="en-GB"/>
        </w:rPr>
        <w:t xml:space="preserve"> </w:t>
      </w:r>
      <w:r w:rsidR="00B70034" w:rsidRPr="007F04EF">
        <w:rPr>
          <w:lang w:val="en-GB"/>
        </w:rPr>
        <w:t>(</w:t>
      </w:r>
      <w:proofErr w:type="gramStart"/>
      <w:r w:rsidRPr="007F04EF">
        <w:rPr>
          <w:lang w:val="en-GB"/>
        </w:rPr>
        <w:t>i.e.</w:t>
      </w:r>
      <w:proofErr w:type="gramEnd"/>
      <w:r w:rsidRPr="007F04EF">
        <w:rPr>
          <w:lang w:val="en-GB"/>
        </w:rPr>
        <w:t xml:space="preserve"> IPM </w:t>
      </w:r>
      <w:r w:rsidR="00B70034" w:rsidRPr="007F04EF">
        <w:rPr>
          <w:lang w:val="en-GB"/>
        </w:rPr>
        <w:t>demonstration experiments).</w:t>
      </w:r>
      <w:r w:rsidR="000A044C" w:rsidRPr="007F04EF">
        <w:rPr>
          <w:lang w:val="en-GB"/>
        </w:rPr>
        <w:t xml:space="preserve"> T</w:t>
      </w:r>
      <w:r w:rsidR="00B70034" w:rsidRPr="007F04EF">
        <w:rPr>
          <w:lang w:val="en-GB"/>
        </w:rPr>
        <w:t>o</w:t>
      </w:r>
      <w:r w:rsidR="000A044C" w:rsidRPr="007F04EF">
        <w:rPr>
          <w:lang w:val="en-GB"/>
        </w:rPr>
        <w:t xml:space="preserve"> </w:t>
      </w:r>
      <w:r w:rsidR="00B70034" w:rsidRPr="007F04EF">
        <w:rPr>
          <w:lang w:val="en-GB"/>
        </w:rPr>
        <w:t>this</w:t>
      </w:r>
      <w:r w:rsidR="000A044C" w:rsidRPr="007F04EF">
        <w:rPr>
          <w:lang w:val="en-GB"/>
        </w:rPr>
        <w:t xml:space="preserve"> end</w:t>
      </w:r>
      <w:r w:rsidR="00B70034" w:rsidRPr="007F04EF">
        <w:rPr>
          <w:lang w:val="en-GB"/>
        </w:rPr>
        <w:t>,</w:t>
      </w:r>
      <w:r w:rsidR="000A044C" w:rsidRPr="007F04EF">
        <w:rPr>
          <w:lang w:val="en-GB"/>
        </w:rPr>
        <w:t xml:space="preserve"> </w:t>
      </w:r>
      <w:r w:rsidR="000A044C" w:rsidRPr="007F04EF">
        <w:rPr>
          <w:lang w:val="en-GB"/>
        </w:rPr>
        <w:lastRenderedPageBreak/>
        <w:t>the Public P</w:t>
      </w:r>
      <w:r w:rsidR="00BD5547" w:rsidRPr="007F04EF">
        <w:rPr>
          <w:lang w:val="en-GB"/>
        </w:rPr>
        <w:t>lant</w:t>
      </w:r>
      <w:r w:rsidR="000A044C" w:rsidRPr="007F04EF">
        <w:rPr>
          <w:lang w:val="en-GB"/>
        </w:rPr>
        <w:t xml:space="preserve"> H</w:t>
      </w:r>
      <w:r w:rsidR="00BD5547" w:rsidRPr="007F04EF">
        <w:rPr>
          <w:lang w:val="en-GB"/>
        </w:rPr>
        <w:t>ealth</w:t>
      </w:r>
      <w:r w:rsidR="000A044C" w:rsidRPr="007F04EF">
        <w:rPr>
          <w:lang w:val="en-GB"/>
        </w:rPr>
        <w:t xml:space="preserve"> S</w:t>
      </w:r>
      <w:r w:rsidR="00B70034" w:rsidRPr="007F04EF">
        <w:rPr>
          <w:lang w:val="en-GB"/>
        </w:rPr>
        <w:t>ervice</w:t>
      </w:r>
      <w:r w:rsidR="000A044C" w:rsidRPr="007F04EF">
        <w:rPr>
          <w:lang w:val="en-GB"/>
        </w:rPr>
        <w:t xml:space="preserve"> has </w:t>
      </w:r>
      <w:r w:rsidR="00B70034" w:rsidRPr="007F04EF">
        <w:rPr>
          <w:lang w:val="en-GB"/>
        </w:rPr>
        <w:t xml:space="preserve">been strengthened in terms of personnel. At various meetings and in various ways, </w:t>
      </w:r>
      <w:r w:rsidR="000A044C" w:rsidRPr="007F04EF">
        <w:rPr>
          <w:lang w:val="en-GB"/>
        </w:rPr>
        <w:t xml:space="preserve">Public Plant Health Service </w:t>
      </w:r>
      <w:r w:rsidR="00B70034" w:rsidRPr="007F04EF">
        <w:rPr>
          <w:lang w:val="en-GB"/>
        </w:rPr>
        <w:t xml:space="preserve">experts transfer the results of </w:t>
      </w:r>
      <w:r w:rsidR="00BD5547" w:rsidRPr="007F04EF">
        <w:rPr>
          <w:lang w:val="en-GB"/>
        </w:rPr>
        <w:t>professional experiments and tasks</w:t>
      </w:r>
      <w:r w:rsidR="00B70034" w:rsidRPr="007F04EF">
        <w:rPr>
          <w:lang w:val="en-GB"/>
        </w:rPr>
        <w:t xml:space="preserve"> to experts</w:t>
      </w:r>
      <w:r w:rsidR="000A044C" w:rsidRPr="007F04EF">
        <w:rPr>
          <w:lang w:val="en-GB"/>
        </w:rPr>
        <w:t xml:space="preserve"> o</w:t>
      </w:r>
      <w:r w:rsidR="00B70034" w:rsidRPr="007F04EF">
        <w:rPr>
          <w:lang w:val="en-GB"/>
        </w:rPr>
        <w:t>f</w:t>
      </w:r>
      <w:r w:rsidR="000A044C" w:rsidRPr="007F04EF">
        <w:rPr>
          <w:lang w:val="en-GB"/>
        </w:rPr>
        <w:t xml:space="preserve"> </w:t>
      </w:r>
      <w:r w:rsidR="00B70034" w:rsidRPr="007F04EF">
        <w:rPr>
          <w:lang w:val="en-GB"/>
        </w:rPr>
        <w:t xml:space="preserve">other services in agriculture and </w:t>
      </w:r>
      <w:r w:rsidR="00BD5547" w:rsidRPr="007F04EF">
        <w:rPr>
          <w:lang w:val="en-GB"/>
        </w:rPr>
        <w:t xml:space="preserve">to </w:t>
      </w:r>
      <w:r w:rsidR="00B70034" w:rsidRPr="007F04EF">
        <w:rPr>
          <w:lang w:val="en-GB"/>
        </w:rPr>
        <w:t>growers.</w:t>
      </w:r>
      <w:r w:rsidR="000A044C" w:rsidRPr="007F04EF">
        <w:rPr>
          <w:lang w:val="en-GB"/>
        </w:rPr>
        <w:t xml:space="preserve"> R</w:t>
      </w:r>
      <w:r w:rsidR="00B70034" w:rsidRPr="007F04EF">
        <w:rPr>
          <w:lang w:val="en-GB"/>
        </w:rPr>
        <w:t xml:space="preserve">esults of professional </w:t>
      </w:r>
      <w:r w:rsidR="00BD5547" w:rsidRPr="007F04EF">
        <w:rPr>
          <w:lang w:val="en-GB"/>
        </w:rPr>
        <w:t>tasks</w:t>
      </w:r>
      <w:r w:rsidR="00B70034" w:rsidRPr="007F04EF">
        <w:rPr>
          <w:lang w:val="en-GB"/>
        </w:rPr>
        <w:t xml:space="preserve"> are</w:t>
      </w:r>
      <w:r w:rsidR="000A044C" w:rsidRPr="007F04EF">
        <w:rPr>
          <w:lang w:val="en-GB"/>
        </w:rPr>
        <w:t xml:space="preserve"> </w:t>
      </w:r>
      <w:r w:rsidR="00B70034" w:rsidRPr="007F04EF">
        <w:rPr>
          <w:lang w:val="en-GB"/>
        </w:rPr>
        <w:t>published on the</w:t>
      </w:r>
      <w:r w:rsidR="000A044C" w:rsidRPr="007F04EF">
        <w:rPr>
          <w:lang w:val="en-GB"/>
        </w:rPr>
        <w:t xml:space="preserve"> IPM P</w:t>
      </w:r>
      <w:r w:rsidR="00B70034" w:rsidRPr="007F04EF">
        <w:rPr>
          <w:lang w:val="en-GB"/>
        </w:rPr>
        <w:t>ortal.</w:t>
      </w:r>
    </w:p>
    <w:p w14:paraId="7DA6418D" w14:textId="77777777" w:rsidR="00944CBB" w:rsidRPr="007F04EF" w:rsidRDefault="00944CBB" w:rsidP="00BB242A">
      <w:pPr>
        <w:jc w:val="both"/>
        <w:rPr>
          <w:lang w:val="en-GB"/>
        </w:rPr>
      </w:pPr>
    </w:p>
    <w:p w14:paraId="4CC6E051" w14:textId="2725B1BA" w:rsidR="00B70034" w:rsidRPr="007F04EF" w:rsidRDefault="00324A3F" w:rsidP="00BB242A">
      <w:pPr>
        <w:jc w:val="both"/>
        <w:rPr>
          <w:lang w:val="en-GB"/>
        </w:rPr>
      </w:pPr>
      <w:r w:rsidRPr="007F04EF">
        <w:rPr>
          <w:lang w:val="en-GB"/>
        </w:rPr>
        <w:t xml:space="preserve">According to assessments, </w:t>
      </w:r>
      <w:r w:rsidR="00BD5547" w:rsidRPr="007F04EF">
        <w:rPr>
          <w:lang w:val="en-GB"/>
        </w:rPr>
        <w:t>all</w:t>
      </w:r>
      <w:r w:rsidRPr="007F04EF">
        <w:rPr>
          <w:lang w:val="en-GB"/>
        </w:rPr>
        <w:t xml:space="preserve"> the </w:t>
      </w:r>
      <w:r w:rsidR="00BD5547" w:rsidRPr="007F04EF">
        <w:rPr>
          <w:lang w:val="en-GB"/>
        </w:rPr>
        <w:t>PPP</w:t>
      </w:r>
      <w:r w:rsidR="000A044C" w:rsidRPr="007F04EF">
        <w:rPr>
          <w:lang w:val="en-GB"/>
        </w:rPr>
        <w:t>-</w:t>
      </w:r>
      <w:r w:rsidR="00BD5547" w:rsidRPr="007F04EF">
        <w:rPr>
          <w:lang w:val="en-GB"/>
        </w:rPr>
        <w:t xml:space="preserve">users </w:t>
      </w:r>
      <w:r w:rsidRPr="007F04EF">
        <w:rPr>
          <w:lang w:val="en-GB"/>
        </w:rPr>
        <w:t xml:space="preserve">are </w:t>
      </w:r>
      <w:r w:rsidR="00BD5547" w:rsidRPr="007F04EF">
        <w:rPr>
          <w:lang w:val="en-GB"/>
        </w:rPr>
        <w:t xml:space="preserve">regularly </w:t>
      </w:r>
      <w:r w:rsidRPr="007F04EF">
        <w:rPr>
          <w:lang w:val="en-GB"/>
        </w:rPr>
        <w:t xml:space="preserve">benefitting from </w:t>
      </w:r>
      <w:r w:rsidR="000A044C" w:rsidRPr="007F04EF">
        <w:rPr>
          <w:lang w:val="en-GB"/>
        </w:rPr>
        <w:t xml:space="preserve">the </w:t>
      </w:r>
      <w:r w:rsidR="00BD5547" w:rsidRPr="007F04EF">
        <w:rPr>
          <w:lang w:val="en-GB"/>
        </w:rPr>
        <w:t xml:space="preserve">advice and information </w:t>
      </w:r>
      <w:r w:rsidRPr="007F04EF">
        <w:rPr>
          <w:lang w:val="en-GB"/>
        </w:rPr>
        <w:t xml:space="preserve">presented by </w:t>
      </w:r>
      <w:r w:rsidR="00BD5547" w:rsidRPr="007F04EF">
        <w:rPr>
          <w:lang w:val="en-GB"/>
        </w:rPr>
        <w:t xml:space="preserve">Public Plant Health Service and Public Agricultural </w:t>
      </w:r>
      <w:r w:rsidR="000A044C" w:rsidRPr="007F04EF">
        <w:rPr>
          <w:lang w:val="en-GB"/>
        </w:rPr>
        <w:t xml:space="preserve">Extension </w:t>
      </w:r>
      <w:r w:rsidR="00BD5547" w:rsidRPr="007F04EF">
        <w:rPr>
          <w:lang w:val="en-GB"/>
        </w:rPr>
        <w:t>Service.</w:t>
      </w:r>
    </w:p>
    <w:p w14:paraId="5BB65B61" w14:textId="6C2003B6" w:rsidR="00A23830" w:rsidRPr="007F04EF" w:rsidRDefault="00D45FAC" w:rsidP="00BB242A">
      <w:pPr>
        <w:pStyle w:val="Naslov3"/>
        <w:jc w:val="both"/>
        <w:rPr>
          <w:lang w:val="en-GB"/>
        </w:rPr>
      </w:pPr>
      <w:bookmarkStart w:id="86" w:name="_Toc172027308"/>
      <w:bookmarkStart w:id="87" w:name="_Hlk148694540"/>
      <w:r w:rsidRPr="007F04EF">
        <w:rPr>
          <w:lang w:val="en-GB"/>
        </w:rPr>
        <w:t>Official control</w:t>
      </w:r>
      <w:r w:rsidR="00324A3F" w:rsidRPr="007F04EF">
        <w:rPr>
          <w:lang w:val="en-GB"/>
        </w:rPr>
        <w:t>s</w:t>
      </w:r>
      <w:r w:rsidRPr="007F04EF">
        <w:rPr>
          <w:lang w:val="en-GB"/>
        </w:rPr>
        <w:t xml:space="preserve"> of PPPs</w:t>
      </w:r>
      <w:bookmarkEnd w:id="86"/>
    </w:p>
    <w:p w14:paraId="5EFE08E4" w14:textId="77777777" w:rsidR="00944CBB" w:rsidRPr="007F04EF" w:rsidRDefault="00944CBB" w:rsidP="00BB242A">
      <w:pPr>
        <w:jc w:val="both"/>
        <w:rPr>
          <w:lang w:val="en-GB"/>
        </w:rPr>
      </w:pPr>
    </w:p>
    <w:p w14:paraId="389A0193" w14:textId="2F9C0C39" w:rsidR="00D45FAC" w:rsidRPr="007F04EF" w:rsidRDefault="00324A3F" w:rsidP="00BB242A">
      <w:pPr>
        <w:jc w:val="both"/>
        <w:rPr>
          <w:lang w:val="en-GB"/>
        </w:rPr>
      </w:pPr>
      <w:r w:rsidRPr="007F04EF">
        <w:rPr>
          <w:lang w:val="en-GB"/>
        </w:rPr>
        <w:t>The AFSVSPP P</w:t>
      </w:r>
      <w:r w:rsidR="00241D55" w:rsidRPr="007F04EF">
        <w:rPr>
          <w:lang w:val="en-GB"/>
        </w:rPr>
        <w:t>hytosanitary</w:t>
      </w:r>
      <w:r w:rsidRPr="007F04EF">
        <w:rPr>
          <w:lang w:val="en-GB"/>
        </w:rPr>
        <w:t xml:space="preserve"> I</w:t>
      </w:r>
      <w:r w:rsidR="00241D55" w:rsidRPr="007F04EF">
        <w:rPr>
          <w:lang w:val="en-GB"/>
        </w:rPr>
        <w:t>nspectors carry out t</w:t>
      </w:r>
      <w:r w:rsidR="00D45FAC" w:rsidRPr="007F04EF">
        <w:rPr>
          <w:lang w:val="en-GB"/>
        </w:rPr>
        <w:t>he official control</w:t>
      </w:r>
      <w:r w:rsidRPr="007F04EF">
        <w:rPr>
          <w:lang w:val="en-GB"/>
        </w:rPr>
        <w:t xml:space="preserve">s of </w:t>
      </w:r>
      <w:r w:rsidR="00241D55" w:rsidRPr="007F04EF">
        <w:rPr>
          <w:lang w:val="en-GB"/>
        </w:rPr>
        <w:t>PPPs.</w:t>
      </w:r>
      <w:r w:rsidR="00D45FAC" w:rsidRPr="007F04EF">
        <w:rPr>
          <w:lang w:val="en-GB"/>
        </w:rPr>
        <w:t xml:space="preserve"> </w:t>
      </w:r>
      <w:r w:rsidR="00241D55" w:rsidRPr="007F04EF">
        <w:rPr>
          <w:lang w:val="en-GB"/>
        </w:rPr>
        <w:t>They</w:t>
      </w:r>
      <w:r w:rsidR="00D45FAC" w:rsidRPr="007F04EF">
        <w:rPr>
          <w:lang w:val="en-GB"/>
        </w:rPr>
        <w:t xml:space="preserve"> </w:t>
      </w:r>
      <w:r w:rsidRPr="007F04EF">
        <w:rPr>
          <w:lang w:val="en-GB"/>
        </w:rPr>
        <w:t xml:space="preserve">verify </w:t>
      </w:r>
      <w:r w:rsidR="00D45FAC" w:rsidRPr="007F04EF">
        <w:rPr>
          <w:lang w:val="en-GB"/>
        </w:rPr>
        <w:t xml:space="preserve">the compliance of </w:t>
      </w:r>
      <w:r w:rsidR="00241D55" w:rsidRPr="007F04EF">
        <w:rPr>
          <w:lang w:val="en-GB"/>
        </w:rPr>
        <w:t>PPPs</w:t>
      </w:r>
      <w:r w:rsidR="00D45FAC" w:rsidRPr="007F04EF">
        <w:rPr>
          <w:lang w:val="en-GB"/>
        </w:rPr>
        <w:t xml:space="preserve"> </w:t>
      </w:r>
      <w:r w:rsidR="00241D55" w:rsidRPr="007F04EF">
        <w:rPr>
          <w:lang w:val="en-GB"/>
        </w:rPr>
        <w:t>on the market</w:t>
      </w:r>
      <w:r w:rsidR="00D45FAC" w:rsidRPr="007F04EF">
        <w:rPr>
          <w:lang w:val="en-GB"/>
        </w:rPr>
        <w:t xml:space="preserve"> with the </w:t>
      </w:r>
      <w:r w:rsidRPr="007F04EF">
        <w:rPr>
          <w:lang w:val="en-GB"/>
        </w:rPr>
        <w:t xml:space="preserve">marketing </w:t>
      </w:r>
      <w:r w:rsidR="00241D55" w:rsidRPr="007F04EF">
        <w:rPr>
          <w:lang w:val="en-GB"/>
        </w:rPr>
        <w:t>authorisation. A</w:t>
      </w:r>
      <w:r w:rsidR="00D45FAC" w:rsidRPr="007F04EF">
        <w:rPr>
          <w:lang w:val="en-GB"/>
        </w:rPr>
        <w:t xml:space="preserve">t </w:t>
      </w:r>
      <w:r w:rsidR="00241D55" w:rsidRPr="007F04EF">
        <w:rPr>
          <w:lang w:val="en-GB"/>
        </w:rPr>
        <w:t>PPP</w:t>
      </w:r>
      <w:r w:rsidRPr="007F04EF">
        <w:rPr>
          <w:lang w:val="en-GB"/>
        </w:rPr>
        <w:t>-</w:t>
      </w:r>
      <w:r w:rsidR="00D45FAC" w:rsidRPr="007F04EF">
        <w:rPr>
          <w:lang w:val="en-GB"/>
        </w:rPr>
        <w:t>distributors, they check compliance with registration in the register</w:t>
      </w:r>
      <w:r w:rsidR="00EB6A1A" w:rsidRPr="007F04EF">
        <w:rPr>
          <w:lang w:val="en-GB"/>
        </w:rPr>
        <w:t xml:space="preserve"> of distributors</w:t>
      </w:r>
      <w:r w:rsidR="00D45FAC" w:rsidRPr="007F04EF">
        <w:rPr>
          <w:lang w:val="en-GB"/>
        </w:rPr>
        <w:t>, personnel, premises</w:t>
      </w:r>
      <w:r w:rsidR="000507CE" w:rsidRPr="007F04EF">
        <w:rPr>
          <w:lang w:val="en-GB"/>
        </w:rPr>
        <w:t>,</w:t>
      </w:r>
      <w:r w:rsidR="00D45FAC" w:rsidRPr="007F04EF">
        <w:rPr>
          <w:lang w:val="en-GB"/>
        </w:rPr>
        <w:t xml:space="preserve"> and </w:t>
      </w:r>
      <w:r w:rsidR="000507CE" w:rsidRPr="007F04EF">
        <w:rPr>
          <w:lang w:val="en-GB"/>
        </w:rPr>
        <w:t>record-</w:t>
      </w:r>
      <w:r w:rsidR="00D45FAC" w:rsidRPr="007F04EF">
        <w:rPr>
          <w:lang w:val="en-GB"/>
        </w:rPr>
        <w:t>keeping</w:t>
      </w:r>
      <w:r w:rsidR="000507CE" w:rsidRPr="007F04EF">
        <w:rPr>
          <w:lang w:val="en-GB"/>
        </w:rPr>
        <w:t xml:space="preserve"> on </w:t>
      </w:r>
      <w:r w:rsidR="00241D55" w:rsidRPr="007F04EF">
        <w:rPr>
          <w:lang w:val="en-GB"/>
        </w:rPr>
        <w:t>PPP</w:t>
      </w:r>
      <w:r w:rsidR="000507CE" w:rsidRPr="007F04EF">
        <w:rPr>
          <w:lang w:val="en-GB"/>
        </w:rPr>
        <w:t>-</w:t>
      </w:r>
      <w:r w:rsidR="00D45FAC" w:rsidRPr="007F04EF">
        <w:rPr>
          <w:lang w:val="en-GB"/>
        </w:rPr>
        <w:t>sales</w:t>
      </w:r>
      <w:r w:rsidR="00241D55" w:rsidRPr="007F04EF">
        <w:rPr>
          <w:lang w:val="en-GB"/>
        </w:rPr>
        <w:t>. At</w:t>
      </w:r>
      <w:r w:rsidR="00D45FAC" w:rsidRPr="007F04EF">
        <w:rPr>
          <w:lang w:val="en-GB"/>
        </w:rPr>
        <w:t xml:space="preserve"> </w:t>
      </w:r>
      <w:r w:rsidR="00241D55" w:rsidRPr="007F04EF">
        <w:rPr>
          <w:lang w:val="en-GB"/>
        </w:rPr>
        <w:t>PPP</w:t>
      </w:r>
      <w:r w:rsidRPr="007F04EF">
        <w:rPr>
          <w:lang w:val="en-GB"/>
        </w:rPr>
        <w:t>-</w:t>
      </w:r>
      <w:r w:rsidR="00E950A4" w:rsidRPr="007F04EF">
        <w:rPr>
          <w:lang w:val="en-GB"/>
        </w:rPr>
        <w:t xml:space="preserve">professional </w:t>
      </w:r>
      <w:r w:rsidR="00D45FAC" w:rsidRPr="007F04EF">
        <w:rPr>
          <w:lang w:val="en-GB"/>
        </w:rPr>
        <w:t>users</w:t>
      </w:r>
      <w:r w:rsidRPr="007F04EF">
        <w:rPr>
          <w:lang w:val="en-GB"/>
        </w:rPr>
        <w:t xml:space="preserve">, </w:t>
      </w:r>
      <w:r w:rsidR="00241D55" w:rsidRPr="007F04EF">
        <w:rPr>
          <w:lang w:val="en-GB"/>
        </w:rPr>
        <w:t>they</w:t>
      </w:r>
      <w:r w:rsidR="00D45FAC" w:rsidRPr="007F04EF">
        <w:rPr>
          <w:lang w:val="en-GB"/>
        </w:rPr>
        <w:t xml:space="preserve"> check </w:t>
      </w:r>
      <w:r w:rsidR="00241D55" w:rsidRPr="007F04EF">
        <w:rPr>
          <w:lang w:val="en-GB"/>
        </w:rPr>
        <w:t>PPP</w:t>
      </w:r>
      <w:r w:rsidRPr="007F04EF">
        <w:rPr>
          <w:lang w:val="en-GB"/>
        </w:rPr>
        <w:t>-</w:t>
      </w:r>
      <w:r w:rsidR="00241D55" w:rsidRPr="007F04EF">
        <w:rPr>
          <w:lang w:val="en-GB"/>
        </w:rPr>
        <w:t>use record</w:t>
      </w:r>
      <w:r w:rsidR="000507CE" w:rsidRPr="007F04EF">
        <w:rPr>
          <w:lang w:val="en-GB"/>
        </w:rPr>
        <w:t>-</w:t>
      </w:r>
      <w:r w:rsidR="00241D55" w:rsidRPr="007F04EF">
        <w:rPr>
          <w:lang w:val="en-GB"/>
        </w:rPr>
        <w:t>keeping</w:t>
      </w:r>
      <w:r w:rsidR="00D45FAC" w:rsidRPr="007F04EF">
        <w:rPr>
          <w:lang w:val="en-GB"/>
        </w:rPr>
        <w:t xml:space="preserve"> (electronic</w:t>
      </w:r>
      <w:r w:rsidR="000507CE" w:rsidRPr="007F04EF">
        <w:rPr>
          <w:lang w:val="en-GB"/>
        </w:rPr>
        <w:t xml:space="preserve"> </w:t>
      </w:r>
      <w:r w:rsidR="00241D55" w:rsidRPr="007F04EF">
        <w:rPr>
          <w:lang w:val="en-GB"/>
        </w:rPr>
        <w:t>record</w:t>
      </w:r>
      <w:r w:rsidR="000507CE" w:rsidRPr="007F04EF">
        <w:rPr>
          <w:lang w:val="en-GB"/>
        </w:rPr>
        <w:t>-</w:t>
      </w:r>
      <w:r w:rsidR="00D45FAC" w:rsidRPr="007F04EF">
        <w:rPr>
          <w:lang w:val="en-GB"/>
        </w:rPr>
        <w:t xml:space="preserve">keeping of </w:t>
      </w:r>
      <w:r w:rsidR="000C29FC" w:rsidRPr="007F04EF">
        <w:rPr>
          <w:lang w:val="en-GB"/>
        </w:rPr>
        <w:t>PPP</w:t>
      </w:r>
      <w:r w:rsidRPr="007F04EF">
        <w:rPr>
          <w:lang w:val="en-GB"/>
        </w:rPr>
        <w:t>-</w:t>
      </w:r>
      <w:r w:rsidR="00D45FAC" w:rsidRPr="007F04EF">
        <w:rPr>
          <w:lang w:val="en-GB"/>
        </w:rPr>
        <w:t xml:space="preserve">use was not </w:t>
      </w:r>
      <w:r w:rsidR="000507CE" w:rsidRPr="007F04EF">
        <w:rPr>
          <w:lang w:val="en-GB"/>
        </w:rPr>
        <w:t>mandatory in that particular period in Slovenia</w:t>
      </w:r>
      <w:r w:rsidR="00D45FAC" w:rsidRPr="007F04EF">
        <w:rPr>
          <w:lang w:val="en-GB"/>
        </w:rPr>
        <w:t xml:space="preserve">), implementation of </w:t>
      </w:r>
      <w:r w:rsidR="00241D55" w:rsidRPr="007F04EF">
        <w:rPr>
          <w:lang w:val="en-GB"/>
        </w:rPr>
        <w:t>IPM</w:t>
      </w:r>
      <w:r w:rsidR="00D45FAC" w:rsidRPr="007F04EF">
        <w:rPr>
          <w:lang w:val="en-GB"/>
        </w:rPr>
        <w:t xml:space="preserve">, </w:t>
      </w:r>
      <w:r w:rsidR="00EB6A1A" w:rsidRPr="007F04EF">
        <w:rPr>
          <w:lang w:val="en-GB"/>
        </w:rPr>
        <w:t>PPP</w:t>
      </w:r>
      <w:r w:rsidR="000507CE" w:rsidRPr="007F04EF">
        <w:rPr>
          <w:lang w:val="en-GB"/>
        </w:rPr>
        <w:t>-</w:t>
      </w:r>
      <w:r w:rsidR="00D45FAC" w:rsidRPr="007F04EF">
        <w:rPr>
          <w:lang w:val="en-GB"/>
        </w:rPr>
        <w:t xml:space="preserve">user training </w:t>
      </w:r>
      <w:r w:rsidR="00241D55" w:rsidRPr="007F04EF">
        <w:rPr>
          <w:lang w:val="en-GB"/>
        </w:rPr>
        <w:t>certificates</w:t>
      </w:r>
      <w:r w:rsidR="00D45FAC" w:rsidRPr="007F04EF">
        <w:rPr>
          <w:lang w:val="en-GB"/>
        </w:rPr>
        <w:t xml:space="preserve">, certificates and labels </w:t>
      </w:r>
      <w:r w:rsidR="00241D55" w:rsidRPr="007F04EF">
        <w:rPr>
          <w:lang w:val="en-GB"/>
        </w:rPr>
        <w:t>from</w:t>
      </w:r>
      <w:r w:rsidR="00D45FAC" w:rsidRPr="007F04EF">
        <w:rPr>
          <w:lang w:val="en-GB"/>
        </w:rPr>
        <w:t xml:space="preserve"> </w:t>
      </w:r>
      <w:r w:rsidR="00241D55" w:rsidRPr="007F04EF">
        <w:rPr>
          <w:lang w:val="en-GB"/>
        </w:rPr>
        <w:t>inspection of PPP</w:t>
      </w:r>
      <w:r w:rsidR="000507CE" w:rsidRPr="007F04EF">
        <w:rPr>
          <w:lang w:val="en-GB"/>
        </w:rPr>
        <w:t>-</w:t>
      </w:r>
      <w:r w:rsidR="00241D55" w:rsidRPr="007F04EF">
        <w:rPr>
          <w:lang w:val="en-GB"/>
        </w:rPr>
        <w:t>application equipment</w:t>
      </w:r>
      <w:r w:rsidR="00D45FAC" w:rsidRPr="007F04EF">
        <w:rPr>
          <w:lang w:val="en-GB"/>
        </w:rPr>
        <w:t xml:space="preserve">, storage areas for </w:t>
      </w:r>
      <w:r w:rsidR="00241D55" w:rsidRPr="007F04EF">
        <w:rPr>
          <w:lang w:val="en-GB"/>
        </w:rPr>
        <w:t>PPP</w:t>
      </w:r>
      <w:r w:rsidR="000C29FC" w:rsidRPr="007F04EF">
        <w:rPr>
          <w:lang w:val="en-GB"/>
        </w:rPr>
        <w:t>s</w:t>
      </w:r>
      <w:r w:rsidR="00241D55" w:rsidRPr="007F04EF">
        <w:rPr>
          <w:lang w:val="en-GB"/>
        </w:rPr>
        <w:t>,</w:t>
      </w:r>
      <w:r w:rsidR="00D45FAC" w:rsidRPr="007F04EF">
        <w:rPr>
          <w:lang w:val="en-GB"/>
        </w:rPr>
        <w:t xml:space="preserve"> handling </w:t>
      </w:r>
      <w:r w:rsidR="00241D55" w:rsidRPr="007F04EF">
        <w:rPr>
          <w:lang w:val="en-GB"/>
        </w:rPr>
        <w:t>empty packages and remnants of</w:t>
      </w:r>
      <w:r w:rsidR="00D45FAC" w:rsidRPr="007F04EF">
        <w:rPr>
          <w:lang w:val="en-GB"/>
        </w:rPr>
        <w:t xml:space="preserve"> </w:t>
      </w:r>
      <w:r w:rsidR="00241D55" w:rsidRPr="007F04EF">
        <w:rPr>
          <w:lang w:val="en-GB"/>
        </w:rPr>
        <w:t>PPPs</w:t>
      </w:r>
      <w:r w:rsidR="00D45FAC" w:rsidRPr="007F04EF">
        <w:rPr>
          <w:lang w:val="en-GB"/>
        </w:rPr>
        <w:t>,</w:t>
      </w:r>
      <w:r w:rsidR="00241D55" w:rsidRPr="007F04EF">
        <w:rPr>
          <w:lang w:val="en-GB"/>
        </w:rPr>
        <w:t xml:space="preserve"> labels</w:t>
      </w:r>
      <w:r w:rsidR="00D45FAC" w:rsidRPr="007F04EF">
        <w:rPr>
          <w:lang w:val="en-GB"/>
        </w:rPr>
        <w:t xml:space="preserve"> on the packaging of seed material</w:t>
      </w:r>
      <w:r w:rsidR="000507CE" w:rsidRPr="007F04EF">
        <w:rPr>
          <w:lang w:val="en-GB"/>
        </w:rPr>
        <w:t xml:space="preserve">s, </w:t>
      </w:r>
      <w:r w:rsidR="00D45FAC" w:rsidRPr="007F04EF">
        <w:rPr>
          <w:lang w:val="en-GB"/>
        </w:rPr>
        <w:t>and sampling of green parts of plants before technological maturity, thereby verifying the correct us</w:t>
      </w:r>
      <w:r w:rsidR="00956C11" w:rsidRPr="007F04EF">
        <w:rPr>
          <w:lang w:val="en-GB"/>
        </w:rPr>
        <w:t>e of</w:t>
      </w:r>
      <w:r w:rsidR="00D45FAC" w:rsidRPr="007F04EF">
        <w:rPr>
          <w:lang w:val="en-GB"/>
        </w:rPr>
        <w:t xml:space="preserve"> </w:t>
      </w:r>
      <w:r w:rsidR="00241D55" w:rsidRPr="007F04EF">
        <w:rPr>
          <w:lang w:val="en-GB"/>
        </w:rPr>
        <w:t>PPPs.</w:t>
      </w:r>
      <w:r w:rsidR="00D45FAC" w:rsidRPr="007F04EF">
        <w:rPr>
          <w:lang w:val="en-GB"/>
        </w:rPr>
        <w:t xml:space="preserve"> </w:t>
      </w:r>
      <w:r w:rsidR="00956C11" w:rsidRPr="007F04EF">
        <w:rPr>
          <w:lang w:val="en-GB"/>
        </w:rPr>
        <w:t>Inspectors</w:t>
      </w:r>
      <w:r w:rsidR="00D45FAC" w:rsidRPr="007F04EF">
        <w:rPr>
          <w:lang w:val="en-GB"/>
        </w:rPr>
        <w:t xml:space="preserve"> also verify the implementation </w:t>
      </w:r>
      <w:r w:rsidR="000507CE" w:rsidRPr="007F04EF">
        <w:rPr>
          <w:lang w:val="en-GB"/>
        </w:rPr>
        <w:t xml:space="preserve">of inspections </w:t>
      </w:r>
      <w:r w:rsidR="00D45FAC" w:rsidRPr="007F04EF">
        <w:rPr>
          <w:lang w:val="en-GB"/>
        </w:rPr>
        <w:t xml:space="preserve">of </w:t>
      </w:r>
      <w:r w:rsidR="00956C11" w:rsidRPr="007F04EF">
        <w:rPr>
          <w:lang w:val="en-GB"/>
        </w:rPr>
        <w:t>PPP</w:t>
      </w:r>
      <w:r w:rsidRPr="007F04EF">
        <w:rPr>
          <w:lang w:val="en-GB"/>
        </w:rPr>
        <w:t>-</w:t>
      </w:r>
      <w:r w:rsidR="00D45FAC" w:rsidRPr="007F04EF">
        <w:rPr>
          <w:lang w:val="en-GB"/>
        </w:rPr>
        <w:t>application equipment</w:t>
      </w:r>
      <w:r w:rsidR="000507CE" w:rsidRPr="007F04EF">
        <w:rPr>
          <w:lang w:val="en-GB"/>
        </w:rPr>
        <w:t xml:space="preserve">, </w:t>
      </w:r>
      <w:r w:rsidR="00D45FAC" w:rsidRPr="007F04EF">
        <w:rPr>
          <w:lang w:val="en-GB"/>
        </w:rPr>
        <w:t>and the implementation of training</w:t>
      </w:r>
      <w:r w:rsidR="000507CE" w:rsidRPr="007F04EF">
        <w:rPr>
          <w:lang w:val="en-GB"/>
        </w:rPr>
        <w:t>s o</w:t>
      </w:r>
      <w:r w:rsidR="00D45FAC" w:rsidRPr="007F04EF">
        <w:rPr>
          <w:lang w:val="en-GB"/>
        </w:rPr>
        <w:t>f</w:t>
      </w:r>
      <w:r w:rsidR="000507CE" w:rsidRPr="007F04EF">
        <w:rPr>
          <w:lang w:val="en-GB"/>
        </w:rPr>
        <w:t xml:space="preserve"> </w:t>
      </w:r>
      <w:r w:rsidR="00956C11" w:rsidRPr="007F04EF">
        <w:rPr>
          <w:lang w:val="en-GB"/>
        </w:rPr>
        <w:t>PPP</w:t>
      </w:r>
      <w:r w:rsidRPr="007F04EF">
        <w:rPr>
          <w:lang w:val="en-GB"/>
        </w:rPr>
        <w:t>-</w:t>
      </w:r>
      <w:r w:rsidR="00956C11" w:rsidRPr="007F04EF">
        <w:rPr>
          <w:lang w:val="en-GB"/>
        </w:rPr>
        <w:t>advisors</w:t>
      </w:r>
      <w:r w:rsidR="00D45FAC" w:rsidRPr="007F04EF">
        <w:rPr>
          <w:lang w:val="en-GB"/>
        </w:rPr>
        <w:t xml:space="preserve">, </w:t>
      </w:r>
      <w:r w:rsidR="00956C11" w:rsidRPr="007F04EF">
        <w:rPr>
          <w:lang w:val="en-GB"/>
        </w:rPr>
        <w:t>PPP</w:t>
      </w:r>
      <w:r w:rsidRPr="007F04EF">
        <w:rPr>
          <w:lang w:val="en-GB"/>
        </w:rPr>
        <w:t>-</w:t>
      </w:r>
      <w:proofErr w:type="gramStart"/>
      <w:r w:rsidR="00956C11" w:rsidRPr="007F04EF">
        <w:rPr>
          <w:lang w:val="en-GB"/>
        </w:rPr>
        <w:t>sellers</w:t>
      </w:r>
      <w:proofErr w:type="gramEnd"/>
      <w:r w:rsidR="00D45FAC" w:rsidRPr="007F04EF">
        <w:rPr>
          <w:lang w:val="en-GB"/>
        </w:rPr>
        <w:t xml:space="preserve"> and </w:t>
      </w:r>
      <w:r w:rsidR="00956C11" w:rsidRPr="007F04EF">
        <w:rPr>
          <w:lang w:val="en-GB"/>
        </w:rPr>
        <w:t>PPP</w:t>
      </w:r>
      <w:r w:rsidRPr="007F04EF">
        <w:rPr>
          <w:lang w:val="en-GB"/>
        </w:rPr>
        <w:t>-</w:t>
      </w:r>
      <w:r w:rsidR="00E950A4" w:rsidRPr="007F04EF">
        <w:rPr>
          <w:lang w:val="en-GB"/>
        </w:rPr>
        <w:t xml:space="preserve">professional </w:t>
      </w:r>
      <w:r w:rsidR="00D45FAC" w:rsidRPr="007F04EF">
        <w:rPr>
          <w:lang w:val="en-GB"/>
        </w:rPr>
        <w:t xml:space="preserve">users. Inspectors </w:t>
      </w:r>
      <w:r w:rsidR="00241D55" w:rsidRPr="007F04EF">
        <w:rPr>
          <w:lang w:val="en-GB"/>
        </w:rPr>
        <w:t>act</w:t>
      </w:r>
      <w:r w:rsidR="00D45FAC" w:rsidRPr="007F04EF">
        <w:rPr>
          <w:lang w:val="en-GB"/>
        </w:rPr>
        <w:t xml:space="preserve"> depending on the nature and severity of the identified irregularity</w:t>
      </w:r>
      <w:r w:rsidR="00956C11" w:rsidRPr="007F04EF">
        <w:rPr>
          <w:lang w:val="en-GB"/>
        </w:rPr>
        <w:t xml:space="preserve">; they may </w:t>
      </w:r>
      <w:r w:rsidR="00D45FAC" w:rsidRPr="007F04EF">
        <w:rPr>
          <w:lang w:val="en-GB"/>
        </w:rPr>
        <w:t xml:space="preserve">issue an administrative inspection decision, a decision on a </w:t>
      </w:r>
      <w:r w:rsidR="00956C11" w:rsidRPr="007F04EF">
        <w:rPr>
          <w:lang w:val="en-GB"/>
        </w:rPr>
        <w:t>misdemeanour</w:t>
      </w:r>
      <w:r w:rsidR="00D45FAC" w:rsidRPr="007F04EF">
        <w:rPr>
          <w:lang w:val="en-GB"/>
        </w:rPr>
        <w:t xml:space="preserve">, a warning in accordance with the legislation on </w:t>
      </w:r>
      <w:r w:rsidR="00956C11" w:rsidRPr="007F04EF">
        <w:rPr>
          <w:lang w:val="en-GB"/>
        </w:rPr>
        <w:t>misdemeanours</w:t>
      </w:r>
      <w:r w:rsidR="00D45FAC" w:rsidRPr="007F04EF">
        <w:rPr>
          <w:lang w:val="en-GB"/>
        </w:rPr>
        <w:t>, or a payment order.</w:t>
      </w:r>
    </w:p>
    <w:p w14:paraId="1034C207" w14:textId="77777777" w:rsidR="00944CBB" w:rsidRPr="007F04EF" w:rsidRDefault="00944CBB" w:rsidP="00BB242A">
      <w:pPr>
        <w:jc w:val="both"/>
        <w:rPr>
          <w:lang w:val="en-GB"/>
        </w:rPr>
      </w:pPr>
    </w:p>
    <w:p w14:paraId="3A694D0E" w14:textId="0D8408DD" w:rsidR="00956C11" w:rsidRPr="007F04EF" w:rsidRDefault="00956C11" w:rsidP="00BB242A">
      <w:pPr>
        <w:jc w:val="both"/>
        <w:rPr>
          <w:lang w:val="en-GB"/>
        </w:rPr>
      </w:pPr>
      <w:r w:rsidRPr="007F04EF">
        <w:rPr>
          <w:lang w:val="en-GB"/>
        </w:rPr>
        <w:t xml:space="preserve">Data on all inspections and irregularities </w:t>
      </w:r>
      <w:r w:rsidR="000507CE" w:rsidRPr="007F04EF">
        <w:rPr>
          <w:lang w:val="en-GB"/>
        </w:rPr>
        <w:t xml:space="preserve">identified </w:t>
      </w:r>
      <w:r w:rsidRPr="007F04EF">
        <w:rPr>
          <w:lang w:val="en-GB"/>
        </w:rPr>
        <w:t xml:space="preserve">are shown in </w:t>
      </w:r>
      <w:r w:rsidR="000507CE" w:rsidRPr="007F04EF">
        <w:rPr>
          <w:lang w:val="en-GB"/>
        </w:rPr>
        <w:t>T</w:t>
      </w:r>
      <w:r w:rsidRPr="007F04EF">
        <w:rPr>
          <w:lang w:val="en-GB"/>
        </w:rPr>
        <w:t xml:space="preserve">able </w:t>
      </w:r>
      <w:r w:rsidR="000507CE" w:rsidRPr="007F04EF">
        <w:rPr>
          <w:lang w:val="en-GB"/>
        </w:rPr>
        <w:t>11</w:t>
      </w:r>
      <w:r w:rsidRPr="007F04EF">
        <w:rPr>
          <w:lang w:val="en-GB"/>
        </w:rPr>
        <w:t>.</w:t>
      </w:r>
      <w:r w:rsidR="000507CE" w:rsidRPr="007F04EF">
        <w:rPr>
          <w:lang w:val="en-GB"/>
        </w:rPr>
        <w:t xml:space="preserve"> D</w:t>
      </w:r>
      <w:r w:rsidRPr="007F04EF">
        <w:rPr>
          <w:lang w:val="en-GB"/>
        </w:rPr>
        <w:t>ata for 2020 and 2021 deviate from the average</w:t>
      </w:r>
      <w:r w:rsidR="00054944" w:rsidRPr="007F04EF">
        <w:rPr>
          <w:lang w:val="en-GB"/>
        </w:rPr>
        <w:t xml:space="preserve"> on account of </w:t>
      </w:r>
      <w:r w:rsidR="000507CE" w:rsidRPr="007F04EF">
        <w:rPr>
          <w:lang w:val="en-GB"/>
        </w:rPr>
        <w:t xml:space="preserve">the </w:t>
      </w:r>
      <w:r w:rsidRPr="007F04EF">
        <w:rPr>
          <w:lang w:val="en-GB"/>
        </w:rPr>
        <w:t>Covid</w:t>
      </w:r>
      <w:r w:rsidR="000507CE" w:rsidRPr="007F04EF">
        <w:rPr>
          <w:lang w:val="en-GB"/>
        </w:rPr>
        <w:t>-</w:t>
      </w:r>
      <w:r w:rsidRPr="007F04EF">
        <w:rPr>
          <w:lang w:val="en-GB"/>
        </w:rPr>
        <w:t>19 virus</w:t>
      </w:r>
      <w:r w:rsidR="00830781" w:rsidRPr="007F04EF">
        <w:rPr>
          <w:lang w:val="en-GB"/>
        </w:rPr>
        <w:t xml:space="preserve"> pandemic</w:t>
      </w:r>
      <w:r w:rsidRPr="007F04EF">
        <w:rPr>
          <w:lang w:val="en-GB"/>
        </w:rPr>
        <w:t>.</w:t>
      </w:r>
      <w:r w:rsidR="00830781" w:rsidRPr="007F04EF">
        <w:rPr>
          <w:lang w:val="en-GB"/>
        </w:rPr>
        <w:t xml:space="preserve"> </w:t>
      </w:r>
      <w:r w:rsidR="00AB7EF0" w:rsidRPr="007F04EF">
        <w:rPr>
          <w:lang w:val="en-GB"/>
        </w:rPr>
        <w:t>There</w:t>
      </w:r>
      <w:r w:rsidRPr="007F04EF">
        <w:rPr>
          <w:lang w:val="en-GB"/>
        </w:rPr>
        <w:t xml:space="preserve"> were fewer inspections in 2021, but they were more targeted at irregularities </w:t>
      </w:r>
      <w:r w:rsidR="00830781" w:rsidRPr="007F04EF">
        <w:rPr>
          <w:lang w:val="en-GB"/>
        </w:rPr>
        <w:t xml:space="preserve">detected </w:t>
      </w:r>
      <w:r w:rsidRPr="007F04EF">
        <w:rPr>
          <w:lang w:val="en-GB"/>
        </w:rPr>
        <w:t xml:space="preserve">in previous years and during other types of control, </w:t>
      </w:r>
      <w:r w:rsidR="00830781" w:rsidRPr="007F04EF">
        <w:rPr>
          <w:lang w:val="en-GB"/>
        </w:rPr>
        <w:t xml:space="preserve">what </w:t>
      </w:r>
      <w:r w:rsidR="00054944" w:rsidRPr="007F04EF">
        <w:rPr>
          <w:lang w:val="en-GB"/>
        </w:rPr>
        <w:t>result</w:t>
      </w:r>
      <w:r w:rsidR="00830781" w:rsidRPr="007F04EF">
        <w:rPr>
          <w:lang w:val="en-GB"/>
        </w:rPr>
        <w:t xml:space="preserve">ed </w:t>
      </w:r>
      <w:r w:rsidR="00054944" w:rsidRPr="007F04EF">
        <w:rPr>
          <w:lang w:val="en-GB"/>
        </w:rPr>
        <w:t>in a higher number of irregularities detected in 2021.</w:t>
      </w:r>
    </w:p>
    <w:p w14:paraId="38336BCD" w14:textId="77777777" w:rsidR="00944CBB" w:rsidRPr="007F04EF" w:rsidRDefault="00944CBB" w:rsidP="00132266">
      <w:pPr>
        <w:rPr>
          <w:lang w:val="en-GB"/>
        </w:rPr>
      </w:pPr>
    </w:p>
    <w:p w14:paraId="4BCE1488" w14:textId="135C9508" w:rsidR="00A23830" w:rsidRPr="007F04EF" w:rsidRDefault="00AB7EF0" w:rsidP="00DC3204">
      <w:pPr>
        <w:pStyle w:val="Napis"/>
        <w:rPr>
          <w:rFonts w:cs="Arial"/>
          <w:sz w:val="20"/>
          <w:szCs w:val="20"/>
          <w:lang w:val="en-GB"/>
        </w:rPr>
      </w:pPr>
      <w:bookmarkStart w:id="88" w:name="_Toc149825611"/>
      <w:bookmarkStart w:id="89" w:name="_Toc151116360"/>
      <w:bookmarkStart w:id="90" w:name="_Toc152153154"/>
      <w:bookmarkStart w:id="91" w:name="_Toc161657873"/>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11</w:t>
      </w:r>
      <w:r w:rsidR="00DC3204" w:rsidRPr="007F04EF">
        <w:rPr>
          <w:rFonts w:cs="Arial"/>
          <w:sz w:val="20"/>
          <w:szCs w:val="20"/>
          <w:lang w:val="en-GB"/>
        </w:rPr>
        <w:fldChar w:fldCharType="end"/>
      </w:r>
      <w:r w:rsidR="00A23830" w:rsidRPr="007F04EF">
        <w:rPr>
          <w:rFonts w:cs="Arial"/>
          <w:sz w:val="20"/>
          <w:szCs w:val="20"/>
          <w:lang w:val="en-GB"/>
        </w:rPr>
        <w:t xml:space="preserve">: </w:t>
      </w:r>
      <w:bookmarkEnd w:id="88"/>
      <w:bookmarkEnd w:id="89"/>
      <w:bookmarkEnd w:id="90"/>
      <w:r w:rsidR="001750BD" w:rsidRPr="007F04EF">
        <w:rPr>
          <w:rFonts w:cs="Arial"/>
          <w:sz w:val="20"/>
          <w:szCs w:val="20"/>
          <w:lang w:val="en-GB"/>
        </w:rPr>
        <w:t>The total number of inspections; and the number</w:t>
      </w:r>
      <w:r w:rsidR="00054944" w:rsidRPr="007F04EF">
        <w:rPr>
          <w:rFonts w:cs="Arial"/>
          <w:sz w:val="20"/>
          <w:szCs w:val="20"/>
          <w:lang w:val="en-GB"/>
        </w:rPr>
        <w:t xml:space="preserve"> </w:t>
      </w:r>
      <w:r w:rsidR="001750BD" w:rsidRPr="007F04EF">
        <w:rPr>
          <w:rFonts w:cs="Arial"/>
          <w:sz w:val="20"/>
          <w:szCs w:val="20"/>
          <w:lang w:val="en-GB"/>
        </w:rPr>
        <w:t>and</w:t>
      </w:r>
      <w:r w:rsidR="00054944" w:rsidRPr="007F04EF">
        <w:rPr>
          <w:rFonts w:cs="Arial"/>
          <w:sz w:val="20"/>
          <w:szCs w:val="20"/>
          <w:lang w:val="en-GB"/>
        </w:rPr>
        <w:t xml:space="preserve"> </w:t>
      </w:r>
      <w:r w:rsidR="001750BD" w:rsidRPr="007F04EF">
        <w:rPr>
          <w:rFonts w:cs="Arial"/>
          <w:sz w:val="20"/>
          <w:szCs w:val="20"/>
          <w:lang w:val="en-GB"/>
        </w:rPr>
        <w:t>proportion</w:t>
      </w:r>
      <w:r w:rsidR="00054944" w:rsidRPr="007F04EF">
        <w:rPr>
          <w:rFonts w:cs="Arial"/>
          <w:sz w:val="20"/>
          <w:szCs w:val="20"/>
          <w:lang w:val="en-GB"/>
        </w:rPr>
        <w:t xml:space="preserve"> </w:t>
      </w:r>
      <w:r w:rsidR="001750BD" w:rsidRPr="007F04EF">
        <w:rPr>
          <w:rFonts w:cs="Arial"/>
          <w:sz w:val="20"/>
          <w:szCs w:val="20"/>
          <w:lang w:val="en-GB"/>
        </w:rPr>
        <w:t>of</w:t>
      </w:r>
      <w:r w:rsidR="00054944" w:rsidRPr="007F04EF">
        <w:rPr>
          <w:rFonts w:cs="Arial"/>
          <w:sz w:val="20"/>
          <w:szCs w:val="20"/>
          <w:lang w:val="en-GB"/>
        </w:rPr>
        <w:t xml:space="preserve"> </w:t>
      </w:r>
      <w:r w:rsidR="001750BD" w:rsidRPr="007F04EF">
        <w:rPr>
          <w:rFonts w:cs="Arial"/>
          <w:sz w:val="20"/>
          <w:szCs w:val="20"/>
          <w:lang w:val="en-GB"/>
        </w:rPr>
        <w:t>irregularities</w:t>
      </w:r>
      <w:bookmarkEnd w:id="91"/>
      <w:r w:rsidR="000B1910" w:rsidRPr="007F04EF">
        <w:rPr>
          <w:rStyle w:val="Sprotnaopomba-sklic"/>
          <w:rFonts w:cs="Arial"/>
          <w:sz w:val="20"/>
          <w:szCs w:val="20"/>
          <w:lang w:val="en-GB"/>
        </w:rPr>
        <w:footnoteReference w:id="23"/>
      </w:r>
    </w:p>
    <w:p w14:paraId="5AD4B44E" w14:textId="77777777" w:rsidR="00944CBB" w:rsidRPr="007F04EF" w:rsidRDefault="00944CBB" w:rsidP="00944CBB">
      <w:pPr>
        <w:rPr>
          <w:lang w:val="en-GB"/>
        </w:rPr>
      </w:pPr>
    </w:p>
    <w:tbl>
      <w:tblPr>
        <w:tblW w:w="952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12"/>
        <w:gridCol w:w="1222"/>
        <w:gridCol w:w="1222"/>
        <w:gridCol w:w="1222"/>
        <w:gridCol w:w="1222"/>
        <w:gridCol w:w="1222"/>
      </w:tblGrid>
      <w:tr w:rsidR="00A23830" w:rsidRPr="007F04EF" w14:paraId="0CFE40EA" w14:textId="77777777" w:rsidTr="00935918">
        <w:trPr>
          <w:trHeight w:val="307"/>
        </w:trPr>
        <w:tc>
          <w:tcPr>
            <w:tcW w:w="3412" w:type="dxa"/>
            <w:shd w:val="clear" w:color="auto" w:fill="auto"/>
            <w:noWrap/>
            <w:vAlign w:val="bottom"/>
            <w:hideMark/>
          </w:tcPr>
          <w:p w14:paraId="3BF686AB" w14:textId="074A7FA6" w:rsidR="00A23830" w:rsidRPr="007F04EF" w:rsidRDefault="001750BD" w:rsidP="005D1752">
            <w:pPr>
              <w:rPr>
                <w:rFonts w:eastAsia="Times New Roman" w:cs="Calibri"/>
                <w:color w:val="000000"/>
                <w:lang w:val="en-GB"/>
              </w:rPr>
            </w:pPr>
            <w:r w:rsidRPr="007F04EF">
              <w:rPr>
                <w:rFonts w:eastAsia="Times New Roman" w:cs="Calibri"/>
                <w:color w:val="000000"/>
                <w:lang w:val="en-GB"/>
              </w:rPr>
              <w:t>Year</w:t>
            </w:r>
          </w:p>
        </w:tc>
        <w:tc>
          <w:tcPr>
            <w:tcW w:w="1222" w:type="dxa"/>
            <w:shd w:val="clear" w:color="auto" w:fill="auto"/>
            <w:noWrap/>
            <w:vAlign w:val="bottom"/>
            <w:hideMark/>
          </w:tcPr>
          <w:p w14:paraId="7B990FC1"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2018</w:t>
            </w:r>
          </w:p>
        </w:tc>
        <w:tc>
          <w:tcPr>
            <w:tcW w:w="1222" w:type="dxa"/>
            <w:shd w:val="clear" w:color="auto" w:fill="auto"/>
            <w:noWrap/>
            <w:vAlign w:val="bottom"/>
            <w:hideMark/>
          </w:tcPr>
          <w:p w14:paraId="39FE63D0"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2019</w:t>
            </w:r>
          </w:p>
        </w:tc>
        <w:tc>
          <w:tcPr>
            <w:tcW w:w="1222" w:type="dxa"/>
            <w:shd w:val="clear" w:color="auto" w:fill="auto"/>
            <w:noWrap/>
            <w:vAlign w:val="bottom"/>
            <w:hideMark/>
          </w:tcPr>
          <w:p w14:paraId="6F47F069"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2020</w:t>
            </w:r>
          </w:p>
        </w:tc>
        <w:tc>
          <w:tcPr>
            <w:tcW w:w="1222" w:type="dxa"/>
            <w:shd w:val="clear" w:color="auto" w:fill="auto"/>
            <w:noWrap/>
            <w:vAlign w:val="bottom"/>
            <w:hideMark/>
          </w:tcPr>
          <w:p w14:paraId="35DEE1C8"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2021</w:t>
            </w:r>
          </w:p>
        </w:tc>
        <w:tc>
          <w:tcPr>
            <w:tcW w:w="1222" w:type="dxa"/>
            <w:shd w:val="clear" w:color="auto" w:fill="auto"/>
            <w:noWrap/>
            <w:vAlign w:val="bottom"/>
            <w:hideMark/>
          </w:tcPr>
          <w:p w14:paraId="42889664"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2022</w:t>
            </w:r>
          </w:p>
        </w:tc>
      </w:tr>
      <w:tr w:rsidR="00A23830" w:rsidRPr="007F04EF" w14:paraId="0489C0B3" w14:textId="77777777" w:rsidTr="00935918">
        <w:trPr>
          <w:trHeight w:val="297"/>
        </w:trPr>
        <w:tc>
          <w:tcPr>
            <w:tcW w:w="3412" w:type="dxa"/>
            <w:shd w:val="clear" w:color="auto" w:fill="auto"/>
            <w:noWrap/>
            <w:vAlign w:val="bottom"/>
            <w:hideMark/>
          </w:tcPr>
          <w:p w14:paraId="110D0888" w14:textId="7B36D39C" w:rsidR="00A23830" w:rsidRPr="007F04EF" w:rsidRDefault="001750BD" w:rsidP="005D1752">
            <w:pPr>
              <w:rPr>
                <w:rFonts w:eastAsia="Times New Roman" w:cs="Calibri"/>
                <w:color w:val="000000"/>
                <w:lang w:val="en-GB"/>
              </w:rPr>
            </w:pPr>
            <w:r w:rsidRPr="007F04EF">
              <w:rPr>
                <w:rFonts w:eastAsia="Times New Roman" w:cs="Calibri"/>
                <w:color w:val="000000"/>
                <w:lang w:val="en-GB"/>
              </w:rPr>
              <w:t>Total inspections</w:t>
            </w:r>
          </w:p>
        </w:tc>
        <w:tc>
          <w:tcPr>
            <w:tcW w:w="1222" w:type="dxa"/>
            <w:shd w:val="clear" w:color="auto" w:fill="auto"/>
            <w:noWrap/>
            <w:vAlign w:val="bottom"/>
            <w:hideMark/>
          </w:tcPr>
          <w:p w14:paraId="3C0D13BC" w14:textId="56811E59"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3</w:t>
            </w:r>
            <w:r w:rsidR="00830781" w:rsidRPr="007F04EF">
              <w:rPr>
                <w:rFonts w:eastAsia="Times New Roman" w:cs="Calibri"/>
                <w:color w:val="000000"/>
                <w:lang w:val="en-GB"/>
              </w:rPr>
              <w:t>,</w:t>
            </w:r>
            <w:r w:rsidRPr="007F04EF">
              <w:rPr>
                <w:rFonts w:eastAsia="Times New Roman" w:cs="Calibri"/>
                <w:color w:val="000000"/>
                <w:lang w:val="en-GB"/>
              </w:rPr>
              <w:t>292</w:t>
            </w:r>
          </w:p>
        </w:tc>
        <w:tc>
          <w:tcPr>
            <w:tcW w:w="1222" w:type="dxa"/>
            <w:shd w:val="clear" w:color="auto" w:fill="auto"/>
            <w:noWrap/>
            <w:vAlign w:val="bottom"/>
            <w:hideMark/>
          </w:tcPr>
          <w:p w14:paraId="5CBAF454" w14:textId="775D063B"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w:t>
            </w:r>
            <w:r w:rsidR="00830781" w:rsidRPr="007F04EF">
              <w:rPr>
                <w:rFonts w:eastAsia="Times New Roman" w:cs="Calibri"/>
                <w:color w:val="000000"/>
                <w:lang w:val="en-GB"/>
              </w:rPr>
              <w:t>,</w:t>
            </w:r>
            <w:r w:rsidRPr="007F04EF">
              <w:rPr>
                <w:rFonts w:eastAsia="Times New Roman" w:cs="Calibri"/>
                <w:color w:val="000000"/>
                <w:lang w:val="en-GB"/>
              </w:rPr>
              <w:t>224</w:t>
            </w:r>
          </w:p>
        </w:tc>
        <w:tc>
          <w:tcPr>
            <w:tcW w:w="1222" w:type="dxa"/>
            <w:shd w:val="clear" w:color="auto" w:fill="auto"/>
            <w:noWrap/>
            <w:vAlign w:val="bottom"/>
            <w:hideMark/>
          </w:tcPr>
          <w:p w14:paraId="0B3C1CFA"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686</w:t>
            </w:r>
          </w:p>
        </w:tc>
        <w:tc>
          <w:tcPr>
            <w:tcW w:w="1222" w:type="dxa"/>
            <w:shd w:val="clear" w:color="auto" w:fill="auto"/>
            <w:noWrap/>
            <w:vAlign w:val="bottom"/>
            <w:hideMark/>
          </w:tcPr>
          <w:p w14:paraId="1C3049DC"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695</w:t>
            </w:r>
          </w:p>
        </w:tc>
        <w:tc>
          <w:tcPr>
            <w:tcW w:w="1222" w:type="dxa"/>
            <w:shd w:val="clear" w:color="auto" w:fill="auto"/>
            <w:noWrap/>
            <w:vAlign w:val="bottom"/>
            <w:hideMark/>
          </w:tcPr>
          <w:p w14:paraId="038E48C1" w14:textId="0E597CB1"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w:t>
            </w:r>
            <w:r w:rsidR="00830781" w:rsidRPr="007F04EF">
              <w:rPr>
                <w:rFonts w:eastAsia="Times New Roman" w:cs="Calibri"/>
                <w:color w:val="000000"/>
                <w:lang w:val="en-GB"/>
              </w:rPr>
              <w:t>,</w:t>
            </w:r>
            <w:r w:rsidRPr="007F04EF">
              <w:rPr>
                <w:rFonts w:eastAsia="Times New Roman" w:cs="Calibri"/>
                <w:color w:val="000000"/>
                <w:lang w:val="en-GB"/>
              </w:rPr>
              <w:t>036</w:t>
            </w:r>
          </w:p>
        </w:tc>
      </w:tr>
      <w:tr w:rsidR="00A23830" w:rsidRPr="007F04EF" w14:paraId="2CF96AC2" w14:textId="77777777" w:rsidTr="00935918">
        <w:trPr>
          <w:trHeight w:val="297"/>
        </w:trPr>
        <w:tc>
          <w:tcPr>
            <w:tcW w:w="3412" w:type="dxa"/>
            <w:shd w:val="clear" w:color="auto" w:fill="auto"/>
            <w:noWrap/>
            <w:vAlign w:val="bottom"/>
            <w:hideMark/>
          </w:tcPr>
          <w:p w14:paraId="33B2496D" w14:textId="12613C1F" w:rsidR="00A23830" w:rsidRPr="007F04EF" w:rsidRDefault="001750BD" w:rsidP="005D1752">
            <w:pPr>
              <w:rPr>
                <w:rFonts w:eastAsia="Times New Roman" w:cs="Calibri"/>
                <w:color w:val="000000"/>
                <w:lang w:val="en-GB"/>
              </w:rPr>
            </w:pPr>
            <w:r w:rsidRPr="007F04EF">
              <w:rPr>
                <w:rFonts w:eastAsia="Times New Roman" w:cs="Calibri"/>
                <w:color w:val="000000"/>
                <w:lang w:val="en-GB"/>
              </w:rPr>
              <w:t>Total irregularities</w:t>
            </w:r>
          </w:p>
        </w:tc>
        <w:tc>
          <w:tcPr>
            <w:tcW w:w="1222" w:type="dxa"/>
            <w:shd w:val="clear" w:color="auto" w:fill="auto"/>
            <w:noWrap/>
            <w:vAlign w:val="bottom"/>
            <w:hideMark/>
          </w:tcPr>
          <w:p w14:paraId="59B7AF7D"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401</w:t>
            </w:r>
          </w:p>
        </w:tc>
        <w:tc>
          <w:tcPr>
            <w:tcW w:w="1222" w:type="dxa"/>
            <w:shd w:val="clear" w:color="auto" w:fill="auto"/>
            <w:noWrap/>
            <w:vAlign w:val="bottom"/>
            <w:hideMark/>
          </w:tcPr>
          <w:p w14:paraId="76D446E4"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237</w:t>
            </w:r>
          </w:p>
        </w:tc>
        <w:tc>
          <w:tcPr>
            <w:tcW w:w="1222" w:type="dxa"/>
            <w:shd w:val="clear" w:color="auto" w:fill="auto"/>
            <w:noWrap/>
            <w:vAlign w:val="bottom"/>
            <w:hideMark/>
          </w:tcPr>
          <w:p w14:paraId="48B09C07"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127</w:t>
            </w:r>
          </w:p>
        </w:tc>
        <w:tc>
          <w:tcPr>
            <w:tcW w:w="1222" w:type="dxa"/>
            <w:shd w:val="clear" w:color="auto" w:fill="auto"/>
            <w:noWrap/>
            <w:vAlign w:val="bottom"/>
            <w:hideMark/>
          </w:tcPr>
          <w:p w14:paraId="3A5E947B"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194</w:t>
            </w:r>
          </w:p>
        </w:tc>
        <w:tc>
          <w:tcPr>
            <w:tcW w:w="1222" w:type="dxa"/>
            <w:shd w:val="clear" w:color="auto" w:fill="auto"/>
            <w:noWrap/>
            <w:vAlign w:val="bottom"/>
            <w:hideMark/>
          </w:tcPr>
          <w:p w14:paraId="597307A7"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239</w:t>
            </w:r>
          </w:p>
        </w:tc>
      </w:tr>
      <w:tr w:rsidR="00A23830" w:rsidRPr="007F04EF" w14:paraId="2D973336" w14:textId="77777777" w:rsidTr="00935918">
        <w:trPr>
          <w:trHeight w:val="297"/>
        </w:trPr>
        <w:tc>
          <w:tcPr>
            <w:tcW w:w="3412" w:type="dxa"/>
            <w:shd w:val="clear" w:color="auto" w:fill="auto"/>
            <w:noWrap/>
            <w:vAlign w:val="bottom"/>
            <w:hideMark/>
          </w:tcPr>
          <w:p w14:paraId="77816D30" w14:textId="4885CC45" w:rsidR="00A23830" w:rsidRPr="007F04EF" w:rsidRDefault="001750BD" w:rsidP="005D1752">
            <w:pPr>
              <w:rPr>
                <w:rFonts w:eastAsia="Times New Roman" w:cs="Calibri"/>
                <w:color w:val="000000"/>
                <w:lang w:val="en-GB"/>
              </w:rPr>
            </w:pPr>
            <w:r w:rsidRPr="007F04EF">
              <w:rPr>
                <w:rFonts w:eastAsia="Times New Roman" w:cs="Calibri"/>
                <w:color w:val="000000"/>
                <w:lang w:val="en-GB"/>
              </w:rPr>
              <w:t>Proportion of irregularities</w:t>
            </w:r>
          </w:p>
        </w:tc>
        <w:tc>
          <w:tcPr>
            <w:tcW w:w="1222" w:type="dxa"/>
            <w:shd w:val="clear" w:color="auto" w:fill="auto"/>
            <w:noWrap/>
            <w:vAlign w:val="bottom"/>
            <w:hideMark/>
          </w:tcPr>
          <w:p w14:paraId="3B46CD0A" w14:textId="2743ABB6"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12</w:t>
            </w:r>
            <w:r w:rsidR="00830781" w:rsidRPr="007F04EF">
              <w:rPr>
                <w:rFonts w:eastAsia="Times New Roman" w:cs="Calibri"/>
                <w:color w:val="000000"/>
                <w:lang w:val="en-GB"/>
              </w:rPr>
              <w:t>.</w:t>
            </w:r>
            <w:r w:rsidRPr="007F04EF">
              <w:rPr>
                <w:rFonts w:eastAsia="Times New Roman" w:cs="Calibri"/>
                <w:color w:val="000000"/>
                <w:lang w:val="en-GB"/>
              </w:rPr>
              <w:t>18</w:t>
            </w:r>
          </w:p>
        </w:tc>
        <w:tc>
          <w:tcPr>
            <w:tcW w:w="1222" w:type="dxa"/>
            <w:shd w:val="clear" w:color="auto" w:fill="auto"/>
            <w:noWrap/>
            <w:vAlign w:val="bottom"/>
            <w:hideMark/>
          </w:tcPr>
          <w:p w14:paraId="2634C330" w14:textId="4A24012B"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19</w:t>
            </w:r>
            <w:r w:rsidR="00830781" w:rsidRPr="007F04EF">
              <w:rPr>
                <w:rFonts w:eastAsia="Times New Roman" w:cs="Calibri"/>
                <w:color w:val="000000"/>
                <w:lang w:val="en-GB"/>
              </w:rPr>
              <w:t>.</w:t>
            </w:r>
            <w:r w:rsidRPr="007F04EF">
              <w:rPr>
                <w:rFonts w:eastAsia="Times New Roman" w:cs="Calibri"/>
                <w:color w:val="000000"/>
                <w:lang w:val="en-GB"/>
              </w:rPr>
              <w:t>36</w:t>
            </w:r>
          </w:p>
        </w:tc>
        <w:tc>
          <w:tcPr>
            <w:tcW w:w="1222" w:type="dxa"/>
            <w:shd w:val="clear" w:color="auto" w:fill="auto"/>
            <w:noWrap/>
            <w:vAlign w:val="bottom"/>
            <w:hideMark/>
          </w:tcPr>
          <w:p w14:paraId="5130D803" w14:textId="5A471163"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18</w:t>
            </w:r>
            <w:r w:rsidR="00830781" w:rsidRPr="007F04EF">
              <w:rPr>
                <w:rFonts w:eastAsia="Times New Roman" w:cs="Calibri"/>
                <w:color w:val="000000"/>
                <w:lang w:val="en-GB"/>
              </w:rPr>
              <w:t>.</w:t>
            </w:r>
            <w:r w:rsidRPr="007F04EF">
              <w:rPr>
                <w:rFonts w:eastAsia="Times New Roman" w:cs="Calibri"/>
                <w:color w:val="000000"/>
                <w:lang w:val="en-GB"/>
              </w:rPr>
              <w:t>51</w:t>
            </w:r>
          </w:p>
        </w:tc>
        <w:tc>
          <w:tcPr>
            <w:tcW w:w="1222" w:type="dxa"/>
            <w:shd w:val="clear" w:color="auto" w:fill="auto"/>
            <w:noWrap/>
            <w:vAlign w:val="bottom"/>
            <w:hideMark/>
          </w:tcPr>
          <w:p w14:paraId="59DBC12E" w14:textId="1CEBCA34"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27</w:t>
            </w:r>
            <w:r w:rsidR="00830781" w:rsidRPr="007F04EF">
              <w:rPr>
                <w:rFonts w:eastAsia="Times New Roman" w:cs="Calibri"/>
                <w:color w:val="000000"/>
                <w:lang w:val="en-GB"/>
              </w:rPr>
              <w:t>.</w:t>
            </w:r>
            <w:r w:rsidRPr="007F04EF">
              <w:rPr>
                <w:rFonts w:eastAsia="Times New Roman" w:cs="Calibri"/>
                <w:color w:val="000000"/>
                <w:lang w:val="en-GB"/>
              </w:rPr>
              <w:t>91</w:t>
            </w:r>
          </w:p>
        </w:tc>
        <w:tc>
          <w:tcPr>
            <w:tcW w:w="1222" w:type="dxa"/>
            <w:shd w:val="clear" w:color="auto" w:fill="auto"/>
            <w:noWrap/>
            <w:vAlign w:val="bottom"/>
            <w:hideMark/>
          </w:tcPr>
          <w:p w14:paraId="5E8EF699" w14:textId="7CAF3A5E"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11</w:t>
            </w:r>
            <w:r w:rsidR="00830781" w:rsidRPr="007F04EF">
              <w:rPr>
                <w:rFonts w:eastAsia="Times New Roman" w:cs="Calibri"/>
                <w:color w:val="000000"/>
                <w:lang w:val="en-GB"/>
              </w:rPr>
              <w:t>.</w:t>
            </w:r>
            <w:r w:rsidRPr="007F04EF">
              <w:rPr>
                <w:rFonts w:eastAsia="Times New Roman" w:cs="Calibri"/>
                <w:color w:val="000000"/>
                <w:lang w:val="en-GB"/>
              </w:rPr>
              <w:t>74</w:t>
            </w:r>
          </w:p>
        </w:tc>
      </w:tr>
      <w:bookmarkEnd w:id="87"/>
    </w:tbl>
    <w:p w14:paraId="5DB879F9" w14:textId="77777777" w:rsidR="00E84083" w:rsidRPr="007F04EF" w:rsidRDefault="00E84083" w:rsidP="00BB242A">
      <w:pPr>
        <w:spacing w:after="160" w:line="259" w:lineRule="auto"/>
        <w:contextualSpacing/>
        <w:jc w:val="both"/>
        <w:rPr>
          <w:rFonts w:eastAsia="Times New Roman" w:cs="Arial"/>
          <w:lang w:val="en-GB"/>
        </w:rPr>
      </w:pPr>
    </w:p>
    <w:p w14:paraId="10AAA993" w14:textId="0B60E3BD" w:rsidR="00496D70" w:rsidRPr="007F04EF" w:rsidRDefault="001750BD" w:rsidP="00BB242A">
      <w:pPr>
        <w:jc w:val="both"/>
        <w:rPr>
          <w:lang w:val="en-GB"/>
        </w:rPr>
      </w:pPr>
      <w:r w:rsidRPr="007F04EF">
        <w:rPr>
          <w:lang w:val="en-GB"/>
        </w:rPr>
        <w:t xml:space="preserve">Most irregularities </w:t>
      </w:r>
      <w:r w:rsidR="00830781" w:rsidRPr="007F04EF">
        <w:rPr>
          <w:lang w:val="en-GB"/>
        </w:rPr>
        <w:t xml:space="preserve">detected at </w:t>
      </w:r>
      <w:r w:rsidRPr="007F04EF">
        <w:rPr>
          <w:lang w:val="en-GB"/>
        </w:rPr>
        <w:t>PPP</w:t>
      </w:r>
      <w:r w:rsidR="00830781" w:rsidRPr="007F04EF">
        <w:rPr>
          <w:lang w:val="en-GB"/>
        </w:rPr>
        <w:t>-</w:t>
      </w:r>
      <w:r w:rsidRPr="007F04EF">
        <w:rPr>
          <w:lang w:val="en-GB"/>
        </w:rPr>
        <w:t>users</w:t>
      </w:r>
      <w:r w:rsidR="00830781" w:rsidRPr="007F04EF">
        <w:rPr>
          <w:lang w:val="en-GB"/>
        </w:rPr>
        <w:t xml:space="preserve"> involve the record-</w:t>
      </w:r>
      <w:r w:rsidRPr="007F04EF">
        <w:rPr>
          <w:lang w:val="en-GB"/>
        </w:rPr>
        <w:t>keeping of</w:t>
      </w:r>
      <w:r w:rsidR="00830781" w:rsidRPr="007F04EF">
        <w:rPr>
          <w:lang w:val="en-GB"/>
        </w:rPr>
        <w:t xml:space="preserve"> </w:t>
      </w:r>
      <w:r w:rsidRPr="007F04EF">
        <w:rPr>
          <w:lang w:val="en-GB"/>
        </w:rPr>
        <w:t>use of PPPs. Table</w:t>
      </w:r>
      <w:r w:rsidR="00830781" w:rsidRPr="007F04EF">
        <w:rPr>
          <w:lang w:val="en-GB"/>
        </w:rPr>
        <w:t xml:space="preserve"> 12 </w:t>
      </w:r>
      <w:r w:rsidRPr="007F04EF">
        <w:rPr>
          <w:lang w:val="en-GB"/>
        </w:rPr>
        <w:t xml:space="preserve">shows data on the number of inspections </w:t>
      </w:r>
      <w:r w:rsidR="00830781" w:rsidRPr="007F04EF">
        <w:rPr>
          <w:lang w:val="en-GB"/>
        </w:rPr>
        <w:t xml:space="preserve">conducted, </w:t>
      </w:r>
      <w:r w:rsidRPr="007F04EF">
        <w:rPr>
          <w:lang w:val="en-GB"/>
        </w:rPr>
        <w:t>and sanctions imposed on PPP</w:t>
      </w:r>
      <w:r w:rsidR="00830781" w:rsidRPr="007F04EF">
        <w:rPr>
          <w:lang w:val="en-GB"/>
        </w:rPr>
        <w:t>-</w:t>
      </w:r>
      <w:r w:rsidRPr="007F04EF">
        <w:rPr>
          <w:lang w:val="en-GB"/>
        </w:rPr>
        <w:t>users.</w:t>
      </w:r>
    </w:p>
    <w:p w14:paraId="3FA96BA3" w14:textId="77777777" w:rsidR="00944CBB" w:rsidRPr="007F04EF" w:rsidRDefault="00944CBB" w:rsidP="002C6599">
      <w:pPr>
        <w:rPr>
          <w:lang w:val="en-GB"/>
        </w:rPr>
      </w:pPr>
    </w:p>
    <w:p w14:paraId="3AE8D33D" w14:textId="48254B60" w:rsidR="00496D70" w:rsidRPr="007F04EF" w:rsidRDefault="003A2B6A" w:rsidP="00DC3204">
      <w:pPr>
        <w:pStyle w:val="Napis"/>
        <w:rPr>
          <w:rFonts w:cs="Arial"/>
          <w:color w:val="1F497D"/>
          <w:sz w:val="20"/>
          <w:szCs w:val="20"/>
          <w:lang w:val="en-GB"/>
        </w:rPr>
      </w:pPr>
      <w:bookmarkStart w:id="92" w:name="_Toc161657874"/>
      <w:bookmarkStart w:id="93" w:name="_Toc151116397"/>
      <w:bookmarkStart w:id="94" w:name="_Toc152153155"/>
      <w:bookmarkStart w:id="95" w:name="_Hlk172027040"/>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12</w:t>
      </w:r>
      <w:r w:rsidR="00DC3204" w:rsidRPr="007F04EF">
        <w:rPr>
          <w:rFonts w:cs="Arial"/>
          <w:sz w:val="20"/>
          <w:szCs w:val="20"/>
          <w:lang w:val="en-GB"/>
        </w:rPr>
        <w:fldChar w:fldCharType="end"/>
      </w:r>
      <w:r w:rsidR="00496D70" w:rsidRPr="007F04EF">
        <w:rPr>
          <w:rFonts w:cs="Arial"/>
          <w:color w:val="1F497D"/>
          <w:sz w:val="20"/>
          <w:szCs w:val="20"/>
          <w:lang w:val="en-GB"/>
        </w:rPr>
        <w:t xml:space="preserve">: </w:t>
      </w:r>
      <w:r w:rsidRPr="007F04EF">
        <w:rPr>
          <w:rFonts w:cs="Arial"/>
          <w:color w:val="1F497D"/>
          <w:sz w:val="20"/>
          <w:szCs w:val="20"/>
          <w:lang w:val="en-GB"/>
        </w:rPr>
        <w:t>The number of controls on PPP</w:t>
      </w:r>
      <w:r w:rsidR="00F94585" w:rsidRPr="007F04EF">
        <w:rPr>
          <w:rFonts w:cs="Arial"/>
          <w:color w:val="1F497D"/>
          <w:sz w:val="20"/>
          <w:szCs w:val="20"/>
          <w:lang w:val="en-GB"/>
        </w:rPr>
        <w:t>-</w:t>
      </w:r>
      <w:r w:rsidRPr="007F04EF">
        <w:rPr>
          <w:rFonts w:cs="Arial"/>
          <w:color w:val="1F497D"/>
          <w:sz w:val="20"/>
          <w:szCs w:val="20"/>
          <w:lang w:val="en-GB"/>
        </w:rPr>
        <w:t xml:space="preserve">users and the number of sanctions </w:t>
      </w:r>
      <w:r w:rsidR="00F94585" w:rsidRPr="007F04EF">
        <w:rPr>
          <w:rFonts w:cs="Arial"/>
          <w:color w:val="1F497D"/>
          <w:sz w:val="20"/>
          <w:szCs w:val="20"/>
          <w:lang w:val="en-GB"/>
        </w:rPr>
        <w:t xml:space="preserve">imposed </w:t>
      </w:r>
      <w:r w:rsidRPr="007F04EF">
        <w:rPr>
          <w:rFonts w:cs="Arial"/>
          <w:color w:val="1F497D"/>
          <w:sz w:val="20"/>
          <w:szCs w:val="20"/>
          <w:lang w:val="en-GB"/>
        </w:rPr>
        <w:t>on PPP</w:t>
      </w:r>
      <w:r w:rsidR="00F94585" w:rsidRPr="007F04EF">
        <w:rPr>
          <w:rFonts w:cs="Arial"/>
          <w:color w:val="1F497D"/>
          <w:sz w:val="20"/>
          <w:szCs w:val="20"/>
          <w:lang w:val="en-GB"/>
        </w:rPr>
        <w:t>-</w:t>
      </w:r>
      <w:r w:rsidRPr="007F04EF">
        <w:rPr>
          <w:rFonts w:cs="Arial"/>
          <w:color w:val="1F497D"/>
          <w:sz w:val="20"/>
          <w:szCs w:val="20"/>
          <w:lang w:val="en-GB"/>
        </w:rPr>
        <w:t xml:space="preserve">users in </w:t>
      </w:r>
      <w:r w:rsidR="00DF6A89" w:rsidRPr="007F04EF">
        <w:rPr>
          <w:rFonts w:cs="Arial"/>
          <w:color w:val="1F497D"/>
          <w:sz w:val="20"/>
          <w:szCs w:val="20"/>
          <w:lang w:val="en-GB"/>
        </w:rPr>
        <w:t xml:space="preserve">the </w:t>
      </w:r>
      <w:r w:rsidRPr="007F04EF">
        <w:rPr>
          <w:rFonts w:cs="Arial"/>
          <w:color w:val="1F497D"/>
          <w:sz w:val="20"/>
          <w:szCs w:val="20"/>
          <w:lang w:val="en-GB"/>
        </w:rPr>
        <w:t>period 2018 – 2022.</w:t>
      </w:r>
      <w:bookmarkEnd w:id="92"/>
      <w:r w:rsidRPr="007F04EF">
        <w:rPr>
          <w:rFonts w:cs="Arial"/>
          <w:color w:val="1F497D"/>
          <w:sz w:val="20"/>
          <w:szCs w:val="20"/>
          <w:lang w:val="en-GB"/>
        </w:rPr>
        <w:t xml:space="preserve"> </w:t>
      </w:r>
      <w:bookmarkEnd w:id="93"/>
      <w:bookmarkEnd w:id="94"/>
    </w:p>
    <w:bookmarkEnd w:id="95"/>
    <w:p w14:paraId="6594F3D7" w14:textId="77777777" w:rsidR="00944CBB" w:rsidRPr="007F04EF" w:rsidRDefault="00944CBB" w:rsidP="00944CBB">
      <w:pPr>
        <w:rPr>
          <w:lang w:val="en-GB"/>
        </w:rPr>
      </w:pPr>
    </w:p>
    <w:tbl>
      <w:tblPr>
        <w:tblW w:w="5082"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028"/>
        <w:gridCol w:w="825"/>
        <w:gridCol w:w="825"/>
        <w:gridCol w:w="948"/>
        <w:gridCol w:w="825"/>
        <w:gridCol w:w="825"/>
      </w:tblGrid>
      <w:tr w:rsidR="00496D70" w:rsidRPr="007F04EF" w14:paraId="664CF128" w14:textId="77777777" w:rsidTr="00F96327">
        <w:trPr>
          <w:trHeight w:val="290"/>
        </w:trPr>
        <w:tc>
          <w:tcPr>
            <w:tcW w:w="2855" w:type="pct"/>
            <w:shd w:val="clear" w:color="auto" w:fill="auto"/>
            <w:noWrap/>
            <w:vAlign w:val="bottom"/>
            <w:hideMark/>
          </w:tcPr>
          <w:p w14:paraId="10FCAE85" w14:textId="73D1E970" w:rsidR="00496D70" w:rsidRPr="007F04EF" w:rsidRDefault="003A2B6A" w:rsidP="00496D70">
            <w:pPr>
              <w:rPr>
                <w:rFonts w:eastAsia="Times New Roman" w:cs="Calibri"/>
                <w:color w:val="000000"/>
                <w:lang w:val="en-GB"/>
              </w:rPr>
            </w:pPr>
            <w:r w:rsidRPr="007F04EF">
              <w:rPr>
                <w:rFonts w:eastAsia="Times New Roman" w:cs="Calibri"/>
                <w:color w:val="000000"/>
                <w:lang w:val="en-GB"/>
              </w:rPr>
              <w:t>Year</w:t>
            </w:r>
          </w:p>
        </w:tc>
        <w:tc>
          <w:tcPr>
            <w:tcW w:w="429" w:type="pct"/>
            <w:shd w:val="clear" w:color="auto" w:fill="auto"/>
            <w:noWrap/>
            <w:vAlign w:val="bottom"/>
            <w:hideMark/>
          </w:tcPr>
          <w:p w14:paraId="48BFD23F"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2018</w:t>
            </w:r>
          </w:p>
        </w:tc>
        <w:tc>
          <w:tcPr>
            <w:tcW w:w="429" w:type="pct"/>
            <w:shd w:val="clear" w:color="auto" w:fill="auto"/>
            <w:noWrap/>
            <w:vAlign w:val="bottom"/>
            <w:hideMark/>
          </w:tcPr>
          <w:p w14:paraId="01F1A1FE"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2019</w:t>
            </w:r>
          </w:p>
        </w:tc>
        <w:tc>
          <w:tcPr>
            <w:tcW w:w="429" w:type="pct"/>
            <w:shd w:val="clear" w:color="auto" w:fill="auto"/>
            <w:noWrap/>
            <w:vAlign w:val="bottom"/>
            <w:hideMark/>
          </w:tcPr>
          <w:p w14:paraId="2DE03E5A"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2020</w:t>
            </w:r>
          </w:p>
        </w:tc>
        <w:tc>
          <w:tcPr>
            <w:tcW w:w="429" w:type="pct"/>
            <w:shd w:val="clear" w:color="auto" w:fill="auto"/>
            <w:noWrap/>
            <w:vAlign w:val="bottom"/>
            <w:hideMark/>
          </w:tcPr>
          <w:p w14:paraId="0EC4DB91"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2021</w:t>
            </w:r>
          </w:p>
        </w:tc>
        <w:tc>
          <w:tcPr>
            <w:tcW w:w="429" w:type="pct"/>
            <w:shd w:val="clear" w:color="auto" w:fill="auto"/>
            <w:noWrap/>
            <w:vAlign w:val="bottom"/>
            <w:hideMark/>
          </w:tcPr>
          <w:p w14:paraId="3127FE20"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2022</w:t>
            </w:r>
          </w:p>
        </w:tc>
      </w:tr>
      <w:tr w:rsidR="00496D70" w:rsidRPr="007F04EF" w14:paraId="0E108D54" w14:textId="77777777" w:rsidTr="00F96327">
        <w:trPr>
          <w:trHeight w:val="290"/>
        </w:trPr>
        <w:tc>
          <w:tcPr>
            <w:tcW w:w="2855" w:type="pct"/>
            <w:shd w:val="clear" w:color="auto" w:fill="auto"/>
            <w:noWrap/>
            <w:vAlign w:val="bottom"/>
            <w:hideMark/>
          </w:tcPr>
          <w:p w14:paraId="30CC7C13" w14:textId="0066AF4A" w:rsidR="00496D70" w:rsidRPr="007F04EF" w:rsidRDefault="003A2B6A" w:rsidP="00496D70">
            <w:pPr>
              <w:rPr>
                <w:rFonts w:eastAsia="Times New Roman" w:cs="Calibri"/>
                <w:color w:val="000000"/>
                <w:lang w:val="en-GB"/>
              </w:rPr>
            </w:pPr>
            <w:r w:rsidRPr="007F04EF">
              <w:rPr>
                <w:rFonts w:eastAsia="Times New Roman" w:cs="Calibri"/>
                <w:color w:val="000000"/>
                <w:lang w:val="en-GB"/>
              </w:rPr>
              <w:t>Controls at PPP</w:t>
            </w:r>
            <w:r w:rsidR="00BB242A" w:rsidRPr="007F04EF">
              <w:rPr>
                <w:rFonts w:eastAsia="Times New Roman" w:cs="Calibri"/>
                <w:color w:val="000000"/>
                <w:lang w:val="en-GB"/>
              </w:rPr>
              <w:t>-</w:t>
            </w:r>
            <w:r w:rsidRPr="007F04EF">
              <w:rPr>
                <w:rFonts w:eastAsia="Times New Roman" w:cs="Calibri"/>
                <w:color w:val="000000"/>
                <w:lang w:val="en-GB"/>
              </w:rPr>
              <w:t>users</w:t>
            </w:r>
          </w:p>
        </w:tc>
        <w:tc>
          <w:tcPr>
            <w:tcW w:w="429" w:type="pct"/>
            <w:shd w:val="clear" w:color="auto" w:fill="auto"/>
            <w:noWrap/>
            <w:vAlign w:val="bottom"/>
            <w:hideMark/>
          </w:tcPr>
          <w:p w14:paraId="2FC0B800" w14:textId="59C98E38"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w:t>
            </w:r>
            <w:r w:rsidR="00F94585" w:rsidRPr="007F04EF">
              <w:rPr>
                <w:rFonts w:eastAsia="Times New Roman" w:cs="Calibri"/>
                <w:color w:val="000000"/>
                <w:lang w:val="en-GB"/>
              </w:rPr>
              <w:t>,</w:t>
            </w:r>
            <w:r w:rsidRPr="007F04EF">
              <w:rPr>
                <w:rFonts w:eastAsia="Times New Roman" w:cs="Calibri"/>
                <w:color w:val="000000"/>
                <w:lang w:val="en-GB"/>
              </w:rPr>
              <w:t>544</w:t>
            </w:r>
          </w:p>
        </w:tc>
        <w:tc>
          <w:tcPr>
            <w:tcW w:w="429" w:type="pct"/>
            <w:shd w:val="clear" w:color="auto" w:fill="auto"/>
            <w:noWrap/>
            <w:vAlign w:val="bottom"/>
            <w:hideMark/>
          </w:tcPr>
          <w:p w14:paraId="0F5F9C57"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845</w:t>
            </w:r>
          </w:p>
        </w:tc>
        <w:tc>
          <w:tcPr>
            <w:tcW w:w="429" w:type="pct"/>
            <w:shd w:val="clear" w:color="auto" w:fill="auto"/>
            <w:noWrap/>
            <w:vAlign w:val="bottom"/>
            <w:hideMark/>
          </w:tcPr>
          <w:p w14:paraId="61FD5BE4"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442</w:t>
            </w:r>
          </w:p>
        </w:tc>
        <w:tc>
          <w:tcPr>
            <w:tcW w:w="429" w:type="pct"/>
            <w:shd w:val="clear" w:color="auto" w:fill="auto"/>
            <w:noWrap/>
            <w:vAlign w:val="bottom"/>
            <w:hideMark/>
          </w:tcPr>
          <w:p w14:paraId="4FBB3310"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469</w:t>
            </w:r>
          </w:p>
        </w:tc>
        <w:tc>
          <w:tcPr>
            <w:tcW w:w="429" w:type="pct"/>
            <w:shd w:val="clear" w:color="auto" w:fill="auto"/>
            <w:noWrap/>
            <w:vAlign w:val="bottom"/>
            <w:hideMark/>
          </w:tcPr>
          <w:p w14:paraId="5BA2C29B"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927</w:t>
            </w:r>
          </w:p>
        </w:tc>
      </w:tr>
      <w:tr w:rsidR="00496D70" w:rsidRPr="007F04EF" w14:paraId="0C7D225F" w14:textId="77777777" w:rsidTr="00F96327">
        <w:trPr>
          <w:trHeight w:val="290"/>
        </w:trPr>
        <w:tc>
          <w:tcPr>
            <w:tcW w:w="2855" w:type="pct"/>
            <w:shd w:val="clear" w:color="auto" w:fill="auto"/>
            <w:noWrap/>
            <w:vAlign w:val="bottom"/>
            <w:hideMark/>
          </w:tcPr>
          <w:p w14:paraId="2C0A7AE7" w14:textId="1BE7DC29" w:rsidR="00496D70" w:rsidRPr="007F04EF" w:rsidRDefault="003A2B6A" w:rsidP="00496D70">
            <w:pPr>
              <w:rPr>
                <w:rFonts w:eastAsia="Times New Roman" w:cs="Calibri"/>
                <w:color w:val="000000"/>
                <w:lang w:val="en-GB"/>
              </w:rPr>
            </w:pPr>
            <w:r w:rsidRPr="007F04EF">
              <w:rPr>
                <w:rFonts w:eastAsia="Times New Roman" w:cs="Calibri"/>
                <w:color w:val="000000"/>
                <w:lang w:val="en-GB"/>
              </w:rPr>
              <w:t>Sanctions</w:t>
            </w:r>
          </w:p>
        </w:tc>
        <w:tc>
          <w:tcPr>
            <w:tcW w:w="429" w:type="pct"/>
            <w:shd w:val="clear" w:color="auto" w:fill="auto"/>
            <w:noWrap/>
            <w:vAlign w:val="bottom"/>
            <w:hideMark/>
          </w:tcPr>
          <w:p w14:paraId="2919A9EA"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48</w:t>
            </w:r>
          </w:p>
        </w:tc>
        <w:tc>
          <w:tcPr>
            <w:tcW w:w="429" w:type="pct"/>
            <w:shd w:val="clear" w:color="auto" w:fill="auto"/>
            <w:noWrap/>
            <w:vAlign w:val="bottom"/>
            <w:hideMark/>
          </w:tcPr>
          <w:p w14:paraId="5898401C"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72</w:t>
            </w:r>
          </w:p>
        </w:tc>
        <w:tc>
          <w:tcPr>
            <w:tcW w:w="429" w:type="pct"/>
            <w:shd w:val="clear" w:color="auto" w:fill="auto"/>
            <w:noWrap/>
            <w:vAlign w:val="bottom"/>
            <w:hideMark/>
          </w:tcPr>
          <w:p w14:paraId="63E064A9"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61</w:t>
            </w:r>
          </w:p>
        </w:tc>
        <w:tc>
          <w:tcPr>
            <w:tcW w:w="429" w:type="pct"/>
            <w:shd w:val="clear" w:color="auto" w:fill="auto"/>
            <w:noWrap/>
            <w:vAlign w:val="bottom"/>
            <w:hideMark/>
          </w:tcPr>
          <w:p w14:paraId="32829637"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30</w:t>
            </w:r>
          </w:p>
        </w:tc>
        <w:tc>
          <w:tcPr>
            <w:tcW w:w="429" w:type="pct"/>
            <w:shd w:val="clear" w:color="auto" w:fill="auto"/>
            <w:noWrap/>
            <w:vAlign w:val="bottom"/>
            <w:hideMark/>
          </w:tcPr>
          <w:p w14:paraId="56C98842"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14</w:t>
            </w:r>
          </w:p>
        </w:tc>
      </w:tr>
      <w:tr w:rsidR="00496D70" w:rsidRPr="007F04EF" w14:paraId="638EB416" w14:textId="77777777" w:rsidTr="00F96327">
        <w:trPr>
          <w:trHeight w:val="290"/>
        </w:trPr>
        <w:tc>
          <w:tcPr>
            <w:tcW w:w="2855" w:type="pct"/>
            <w:shd w:val="clear" w:color="auto" w:fill="auto"/>
            <w:noWrap/>
            <w:vAlign w:val="bottom"/>
            <w:hideMark/>
          </w:tcPr>
          <w:p w14:paraId="379C5A8C" w14:textId="07A9C9C6" w:rsidR="00496D70" w:rsidRPr="007F04EF" w:rsidRDefault="003A2B6A" w:rsidP="00496D70">
            <w:pPr>
              <w:rPr>
                <w:rFonts w:eastAsia="Times New Roman" w:cs="Calibri"/>
                <w:color w:val="000000"/>
                <w:lang w:val="en-GB"/>
              </w:rPr>
            </w:pPr>
            <w:r w:rsidRPr="007F04EF">
              <w:rPr>
                <w:rFonts w:eastAsia="Times New Roman" w:cs="Calibri"/>
                <w:color w:val="000000"/>
                <w:lang w:val="en-GB"/>
              </w:rPr>
              <w:t>Proportion of sanctions</w:t>
            </w:r>
          </w:p>
        </w:tc>
        <w:tc>
          <w:tcPr>
            <w:tcW w:w="429" w:type="pct"/>
            <w:shd w:val="clear" w:color="auto" w:fill="auto"/>
            <w:noWrap/>
            <w:vAlign w:val="bottom"/>
            <w:hideMark/>
          </w:tcPr>
          <w:p w14:paraId="044A8401" w14:textId="5BD5F58D"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w:t>
            </w:r>
            <w:r w:rsidR="00F94585" w:rsidRPr="007F04EF">
              <w:rPr>
                <w:rFonts w:eastAsia="Times New Roman" w:cs="Calibri"/>
                <w:color w:val="000000"/>
                <w:lang w:val="en-GB"/>
              </w:rPr>
              <w:t>.</w:t>
            </w:r>
            <w:r w:rsidRPr="007F04EF">
              <w:rPr>
                <w:rFonts w:eastAsia="Times New Roman" w:cs="Calibri"/>
                <w:color w:val="000000"/>
                <w:lang w:val="en-GB"/>
              </w:rPr>
              <w:t>89</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39B6D75B" w14:textId="5E28BC3E"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8</w:t>
            </w:r>
            <w:r w:rsidR="00F94585" w:rsidRPr="007F04EF">
              <w:rPr>
                <w:rFonts w:eastAsia="Times New Roman" w:cs="Calibri"/>
                <w:color w:val="000000"/>
                <w:lang w:val="en-GB"/>
              </w:rPr>
              <w:t>.</w:t>
            </w:r>
            <w:r w:rsidRPr="007F04EF">
              <w:rPr>
                <w:rFonts w:eastAsia="Times New Roman" w:cs="Calibri"/>
                <w:color w:val="000000"/>
                <w:lang w:val="en-GB"/>
              </w:rPr>
              <w:t>52</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3670925B" w14:textId="001D3346"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13</w:t>
            </w:r>
            <w:r w:rsidR="00F94585" w:rsidRPr="007F04EF">
              <w:rPr>
                <w:rFonts w:eastAsia="Times New Roman" w:cs="Calibri"/>
                <w:color w:val="000000"/>
                <w:lang w:val="en-GB"/>
              </w:rPr>
              <w:t>.</w:t>
            </w:r>
            <w:r w:rsidRPr="007F04EF">
              <w:rPr>
                <w:rFonts w:eastAsia="Times New Roman" w:cs="Calibri"/>
                <w:color w:val="000000"/>
                <w:lang w:val="en-GB"/>
              </w:rPr>
              <w:t>80</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17AB6DCD" w14:textId="1364B295"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6</w:t>
            </w:r>
            <w:r w:rsidR="00F94585" w:rsidRPr="007F04EF">
              <w:rPr>
                <w:rFonts w:eastAsia="Times New Roman" w:cs="Calibri"/>
                <w:color w:val="000000"/>
                <w:lang w:val="en-GB"/>
              </w:rPr>
              <w:t>.</w:t>
            </w:r>
            <w:r w:rsidRPr="007F04EF">
              <w:rPr>
                <w:rFonts w:eastAsia="Times New Roman" w:cs="Calibri"/>
                <w:color w:val="000000"/>
                <w:lang w:val="en-GB"/>
              </w:rPr>
              <w:t>40</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26A0028D" w14:textId="0B108596"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w:t>
            </w:r>
            <w:r w:rsidR="00F94585" w:rsidRPr="007F04EF">
              <w:rPr>
                <w:rFonts w:eastAsia="Times New Roman" w:cs="Calibri"/>
                <w:color w:val="000000"/>
                <w:lang w:val="en-GB"/>
              </w:rPr>
              <w:t>.</w:t>
            </w:r>
            <w:r w:rsidRPr="007F04EF">
              <w:rPr>
                <w:rFonts w:eastAsia="Times New Roman" w:cs="Calibri"/>
                <w:color w:val="000000"/>
                <w:lang w:val="en-GB"/>
              </w:rPr>
              <w:t>51</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r>
    </w:tbl>
    <w:p w14:paraId="6A03A208" w14:textId="77777777" w:rsidR="007F04EF" w:rsidRPr="007F04EF" w:rsidRDefault="007F04EF">
      <w:pPr>
        <w:rPr>
          <w:lang w:val="en-GB"/>
        </w:rPr>
      </w:pPr>
      <w:bookmarkStart w:id="96" w:name="_Toc172027309"/>
    </w:p>
    <w:p w14:paraId="547C1A20" w14:textId="77777777" w:rsidR="007F04EF" w:rsidRPr="007F04EF" w:rsidRDefault="007F04EF">
      <w:pPr>
        <w:rPr>
          <w:lang w:val="en-GB"/>
        </w:rPr>
      </w:pPr>
    </w:p>
    <w:p w14:paraId="6DDDF167" w14:textId="77777777" w:rsidR="007F04EF" w:rsidRPr="007F04EF" w:rsidRDefault="007F04EF">
      <w:pPr>
        <w:rPr>
          <w:lang w:val="en-GB"/>
        </w:rPr>
      </w:pPr>
    </w:p>
    <w:p w14:paraId="78CDBFD0" w14:textId="3EB4DBB9" w:rsidR="006D681A" w:rsidRPr="007F04EF" w:rsidRDefault="00DF6A89" w:rsidP="002C6599">
      <w:pPr>
        <w:pStyle w:val="Naslov3"/>
        <w:rPr>
          <w:lang w:val="en-GB"/>
        </w:rPr>
      </w:pPr>
      <w:r w:rsidRPr="007F04EF">
        <w:rPr>
          <w:lang w:val="en-GB"/>
        </w:rPr>
        <w:lastRenderedPageBreak/>
        <w:t>Organic farming</w:t>
      </w:r>
      <w:bookmarkEnd w:id="96"/>
    </w:p>
    <w:p w14:paraId="36A5D194" w14:textId="77777777" w:rsidR="00944CBB" w:rsidRPr="007F04EF" w:rsidRDefault="00944CBB" w:rsidP="00C46675">
      <w:pPr>
        <w:rPr>
          <w:lang w:val="en-GB"/>
        </w:rPr>
      </w:pPr>
      <w:bookmarkStart w:id="97" w:name="_Toc149825612"/>
      <w:bookmarkStart w:id="98" w:name="_Toc152153156"/>
    </w:p>
    <w:p w14:paraId="0D3D776E" w14:textId="1E5B7BB7" w:rsidR="008034ED" w:rsidRPr="007F04EF" w:rsidRDefault="008034ED" w:rsidP="00BB242A">
      <w:pPr>
        <w:jc w:val="both"/>
        <w:rPr>
          <w:lang w:val="en-GB"/>
        </w:rPr>
      </w:pPr>
      <w:r w:rsidRPr="007F04EF">
        <w:rPr>
          <w:lang w:val="en-GB"/>
        </w:rPr>
        <w:t xml:space="preserve">Organic farming is a form and method of farming that is slowly gaining importance in the Slovenian agricultural area. The share of organic farms is slowly increasing (by 2% from 2012 to 2022) and the share of areas under organic production (by 3.4% from 2012 to 2022). </w:t>
      </w:r>
    </w:p>
    <w:p w14:paraId="6D3A6668" w14:textId="77777777" w:rsidR="00944CBB" w:rsidRPr="007F04EF" w:rsidRDefault="00944CBB" w:rsidP="00C46675">
      <w:pPr>
        <w:rPr>
          <w:lang w:val="en-GB"/>
        </w:rPr>
      </w:pPr>
    </w:p>
    <w:p w14:paraId="17E22682" w14:textId="14DAE4AA" w:rsidR="0055572B" w:rsidRPr="007F04EF" w:rsidRDefault="00B31866" w:rsidP="00DC3204">
      <w:pPr>
        <w:pStyle w:val="Napis"/>
        <w:rPr>
          <w:rFonts w:cs="Arial"/>
          <w:sz w:val="20"/>
          <w:lang w:val="en-GB"/>
        </w:rPr>
      </w:pPr>
      <w:bookmarkStart w:id="99" w:name="_Toc161657875"/>
      <w:bookmarkStart w:id="100" w:name="_Hlk172027051"/>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13</w:t>
      </w:r>
      <w:r w:rsidR="00DC3204" w:rsidRPr="007F04EF">
        <w:rPr>
          <w:rFonts w:cs="Arial"/>
          <w:sz w:val="20"/>
          <w:szCs w:val="20"/>
          <w:lang w:val="en-GB"/>
        </w:rPr>
        <w:fldChar w:fldCharType="end"/>
      </w:r>
      <w:r w:rsidR="0055572B" w:rsidRPr="007F04EF">
        <w:rPr>
          <w:rFonts w:cs="Arial"/>
          <w:sz w:val="20"/>
          <w:szCs w:val="20"/>
          <w:lang w:val="en-GB"/>
        </w:rPr>
        <w:t xml:space="preserve">: </w:t>
      </w:r>
      <w:bookmarkEnd w:id="97"/>
      <w:bookmarkEnd w:id="98"/>
      <w:r w:rsidR="00BB242A" w:rsidRPr="007F04EF">
        <w:rPr>
          <w:rFonts w:cs="Arial"/>
          <w:sz w:val="20"/>
          <w:lang w:val="en-GB"/>
        </w:rPr>
        <w:t xml:space="preserve">Proportion </w:t>
      </w:r>
      <w:r w:rsidR="008034ED" w:rsidRPr="007F04EF">
        <w:rPr>
          <w:rFonts w:cs="Arial"/>
          <w:sz w:val="20"/>
          <w:lang w:val="en-GB"/>
        </w:rPr>
        <w:t>of</w:t>
      </w:r>
      <w:r w:rsidR="00BB242A" w:rsidRPr="007F04EF">
        <w:rPr>
          <w:rFonts w:cs="Arial"/>
          <w:sz w:val="20"/>
          <w:lang w:val="en-GB"/>
        </w:rPr>
        <w:t xml:space="preserve"> </w:t>
      </w:r>
      <w:r w:rsidR="008034ED" w:rsidRPr="007F04EF">
        <w:rPr>
          <w:rFonts w:cs="Arial"/>
          <w:sz w:val="20"/>
          <w:lang w:val="en-GB"/>
        </w:rPr>
        <w:t>organic</w:t>
      </w:r>
      <w:r w:rsidR="00BB242A" w:rsidRPr="007F04EF">
        <w:rPr>
          <w:rFonts w:cs="Arial"/>
          <w:sz w:val="20"/>
          <w:lang w:val="en-GB"/>
        </w:rPr>
        <w:t xml:space="preserve"> </w:t>
      </w:r>
      <w:r w:rsidR="008034ED" w:rsidRPr="007F04EF">
        <w:rPr>
          <w:rFonts w:cs="Arial"/>
          <w:sz w:val="20"/>
          <w:lang w:val="en-GB"/>
        </w:rPr>
        <w:t xml:space="preserve">farms and areas under organic production in </w:t>
      </w:r>
      <w:r w:rsidRPr="007F04EF">
        <w:rPr>
          <w:rFonts w:cs="Arial"/>
          <w:sz w:val="20"/>
          <w:lang w:val="en-GB"/>
        </w:rPr>
        <w:t>Slovenia.</w:t>
      </w:r>
      <w:bookmarkEnd w:id="99"/>
    </w:p>
    <w:bookmarkEnd w:id="100"/>
    <w:p w14:paraId="3D93DD57" w14:textId="77777777" w:rsidR="00944CBB" w:rsidRPr="007F04EF" w:rsidRDefault="00944CBB" w:rsidP="00944CBB">
      <w:pPr>
        <w:rPr>
          <w:lang w:val="en-GB"/>
        </w:rPr>
      </w:pP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74"/>
        <w:gridCol w:w="1057"/>
        <w:gridCol w:w="1212"/>
        <w:gridCol w:w="1212"/>
        <w:gridCol w:w="1057"/>
        <w:gridCol w:w="1057"/>
        <w:gridCol w:w="1057"/>
      </w:tblGrid>
      <w:tr w:rsidR="00B46C0D" w:rsidRPr="007F04EF" w14:paraId="551898AF" w14:textId="77777777" w:rsidTr="002C6599">
        <w:trPr>
          <w:trHeight w:val="289"/>
        </w:trPr>
        <w:tc>
          <w:tcPr>
            <w:tcW w:w="1355" w:type="pct"/>
            <w:hideMark/>
          </w:tcPr>
          <w:p w14:paraId="2DC3F350" w14:textId="77777777" w:rsidR="00B46C0D" w:rsidRPr="007F04EF" w:rsidRDefault="00B46C0D" w:rsidP="002C6599">
            <w:pPr>
              <w:pStyle w:val="Brezrazmikov"/>
              <w:rPr>
                <w:lang w:val="en-GB"/>
              </w:rPr>
            </w:pPr>
            <w:r w:rsidRPr="007F04EF">
              <w:rPr>
                <w:lang w:val="en-GB"/>
              </w:rPr>
              <w:t> </w:t>
            </w:r>
          </w:p>
        </w:tc>
        <w:tc>
          <w:tcPr>
            <w:tcW w:w="579" w:type="pct"/>
            <w:vAlign w:val="center"/>
            <w:hideMark/>
          </w:tcPr>
          <w:p w14:paraId="515A1882" w14:textId="77777777" w:rsidR="00B46C0D" w:rsidRPr="007F04EF" w:rsidRDefault="00B46C0D" w:rsidP="002C6599">
            <w:pPr>
              <w:pStyle w:val="Brezrazmikov"/>
              <w:jc w:val="center"/>
              <w:rPr>
                <w:lang w:val="en-GB"/>
              </w:rPr>
            </w:pPr>
            <w:r w:rsidRPr="007F04EF">
              <w:rPr>
                <w:lang w:val="en-GB"/>
              </w:rPr>
              <w:t>2012</w:t>
            </w:r>
          </w:p>
        </w:tc>
        <w:tc>
          <w:tcPr>
            <w:tcW w:w="664" w:type="pct"/>
            <w:vAlign w:val="center"/>
            <w:hideMark/>
          </w:tcPr>
          <w:p w14:paraId="086B01E8" w14:textId="77777777" w:rsidR="00B46C0D" w:rsidRPr="007F04EF" w:rsidRDefault="00B46C0D" w:rsidP="002C6599">
            <w:pPr>
              <w:pStyle w:val="Brezrazmikov"/>
              <w:jc w:val="center"/>
              <w:rPr>
                <w:lang w:val="en-GB"/>
              </w:rPr>
            </w:pPr>
            <w:r w:rsidRPr="007F04EF">
              <w:rPr>
                <w:lang w:val="en-GB"/>
              </w:rPr>
              <w:t>2018</w:t>
            </w:r>
          </w:p>
        </w:tc>
        <w:tc>
          <w:tcPr>
            <w:tcW w:w="664" w:type="pct"/>
            <w:vAlign w:val="center"/>
            <w:hideMark/>
          </w:tcPr>
          <w:p w14:paraId="0C34CA1F" w14:textId="77777777" w:rsidR="00B46C0D" w:rsidRPr="007F04EF" w:rsidRDefault="00B46C0D" w:rsidP="002C6599">
            <w:pPr>
              <w:pStyle w:val="Brezrazmikov"/>
              <w:jc w:val="center"/>
              <w:rPr>
                <w:lang w:val="en-GB"/>
              </w:rPr>
            </w:pPr>
            <w:r w:rsidRPr="007F04EF">
              <w:rPr>
                <w:lang w:val="en-GB"/>
              </w:rPr>
              <w:t>2019</w:t>
            </w:r>
          </w:p>
        </w:tc>
        <w:tc>
          <w:tcPr>
            <w:tcW w:w="579" w:type="pct"/>
            <w:vAlign w:val="center"/>
            <w:hideMark/>
          </w:tcPr>
          <w:p w14:paraId="603ABA83" w14:textId="77777777" w:rsidR="00B46C0D" w:rsidRPr="007F04EF" w:rsidRDefault="00B46C0D" w:rsidP="002C6599">
            <w:pPr>
              <w:pStyle w:val="Brezrazmikov"/>
              <w:jc w:val="center"/>
              <w:rPr>
                <w:lang w:val="en-GB"/>
              </w:rPr>
            </w:pPr>
            <w:r w:rsidRPr="007F04EF">
              <w:rPr>
                <w:lang w:val="en-GB"/>
              </w:rPr>
              <w:t>2020</w:t>
            </w:r>
          </w:p>
        </w:tc>
        <w:tc>
          <w:tcPr>
            <w:tcW w:w="579" w:type="pct"/>
            <w:noWrap/>
            <w:vAlign w:val="center"/>
            <w:hideMark/>
          </w:tcPr>
          <w:p w14:paraId="481216B8" w14:textId="77777777" w:rsidR="00B46C0D" w:rsidRPr="007F04EF" w:rsidRDefault="00B46C0D" w:rsidP="002C6599">
            <w:pPr>
              <w:pStyle w:val="Brezrazmikov"/>
              <w:jc w:val="center"/>
              <w:rPr>
                <w:lang w:val="en-GB"/>
              </w:rPr>
            </w:pPr>
            <w:r w:rsidRPr="007F04EF">
              <w:rPr>
                <w:lang w:val="en-GB"/>
              </w:rPr>
              <w:t>2021</w:t>
            </w:r>
          </w:p>
        </w:tc>
        <w:tc>
          <w:tcPr>
            <w:tcW w:w="579" w:type="pct"/>
            <w:vAlign w:val="center"/>
            <w:hideMark/>
          </w:tcPr>
          <w:p w14:paraId="78FE7698" w14:textId="77777777" w:rsidR="00B46C0D" w:rsidRPr="007F04EF" w:rsidRDefault="00B46C0D" w:rsidP="002C6599">
            <w:pPr>
              <w:pStyle w:val="Brezrazmikov"/>
              <w:jc w:val="center"/>
              <w:rPr>
                <w:lang w:val="en-GB"/>
              </w:rPr>
            </w:pPr>
            <w:r w:rsidRPr="007F04EF">
              <w:rPr>
                <w:lang w:val="en-GB"/>
              </w:rPr>
              <w:t>2022</w:t>
            </w:r>
          </w:p>
        </w:tc>
      </w:tr>
      <w:tr w:rsidR="00B46C0D" w:rsidRPr="007F04EF" w14:paraId="720900A3" w14:textId="77777777" w:rsidTr="002C6599">
        <w:trPr>
          <w:trHeight w:val="289"/>
        </w:trPr>
        <w:tc>
          <w:tcPr>
            <w:tcW w:w="1355" w:type="pct"/>
            <w:hideMark/>
          </w:tcPr>
          <w:p w14:paraId="2BA647F8" w14:textId="79D81E84" w:rsidR="00B46C0D" w:rsidRPr="007F04EF" w:rsidRDefault="008034ED" w:rsidP="002C6599">
            <w:pPr>
              <w:pStyle w:val="Brezrazmikov"/>
              <w:rPr>
                <w:lang w:val="en-GB"/>
              </w:rPr>
            </w:pPr>
            <w:r w:rsidRPr="007F04EF">
              <w:rPr>
                <w:lang w:val="en-GB"/>
              </w:rPr>
              <w:t>Proportion of organic farms</w:t>
            </w:r>
            <w:r w:rsidR="00B46C0D" w:rsidRPr="007F04EF">
              <w:rPr>
                <w:lang w:val="en-GB"/>
              </w:rPr>
              <w:t xml:space="preserve"> </w:t>
            </w:r>
          </w:p>
        </w:tc>
        <w:tc>
          <w:tcPr>
            <w:tcW w:w="579" w:type="pct"/>
            <w:vAlign w:val="center"/>
            <w:hideMark/>
          </w:tcPr>
          <w:p w14:paraId="2523B921" w14:textId="579DA518" w:rsidR="00B46C0D" w:rsidRPr="007F04EF" w:rsidRDefault="00B46C0D" w:rsidP="002C6599">
            <w:pPr>
              <w:pStyle w:val="Brezrazmikov"/>
              <w:jc w:val="center"/>
              <w:rPr>
                <w:lang w:val="en-GB"/>
              </w:rPr>
            </w:pPr>
            <w:r w:rsidRPr="007F04EF">
              <w:rPr>
                <w:lang w:val="en-GB"/>
              </w:rPr>
              <w:t>3</w:t>
            </w:r>
            <w:r w:rsidR="00D10848" w:rsidRPr="007F04EF">
              <w:rPr>
                <w:lang w:val="en-GB"/>
              </w:rPr>
              <w:t>.</w:t>
            </w:r>
            <w:r w:rsidRPr="007F04EF">
              <w:rPr>
                <w:lang w:val="en-GB"/>
              </w:rPr>
              <w:t>60</w:t>
            </w:r>
            <w:r w:rsidR="002C6599" w:rsidRPr="007F04EF">
              <w:rPr>
                <w:lang w:val="en-GB"/>
              </w:rPr>
              <w:t xml:space="preserve"> </w:t>
            </w:r>
            <w:r w:rsidRPr="007F04EF">
              <w:rPr>
                <w:lang w:val="en-GB"/>
              </w:rPr>
              <w:t>%</w:t>
            </w:r>
          </w:p>
        </w:tc>
        <w:tc>
          <w:tcPr>
            <w:tcW w:w="664" w:type="pct"/>
            <w:noWrap/>
            <w:vAlign w:val="center"/>
            <w:hideMark/>
          </w:tcPr>
          <w:p w14:paraId="6681FE21" w14:textId="29461AA2"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664" w:type="pct"/>
            <w:noWrap/>
            <w:vAlign w:val="center"/>
            <w:hideMark/>
          </w:tcPr>
          <w:p w14:paraId="23FF1B58" w14:textId="05B52F1C"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579" w:type="pct"/>
            <w:noWrap/>
            <w:vAlign w:val="center"/>
            <w:hideMark/>
          </w:tcPr>
          <w:p w14:paraId="0CC8D344" w14:textId="44FC15CA"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579" w:type="pct"/>
            <w:noWrap/>
            <w:vAlign w:val="center"/>
            <w:hideMark/>
          </w:tcPr>
          <w:p w14:paraId="0F5D9872" w14:textId="4FEECE21"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50</w:t>
            </w:r>
            <w:r w:rsidR="002C6599" w:rsidRPr="007F04EF">
              <w:rPr>
                <w:lang w:val="en-GB"/>
              </w:rPr>
              <w:t xml:space="preserve"> </w:t>
            </w:r>
            <w:r w:rsidRPr="007F04EF">
              <w:rPr>
                <w:lang w:val="en-GB"/>
              </w:rPr>
              <w:t>%</w:t>
            </w:r>
          </w:p>
        </w:tc>
        <w:tc>
          <w:tcPr>
            <w:tcW w:w="579" w:type="pct"/>
            <w:noWrap/>
            <w:vAlign w:val="center"/>
            <w:hideMark/>
          </w:tcPr>
          <w:p w14:paraId="14ADFE7F" w14:textId="58078BED"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60</w:t>
            </w:r>
            <w:r w:rsidR="002C6599" w:rsidRPr="007F04EF">
              <w:rPr>
                <w:lang w:val="en-GB"/>
              </w:rPr>
              <w:t xml:space="preserve"> </w:t>
            </w:r>
            <w:r w:rsidRPr="007F04EF">
              <w:rPr>
                <w:lang w:val="en-GB"/>
              </w:rPr>
              <w:t>%</w:t>
            </w:r>
          </w:p>
        </w:tc>
      </w:tr>
      <w:tr w:rsidR="00B46C0D" w:rsidRPr="007F04EF" w14:paraId="100354F3" w14:textId="77777777" w:rsidTr="002C6599">
        <w:trPr>
          <w:trHeight w:val="289"/>
        </w:trPr>
        <w:tc>
          <w:tcPr>
            <w:tcW w:w="1355" w:type="pct"/>
            <w:hideMark/>
          </w:tcPr>
          <w:p w14:paraId="5E6A5763" w14:textId="4B568480" w:rsidR="00B46C0D" w:rsidRPr="007F04EF" w:rsidRDefault="008034ED" w:rsidP="002C6599">
            <w:pPr>
              <w:pStyle w:val="Brezrazmikov"/>
              <w:rPr>
                <w:lang w:val="en-GB"/>
              </w:rPr>
            </w:pPr>
            <w:r w:rsidRPr="007F04EF">
              <w:rPr>
                <w:lang w:val="en-GB"/>
              </w:rPr>
              <w:t>Proportion of organic land</w:t>
            </w:r>
            <w:r w:rsidR="00B46C0D" w:rsidRPr="007F04EF">
              <w:rPr>
                <w:lang w:val="en-GB"/>
              </w:rPr>
              <w:t xml:space="preserve"> </w:t>
            </w:r>
          </w:p>
        </w:tc>
        <w:tc>
          <w:tcPr>
            <w:tcW w:w="579" w:type="pct"/>
            <w:vAlign w:val="center"/>
            <w:hideMark/>
          </w:tcPr>
          <w:p w14:paraId="30A759A4" w14:textId="113AD0E9" w:rsidR="00B46C0D" w:rsidRPr="007F04EF" w:rsidRDefault="00B46C0D" w:rsidP="002C6599">
            <w:pPr>
              <w:pStyle w:val="Brezrazmikov"/>
              <w:jc w:val="center"/>
              <w:rPr>
                <w:lang w:val="en-GB"/>
              </w:rPr>
            </w:pPr>
            <w:r w:rsidRPr="007F04EF">
              <w:rPr>
                <w:lang w:val="en-GB"/>
              </w:rPr>
              <w:t>7</w:t>
            </w:r>
            <w:r w:rsidR="00D10848" w:rsidRPr="007F04EF">
              <w:rPr>
                <w:lang w:val="en-GB"/>
              </w:rPr>
              <w:t>.</w:t>
            </w:r>
            <w:r w:rsidRPr="007F04EF">
              <w:rPr>
                <w:lang w:val="en-GB"/>
              </w:rPr>
              <w:t>60</w:t>
            </w:r>
            <w:r w:rsidR="002C6599" w:rsidRPr="007F04EF">
              <w:rPr>
                <w:lang w:val="en-GB"/>
              </w:rPr>
              <w:t xml:space="preserve"> </w:t>
            </w:r>
            <w:r w:rsidRPr="007F04EF">
              <w:rPr>
                <w:lang w:val="en-GB"/>
              </w:rPr>
              <w:t>%</w:t>
            </w:r>
          </w:p>
        </w:tc>
        <w:tc>
          <w:tcPr>
            <w:tcW w:w="664" w:type="pct"/>
            <w:vAlign w:val="center"/>
            <w:hideMark/>
          </w:tcPr>
          <w:p w14:paraId="1F26B8E7" w14:textId="304724A8" w:rsidR="00B46C0D" w:rsidRPr="007F04EF" w:rsidRDefault="00B46C0D" w:rsidP="002C6599">
            <w:pPr>
              <w:pStyle w:val="Brezrazmikov"/>
              <w:jc w:val="center"/>
              <w:rPr>
                <w:lang w:val="en-GB"/>
              </w:rPr>
            </w:pPr>
            <w:r w:rsidRPr="007F04EF">
              <w:rPr>
                <w:lang w:val="en-GB"/>
              </w:rPr>
              <w:t>10</w:t>
            </w:r>
            <w:r w:rsidR="00D10848" w:rsidRPr="007F04EF">
              <w:rPr>
                <w:lang w:val="en-GB"/>
              </w:rPr>
              <w:t>.</w:t>
            </w:r>
            <w:r w:rsidRPr="007F04EF">
              <w:rPr>
                <w:lang w:val="en-GB"/>
              </w:rPr>
              <w:t>02</w:t>
            </w:r>
            <w:r w:rsidR="002C6599" w:rsidRPr="007F04EF">
              <w:rPr>
                <w:lang w:val="en-GB"/>
              </w:rPr>
              <w:t xml:space="preserve"> </w:t>
            </w:r>
            <w:r w:rsidRPr="007F04EF">
              <w:rPr>
                <w:lang w:val="en-GB"/>
              </w:rPr>
              <w:t>%</w:t>
            </w:r>
          </w:p>
        </w:tc>
        <w:tc>
          <w:tcPr>
            <w:tcW w:w="664" w:type="pct"/>
            <w:vAlign w:val="center"/>
            <w:hideMark/>
          </w:tcPr>
          <w:p w14:paraId="2B9044F8" w14:textId="66F8672E" w:rsidR="00B46C0D" w:rsidRPr="007F04EF" w:rsidRDefault="00B46C0D" w:rsidP="002C6599">
            <w:pPr>
              <w:pStyle w:val="Brezrazmikov"/>
              <w:jc w:val="center"/>
              <w:rPr>
                <w:lang w:val="en-GB"/>
              </w:rPr>
            </w:pPr>
            <w:r w:rsidRPr="007F04EF">
              <w:rPr>
                <w:lang w:val="en-GB"/>
              </w:rPr>
              <w:t>10</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579" w:type="pct"/>
            <w:vAlign w:val="center"/>
            <w:hideMark/>
          </w:tcPr>
          <w:p w14:paraId="58B2A9C5" w14:textId="7277A0A3" w:rsidR="00B46C0D" w:rsidRPr="007F04EF" w:rsidRDefault="00B46C0D" w:rsidP="002C6599">
            <w:pPr>
              <w:pStyle w:val="Brezrazmikov"/>
              <w:jc w:val="center"/>
              <w:rPr>
                <w:lang w:val="en-GB"/>
              </w:rPr>
            </w:pPr>
            <w:r w:rsidRPr="007F04EF">
              <w:rPr>
                <w:lang w:val="en-GB"/>
              </w:rPr>
              <w:t>11</w:t>
            </w:r>
            <w:r w:rsidR="002C6599" w:rsidRPr="007F04EF">
              <w:rPr>
                <w:lang w:val="en-GB"/>
              </w:rPr>
              <w:t xml:space="preserve"> </w:t>
            </w:r>
            <w:r w:rsidRPr="007F04EF">
              <w:rPr>
                <w:lang w:val="en-GB"/>
              </w:rPr>
              <w:t>%</w:t>
            </w:r>
          </w:p>
        </w:tc>
        <w:tc>
          <w:tcPr>
            <w:tcW w:w="579" w:type="pct"/>
            <w:vAlign w:val="center"/>
            <w:hideMark/>
          </w:tcPr>
          <w:p w14:paraId="5927D5F0" w14:textId="13891ABB" w:rsidR="00B46C0D" w:rsidRPr="007F04EF" w:rsidRDefault="00B46C0D" w:rsidP="002C6599">
            <w:pPr>
              <w:pStyle w:val="Brezrazmikov"/>
              <w:jc w:val="center"/>
              <w:rPr>
                <w:lang w:val="en-GB"/>
              </w:rPr>
            </w:pPr>
            <w:r w:rsidRPr="007F04EF">
              <w:rPr>
                <w:lang w:val="en-GB"/>
              </w:rPr>
              <w:t>11</w:t>
            </w:r>
            <w:r w:rsidR="002C6599" w:rsidRPr="007F04EF">
              <w:rPr>
                <w:lang w:val="en-GB"/>
              </w:rPr>
              <w:t xml:space="preserve"> </w:t>
            </w:r>
            <w:r w:rsidRPr="007F04EF">
              <w:rPr>
                <w:lang w:val="en-GB"/>
              </w:rPr>
              <w:t>%</w:t>
            </w:r>
          </w:p>
        </w:tc>
        <w:tc>
          <w:tcPr>
            <w:tcW w:w="579" w:type="pct"/>
            <w:vAlign w:val="center"/>
            <w:hideMark/>
          </w:tcPr>
          <w:p w14:paraId="68473D30" w14:textId="0DD34018" w:rsidR="00B46C0D" w:rsidRPr="007F04EF" w:rsidRDefault="00B46C0D" w:rsidP="002C6599">
            <w:pPr>
              <w:pStyle w:val="Brezrazmikov"/>
              <w:jc w:val="center"/>
              <w:rPr>
                <w:lang w:val="en-GB"/>
              </w:rPr>
            </w:pPr>
            <w:r w:rsidRPr="007F04EF">
              <w:rPr>
                <w:lang w:val="en-GB"/>
              </w:rPr>
              <w:t>11</w:t>
            </w:r>
            <w:r w:rsidR="002C6599" w:rsidRPr="007F04EF">
              <w:rPr>
                <w:lang w:val="en-GB"/>
              </w:rPr>
              <w:t xml:space="preserve"> </w:t>
            </w:r>
            <w:r w:rsidRPr="007F04EF">
              <w:rPr>
                <w:lang w:val="en-GB"/>
              </w:rPr>
              <w:t>%</w:t>
            </w:r>
          </w:p>
        </w:tc>
      </w:tr>
    </w:tbl>
    <w:p w14:paraId="1BD4C667" w14:textId="77777777" w:rsidR="006A55F5" w:rsidRPr="007F04EF" w:rsidRDefault="006A55F5" w:rsidP="006A55F5">
      <w:pPr>
        <w:pStyle w:val="Brezrazmikov"/>
        <w:rPr>
          <w:lang w:val="en-GB"/>
        </w:rPr>
      </w:pPr>
    </w:p>
    <w:p w14:paraId="6DF72BF6" w14:textId="77777777" w:rsidR="00944CBB" w:rsidRPr="007F04EF" w:rsidRDefault="00944CBB" w:rsidP="002C6599">
      <w:pPr>
        <w:rPr>
          <w:lang w:val="en-GB"/>
        </w:rPr>
      </w:pPr>
    </w:p>
    <w:p w14:paraId="315191D3" w14:textId="17535CEC" w:rsidR="008034ED" w:rsidRPr="007F04EF" w:rsidRDefault="008034ED" w:rsidP="00BB242A">
      <w:pPr>
        <w:jc w:val="both"/>
        <w:rPr>
          <w:lang w:val="en-GB"/>
        </w:rPr>
      </w:pPr>
      <w:r w:rsidRPr="007F04EF">
        <w:rPr>
          <w:lang w:val="en-GB"/>
        </w:rPr>
        <w:t xml:space="preserve">In view of slow growth </w:t>
      </w:r>
      <w:r w:rsidR="0009225C" w:rsidRPr="007F04EF">
        <w:rPr>
          <w:lang w:val="en-GB"/>
        </w:rPr>
        <w:t xml:space="preserve">of organic production, </w:t>
      </w:r>
      <w:r w:rsidRPr="007F04EF">
        <w:rPr>
          <w:lang w:val="en-GB"/>
        </w:rPr>
        <w:t>and in view of the EU's commitments under the Green Deal, the Ministry of Agriculture</w:t>
      </w:r>
      <w:r w:rsidR="0009225C" w:rsidRPr="007F04EF">
        <w:rPr>
          <w:lang w:val="en-GB"/>
        </w:rPr>
        <w:t xml:space="preserve">, Forestry and Food (MAFF) </w:t>
      </w:r>
      <w:r w:rsidRPr="007F04EF">
        <w:rPr>
          <w:lang w:val="en-GB"/>
        </w:rPr>
        <w:t>commissioned an analysis of organic food market in the Republic of Slovenia</w:t>
      </w:r>
      <w:r w:rsidR="00F91B75" w:rsidRPr="007F04EF">
        <w:rPr>
          <w:rStyle w:val="Sprotnaopomba-sklic"/>
          <w:lang w:val="en-GB"/>
        </w:rPr>
        <w:footnoteReference w:id="24"/>
      </w:r>
      <w:r w:rsidRPr="007F04EF">
        <w:rPr>
          <w:lang w:val="en-GB"/>
        </w:rPr>
        <w:t xml:space="preserve">. </w:t>
      </w:r>
      <w:r w:rsidR="00B31866" w:rsidRPr="007F04EF">
        <w:rPr>
          <w:lang w:val="en-GB"/>
        </w:rPr>
        <w:t>To</w:t>
      </w:r>
      <w:r w:rsidRPr="007F04EF">
        <w:rPr>
          <w:lang w:val="en-GB"/>
        </w:rPr>
        <w:t xml:space="preserve"> promote the development of organic production, </w:t>
      </w:r>
      <w:r w:rsidR="00B31866" w:rsidRPr="007F04EF">
        <w:rPr>
          <w:lang w:val="en-GB"/>
        </w:rPr>
        <w:t>M</w:t>
      </w:r>
      <w:r w:rsidR="0009225C" w:rsidRPr="007F04EF">
        <w:rPr>
          <w:lang w:val="en-GB"/>
        </w:rPr>
        <w:t xml:space="preserve">AFF </w:t>
      </w:r>
      <w:r w:rsidR="00B31866" w:rsidRPr="007F04EF">
        <w:rPr>
          <w:lang w:val="en-GB"/>
        </w:rPr>
        <w:t>prepared</w:t>
      </w:r>
      <w:r w:rsidRPr="007F04EF">
        <w:rPr>
          <w:lang w:val="en-GB"/>
        </w:rPr>
        <w:t xml:space="preserve"> an Action Plan for the development of organic </w:t>
      </w:r>
      <w:r w:rsidR="00B31866" w:rsidRPr="007F04EF">
        <w:rPr>
          <w:lang w:val="en-GB"/>
        </w:rPr>
        <w:t>farming</w:t>
      </w:r>
      <w:r w:rsidR="0009225C" w:rsidRPr="007F04EF">
        <w:rPr>
          <w:lang w:val="en-GB"/>
        </w:rPr>
        <w:t xml:space="preserve"> by </w:t>
      </w:r>
      <w:r w:rsidRPr="007F04EF">
        <w:rPr>
          <w:lang w:val="en-GB"/>
        </w:rPr>
        <w:t>2027</w:t>
      </w:r>
      <w:r w:rsidR="000B1910" w:rsidRPr="007F04EF">
        <w:rPr>
          <w:rStyle w:val="Sprotnaopomba-sklic"/>
          <w:lang w:val="en-GB"/>
        </w:rPr>
        <w:footnoteReference w:id="25"/>
      </w:r>
      <w:r w:rsidR="0009225C" w:rsidRPr="007F04EF">
        <w:rPr>
          <w:lang w:val="en-GB"/>
        </w:rPr>
        <w:t>, involving all the stakeholders in its preparation. T</w:t>
      </w:r>
      <w:r w:rsidRPr="007F04EF">
        <w:rPr>
          <w:lang w:val="en-GB"/>
        </w:rPr>
        <w:t xml:space="preserve">he </w:t>
      </w:r>
      <w:r w:rsidR="00C850B6" w:rsidRPr="007F04EF">
        <w:rPr>
          <w:lang w:val="en-GB"/>
        </w:rPr>
        <w:t>A</w:t>
      </w:r>
      <w:r w:rsidRPr="007F04EF">
        <w:rPr>
          <w:lang w:val="en-GB"/>
        </w:rPr>
        <w:t xml:space="preserve">ction </w:t>
      </w:r>
      <w:r w:rsidR="00C850B6" w:rsidRPr="007F04EF">
        <w:rPr>
          <w:lang w:val="en-GB"/>
        </w:rPr>
        <w:t>P</w:t>
      </w:r>
      <w:r w:rsidRPr="007F04EF">
        <w:rPr>
          <w:lang w:val="en-GB"/>
        </w:rPr>
        <w:t>lan</w:t>
      </w:r>
      <w:r w:rsidR="00C850B6" w:rsidRPr="007F04EF">
        <w:rPr>
          <w:lang w:val="en-GB"/>
        </w:rPr>
        <w:t xml:space="preserve"> </w:t>
      </w:r>
      <w:r w:rsidRPr="007F04EF">
        <w:rPr>
          <w:lang w:val="en-GB"/>
        </w:rPr>
        <w:t>introduces a series of measures and incentives to increase the share of agricultural land under organic production to 18</w:t>
      </w:r>
      <w:r w:rsidR="001948A3" w:rsidRPr="007F04EF">
        <w:rPr>
          <w:lang w:val="en-GB"/>
        </w:rPr>
        <w:t xml:space="preserve"> </w:t>
      </w:r>
      <w:r w:rsidRPr="007F04EF">
        <w:rPr>
          <w:lang w:val="en-GB"/>
        </w:rPr>
        <w:t>% of all agricultural land by 2027.</w:t>
      </w:r>
    </w:p>
    <w:p w14:paraId="45A7CF35" w14:textId="77777777" w:rsidR="00944CBB" w:rsidRPr="007F04EF" w:rsidRDefault="00944CBB" w:rsidP="00BB242A">
      <w:pPr>
        <w:jc w:val="both"/>
        <w:rPr>
          <w:lang w:val="en-GB"/>
        </w:rPr>
      </w:pPr>
    </w:p>
    <w:p w14:paraId="28F74D0E" w14:textId="3901C12F" w:rsidR="00C850B6" w:rsidRPr="007F04EF" w:rsidRDefault="001948A3" w:rsidP="00BB242A">
      <w:pPr>
        <w:jc w:val="both"/>
        <w:rPr>
          <w:lang w:val="en-GB"/>
        </w:rPr>
      </w:pPr>
      <w:r w:rsidRPr="007F04EF">
        <w:rPr>
          <w:lang w:val="en-GB"/>
        </w:rPr>
        <w:t>In the past decade, o</w:t>
      </w:r>
      <w:r w:rsidR="00B31866" w:rsidRPr="007F04EF">
        <w:rPr>
          <w:lang w:val="en-GB"/>
        </w:rPr>
        <w:t xml:space="preserve">rganic food market has developed significantly in </w:t>
      </w:r>
      <w:r w:rsidRPr="007F04EF">
        <w:rPr>
          <w:lang w:val="en-GB"/>
        </w:rPr>
        <w:t xml:space="preserve">Slovenia, </w:t>
      </w:r>
      <w:r w:rsidR="00B31866" w:rsidRPr="007F04EF">
        <w:rPr>
          <w:lang w:val="en-GB"/>
        </w:rPr>
        <w:t>achiev</w:t>
      </w:r>
      <w:r w:rsidRPr="007F04EF">
        <w:rPr>
          <w:lang w:val="en-GB"/>
        </w:rPr>
        <w:t xml:space="preserve">ing </w:t>
      </w:r>
      <w:r w:rsidR="00B31866" w:rsidRPr="007F04EF">
        <w:rPr>
          <w:lang w:val="en-GB"/>
        </w:rPr>
        <w:t>high annual growth</w:t>
      </w:r>
      <w:r w:rsidR="00E46A28" w:rsidRPr="007F04EF">
        <w:rPr>
          <w:lang w:val="en-GB"/>
        </w:rPr>
        <w:t xml:space="preserve"> o</w:t>
      </w:r>
      <w:r w:rsidR="00B31866" w:rsidRPr="007F04EF">
        <w:rPr>
          <w:lang w:val="en-GB"/>
        </w:rPr>
        <w:t>f</w:t>
      </w:r>
      <w:r w:rsidR="00E46A28" w:rsidRPr="007F04EF">
        <w:rPr>
          <w:lang w:val="en-GB"/>
        </w:rPr>
        <w:t xml:space="preserve"> </w:t>
      </w:r>
      <w:r w:rsidR="00B31866" w:rsidRPr="007F04EF">
        <w:rPr>
          <w:lang w:val="en-GB"/>
        </w:rPr>
        <w:t>10</w:t>
      </w:r>
      <w:r w:rsidR="00E46A28" w:rsidRPr="007F04EF">
        <w:rPr>
          <w:lang w:val="en-GB"/>
        </w:rPr>
        <w:t xml:space="preserve"> – </w:t>
      </w:r>
      <w:r w:rsidR="00B31866" w:rsidRPr="007F04EF">
        <w:rPr>
          <w:lang w:val="en-GB"/>
        </w:rPr>
        <w:t>15</w:t>
      </w:r>
      <w:r w:rsidRPr="007F04EF">
        <w:rPr>
          <w:lang w:val="en-GB"/>
        </w:rPr>
        <w:t xml:space="preserve"> </w:t>
      </w:r>
      <w:r w:rsidR="00B31866" w:rsidRPr="007F04EF">
        <w:rPr>
          <w:lang w:val="en-GB"/>
        </w:rPr>
        <w:t>%.</w:t>
      </w:r>
      <w:r w:rsidRPr="007F04EF">
        <w:rPr>
          <w:lang w:val="en-GB"/>
        </w:rPr>
        <w:t xml:space="preserve"> Retail chains constitute t</w:t>
      </w:r>
      <w:r w:rsidR="00B31866" w:rsidRPr="007F04EF">
        <w:rPr>
          <w:lang w:val="en-GB"/>
        </w:rPr>
        <w:t xml:space="preserve">he most important </w:t>
      </w:r>
      <w:r w:rsidR="00C850B6" w:rsidRPr="007F04EF">
        <w:rPr>
          <w:lang w:val="en-GB"/>
        </w:rPr>
        <w:t>organic-food</w:t>
      </w:r>
      <w:r w:rsidR="00E46A28" w:rsidRPr="007F04EF">
        <w:rPr>
          <w:lang w:val="en-GB"/>
        </w:rPr>
        <w:t xml:space="preserve"> </w:t>
      </w:r>
      <w:r w:rsidR="00B31866" w:rsidRPr="007F04EF">
        <w:rPr>
          <w:lang w:val="en-GB"/>
        </w:rPr>
        <w:t>sales</w:t>
      </w:r>
      <w:r w:rsidRPr="007F04EF">
        <w:rPr>
          <w:lang w:val="en-GB"/>
        </w:rPr>
        <w:t xml:space="preserve"> channels</w:t>
      </w:r>
      <w:r w:rsidR="00C850B6" w:rsidRPr="007F04EF">
        <w:rPr>
          <w:lang w:val="en-GB"/>
        </w:rPr>
        <w:t xml:space="preserve">, through which </w:t>
      </w:r>
      <w:proofErr w:type="gramStart"/>
      <w:r w:rsidR="00C850B6" w:rsidRPr="007F04EF">
        <w:rPr>
          <w:lang w:val="en-GB"/>
        </w:rPr>
        <w:t xml:space="preserve">the </w:t>
      </w:r>
      <w:r w:rsidR="00E8644A" w:rsidRPr="007F04EF">
        <w:rPr>
          <w:lang w:val="en-GB"/>
        </w:rPr>
        <w:t>m</w:t>
      </w:r>
      <w:r w:rsidR="00E46A28" w:rsidRPr="007F04EF">
        <w:rPr>
          <w:lang w:val="en-GB"/>
        </w:rPr>
        <w:t xml:space="preserve">ajority </w:t>
      </w:r>
      <w:r w:rsidR="00E8644A" w:rsidRPr="007F04EF">
        <w:rPr>
          <w:lang w:val="en-GB"/>
        </w:rPr>
        <w:t>of</w:t>
      </w:r>
      <w:proofErr w:type="gramEnd"/>
      <w:r w:rsidR="00B31866" w:rsidRPr="007F04EF">
        <w:rPr>
          <w:lang w:val="en-GB"/>
        </w:rPr>
        <w:t xml:space="preserve"> all organic food</w:t>
      </w:r>
      <w:r w:rsidR="00E46A28" w:rsidRPr="007F04EF">
        <w:rPr>
          <w:lang w:val="en-GB"/>
        </w:rPr>
        <w:t xml:space="preserve"> i</w:t>
      </w:r>
      <w:r w:rsidR="00B31866" w:rsidRPr="007F04EF">
        <w:rPr>
          <w:lang w:val="en-GB"/>
        </w:rPr>
        <w:t>s</w:t>
      </w:r>
      <w:r w:rsidR="00E46A28" w:rsidRPr="007F04EF">
        <w:rPr>
          <w:lang w:val="en-GB"/>
        </w:rPr>
        <w:t xml:space="preserve"> </w:t>
      </w:r>
      <w:r w:rsidR="00B31866" w:rsidRPr="007F04EF">
        <w:rPr>
          <w:lang w:val="en-GB"/>
        </w:rPr>
        <w:t xml:space="preserve">sold. </w:t>
      </w:r>
    </w:p>
    <w:p w14:paraId="54E5AA6E" w14:textId="77777777" w:rsidR="00C850B6" w:rsidRPr="007F04EF" w:rsidRDefault="00C850B6" w:rsidP="00BB242A">
      <w:pPr>
        <w:jc w:val="both"/>
        <w:rPr>
          <w:lang w:val="en-GB"/>
        </w:rPr>
      </w:pPr>
    </w:p>
    <w:p w14:paraId="69BE0EA8" w14:textId="5E82371B" w:rsidR="00B31866" w:rsidRPr="007F04EF" w:rsidRDefault="00B31866" w:rsidP="00BB242A">
      <w:pPr>
        <w:jc w:val="both"/>
        <w:rPr>
          <w:lang w:val="en-GB"/>
        </w:rPr>
      </w:pPr>
      <w:r w:rsidRPr="007F04EF">
        <w:rPr>
          <w:lang w:val="en-GB"/>
        </w:rPr>
        <w:t>Imported organic food still predominate</w:t>
      </w:r>
      <w:r w:rsidR="000914D5" w:rsidRPr="007F04EF">
        <w:rPr>
          <w:lang w:val="en-GB"/>
        </w:rPr>
        <w:t>s</w:t>
      </w:r>
      <w:r w:rsidR="0049649A" w:rsidRPr="007F04EF">
        <w:rPr>
          <w:lang w:val="en-GB"/>
        </w:rPr>
        <w:t>.</w:t>
      </w:r>
      <w:r w:rsidR="000914D5" w:rsidRPr="007F04EF">
        <w:rPr>
          <w:lang w:val="en-GB"/>
        </w:rPr>
        <w:t xml:space="preserve"> </w:t>
      </w:r>
      <w:r w:rsidRPr="007F04EF">
        <w:rPr>
          <w:lang w:val="en-GB"/>
        </w:rPr>
        <w:t>Slovenian</w:t>
      </w:r>
      <w:r w:rsidR="0049649A" w:rsidRPr="007F04EF">
        <w:rPr>
          <w:lang w:val="en-GB"/>
        </w:rPr>
        <w:t xml:space="preserve"> organic food</w:t>
      </w:r>
      <w:r w:rsidR="000914D5" w:rsidRPr="007F04EF">
        <w:rPr>
          <w:lang w:val="en-GB"/>
        </w:rPr>
        <w:t xml:space="preserve"> </w:t>
      </w:r>
      <w:r w:rsidRPr="007F04EF">
        <w:rPr>
          <w:lang w:val="en-GB"/>
        </w:rPr>
        <w:t>account</w:t>
      </w:r>
      <w:r w:rsidR="000914D5" w:rsidRPr="007F04EF">
        <w:rPr>
          <w:lang w:val="en-GB"/>
        </w:rPr>
        <w:t xml:space="preserve">s to </w:t>
      </w:r>
      <w:r w:rsidRPr="007F04EF">
        <w:rPr>
          <w:lang w:val="en-GB"/>
        </w:rPr>
        <w:t>around 15</w:t>
      </w:r>
      <w:r w:rsidR="0049649A" w:rsidRPr="007F04EF">
        <w:rPr>
          <w:lang w:val="en-GB"/>
        </w:rPr>
        <w:t xml:space="preserve"> </w:t>
      </w:r>
      <w:r w:rsidRPr="007F04EF">
        <w:rPr>
          <w:lang w:val="en-GB"/>
        </w:rPr>
        <w:t>%</w:t>
      </w:r>
      <w:r w:rsidR="008B6059" w:rsidRPr="007F04EF">
        <w:rPr>
          <w:lang w:val="en-GB"/>
        </w:rPr>
        <w:t xml:space="preserve"> and, being of </w:t>
      </w:r>
      <w:r w:rsidRPr="007F04EF">
        <w:rPr>
          <w:lang w:val="en-GB"/>
        </w:rPr>
        <w:t>high quality</w:t>
      </w:r>
      <w:r w:rsidR="008B6059" w:rsidRPr="007F04EF">
        <w:rPr>
          <w:lang w:val="en-GB"/>
        </w:rPr>
        <w:t xml:space="preserve">, it is </w:t>
      </w:r>
      <w:r w:rsidRPr="007F04EF">
        <w:rPr>
          <w:lang w:val="en-GB"/>
        </w:rPr>
        <w:t>more expensive</w:t>
      </w:r>
      <w:r w:rsidR="008B6059" w:rsidRPr="007F04EF">
        <w:rPr>
          <w:lang w:val="en-GB"/>
        </w:rPr>
        <w:t xml:space="preserve"> than </w:t>
      </w:r>
      <w:r w:rsidRPr="007F04EF">
        <w:rPr>
          <w:lang w:val="en-GB"/>
        </w:rPr>
        <w:t>imported organic food</w:t>
      </w:r>
      <w:r w:rsidR="000914D5" w:rsidRPr="007F04EF">
        <w:rPr>
          <w:lang w:val="en-GB"/>
        </w:rPr>
        <w:t>. This i</w:t>
      </w:r>
      <w:r w:rsidRPr="007F04EF">
        <w:rPr>
          <w:lang w:val="en-GB"/>
        </w:rPr>
        <w:t xml:space="preserve">s </w:t>
      </w:r>
      <w:r w:rsidR="0049649A" w:rsidRPr="007F04EF">
        <w:rPr>
          <w:lang w:val="en-GB"/>
        </w:rPr>
        <w:t xml:space="preserve">a </w:t>
      </w:r>
      <w:r w:rsidRPr="007F04EF">
        <w:rPr>
          <w:lang w:val="en-GB"/>
        </w:rPr>
        <w:t>problem</w:t>
      </w:r>
      <w:r w:rsidR="008B6059" w:rsidRPr="007F04EF">
        <w:rPr>
          <w:lang w:val="en-GB"/>
        </w:rPr>
        <w:t xml:space="preserve"> for the market and </w:t>
      </w:r>
      <w:r w:rsidR="000914D5" w:rsidRPr="007F04EF">
        <w:rPr>
          <w:lang w:val="en-GB"/>
        </w:rPr>
        <w:t xml:space="preserve">the </w:t>
      </w:r>
      <w:r w:rsidR="00E8644A" w:rsidRPr="007F04EF">
        <w:rPr>
          <w:lang w:val="en-GB"/>
        </w:rPr>
        <w:t>consumer</w:t>
      </w:r>
      <w:r w:rsidR="0049649A" w:rsidRPr="007F04EF">
        <w:rPr>
          <w:lang w:val="en-GB"/>
        </w:rPr>
        <w:t>.</w:t>
      </w:r>
      <w:r w:rsidR="009F2CE1" w:rsidRPr="007F04EF">
        <w:rPr>
          <w:lang w:val="en-GB"/>
        </w:rPr>
        <w:t xml:space="preserve"> </w:t>
      </w:r>
      <w:r w:rsidR="00E8644A" w:rsidRPr="007F04EF">
        <w:rPr>
          <w:lang w:val="en-GB"/>
        </w:rPr>
        <w:t>Slovenia</w:t>
      </w:r>
      <w:r w:rsidR="000914D5" w:rsidRPr="007F04EF">
        <w:rPr>
          <w:lang w:val="en-GB"/>
        </w:rPr>
        <w:t xml:space="preserve"> depends </w:t>
      </w:r>
      <w:r w:rsidRPr="007F04EF">
        <w:rPr>
          <w:lang w:val="en-GB"/>
        </w:rPr>
        <w:t>too</w:t>
      </w:r>
      <w:r w:rsidR="000914D5" w:rsidRPr="007F04EF">
        <w:rPr>
          <w:lang w:val="en-GB"/>
        </w:rPr>
        <w:t xml:space="preserve"> much on </w:t>
      </w:r>
      <w:r w:rsidRPr="007F04EF">
        <w:rPr>
          <w:lang w:val="en-GB"/>
        </w:rPr>
        <w:t>seasonal</w:t>
      </w:r>
      <w:r w:rsidR="008B6059" w:rsidRPr="007F04EF">
        <w:rPr>
          <w:lang w:val="en-GB"/>
        </w:rPr>
        <w:t xml:space="preserve"> organic food</w:t>
      </w:r>
      <w:r w:rsidR="000914D5" w:rsidRPr="007F04EF">
        <w:rPr>
          <w:lang w:val="en-GB"/>
        </w:rPr>
        <w:t xml:space="preserve"> supply</w:t>
      </w:r>
      <w:r w:rsidR="008B6059" w:rsidRPr="007F04EF">
        <w:rPr>
          <w:lang w:val="en-GB"/>
        </w:rPr>
        <w:t xml:space="preserve"> </w:t>
      </w:r>
      <w:r w:rsidR="000914D5" w:rsidRPr="007F04EF">
        <w:rPr>
          <w:lang w:val="en-GB"/>
        </w:rPr>
        <w:t xml:space="preserve">as </w:t>
      </w:r>
      <w:r w:rsidRPr="007F04EF">
        <w:rPr>
          <w:lang w:val="en-GB"/>
        </w:rPr>
        <w:t xml:space="preserve">there is no </w:t>
      </w:r>
      <w:r w:rsidR="008B6059" w:rsidRPr="007F04EF">
        <w:rPr>
          <w:lang w:val="en-GB"/>
        </w:rPr>
        <w:t xml:space="preserve">all-year-round </w:t>
      </w:r>
      <w:r w:rsidR="009F2CE1" w:rsidRPr="007F04EF">
        <w:rPr>
          <w:lang w:val="en-GB"/>
        </w:rPr>
        <w:t>production</w:t>
      </w:r>
      <w:r w:rsidR="008B6059" w:rsidRPr="007F04EF">
        <w:rPr>
          <w:lang w:val="en-GB"/>
        </w:rPr>
        <w:t>.</w:t>
      </w:r>
      <w:r w:rsidR="009F2CE1" w:rsidRPr="007F04EF">
        <w:rPr>
          <w:lang w:val="en-GB"/>
        </w:rPr>
        <w:t xml:space="preserve"> </w:t>
      </w:r>
      <w:r w:rsidR="008B6059" w:rsidRPr="007F04EF">
        <w:rPr>
          <w:lang w:val="en-GB"/>
        </w:rPr>
        <w:t>Th</w:t>
      </w:r>
      <w:r w:rsidR="000914D5" w:rsidRPr="007F04EF">
        <w:rPr>
          <w:lang w:val="en-GB"/>
        </w:rPr>
        <w:t xml:space="preserve">is </w:t>
      </w:r>
      <w:r w:rsidRPr="007F04EF">
        <w:rPr>
          <w:lang w:val="en-GB"/>
        </w:rPr>
        <w:t>further contributes to greater import</w:t>
      </w:r>
      <w:r w:rsidR="0049649A" w:rsidRPr="007F04EF">
        <w:rPr>
          <w:lang w:val="en-GB"/>
        </w:rPr>
        <w:t>s</w:t>
      </w:r>
      <w:r w:rsidRPr="007F04EF">
        <w:rPr>
          <w:lang w:val="en-GB"/>
        </w:rPr>
        <w:t xml:space="preserve"> of organic food.</w:t>
      </w:r>
      <w:r w:rsidR="009F2CE1" w:rsidRPr="007F04EF">
        <w:rPr>
          <w:lang w:val="en-GB"/>
        </w:rPr>
        <w:t xml:space="preserve"> </w:t>
      </w:r>
      <w:r w:rsidR="000914D5" w:rsidRPr="007F04EF">
        <w:rPr>
          <w:lang w:val="en-GB"/>
        </w:rPr>
        <w:t>Most challenging is</w:t>
      </w:r>
      <w:r w:rsidR="009F2CE1" w:rsidRPr="007F04EF">
        <w:rPr>
          <w:lang w:val="en-GB"/>
        </w:rPr>
        <w:t xml:space="preserve"> the </w:t>
      </w:r>
      <w:r w:rsidRPr="007F04EF">
        <w:rPr>
          <w:lang w:val="en-GB"/>
        </w:rPr>
        <w:t>small</w:t>
      </w:r>
      <w:r w:rsidR="009F2CE1" w:rsidRPr="007F04EF">
        <w:rPr>
          <w:lang w:val="en-GB"/>
        </w:rPr>
        <w:t xml:space="preserve">-range supply </w:t>
      </w:r>
      <w:r w:rsidRPr="007F04EF">
        <w:rPr>
          <w:lang w:val="en-GB"/>
        </w:rPr>
        <w:t>of Slovenian organic fruit and vegetable</w:t>
      </w:r>
      <w:r w:rsidR="009F2CE1" w:rsidRPr="007F04EF">
        <w:rPr>
          <w:lang w:val="en-GB"/>
        </w:rPr>
        <w:t>s</w:t>
      </w:r>
      <w:r w:rsidR="000914D5" w:rsidRPr="007F04EF">
        <w:rPr>
          <w:lang w:val="en-GB"/>
        </w:rPr>
        <w:t>, primarily due to in</w:t>
      </w:r>
      <w:r w:rsidR="009F2CE1" w:rsidRPr="007F04EF">
        <w:rPr>
          <w:lang w:val="en-GB"/>
        </w:rPr>
        <w:t xml:space="preserve">adequate </w:t>
      </w:r>
      <w:r w:rsidR="000914D5" w:rsidRPr="007F04EF">
        <w:rPr>
          <w:lang w:val="en-GB"/>
        </w:rPr>
        <w:t xml:space="preserve">interlinks </w:t>
      </w:r>
      <w:r w:rsidRPr="007F04EF">
        <w:rPr>
          <w:lang w:val="en-GB"/>
        </w:rPr>
        <w:t xml:space="preserve">between </w:t>
      </w:r>
      <w:r w:rsidR="000914D5" w:rsidRPr="007F04EF">
        <w:rPr>
          <w:lang w:val="en-GB"/>
        </w:rPr>
        <w:t xml:space="preserve">Slovenian </w:t>
      </w:r>
      <w:r w:rsidRPr="007F04EF">
        <w:rPr>
          <w:lang w:val="en-GB"/>
        </w:rPr>
        <w:t>organic producers</w:t>
      </w:r>
      <w:r w:rsidR="009E660F" w:rsidRPr="007F04EF">
        <w:rPr>
          <w:lang w:val="en-GB"/>
        </w:rPr>
        <w:t>.</w:t>
      </w:r>
      <w:r w:rsidR="009F2CE1" w:rsidRPr="007F04EF">
        <w:rPr>
          <w:lang w:val="en-GB"/>
        </w:rPr>
        <w:t xml:space="preserve"> C</w:t>
      </w:r>
      <w:r w:rsidR="009E660F" w:rsidRPr="007F04EF">
        <w:rPr>
          <w:lang w:val="en-GB"/>
        </w:rPr>
        <w:t>ollective presence on the market</w:t>
      </w:r>
      <w:r w:rsidR="009F2CE1" w:rsidRPr="007F04EF">
        <w:rPr>
          <w:lang w:val="en-GB"/>
        </w:rPr>
        <w:t xml:space="preserve"> would facilitate </w:t>
      </w:r>
      <w:r w:rsidR="009E660F" w:rsidRPr="007F04EF">
        <w:rPr>
          <w:lang w:val="en-GB"/>
        </w:rPr>
        <w:t>deliver</w:t>
      </w:r>
      <w:r w:rsidR="009F2CE1" w:rsidRPr="007F04EF">
        <w:rPr>
          <w:lang w:val="en-GB"/>
        </w:rPr>
        <w:t xml:space="preserve">ing </w:t>
      </w:r>
      <w:r w:rsidR="000914D5" w:rsidRPr="007F04EF">
        <w:rPr>
          <w:lang w:val="en-GB"/>
        </w:rPr>
        <w:t>great</w:t>
      </w:r>
      <w:r w:rsidRPr="007F04EF">
        <w:rPr>
          <w:lang w:val="en-GB"/>
        </w:rPr>
        <w:t>er</w:t>
      </w:r>
      <w:r w:rsidR="009E660F" w:rsidRPr="007F04EF">
        <w:rPr>
          <w:lang w:val="en-GB"/>
        </w:rPr>
        <w:t xml:space="preserve"> and more constant quantities of </w:t>
      </w:r>
      <w:r w:rsidR="000914D5" w:rsidRPr="007F04EF">
        <w:rPr>
          <w:lang w:val="en-GB"/>
        </w:rPr>
        <w:t xml:space="preserve">organic food </w:t>
      </w:r>
      <w:r w:rsidR="009E660F" w:rsidRPr="007F04EF">
        <w:rPr>
          <w:lang w:val="en-GB"/>
        </w:rPr>
        <w:t>to</w:t>
      </w:r>
      <w:r w:rsidR="000C5A68" w:rsidRPr="007F04EF">
        <w:rPr>
          <w:lang w:val="en-GB"/>
        </w:rPr>
        <w:t xml:space="preserve"> the market</w:t>
      </w:r>
      <w:r w:rsidRPr="007F04EF">
        <w:rPr>
          <w:lang w:val="en-GB"/>
        </w:rPr>
        <w:t>.</w:t>
      </w:r>
    </w:p>
    <w:p w14:paraId="2DC07E41" w14:textId="77777777" w:rsidR="00944CBB" w:rsidRPr="007F04EF" w:rsidRDefault="00944CBB" w:rsidP="002C6599">
      <w:pPr>
        <w:rPr>
          <w:lang w:val="en-GB"/>
        </w:rPr>
      </w:pPr>
    </w:p>
    <w:p w14:paraId="5F5849F2" w14:textId="435E8057" w:rsidR="0095769A" w:rsidRPr="007F04EF" w:rsidRDefault="0095769A" w:rsidP="00BB242A">
      <w:pPr>
        <w:jc w:val="both"/>
        <w:rPr>
          <w:lang w:val="en-GB"/>
        </w:rPr>
      </w:pPr>
      <w:r w:rsidRPr="007F04EF">
        <w:rPr>
          <w:lang w:val="en-GB"/>
        </w:rPr>
        <w:t xml:space="preserve">To increase Slovenian organic food supply, it is crucial that as many </w:t>
      </w:r>
      <w:r w:rsidR="007562E9" w:rsidRPr="007F04EF">
        <w:rPr>
          <w:lang w:val="en-GB"/>
        </w:rPr>
        <w:t xml:space="preserve">existing </w:t>
      </w:r>
      <w:r w:rsidRPr="007F04EF">
        <w:rPr>
          <w:lang w:val="en-GB"/>
        </w:rPr>
        <w:t>organic farms as possible remain in</w:t>
      </w:r>
      <w:r w:rsidR="007562E9" w:rsidRPr="007F04EF">
        <w:rPr>
          <w:lang w:val="en-GB"/>
        </w:rPr>
        <w:t>volv</w:t>
      </w:r>
      <w:r w:rsidRPr="007F04EF">
        <w:rPr>
          <w:lang w:val="en-GB"/>
        </w:rPr>
        <w:t>ed in organic control</w:t>
      </w:r>
      <w:r w:rsidR="007562E9" w:rsidRPr="007F04EF">
        <w:rPr>
          <w:lang w:val="en-GB"/>
        </w:rPr>
        <w:t>s</w:t>
      </w:r>
      <w:r w:rsidRPr="007F04EF">
        <w:rPr>
          <w:lang w:val="en-GB"/>
        </w:rPr>
        <w:t>.</w:t>
      </w:r>
      <w:r w:rsidR="007562E9" w:rsidRPr="007F04EF">
        <w:rPr>
          <w:lang w:val="en-GB"/>
        </w:rPr>
        <w:t xml:space="preserve"> Conventional farms should be </w:t>
      </w:r>
      <w:r w:rsidRPr="007F04EF">
        <w:rPr>
          <w:lang w:val="en-GB"/>
        </w:rPr>
        <w:t>encourage</w:t>
      </w:r>
      <w:r w:rsidR="007562E9" w:rsidRPr="007F04EF">
        <w:rPr>
          <w:lang w:val="en-GB"/>
        </w:rPr>
        <w:t xml:space="preserve">d to </w:t>
      </w:r>
      <w:r w:rsidRPr="007F04EF">
        <w:rPr>
          <w:lang w:val="en-GB"/>
        </w:rPr>
        <w:t>conver</w:t>
      </w:r>
      <w:r w:rsidR="007562E9" w:rsidRPr="007F04EF">
        <w:rPr>
          <w:lang w:val="en-GB"/>
        </w:rPr>
        <w:t xml:space="preserve">t to </w:t>
      </w:r>
      <w:r w:rsidRPr="007F04EF">
        <w:rPr>
          <w:lang w:val="en-GB"/>
        </w:rPr>
        <w:t xml:space="preserve">organic production. </w:t>
      </w:r>
      <w:r w:rsidR="00115D3A" w:rsidRPr="007F04EF">
        <w:rPr>
          <w:lang w:val="en-GB"/>
        </w:rPr>
        <w:t>Such farms should b</w:t>
      </w:r>
      <w:r w:rsidRPr="007F04EF">
        <w:rPr>
          <w:lang w:val="en-GB"/>
        </w:rPr>
        <w:t>e</w:t>
      </w:r>
      <w:r w:rsidR="00115D3A" w:rsidRPr="007F04EF">
        <w:rPr>
          <w:lang w:val="en-GB"/>
        </w:rPr>
        <w:t xml:space="preserve"> highly market-oriented </w:t>
      </w:r>
      <w:r w:rsidRPr="007F04EF">
        <w:rPr>
          <w:lang w:val="en-GB"/>
        </w:rPr>
        <w:t xml:space="preserve">to increase turnover </w:t>
      </w:r>
      <w:r w:rsidR="00115D3A" w:rsidRPr="007F04EF">
        <w:rPr>
          <w:lang w:val="en-GB"/>
        </w:rPr>
        <w:t xml:space="preserve">in </w:t>
      </w:r>
      <w:r w:rsidRPr="007F04EF">
        <w:rPr>
          <w:lang w:val="en-GB"/>
        </w:rPr>
        <w:t>Slovenian organic food and agricultural products.</w:t>
      </w:r>
    </w:p>
    <w:p w14:paraId="075A669F" w14:textId="77777777" w:rsidR="00115D3A" w:rsidRPr="007F04EF" w:rsidRDefault="00115D3A" w:rsidP="00BB242A">
      <w:pPr>
        <w:jc w:val="both"/>
        <w:rPr>
          <w:sz w:val="16"/>
          <w:szCs w:val="16"/>
          <w:lang w:val="en-GB"/>
        </w:rPr>
      </w:pPr>
    </w:p>
    <w:p w14:paraId="57D1FE6E" w14:textId="77777777" w:rsidR="00115D3A" w:rsidRPr="007F04EF" w:rsidRDefault="00115D3A" w:rsidP="00BB242A">
      <w:pPr>
        <w:jc w:val="both"/>
        <w:rPr>
          <w:lang w:val="en-GB"/>
        </w:rPr>
      </w:pPr>
    </w:p>
    <w:p w14:paraId="633D1B67" w14:textId="1B6E5510" w:rsidR="008B7D3B" w:rsidRPr="007F04EF" w:rsidRDefault="00744593" w:rsidP="00601829">
      <w:pPr>
        <w:pStyle w:val="Naslov3"/>
        <w:rPr>
          <w:lang w:val="en-GB"/>
        </w:rPr>
      </w:pPr>
      <w:bookmarkStart w:id="101" w:name="_Toc172027310"/>
      <w:bookmarkEnd w:id="6"/>
      <w:bookmarkEnd w:id="7"/>
      <w:bookmarkEnd w:id="64"/>
      <w:r w:rsidRPr="007F04EF">
        <w:rPr>
          <w:lang w:val="en-GB"/>
        </w:rPr>
        <w:t xml:space="preserve">Estimation of </w:t>
      </w:r>
      <w:r w:rsidR="00E93E5C" w:rsidRPr="007F04EF">
        <w:rPr>
          <w:lang w:val="en-GB"/>
        </w:rPr>
        <w:t>results of all calculated risk indicators</w:t>
      </w:r>
      <w:bookmarkEnd w:id="101"/>
      <w:r w:rsidR="00E93E5C" w:rsidRPr="007F04EF">
        <w:rPr>
          <w:lang w:val="en-GB"/>
        </w:rPr>
        <w:t xml:space="preserve">  </w:t>
      </w:r>
    </w:p>
    <w:p w14:paraId="572B2538" w14:textId="77777777" w:rsidR="00944CBB" w:rsidRPr="007F04EF" w:rsidRDefault="00944CBB" w:rsidP="00601829">
      <w:pPr>
        <w:rPr>
          <w:b/>
          <w:bCs/>
          <w:lang w:val="en-GB"/>
        </w:rPr>
      </w:pPr>
    </w:p>
    <w:p w14:paraId="56A8F04A" w14:textId="0C74D286" w:rsidR="008B7D3B" w:rsidRPr="007F04EF" w:rsidRDefault="00E93E5C" w:rsidP="00601829">
      <w:pPr>
        <w:rPr>
          <w:b/>
          <w:bCs/>
          <w:lang w:val="en-GB"/>
        </w:rPr>
      </w:pPr>
      <w:r w:rsidRPr="007F04EF">
        <w:rPr>
          <w:b/>
          <w:bCs/>
          <w:lang w:val="en-GB"/>
        </w:rPr>
        <w:t>Trend</w:t>
      </w:r>
      <w:r w:rsidR="00E950A4" w:rsidRPr="007F04EF">
        <w:rPr>
          <w:b/>
          <w:bCs/>
          <w:lang w:val="en-GB"/>
        </w:rPr>
        <w:t>s</w:t>
      </w:r>
      <w:r w:rsidRPr="007F04EF">
        <w:rPr>
          <w:b/>
          <w:bCs/>
          <w:lang w:val="en-GB"/>
        </w:rPr>
        <w:t xml:space="preserve"> and progress in achieving national objectives</w:t>
      </w:r>
      <w:r w:rsidR="00115D3A" w:rsidRPr="007F04EF">
        <w:rPr>
          <w:b/>
          <w:bCs/>
          <w:lang w:val="en-GB"/>
        </w:rPr>
        <w:t xml:space="preserve"> o</w:t>
      </w:r>
      <w:r w:rsidRPr="007F04EF">
        <w:rPr>
          <w:b/>
          <w:bCs/>
          <w:lang w:val="en-GB"/>
        </w:rPr>
        <w:t>f</w:t>
      </w:r>
      <w:r w:rsidR="00115D3A" w:rsidRPr="007F04EF">
        <w:rPr>
          <w:b/>
          <w:bCs/>
          <w:lang w:val="en-GB"/>
        </w:rPr>
        <w:t xml:space="preserve"> </w:t>
      </w:r>
      <w:r w:rsidRPr="007F04EF">
        <w:rPr>
          <w:b/>
          <w:bCs/>
          <w:lang w:val="en-GB"/>
        </w:rPr>
        <w:t>reducing risk</w:t>
      </w:r>
      <w:r w:rsidR="00115D3A" w:rsidRPr="007F04EF">
        <w:rPr>
          <w:b/>
          <w:bCs/>
          <w:lang w:val="en-GB"/>
        </w:rPr>
        <w:t>s</w:t>
      </w:r>
      <w:r w:rsidRPr="007F04EF">
        <w:rPr>
          <w:b/>
          <w:bCs/>
          <w:lang w:val="en-GB"/>
        </w:rPr>
        <w:t xml:space="preserve"> from use of </w:t>
      </w:r>
      <w:proofErr w:type="gramStart"/>
      <w:r w:rsidR="008A4D55" w:rsidRPr="007F04EF">
        <w:rPr>
          <w:b/>
          <w:bCs/>
          <w:lang w:val="en-GB"/>
        </w:rPr>
        <w:t>PPPs</w:t>
      </w:r>
      <w:proofErr w:type="gramEnd"/>
    </w:p>
    <w:p w14:paraId="32C75E47" w14:textId="77777777" w:rsidR="00944CBB" w:rsidRPr="007F04EF" w:rsidRDefault="00944CBB" w:rsidP="00601829">
      <w:pPr>
        <w:rPr>
          <w:lang w:val="en-GB"/>
        </w:rPr>
      </w:pPr>
    </w:p>
    <w:p w14:paraId="6AE6E038" w14:textId="2E5DF362" w:rsidR="00E93E5C" w:rsidRPr="007F04EF" w:rsidRDefault="00E93E5C" w:rsidP="00BB242A">
      <w:pPr>
        <w:jc w:val="both"/>
        <w:rPr>
          <w:lang w:val="en-GB"/>
        </w:rPr>
      </w:pPr>
      <w:r w:rsidRPr="007F04EF">
        <w:rPr>
          <w:lang w:val="en-GB"/>
        </w:rPr>
        <w:t>The use of PPPs in Slovenia, estimated with calculated risk indicator 1 from sale</w:t>
      </w:r>
      <w:r w:rsidR="00E950A4" w:rsidRPr="007F04EF">
        <w:rPr>
          <w:lang w:val="en-GB"/>
        </w:rPr>
        <w:t>s</w:t>
      </w:r>
      <w:r w:rsidRPr="007F04EF">
        <w:rPr>
          <w:lang w:val="en-GB"/>
        </w:rPr>
        <w:t xml:space="preserve"> of PPPs, fluctuates </w:t>
      </w:r>
      <w:r w:rsidR="00115D3A" w:rsidRPr="007F04EF">
        <w:rPr>
          <w:lang w:val="en-GB"/>
        </w:rPr>
        <w:t xml:space="preserve">between </w:t>
      </w:r>
      <w:r w:rsidRPr="007F04EF">
        <w:rPr>
          <w:lang w:val="en-GB"/>
        </w:rPr>
        <w:t>years</w:t>
      </w:r>
      <w:r w:rsidR="00115D3A" w:rsidRPr="007F04EF">
        <w:rPr>
          <w:lang w:val="en-GB"/>
        </w:rPr>
        <w:t xml:space="preserve">, </w:t>
      </w:r>
      <w:r w:rsidRPr="007F04EF">
        <w:rPr>
          <w:lang w:val="en-GB"/>
        </w:rPr>
        <w:t xml:space="preserve">depending on </w:t>
      </w:r>
      <w:r w:rsidR="00115D3A" w:rsidRPr="007F04EF">
        <w:rPr>
          <w:lang w:val="en-GB"/>
        </w:rPr>
        <w:t>occurre</w:t>
      </w:r>
      <w:r w:rsidR="008A4D55" w:rsidRPr="007F04EF">
        <w:rPr>
          <w:lang w:val="en-GB"/>
        </w:rPr>
        <w:t>nce</w:t>
      </w:r>
      <w:r w:rsidRPr="007F04EF">
        <w:rPr>
          <w:lang w:val="en-GB"/>
        </w:rPr>
        <w:t xml:space="preserve"> of harmful organisms</w:t>
      </w:r>
      <w:r w:rsidR="00115D3A" w:rsidRPr="007F04EF">
        <w:rPr>
          <w:lang w:val="en-GB"/>
        </w:rPr>
        <w:t xml:space="preserve">. Nevertheless, </w:t>
      </w:r>
      <w:r w:rsidR="00115D3A" w:rsidRPr="007F04EF">
        <w:rPr>
          <w:lang w:val="en-GB"/>
        </w:rPr>
        <w:lastRenderedPageBreak/>
        <w:t xml:space="preserve">indicator 1 shows a downward trend </w:t>
      </w:r>
      <w:r w:rsidR="008A4D55" w:rsidRPr="007F04EF">
        <w:rPr>
          <w:lang w:val="en-GB"/>
        </w:rPr>
        <w:t>in relation</w:t>
      </w:r>
      <w:r w:rsidRPr="007F04EF">
        <w:rPr>
          <w:lang w:val="en-GB"/>
        </w:rPr>
        <w:t xml:space="preserve"> to initial </w:t>
      </w:r>
      <w:r w:rsidR="008A4D55" w:rsidRPr="007F04EF">
        <w:rPr>
          <w:lang w:val="en-GB"/>
        </w:rPr>
        <w:t>reference</w:t>
      </w:r>
      <w:r w:rsidRPr="007F04EF">
        <w:rPr>
          <w:lang w:val="en-GB"/>
        </w:rPr>
        <w:t xml:space="preserve"> period (average sales between 2011</w:t>
      </w:r>
      <w:r w:rsidR="00115D3A" w:rsidRPr="007F04EF">
        <w:rPr>
          <w:lang w:val="en-GB"/>
        </w:rPr>
        <w:t xml:space="preserve"> – </w:t>
      </w:r>
      <w:r w:rsidRPr="007F04EF">
        <w:rPr>
          <w:lang w:val="en-GB"/>
        </w:rPr>
        <w:t xml:space="preserve">2013, </w:t>
      </w:r>
      <w:r w:rsidR="008A4D55" w:rsidRPr="007F04EF">
        <w:rPr>
          <w:lang w:val="en-GB"/>
        </w:rPr>
        <w:t>indexed</w:t>
      </w:r>
      <w:r w:rsidRPr="007F04EF">
        <w:rPr>
          <w:lang w:val="en-GB"/>
        </w:rPr>
        <w:t xml:space="preserve"> </w:t>
      </w:r>
      <w:r w:rsidR="00115D3A" w:rsidRPr="007F04EF">
        <w:rPr>
          <w:lang w:val="en-GB"/>
        </w:rPr>
        <w:t xml:space="preserve">as </w:t>
      </w:r>
      <w:r w:rsidRPr="007F04EF">
        <w:rPr>
          <w:lang w:val="en-GB"/>
        </w:rPr>
        <w:t>100)</w:t>
      </w:r>
      <w:r w:rsidR="008A4D55" w:rsidRPr="007F04EF">
        <w:rPr>
          <w:lang w:val="en-GB"/>
        </w:rPr>
        <w:t>,</w:t>
      </w:r>
      <w:r w:rsidR="00115D3A" w:rsidRPr="007F04EF">
        <w:rPr>
          <w:lang w:val="en-GB"/>
        </w:rPr>
        <w:t xml:space="preserve"> </w:t>
      </w:r>
      <w:r w:rsidRPr="007F04EF">
        <w:rPr>
          <w:lang w:val="en-GB"/>
        </w:rPr>
        <w:t>decreas</w:t>
      </w:r>
      <w:r w:rsidR="00115D3A" w:rsidRPr="007F04EF">
        <w:rPr>
          <w:lang w:val="en-GB"/>
        </w:rPr>
        <w:t xml:space="preserve">ing </w:t>
      </w:r>
      <w:r w:rsidRPr="007F04EF">
        <w:rPr>
          <w:lang w:val="en-GB"/>
        </w:rPr>
        <w:t>by 32</w:t>
      </w:r>
      <w:r w:rsidR="00115D3A" w:rsidRPr="007F04EF">
        <w:rPr>
          <w:lang w:val="en-GB"/>
        </w:rPr>
        <w:t xml:space="preserve"> </w:t>
      </w:r>
      <w:r w:rsidRPr="007F04EF">
        <w:rPr>
          <w:lang w:val="en-GB"/>
        </w:rPr>
        <w:t>%</w:t>
      </w:r>
      <w:r w:rsidR="00115D3A" w:rsidRPr="007F04EF">
        <w:rPr>
          <w:lang w:val="en-GB"/>
        </w:rPr>
        <w:t xml:space="preserve"> </w:t>
      </w:r>
      <w:r w:rsidRPr="007F04EF">
        <w:rPr>
          <w:lang w:val="en-GB"/>
        </w:rPr>
        <w:t>in</w:t>
      </w:r>
      <w:r w:rsidR="00115D3A" w:rsidRPr="007F04EF">
        <w:rPr>
          <w:lang w:val="en-GB"/>
        </w:rPr>
        <w:t xml:space="preserve"> </w:t>
      </w:r>
      <w:r w:rsidRPr="007F04EF">
        <w:rPr>
          <w:lang w:val="en-GB"/>
        </w:rPr>
        <w:t>2021.</w:t>
      </w:r>
    </w:p>
    <w:p w14:paraId="1D2DB1ED" w14:textId="77777777" w:rsidR="00944CBB" w:rsidRPr="007F04EF" w:rsidRDefault="00944CBB" w:rsidP="00BB242A">
      <w:pPr>
        <w:jc w:val="both"/>
        <w:rPr>
          <w:lang w:val="en-GB"/>
        </w:rPr>
      </w:pPr>
    </w:p>
    <w:p w14:paraId="3F5F313C" w14:textId="77777777" w:rsidR="000F6BD7" w:rsidRPr="007F04EF" w:rsidRDefault="008A4D55" w:rsidP="00BB242A">
      <w:pPr>
        <w:jc w:val="both"/>
        <w:rPr>
          <w:lang w:val="en-GB"/>
        </w:rPr>
      </w:pPr>
      <w:r w:rsidRPr="007F04EF">
        <w:rPr>
          <w:lang w:val="en-GB"/>
        </w:rPr>
        <w:t xml:space="preserve">On the other hand, risk indicator 2 increased </w:t>
      </w:r>
      <w:r w:rsidR="00115D3A" w:rsidRPr="007F04EF">
        <w:rPr>
          <w:lang w:val="en-GB"/>
        </w:rPr>
        <w:t xml:space="preserve">in </w:t>
      </w:r>
      <w:r w:rsidRPr="007F04EF">
        <w:rPr>
          <w:lang w:val="en-GB"/>
        </w:rPr>
        <w:t>relati</w:t>
      </w:r>
      <w:r w:rsidR="00115D3A" w:rsidRPr="007F04EF">
        <w:rPr>
          <w:lang w:val="en-GB"/>
        </w:rPr>
        <w:t xml:space="preserve">on </w:t>
      </w:r>
      <w:r w:rsidRPr="007F04EF">
        <w:rPr>
          <w:lang w:val="en-GB"/>
        </w:rPr>
        <w:t>to</w:t>
      </w:r>
      <w:r w:rsidR="00115D3A" w:rsidRPr="007F04EF">
        <w:rPr>
          <w:lang w:val="en-GB"/>
        </w:rPr>
        <w:t xml:space="preserve"> </w:t>
      </w:r>
      <w:r w:rsidRPr="007F04EF">
        <w:rPr>
          <w:lang w:val="en-GB"/>
        </w:rPr>
        <w:t>initial reference period</w:t>
      </w:r>
      <w:r w:rsidR="00115D3A" w:rsidRPr="007F04EF">
        <w:rPr>
          <w:lang w:val="en-GB"/>
        </w:rPr>
        <w:t xml:space="preserve">, </w:t>
      </w:r>
      <w:r w:rsidRPr="007F04EF">
        <w:rPr>
          <w:lang w:val="en-GB"/>
        </w:rPr>
        <w:t>by 105</w:t>
      </w:r>
      <w:r w:rsidR="00115D3A" w:rsidRPr="007F04EF">
        <w:rPr>
          <w:lang w:val="en-GB"/>
        </w:rPr>
        <w:t xml:space="preserve"> </w:t>
      </w:r>
      <w:r w:rsidRPr="007F04EF">
        <w:rPr>
          <w:lang w:val="en-GB"/>
        </w:rPr>
        <w:t>% in 2021.</w:t>
      </w:r>
      <w:r w:rsidR="00115D3A" w:rsidRPr="007F04EF">
        <w:rPr>
          <w:lang w:val="en-GB"/>
        </w:rPr>
        <w:t xml:space="preserve"> R</w:t>
      </w:r>
      <w:r w:rsidRPr="007F04EF">
        <w:rPr>
          <w:lang w:val="en-GB"/>
        </w:rPr>
        <w:t>easons</w:t>
      </w:r>
      <w:r w:rsidR="00115D3A" w:rsidRPr="007F04EF">
        <w:rPr>
          <w:lang w:val="en-GB"/>
        </w:rPr>
        <w:t xml:space="preserve"> includ</w:t>
      </w:r>
      <w:r w:rsidRPr="007F04EF">
        <w:rPr>
          <w:lang w:val="en-GB"/>
        </w:rPr>
        <w:t>e</w:t>
      </w:r>
      <w:r w:rsidR="00115D3A" w:rsidRPr="007F04EF">
        <w:rPr>
          <w:lang w:val="en-GB"/>
        </w:rPr>
        <w:t xml:space="preserve"> </w:t>
      </w:r>
      <w:r w:rsidRPr="007F04EF">
        <w:rPr>
          <w:lang w:val="en-GB"/>
        </w:rPr>
        <w:t xml:space="preserve">the unexpected and excessive occurrence of harmful organisms, the complex and time-consuming </w:t>
      </w:r>
      <w:r w:rsidR="000F6BD7" w:rsidRPr="007F04EF">
        <w:rPr>
          <w:lang w:val="en-GB"/>
        </w:rPr>
        <w:t xml:space="preserve">PPP-authorisation </w:t>
      </w:r>
      <w:r w:rsidRPr="007F04EF">
        <w:rPr>
          <w:lang w:val="en-GB"/>
        </w:rPr>
        <w:t>system</w:t>
      </w:r>
      <w:r w:rsidR="000F6BD7" w:rsidRPr="007F04EF">
        <w:rPr>
          <w:lang w:val="en-GB"/>
        </w:rPr>
        <w:t xml:space="preserve"> </w:t>
      </w:r>
      <w:r w:rsidR="00251B5B" w:rsidRPr="007F04EF">
        <w:rPr>
          <w:lang w:val="en-GB"/>
        </w:rPr>
        <w:t>that</w:t>
      </w:r>
      <w:r w:rsidRPr="007F04EF">
        <w:rPr>
          <w:lang w:val="en-GB"/>
        </w:rPr>
        <w:t xml:space="preserve"> does not follow </w:t>
      </w:r>
      <w:r w:rsidR="00E950A4" w:rsidRPr="007F04EF">
        <w:rPr>
          <w:lang w:val="en-GB"/>
        </w:rPr>
        <w:t>the occurrence of harmful organisms</w:t>
      </w:r>
      <w:r w:rsidR="000F6BD7" w:rsidRPr="007F04EF">
        <w:rPr>
          <w:lang w:val="en-GB"/>
        </w:rPr>
        <w:t xml:space="preserve">. Thus, </w:t>
      </w:r>
      <w:r w:rsidRPr="007F04EF">
        <w:rPr>
          <w:lang w:val="en-GB"/>
        </w:rPr>
        <w:t xml:space="preserve">users apply for </w:t>
      </w:r>
      <w:r w:rsidR="000F6BD7" w:rsidRPr="007F04EF">
        <w:rPr>
          <w:lang w:val="en-GB"/>
        </w:rPr>
        <w:t>PPP-</w:t>
      </w:r>
      <w:r w:rsidRPr="007F04EF">
        <w:rPr>
          <w:lang w:val="en-GB"/>
        </w:rPr>
        <w:t>emergency authorisations.</w:t>
      </w:r>
      <w:r w:rsidR="000F6BD7" w:rsidRPr="007F04EF">
        <w:rPr>
          <w:lang w:val="en-GB"/>
        </w:rPr>
        <w:t xml:space="preserve"> N</w:t>
      </w:r>
      <w:r w:rsidRPr="007F04EF">
        <w:rPr>
          <w:lang w:val="en-GB"/>
        </w:rPr>
        <w:t>egative</w:t>
      </w:r>
      <w:r w:rsidR="000F6BD7" w:rsidRPr="007F04EF">
        <w:rPr>
          <w:lang w:val="en-GB"/>
        </w:rPr>
        <w:t xml:space="preserve"> climate change </w:t>
      </w:r>
      <w:r w:rsidRPr="007F04EF">
        <w:rPr>
          <w:lang w:val="en-GB"/>
        </w:rPr>
        <w:t>impact</w:t>
      </w:r>
      <w:r w:rsidR="000F6BD7" w:rsidRPr="007F04EF">
        <w:rPr>
          <w:lang w:val="en-GB"/>
        </w:rPr>
        <w:t xml:space="preserve">s are seen in </w:t>
      </w:r>
      <w:r w:rsidRPr="007F04EF">
        <w:rPr>
          <w:lang w:val="en-GB"/>
        </w:rPr>
        <w:t>agriculture</w:t>
      </w:r>
      <w:r w:rsidR="000F6BD7" w:rsidRPr="007F04EF">
        <w:rPr>
          <w:lang w:val="en-GB"/>
        </w:rPr>
        <w:t>. H</w:t>
      </w:r>
      <w:r w:rsidRPr="007F04EF">
        <w:rPr>
          <w:lang w:val="en-GB"/>
        </w:rPr>
        <w:t>igh</w:t>
      </w:r>
      <w:r w:rsidR="000F6BD7" w:rsidRPr="007F04EF">
        <w:rPr>
          <w:lang w:val="en-GB"/>
        </w:rPr>
        <w:t xml:space="preserve"> </w:t>
      </w:r>
      <w:r w:rsidRPr="007F04EF">
        <w:rPr>
          <w:lang w:val="en-GB"/>
        </w:rPr>
        <w:t>temperatures and unpredictable weather</w:t>
      </w:r>
      <w:r w:rsidR="000F6BD7" w:rsidRPr="007F04EF">
        <w:rPr>
          <w:lang w:val="en-GB"/>
        </w:rPr>
        <w:t xml:space="preserve"> conditions </w:t>
      </w:r>
      <w:r w:rsidRPr="007F04EF">
        <w:rPr>
          <w:lang w:val="en-GB"/>
        </w:rPr>
        <w:t xml:space="preserve">stimulate the development of pests. </w:t>
      </w:r>
      <w:r w:rsidR="000F6BD7" w:rsidRPr="007F04EF">
        <w:rPr>
          <w:lang w:val="en-GB"/>
        </w:rPr>
        <w:t>A</w:t>
      </w:r>
      <w:r w:rsidRPr="007F04EF">
        <w:rPr>
          <w:lang w:val="en-GB"/>
        </w:rPr>
        <w:t>ddition</w:t>
      </w:r>
      <w:r w:rsidR="000F6BD7" w:rsidRPr="007F04EF">
        <w:rPr>
          <w:lang w:val="en-GB"/>
        </w:rPr>
        <w:t>ally</w:t>
      </w:r>
      <w:r w:rsidRPr="007F04EF">
        <w:rPr>
          <w:lang w:val="en-GB"/>
        </w:rPr>
        <w:t>,</w:t>
      </w:r>
      <w:r w:rsidR="000F6BD7" w:rsidRPr="007F04EF">
        <w:rPr>
          <w:lang w:val="en-GB"/>
        </w:rPr>
        <w:t xml:space="preserve"> new pests are evolving through the </w:t>
      </w:r>
      <w:r w:rsidRPr="007F04EF">
        <w:rPr>
          <w:lang w:val="en-GB"/>
        </w:rPr>
        <w:t xml:space="preserve">free </w:t>
      </w:r>
      <w:r w:rsidR="000F6BD7" w:rsidRPr="007F04EF">
        <w:rPr>
          <w:lang w:val="en-GB"/>
        </w:rPr>
        <w:t xml:space="preserve">global </w:t>
      </w:r>
      <w:r w:rsidRPr="007F04EF">
        <w:rPr>
          <w:lang w:val="en-GB"/>
        </w:rPr>
        <w:t>market.</w:t>
      </w:r>
      <w:r w:rsidR="000F6BD7" w:rsidRPr="007F04EF">
        <w:rPr>
          <w:lang w:val="en-GB"/>
        </w:rPr>
        <w:t xml:space="preserve"> </w:t>
      </w:r>
    </w:p>
    <w:p w14:paraId="47E5F304" w14:textId="77777777" w:rsidR="000F6BD7" w:rsidRPr="007F04EF" w:rsidRDefault="000F6BD7" w:rsidP="00BB242A">
      <w:pPr>
        <w:jc w:val="both"/>
        <w:rPr>
          <w:lang w:val="en-GB"/>
        </w:rPr>
      </w:pPr>
    </w:p>
    <w:p w14:paraId="20065063" w14:textId="2B6C44F9" w:rsidR="00E93E5C" w:rsidRPr="007F04EF" w:rsidRDefault="000F6BD7" w:rsidP="00BB242A">
      <w:pPr>
        <w:jc w:val="both"/>
        <w:rPr>
          <w:lang w:val="en-GB"/>
        </w:rPr>
      </w:pPr>
      <w:r w:rsidRPr="007F04EF">
        <w:rPr>
          <w:lang w:val="en-GB"/>
        </w:rPr>
        <w:t>Q</w:t>
      </w:r>
      <w:r w:rsidR="008A4D55" w:rsidRPr="007F04EF">
        <w:rPr>
          <w:lang w:val="en-GB"/>
        </w:rPr>
        <w:t>uantities of</w:t>
      </w:r>
      <w:r w:rsidR="00251B5B" w:rsidRPr="007F04EF">
        <w:rPr>
          <w:lang w:val="en-GB"/>
        </w:rPr>
        <w:t xml:space="preserve"> PPPs</w:t>
      </w:r>
      <w:r w:rsidR="008A4D55" w:rsidRPr="007F04EF">
        <w:rPr>
          <w:lang w:val="en-GB"/>
        </w:rPr>
        <w:t xml:space="preserve"> sold</w:t>
      </w:r>
      <w:r w:rsidRPr="007F04EF">
        <w:rPr>
          <w:lang w:val="en-GB"/>
        </w:rPr>
        <w:t xml:space="preserve"> under PPP-</w:t>
      </w:r>
      <w:r w:rsidR="00251B5B" w:rsidRPr="007F04EF">
        <w:rPr>
          <w:lang w:val="en-GB"/>
        </w:rPr>
        <w:t>emergency authorisations</w:t>
      </w:r>
      <w:r w:rsidRPr="007F04EF">
        <w:rPr>
          <w:lang w:val="en-GB"/>
        </w:rPr>
        <w:t xml:space="preserve"> are </w:t>
      </w:r>
      <w:r w:rsidR="008A4D55" w:rsidRPr="007F04EF">
        <w:rPr>
          <w:lang w:val="en-GB"/>
        </w:rPr>
        <w:t xml:space="preserve">included in the </w:t>
      </w:r>
      <w:r w:rsidR="00251B5B" w:rsidRPr="007F04EF">
        <w:rPr>
          <w:lang w:val="en-GB"/>
        </w:rPr>
        <w:t>PPP</w:t>
      </w:r>
      <w:r w:rsidRPr="007F04EF">
        <w:rPr>
          <w:lang w:val="en-GB"/>
        </w:rPr>
        <w:t>-</w:t>
      </w:r>
      <w:r w:rsidR="008A4D55" w:rsidRPr="007F04EF">
        <w:rPr>
          <w:lang w:val="en-GB"/>
        </w:rPr>
        <w:t xml:space="preserve">sales statistics and </w:t>
      </w:r>
      <w:r w:rsidRPr="007F04EF">
        <w:rPr>
          <w:lang w:val="en-GB"/>
        </w:rPr>
        <w:t xml:space="preserve">in </w:t>
      </w:r>
      <w:r w:rsidR="00251B5B" w:rsidRPr="007F04EF">
        <w:rPr>
          <w:lang w:val="en-GB"/>
        </w:rPr>
        <w:t xml:space="preserve">calculation of </w:t>
      </w:r>
      <w:r w:rsidR="008A4D55" w:rsidRPr="007F04EF">
        <w:rPr>
          <w:lang w:val="en-GB"/>
        </w:rPr>
        <w:t xml:space="preserve">risk indicator 1. </w:t>
      </w:r>
      <w:r w:rsidRPr="007F04EF">
        <w:rPr>
          <w:lang w:val="en-GB"/>
        </w:rPr>
        <w:t xml:space="preserve">It can be affirmed </w:t>
      </w:r>
      <w:r w:rsidR="008A4D55" w:rsidRPr="007F04EF">
        <w:rPr>
          <w:lang w:val="en-GB"/>
        </w:rPr>
        <w:t xml:space="preserve">that </w:t>
      </w:r>
      <w:r w:rsidR="00251B5B" w:rsidRPr="007F04EF">
        <w:rPr>
          <w:lang w:val="en-GB"/>
        </w:rPr>
        <w:t>PPP</w:t>
      </w:r>
      <w:r w:rsidRPr="007F04EF">
        <w:rPr>
          <w:lang w:val="en-GB"/>
        </w:rPr>
        <w:t>-</w:t>
      </w:r>
      <w:r w:rsidR="008A4D55" w:rsidRPr="007F04EF">
        <w:rPr>
          <w:lang w:val="en-GB"/>
        </w:rPr>
        <w:t>sales in Slovenia have a significant downward trend.</w:t>
      </w:r>
    </w:p>
    <w:p w14:paraId="5A99A7D4" w14:textId="77777777" w:rsidR="00944CBB" w:rsidRPr="007F04EF" w:rsidRDefault="00944CBB" w:rsidP="00BB242A">
      <w:pPr>
        <w:jc w:val="both"/>
        <w:rPr>
          <w:lang w:val="en-GB"/>
        </w:rPr>
      </w:pPr>
    </w:p>
    <w:p w14:paraId="223CBAC0" w14:textId="77777777" w:rsidR="00E70C65" w:rsidRPr="007F04EF" w:rsidRDefault="00251B5B" w:rsidP="00BB242A">
      <w:pPr>
        <w:jc w:val="both"/>
        <w:rPr>
          <w:lang w:val="en-GB"/>
        </w:rPr>
      </w:pPr>
      <w:r w:rsidRPr="007F04EF">
        <w:rPr>
          <w:lang w:val="en-GB"/>
        </w:rPr>
        <w:t xml:space="preserve">The sale of </w:t>
      </w:r>
      <w:r w:rsidR="00DD784D" w:rsidRPr="007F04EF">
        <w:rPr>
          <w:lang w:val="en-GB"/>
        </w:rPr>
        <w:t>PPPs</w:t>
      </w:r>
      <w:r w:rsidRPr="007F04EF">
        <w:rPr>
          <w:lang w:val="en-GB"/>
        </w:rPr>
        <w:t xml:space="preserve"> containing substances - candidates for substitution also has a downward trend. Compared to the </w:t>
      </w:r>
      <w:r w:rsidR="00975AE1" w:rsidRPr="007F04EF">
        <w:rPr>
          <w:lang w:val="en-GB"/>
        </w:rPr>
        <w:t xml:space="preserve">average sales </w:t>
      </w:r>
      <w:r w:rsidR="000F6BD7" w:rsidRPr="007F04EF">
        <w:rPr>
          <w:lang w:val="en-GB"/>
        </w:rPr>
        <w:t xml:space="preserve">in the period </w:t>
      </w:r>
      <w:r w:rsidR="00975AE1" w:rsidRPr="007F04EF">
        <w:rPr>
          <w:lang w:val="en-GB"/>
        </w:rPr>
        <w:t>2017</w:t>
      </w:r>
      <w:r w:rsidR="000F6BD7" w:rsidRPr="007F04EF">
        <w:rPr>
          <w:lang w:val="en-GB"/>
        </w:rPr>
        <w:t xml:space="preserve"> – </w:t>
      </w:r>
      <w:r w:rsidR="00975AE1" w:rsidRPr="007F04EF">
        <w:rPr>
          <w:lang w:val="en-GB"/>
        </w:rPr>
        <w:t>2021</w:t>
      </w:r>
      <w:r w:rsidR="000F6BD7" w:rsidRPr="007F04EF">
        <w:rPr>
          <w:lang w:val="en-GB"/>
        </w:rPr>
        <w:t xml:space="preserve">, </w:t>
      </w:r>
      <w:r w:rsidRPr="007F04EF">
        <w:rPr>
          <w:lang w:val="en-GB"/>
        </w:rPr>
        <w:t>it decreased by 9</w:t>
      </w:r>
      <w:r w:rsidR="000F6BD7" w:rsidRPr="007F04EF">
        <w:rPr>
          <w:lang w:val="en-GB"/>
        </w:rPr>
        <w:t xml:space="preserve"> </w:t>
      </w:r>
      <w:r w:rsidRPr="007F04EF">
        <w:rPr>
          <w:lang w:val="en-GB"/>
        </w:rPr>
        <w:t xml:space="preserve">% in 2021. </w:t>
      </w:r>
    </w:p>
    <w:p w14:paraId="1EC61A1D" w14:textId="77777777" w:rsidR="00E70C65" w:rsidRPr="007F04EF" w:rsidRDefault="00E70C65" w:rsidP="00BB242A">
      <w:pPr>
        <w:jc w:val="both"/>
        <w:rPr>
          <w:lang w:val="en-GB"/>
        </w:rPr>
      </w:pPr>
    </w:p>
    <w:p w14:paraId="5E67D3BF" w14:textId="133A63B9" w:rsidR="00251B5B" w:rsidRPr="007F04EF" w:rsidRDefault="00E70C65" w:rsidP="00BB242A">
      <w:pPr>
        <w:jc w:val="both"/>
        <w:rPr>
          <w:lang w:val="en-GB"/>
        </w:rPr>
      </w:pPr>
      <w:r w:rsidRPr="007F04EF">
        <w:rPr>
          <w:lang w:val="en-GB"/>
        </w:rPr>
        <w:t xml:space="preserve">Approximately </w:t>
      </w:r>
      <w:r w:rsidR="000F6BD7" w:rsidRPr="007F04EF">
        <w:rPr>
          <w:lang w:val="en-GB"/>
        </w:rPr>
        <w:t xml:space="preserve">one </w:t>
      </w:r>
      <w:r w:rsidR="00251B5B" w:rsidRPr="007F04EF">
        <w:rPr>
          <w:lang w:val="en-GB"/>
        </w:rPr>
        <w:t>half of sales of these substances</w:t>
      </w:r>
      <w:r w:rsidRPr="007F04EF">
        <w:rPr>
          <w:lang w:val="en-GB"/>
        </w:rPr>
        <w:t xml:space="preserve"> constitute the </w:t>
      </w:r>
      <w:r w:rsidR="00251B5B" w:rsidRPr="007F04EF">
        <w:rPr>
          <w:lang w:val="en-GB"/>
        </w:rPr>
        <w:t>copper-based</w:t>
      </w:r>
      <w:r w:rsidR="00DD784D" w:rsidRPr="007F04EF">
        <w:rPr>
          <w:lang w:val="en-GB"/>
        </w:rPr>
        <w:t xml:space="preserve"> products</w:t>
      </w:r>
      <w:r w:rsidR="00251B5B" w:rsidRPr="007F04EF">
        <w:rPr>
          <w:lang w:val="en-GB"/>
        </w:rPr>
        <w:t>, which are also used in organic farming. Effective alternative</w:t>
      </w:r>
      <w:r w:rsidRPr="007F04EF">
        <w:rPr>
          <w:lang w:val="en-GB"/>
        </w:rPr>
        <w:t xml:space="preserve"> </w:t>
      </w:r>
      <w:r w:rsidR="00251B5B" w:rsidRPr="007F04EF">
        <w:rPr>
          <w:lang w:val="en-GB"/>
        </w:rPr>
        <w:t>plant protection methods should be developed to phase out the use of copper-</w:t>
      </w:r>
      <w:r w:rsidRPr="007F04EF">
        <w:rPr>
          <w:lang w:val="en-GB"/>
        </w:rPr>
        <w:t xml:space="preserve">based </w:t>
      </w:r>
      <w:r w:rsidR="00DD784D" w:rsidRPr="007F04EF">
        <w:rPr>
          <w:lang w:val="en-GB"/>
        </w:rPr>
        <w:t>PPPs</w:t>
      </w:r>
      <w:r w:rsidR="00251B5B" w:rsidRPr="007F04EF">
        <w:rPr>
          <w:lang w:val="en-GB"/>
        </w:rPr>
        <w:t xml:space="preserve">. </w:t>
      </w:r>
      <w:r w:rsidRPr="007F04EF">
        <w:rPr>
          <w:lang w:val="en-GB"/>
        </w:rPr>
        <w:t xml:space="preserve">Existing </w:t>
      </w:r>
      <w:r w:rsidR="00251B5B" w:rsidRPr="007F04EF">
        <w:rPr>
          <w:lang w:val="en-GB"/>
        </w:rPr>
        <w:t>alternative methods, especially for organic production, are not</w:t>
      </w:r>
      <w:r w:rsidR="00DD784D" w:rsidRPr="007F04EF">
        <w:rPr>
          <w:lang w:val="en-GB"/>
        </w:rPr>
        <w:t xml:space="preserve"> effective </w:t>
      </w:r>
      <w:r w:rsidR="00251B5B" w:rsidRPr="007F04EF">
        <w:rPr>
          <w:lang w:val="en-GB"/>
        </w:rPr>
        <w:t>enough.</w:t>
      </w:r>
    </w:p>
    <w:p w14:paraId="45EA6BB2" w14:textId="491B8129" w:rsidR="00DF5BB2" w:rsidRPr="007F04EF" w:rsidRDefault="00DF5BB2" w:rsidP="00AA0B9A">
      <w:pPr>
        <w:pStyle w:val="Naslov3"/>
        <w:rPr>
          <w:lang w:val="en-GB"/>
        </w:rPr>
      </w:pPr>
      <w:bookmarkStart w:id="102" w:name="_Toc172027311"/>
      <w:r w:rsidRPr="007F04EF">
        <w:rPr>
          <w:lang w:val="en-GB"/>
        </w:rPr>
        <w:t xml:space="preserve">Trends and progress in achieving indirect </w:t>
      </w:r>
      <w:proofErr w:type="gramStart"/>
      <w:r w:rsidR="00FF0EBD" w:rsidRPr="007F04EF">
        <w:rPr>
          <w:lang w:val="en-GB"/>
        </w:rPr>
        <w:t>goals</w:t>
      </w:r>
      <w:bookmarkEnd w:id="102"/>
      <w:proofErr w:type="gramEnd"/>
    </w:p>
    <w:p w14:paraId="4616A49C" w14:textId="77777777" w:rsidR="00944CBB" w:rsidRPr="007F04EF" w:rsidRDefault="00944CBB" w:rsidP="00601829">
      <w:pPr>
        <w:rPr>
          <w:lang w:val="en-GB"/>
        </w:rPr>
      </w:pPr>
    </w:p>
    <w:p w14:paraId="73905D1D" w14:textId="647C08C9" w:rsidR="00DF5BB2" w:rsidRPr="007F04EF" w:rsidRDefault="00DF5BB2" w:rsidP="00BB242A">
      <w:pPr>
        <w:jc w:val="both"/>
        <w:rPr>
          <w:lang w:val="en-GB"/>
        </w:rPr>
      </w:pPr>
      <w:r w:rsidRPr="007F04EF">
        <w:rPr>
          <w:lang w:val="en-GB"/>
        </w:rPr>
        <w:t>All PPP</w:t>
      </w:r>
      <w:r w:rsidR="00BB242A" w:rsidRPr="007F04EF">
        <w:rPr>
          <w:lang w:val="en-GB"/>
        </w:rPr>
        <w:t>-</w:t>
      </w:r>
      <w:r w:rsidRPr="007F04EF">
        <w:rPr>
          <w:lang w:val="en-GB"/>
        </w:rPr>
        <w:t>users are in</w:t>
      </w:r>
      <w:r w:rsidR="00E70C65" w:rsidRPr="007F04EF">
        <w:rPr>
          <w:lang w:val="en-GB"/>
        </w:rPr>
        <w:t xml:space="preserve">volved in sustainable PPP-training </w:t>
      </w:r>
      <w:r w:rsidRPr="007F04EF">
        <w:rPr>
          <w:lang w:val="en-GB"/>
        </w:rPr>
        <w:t>system</w:t>
      </w:r>
      <w:r w:rsidR="00E70C65" w:rsidRPr="007F04EF">
        <w:rPr>
          <w:lang w:val="en-GB"/>
        </w:rPr>
        <w:t xml:space="preserve"> that i</w:t>
      </w:r>
      <w:r w:rsidRPr="007F04EF">
        <w:rPr>
          <w:lang w:val="en-GB"/>
        </w:rPr>
        <w:t>s</w:t>
      </w:r>
      <w:r w:rsidR="00E70C65" w:rsidRPr="007F04EF">
        <w:rPr>
          <w:lang w:val="en-GB"/>
        </w:rPr>
        <w:t xml:space="preserve"> well established </w:t>
      </w:r>
      <w:r w:rsidRPr="007F04EF">
        <w:rPr>
          <w:lang w:val="en-GB"/>
        </w:rPr>
        <w:t>in Slovenia</w:t>
      </w:r>
      <w:r w:rsidR="00E70C65" w:rsidRPr="007F04EF">
        <w:rPr>
          <w:lang w:val="en-GB"/>
        </w:rPr>
        <w:t xml:space="preserve"> and has been prepared and conducted for </w:t>
      </w:r>
      <w:r w:rsidRPr="007F04EF">
        <w:rPr>
          <w:lang w:val="en-GB"/>
        </w:rPr>
        <w:t>many years</w:t>
      </w:r>
      <w:r w:rsidR="00E70C65" w:rsidRPr="007F04EF">
        <w:rPr>
          <w:lang w:val="en-GB"/>
        </w:rPr>
        <w:t xml:space="preserve">. </w:t>
      </w:r>
      <w:r w:rsidR="00FF0EBD" w:rsidRPr="007F04EF">
        <w:rPr>
          <w:lang w:val="en-GB"/>
        </w:rPr>
        <w:t>To</w:t>
      </w:r>
      <w:r w:rsidRPr="007F04EF">
        <w:rPr>
          <w:lang w:val="en-GB"/>
        </w:rPr>
        <w:t xml:space="preserve"> extend the validity of</w:t>
      </w:r>
      <w:r w:rsidR="00FC743E" w:rsidRPr="007F04EF">
        <w:rPr>
          <w:lang w:val="en-GB"/>
        </w:rPr>
        <w:t xml:space="preserve"> their respective </w:t>
      </w:r>
      <w:r w:rsidRPr="007F04EF">
        <w:rPr>
          <w:lang w:val="en-GB"/>
        </w:rPr>
        <w:t>training certificate</w:t>
      </w:r>
      <w:r w:rsidR="00FC743E" w:rsidRPr="007F04EF">
        <w:rPr>
          <w:lang w:val="en-GB"/>
        </w:rPr>
        <w:t>s</w:t>
      </w:r>
      <w:r w:rsidRPr="007F04EF">
        <w:rPr>
          <w:lang w:val="en-GB"/>
        </w:rPr>
        <w:t>, PPP</w:t>
      </w:r>
      <w:r w:rsidR="00FC743E" w:rsidRPr="007F04EF">
        <w:rPr>
          <w:lang w:val="en-GB"/>
        </w:rPr>
        <w:t>-</w:t>
      </w:r>
      <w:r w:rsidRPr="007F04EF">
        <w:rPr>
          <w:lang w:val="en-GB"/>
        </w:rPr>
        <w:t xml:space="preserve">users regularly participate in refresher </w:t>
      </w:r>
      <w:r w:rsidR="00E70C65" w:rsidRPr="007F04EF">
        <w:rPr>
          <w:lang w:val="en-GB"/>
        </w:rPr>
        <w:t>courses</w:t>
      </w:r>
      <w:r w:rsidRPr="007F04EF">
        <w:rPr>
          <w:lang w:val="en-GB"/>
        </w:rPr>
        <w:t>,</w:t>
      </w:r>
      <w:r w:rsidR="00E70C65" w:rsidRPr="007F04EF">
        <w:rPr>
          <w:lang w:val="en-GB"/>
        </w:rPr>
        <w:t xml:space="preserve"> </w:t>
      </w:r>
      <w:r w:rsidR="005B1DBC" w:rsidRPr="007F04EF">
        <w:rPr>
          <w:lang w:val="en-GB"/>
        </w:rPr>
        <w:t xml:space="preserve">to familiarise themselves with new developments in this </w:t>
      </w:r>
      <w:proofErr w:type="gramStart"/>
      <w:r w:rsidR="005B1DBC" w:rsidRPr="007F04EF">
        <w:rPr>
          <w:lang w:val="en-GB"/>
        </w:rPr>
        <w:t xml:space="preserve">particular </w:t>
      </w:r>
      <w:r w:rsidR="00FC743E" w:rsidRPr="007F04EF">
        <w:rPr>
          <w:lang w:val="en-GB"/>
        </w:rPr>
        <w:t>area</w:t>
      </w:r>
      <w:proofErr w:type="gramEnd"/>
      <w:r w:rsidR="00FC743E" w:rsidRPr="007F04EF">
        <w:rPr>
          <w:lang w:val="en-GB"/>
        </w:rPr>
        <w:t xml:space="preserve"> of </w:t>
      </w:r>
      <w:r w:rsidR="005B1DBC" w:rsidRPr="007F04EF">
        <w:rPr>
          <w:lang w:val="en-GB"/>
        </w:rPr>
        <w:t>expertise, and to</w:t>
      </w:r>
      <w:r w:rsidR="00FC743E" w:rsidRPr="007F04EF">
        <w:rPr>
          <w:lang w:val="en-GB"/>
        </w:rPr>
        <w:t xml:space="preserve"> augment their knowledge and skills</w:t>
      </w:r>
      <w:r w:rsidRPr="007F04EF">
        <w:rPr>
          <w:lang w:val="en-GB"/>
        </w:rPr>
        <w:t>.</w:t>
      </w:r>
    </w:p>
    <w:p w14:paraId="72A38A8D" w14:textId="77777777" w:rsidR="00944CBB" w:rsidRPr="007F04EF" w:rsidRDefault="00944CBB" w:rsidP="00BB242A">
      <w:pPr>
        <w:jc w:val="both"/>
        <w:rPr>
          <w:lang w:val="en-GB"/>
        </w:rPr>
      </w:pPr>
    </w:p>
    <w:p w14:paraId="3490B433" w14:textId="77777777" w:rsidR="00680653" w:rsidRPr="007F04EF" w:rsidRDefault="00507323" w:rsidP="00BB242A">
      <w:pPr>
        <w:jc w:val="both"/>
        <w:rPr>
          <w:lang w:val="en-GB"/>
        </w:rPr>
      </w:pPr>
      <w:r w:rsidRPr="007F04EF">
        <w:rPr>
          <w:lang w:val="en-GB"/>
        </w:rPr>
        <w:t>I</w:t>
      </w:r>
      <w:r w:rsidR="00DF5BB2" w:rsidRPr="007F04EF">
        <w:rPr>
          <w:lang w:val="en-GB"/>
        </w:rPr>
        <w:t xml:space="preserve">nspection </w:t>
      </w:r>
      <w:r w:rsidR="00FF0EBD" w:rsidRPr="007F04EF">
        <w:rPr>
          <w:lang w:val="en-GB"/>
        </w:rPr>
        <w:t>of PPP</w:t>
      </w:r>
      <w:r w:rsidRPr="007F04EF">
        <w:rPr>
          <w:lang w:val="en-GB"/>
        </w:rPr>
        <w:t>-</w:t>
      </w:r>
      <w:r w:rsidR="00DF5BB2" w:rsidRPr="007F04EF">
        <w:rPr>
          <w:lang w:val="en-GB"/>
        </w:rPr>
        <w:t xml:space="preserve">application </w:t>
      </w:r>
      <w:r w:rsidR="00FF0EBD" w:rsidRPr="007F04EF">
        <w:rPr>
          <w:lang w:val="en-GB"/>
        </w:rPr>
        <w:t>equipment</w:t>
      </w:r>
      <w:r w:rsidR="00DF5BB2" w:rsidRPr="007F04EF">
        <w:rPr>
          <w:lang w:val="en-GB"/>
        </w:rPr>
        <w:t xml:space="preserve"> has been </w:t>
      </w:r>
      <w:r w:rsidR="00680653" w:rsidRPr="007F04EF">
        <w:rPr>
          <w:lang w:val="en-GB"/>
        </w:rPr>
        <w:t xml:space="preserve">in place during </w:t>
      </w:r>
      <w:r w:rsidR="00DF5BB2" w:rsidRPr="007F04EF">
        <w:rPr>
          <w:lang w:val="en-GB"/>
        </w:rPr>
        <w:t>the same</w:t>
      </w:r>
      <w:r w:rsidR="00680653" w:rsidRPr="007F04EF">
        <w:rPr>
          <w:lang w:val="en-GB"/>
        </w:rPr>
        <w:t xml:space="preserve"> period.</w:t>
      </w:r>
    </w:p>
    <w:p w14:paraId="60665CFA" w14:textId="77777777" w:rsidR="00680653" w:rsidRPr="007F04EF" w:rsidRDefault="00680653" w:rsidP="00BB242A">
      <w:pPr>
        <w:jc w:val="both"/>
        <w:rPr>
          <w:lang w:val="en-GB"/>
        </w:rPr>
      </w:pPr>
    </w:p>
    <w:p w14:paraId="430C732F" w14:textId="77777777" w:rsidR="00680653" w:rsidRPr="007F04EF" w:rsidRDefault="00680653" w:rsidP="00BB242A">
      <w:pPr>
        <w:jc w:val="both"/>
        <w:rPr>
          <w:lang w:val="en-GB"/>
        </w:rPr>
      </w:pPr>
      <w:r w:rsidRPr="007F04EF">
        <w:rPr>
          <w:lang w:val="en-GB"/>
        </w:rPr>
        <w:t xml:space="preserve">It can be affirmed </w:t>
      </w:r>
      <w:r w:rsidR="00DF5BB2" w:rsidRPr="007F04EF">
        <w:rPr>
          <w:lang w:val="en-GB"/>
        </w:rPr>
        <w:t xml:space="preserve">that all </w:t>
      </w:r>
      <w:r w:rsidRPr="007F04EF">
        <w:rPr>
          <w:lang w:val="en-GB"/>
        </w:rPr>
        <w:t>PPP-</w:t>
      </w:r>
      <w:r w:rsidR="00FF0EBD" w:rsidRPr="007F04EF">
        <w:rPr>
          <w:lang w:val="en-GB"/>
        </w:rPr>
        <w:t>application equipment</w:t>
      </w:r>
      <w:r w:rsidR="00DF5BB2" w:rsidRPr="007F04EF">
        <w:rPr>
          <w:lang w:val="en-GB"/>
        </w:rPr>
        <w:t xml:space="preserve"> in use </w:t>
      </w:r>
      <w:r w:rsidR="00182A1C" w:rsidRPr="007F04EF">
        <w:rPr>
          <w:lang w:val="en-GB"/>
        </w:rPr>
        <w:t>is</w:t>
      </w:r>
      <w:r w:rsidR="00DF5BB2" w:rsidRPr="007F04EF">
        <w:rPr>
          <w:lang w:val="en-GB"/>
        </w:rPr>
        <w:t xml:space="preserve"> included in the </w:t>
      </w:r>
      <w:r w:rsidRPr="007F04EF">
        <w:rPr>
          <w:lang w:val="en-GB"/>
        </w:rPr>
        <w:t xml:space="preserve">inspection </w:t>
      </w:r>
      <w:r w:rsidR="00DF5BB2" w:rsidRPr="007F04EF">
        <w:rPr>
          <w:lang w:val="en-GB"/>
        </w:rPr>
        <w:t>system</w:t>
      </w:r>
      <w:r w:rsidRPr="007F04EF">
        <w:rPr>
          <w:lang w:val="en-GB"/>
        </w:rPr>
        <w:t xml:space="preserve"> with relevant </w:t>
      </w:r>
      <w:r w:rsidR="00DF5BB2" w:rsidRPr="007F04EF">
        <w:rPr>
          <w:lang w:val="en-GB"/>
        </w:rPr>
        <w:t>certificate</w:t>
      </w:r>
      <w:r w:rsidRPr="007F04EF">
        <w:rPr>
          <w:lang w:val="en-GB"/>
        </w:rPr>
        <w:t xml:space="preserve">-granting system. </w:t>
      </w:r>
    </w:p>
    <w:p w14:paraId="088A3AB3" w14:textId="77777777" w:rsidR="00680653" w:rsidRPr="007F04EF" w:rsidRDefault="00680653" w:rsidP="00BB242A">
      <w:pPr>
        <w:jc w:val="both"/>
        <w:rPr>
          <w:lang w:val="en-GB"/>
        </w:rPr>
      </w:pPr>
    </w:p>
    <w:p w14:paraId="5381E7BA" w14:textId="3BF50B71" w:rsidR="00DF5BB2" w:rsidRPr="007F04EF" w:rsidRDefault="00680653" w:rsidP="00BB242A">
      <w:pPr>
        <w:jc w:val="both"/>
        <w:rPr>
          <w:lang w:val="en-GB"/>
        </w:rPr>
      </w:pPr>
      <w:r w:rsidRPr="007F04EF">
        <w:rPr>
          <w:lang w:val="en-GB"/>
        </w:rPr>
        <w:t xml:space="preserve">On </w:t>
      </w:r>
      <w:r w:rsidR="00DF5BB2" w:rsidRPr="007F04EF">
        <w:rPr>
          <w:lang w:val="en-GB"/>
        </w:rPr>
        <w:t>introduction of</w:t>
      </w:r>
      <w:r w:rsidR="00FF0EBD" w:rsidRPr="007F04EF">
        <w:rPr>
          <w:lang w:val="en-GB"/>
        </w:rPr>
        <w:t xml:space="preserve"> mandatory</w:t>
      </w:r>
      <w:r w:rsidRPr="007F04EF">
        <w:rPr>
          <w:lang w:val="en-GB"/>
        </w:rPr>
        <w:t xml:space="preserve"> </w:t>
      </w:r>
      <w:r w:rsidR="00FF0EBD" w:rsidRPr="007F04EF">
        <w:rPr>
          <w:lang w:val="en-GB"/>
        </w:rPr>
        <w:t>PPP</w:t>
      </w:r>
      <w:r w:rsidRPr="007F04EF">
        <w:rPr>
          <w:lang w:val="en-GB"/>
        </w:rPr>
        <w:t>-</w:t>
      </w:r>
      <w:r w:rsidR="00DF5BB2" w:rsidRPr="007F04EF">
        <w:rPr>
          <w:lang w:val="en-GB"/>
        </w:rPr>
        <w:t>application</w:t>
      </w:r>
      <w:r w:rsidR="00FF0EBD" w:rsidRPr="007F04EF">
        <w:rPr>
          <w:lang w:val="en-GB"/>
        </w:rPr>
        <w:t xml:space="preserve"> equipment</w:t>
      </w:r>
      <w:r w:rsidRPr="007F04EF">
        <w:rPr>
          <w:lang w:val="en-GB"/>
        </w:rPr>
        <w:t xml:space="preserve"> inspections</w:t>
      </w:r>
      <w:r w:rsidR="00DF5BB2" w:rsidRPr="007F04EF">
        <w:rPr>
          <w:lang w:val="en-GB"/>
        </w:rPr>
        <w:t>, technical integrity of</w:t>
      </w:r>
      <w:r w:rsidRPr="007F04EF">
        <w:rPr>
          <w:lang w:val="en-GB"/>
        </w:rPr>
        <w:t xml:space="preserve"> PPP-</w:t>
      </w:r>
      <w:r w:rsidR="00FF0EBD" w:rsidRPr="007F04EF">
        <w:rPr>
          <w:lang w:val="en-GB"/>
        </w:rPr>
        <w:t>application equipment</w:t>
      </w:r>
      <w:r w:rsidR="00DF5BB2" w:rsidRPr="007F04EF">
        <w:rPr>
          <w:lang w:val="en-GB"/>
        </w:rPr>
        <w:t xml:space="preserve"> sub</w:t>
      </w:r>
      <w:r w:rsidRPr="007F04EF">
        <w:rPr>
          <w:lang w:val="en-GB"/>
        </w:rPr>
        <w:t>ject</w:t>
      </w:r>
      <w:r w:rsidR="00DF5BB2" w:rsidRPr="007F04EF">
        <w:rPr>
          <w:lang w:val="en-GB"/>
        </w:rPr>
        <w:t>ed</w:t>
      </w:r>
      <w:r w:rsidRPr="007F04EF">
        <w:rPr>
          <w:lang w:val="en-GB"/>
        </w:rPr>
        <w:t xml:space="preserve"> to </w:t>
      </w:r>
      <w:r w:rsidR="00DF5BB2" w:rsidRPr="007F04EF">
        <w:rPr>
          <w:lang w:val="en-GB"/>
        </w:rPr>
        <w:t>inspection</w:t>
      </w:r>
      <w:r w:rsidRPr="007F04EF">
        <w:rPr>
          <w:lang w:val="en-GB"/>
        </w:rPr>
        <w:t>s immediately improved</w:t>
      </w:r>
      <w:r w:rsidR="00DF5BB2" w:rsidRPr="007F04EF">
        <w:rPr>
          <w:lang w:val="en-GB"/>
        </w:rPr>
        <w:t>.</w:t>
      </w:r>
      <w:r w:rsidR="00CA03AE" w:rsidRPr="007F04EF">
        <w:rPr>
          <w:lang w:val="en-GB"/>
        </w:rPr>
        <w:t xml:space="preserve"> </w:t>
      </w:r>
      <w:r w:rsidRPr="007F04EF">
        <w:rPr>
          <w:lang w:val="en-GB"/>
        </w:rPr>
        <w:t>D</w:t>
      </w:r>
      <w:r w:rsidR="00DF5BB2" w:rsidRPr="007F04EF">
        <w:rPr>
          <w:lang w:val="en-GB"/>
        </w:rPr>
        <w:t>evices</w:t>
      </w:r>
      <w:r w:rsidRPr="007F04EF">
        <w:rPr>
          <w:lang w:val="en-GB"/>
        </w:rPr>
        <w:t xml:space="preserve"> requiring repair shall </w:t>
      </w:r>
      <w:r w:rsidR="00FF0EBD" w:rsidRPr="007F04EF">
        <w:rPr>
          <w:lang w:val="en-GB"/>
        </w:rPr>
        <w:t xml:space="preserve">first be </w:t>
      </w:r>
      <w:r w:rsidR="00DF5BB2" w:rsidRPr="007F04EF">
        <w:rPr>
          <w:lang w:val="en-GB"/>
        </w:rPr>
        <w:t>repaired</w:t>
      </w:r>
      <w:r w:rsidRPr="007F04EF">
        <w:rPr>
          <w:lang w:val="en-GB"/>
        </w:rPr>
        <w:t xml:space="preserve"> </w:t>
      </w:r>
      <w:proofErr w:type="gramStart"/>
      <w:r w:rsidRPr="007F04EF">
        <w:rPr>
          <w:lang w:val="en-GB"/>
        </w:rPr>
        <w:t>in order to</w:t>
      </w:r>
      <w:proofErr w:type="gramEnd"/>
      <w:r w:rsidRPr="007F04EF">
        <w:rPr>
          <w:lang w:val="en-GB"/>
        </w:rPr>
        <w:t xml:space="preserve"> be eligible for granting a </w:t>
      </w:r>
      <w:r w:rsidR="00DF5BB2" w:rsidRPr="007F04EF">
        <w:rPr>
          <w:lang w:val="en-GB"/>
        </w:rPr>
        <w:t>certificate</w:t>
      </w:r>
      <w:r w:rsidRPr="007F04EF">
        <w:rPr>
          <w:lang w:val="en-GB"/>
        </w:rPr>
        <w:t xml:space="preserve"> </w:t>
      </w:r>
      <w:r w:rsidR="00DF5BB2" w:rsidRPr="007F04EF">
        <w:rPr>
          <w:lang w:val="en-GB"/>
        </w:rPr>
        <w:t>a</w:t>
      </w:r>
      <w:r w:rsidR="00FF0EBD" w:rsidRPr="007F04EF">
        <w:rPr>
          <w:lang w:val="en-GB"/>
        </w:rPr>
        <w:t>t</w:t>
      </w:r>
      <w:r w:rsidRPr="007F04EF">
        <w:rPr>
          <w:lang w:val="en-GB"/>
        </w:rPr>
        <w:t xml:space="preserve"> </w:t>
      </w:r>
      <w:r w:rsidR="00DF5BB2" w:rsidRPr="007F04EF">
        <w:rPr>
          <w:lang w:val="en-GB"/>
        </w:rPr>
        <w:t xml:space="preserve">second inspection. </w:t>
      </w:r>
      <w:r w:rsidRPr="007F04EF">
        <w:rPr>
          <w:lang w:val="en-GB"/>
        </w:rPr>
        <w:t xml:space="preserve">In general, inspection of PPP-application </w:t>
      </w:r>
      <w:r w:rsidR="00FF0EBD" w:rsidRPr="007F04EF">
        <w:rPr>
          <w:lang w:val="en-GB"/>
        </w:rPr>
        <w:t>equipment</w:t>
      </w:r>
      <w:r w:rsidRPr="007F04EF">
        <w:rPr>
          <w:lang w:val="en-GB"/>
        </w:rPr>
        <w:t xml:space="preserve"> has positively </w:t>
      </w:r>
      <w:r w:rsidR="00DF5BB2" w:rsidRPr="007F04EF">
        <w:rPr>
          <w:lang w:val="en-GB"/>
        </w:rPr>
        <w:t>impact</w:t>
      </w:r>
      <w:r w:rsidRPr="007F04EF">
        <w:rPr>
          <w:lang w:val="en-GB"/>
        </w:rPr>
        <w:t xml:space="preserve">ed the </w:t>
      </w:r>
      <w:r w:rsidR="00DF5BB2" w:rsidRPr="007F04EF">
        <w:rPr>
          <w:lang w:val="en-GB"/>
        </w:rPr>
        <w:t xml:space="preserve">overall quality of </w:t>
      </w:r>
      <w:r w:rsidRPr="007F04EF">
        <w:rPr>
          <w:lang w:val="en-GB"/>
        </w:rPr>
        <w:t xml:space="preserve">such </w:t>
      </w:r>
      <w:r w:rsidR="00DF5BB2" w:rsidRPr="007F04EF">
        <w:rPr>
          <w:lang w:val="en-GB"/>
        </w:rPr>
        <w:t>devices</w:t>
      </w:r>
      <w:r w:rsidR="00FF0EBD" w:rsidRPr="007F04EF">
        <w:rPr>
          <w:lang w:val="en-GB"/>
        </w:rPr>
        <w:t>.</w:t>
      </w:r>
    </w:p>
    <w:p w14:paraId="3D0E7A35" w14:textId="77777777" w:rsidR="00944CBB" w:rsidRPr="007F04EF" w:rsidRDefault="00944CBB" w:rsidP="00BB242A">
      <w:pPr>
        <w:jc w:val="both"/>
        <w:rPr>
          <w:lang w:val="en-GB"/>
        </w:rPr>
      </w:pPr>
    </w:p>
    <w:p w14:paraId="7A5D6402" w14:textId="2F912773" w:rsidR="007B651A" w:rsidRPr="00F92624" w:rsidRDefault="00680653" w:rsidP="00BB242A">
      <w:pPr>
        <w:jc w:val="both"/>
        <w:rPr>
          <w:lang w:val="en-GB"/>
        </w:rPr>
      </w:pPr>
      <w:r w:rsidRPr="007F04EF">
        <w:rPr>
          <w:lang w:val="en-GB"/>
        </w:rPr>
        <w:t>It can b</w:t>
      </w:r>
      <w:r w:rsidR="00FF0EBD" w:rsidRPr="007F04EF">
        <w:rPr>
          <w:lang w:val="en-GB"/>
        </w:rPr>
        <w:t>e</w:t>
      </w:r>
      <w:r w:rsidRPr="007F04EF">
        <w:rPr>
          <w:lang w:val="en-GB"/>
        </w:rPr>
        <w:t xml:space="preserve"> affirmed </w:t>
      </w:r>
      <w:r w:rsidR="00FF0EBD" w:rsidRPr="007F04EF">
        <w:rPr>
          <w:lang w:val="en-GB"/>
        </w:rPr>
        <w:t>that all PPP</w:t>
      </w:r>
      <w:r w:rsidRPr="007F04EF">
        <w:rPr>
          <w:lang w:val="en-GB"/>
        </w:rPr>
        <w:t>-</w:t>
      </w:r>
      <w:r w:rsidR="00FF0EBD" w:rsidRPr="007F04EF">
        <w:rPr>
          <w:lang w:val="en-GB"/>
        </w:rPr>
        <w:t xml:space="preserve">users </w:t>
      </w:r>
      <w:r w:rsidRPr="007F04EF">
        <w:rPr>
          <w:lang w:val="en-GB"/>
        </w:rPr>
        <w:t xml:space="preserve">are </w:t>
      </w:r>
      <w:r w:rsidR="00FF0EBD" w:rsidRPr="007F04EF">
        <w:rPr>
          <w:lang w:val="en-GB"/>
        </w:rPr>
        <w:t xml:space="preserve">regularly </w:t>
      </w:r>
      <w:r w:rsidRPr="007F04EF">
        <w:rPr>
          <w:lang w:val="en-GB"/>
        </w:rPr>
        <w:t xml:space="preserve">making </w:t>
      </w:r>
      <w:r w:rsidR="00FF0EBD" w:rsidRPr="007F04EF">
        <w:rPr>
          <w:lang w:val="en-GB"/>
        </w:rPr>
        <w:t>use</w:t>
      </w:r>
      <w:r w:rsidRPr="007F04EF">
        <w:rPr>
          <w:lang w:val="en-GB"/>
        </w:rPr>
        <w:t xml:space="preserve"> of the </w:t>
      </w:r>
      <w:r w:rsidR="00FF0EBD" w:rsidRPr="007F04EF">
        <w:rPr>
          <w:lang w:val="en-GB"/>
        </w:rPr>
        <w:t>advice and information</w:t>
      </w:r>
      <w:r w:rsidRPr="007F04EF">
        <w:rPr>
          <w:lang w:val="en-GB"/>
        </w:rPr>
        <w:t xml:space="preserve"> provided by </w:t>
      </w:r>
      <w:r w:rsidR="00FF0EBD" w:rsidRPr="007F04EF">
        <w:rPr>
          <w:lang w:val="en-GB"/>
        </w:rPr>
        <w:t xml:space="preserve">the Public Agricultural </w:t>
      </w:r>
      <w:r w:rsidRPr="007F04EF">
        <w:rPr>
          <w:lang w:val="en-GB"/>
        </w:rPr>
        <w:t xml:space="preserve">Extension </w:t>
      </w:r>
      <w:r w:rsidR="00FF0EBD" w:rsidRPr="007F04EF">
        <w:rPr>
          <w:lang w:val="en-GB"/>
        </w:rPr>
        <w:t xml:space="preserve">Service and Public Plant Health Service. </w:t>
      </w:r>
      <w:r w:rsidRPr="007F04EF">
        <w:rPr>
          <w:lang w:val="en-GB"/>
        </w:rPr>
        <w:t xml:space="preserve">These </w:t>
      </w:r>
      <w:r w:rsidR="00FF0EBD" w:rsidRPr="007F04EF">
        <w:rPr>
          <w:lang w:val="en-GB"/>
        </w:rPr>
        <w:t>services are</w:t>
      </w:r>
      <w:r w:rsidR="00416018" w:rsidRPr="007F04EF">
        <w:rPr>
          <w:lang w:val="en-GB"/>
        </w:rPr>
        <w:t xml:space="preserve"> well-established in the long-standing </w:t>
      </w:r>
      <w:r w:rsidR="00FF0EBD" w:rsidRPr="007F04EF">
        <w:rPr>
          <w:lang w:val="en-GB"/>
        </w:rPr>
        <w:t>practice</w:t>
      </w:r>
      <w:r w:rsidR="00416018" w:rsidRPr="007F04EF">
        <w:rPr>
          <w:lang w:val="en-GB"/>
        </w:rPr>
        <w:t xml:space="preserve"> in their respective areas of expertise, as they </w:t>
      </w:r>
      <w:r w:rsidR="00FF0EBD" w:rsidRPr="007F04EF">
        <w:rPr>
          <w:lang w:val="en-GB"/>
        </w:rPr>
        <w:t xml:space="preserve">have been </w:t>
      </w:r>
      <w:r w:rsidR="00416018" w:rsidRPr="007F04EF">
        <w:rPr>
          <w:lang w:val="en-GB"/>
        </w:rPr>
        <w:t xml:space="preserve">providing useful advice </w:t>
      </w:r>
      <w:r w:rsidR="00FF0EBD" w:rsidRPr="007F04EF">
        <w:rPr>
          <w:lang w:val="en-GB"/>
        </w:rPr>
        <w:t xml:space="preserve">and </w:t>
      </w:r>
      <w:r w:rsidR="00416018" w:rsidRPr="007F04EF">
        <w:rPr>
          <w:lang w:val="en-GB"/>
        </w:rPr>
        <w:t xml:space="preserve">conducting for </w:t>
      </w:r>
      <w:proofErr w:type="gramStart"/>
      <w:r w:rsidR="00416018" w:rsidRPr="007F04EF">
        <w:rPr>
          <w:lang w:val="en-GB"/>
        </w:rPr>
        <w:t>a number of</w:t>
      </w:r>
      <w:proofErr w:type="gramEnd"/>
      <w:r w:rsidR="00416018" w:rsidRPr="007F04EF">
        <w:rPr>
          <w:lang w:val="en-GB"/>
        </w:rPr>
        <w:t xml:space="preserve"> years</w:t>
      </w:r>
      <w:r w:rsidR="007E0E78" w:rsidRPr="007F04EF">
        <w:rPr>
          <w:lang w:val="en-GB"/>
        </w:rPr>
        <w:t>.</w:t>
      </w:r>
      <w:r w:rsidR="00416018" w:rsidRPr="007F04EF">
        <w:rPr>
          <w:lang w:val="en-GB"/>
        </w:rPr>
        <w:t xml:space="preserve"> Information is made easi</w:t>
      </w:r>
      <w:r w:rsidR="00FF0EBD" w:rsidRPr="007F04EF">
        <w:rPr>
          <w:lang w:val="en-GB"/>
        </w:rPr>
        <w:t>ly accessible</w:t>
      </w:r>
      <w:r w:rsidR="00416018" w:rsidRPr="007F04EF">
        <w:rPr>
          <w:lang w:val="en-GB"/>
        </w:rPr>
        <w:t xml:space="preserve"> to g</w:t>
      </w:r>
      <w:r w:rsidR="00FF0EBD" w:rsidRPr="007F04EF">
        <w:rPr>
          <w:lang w:val="en-GB"/>
        </w:rPr>
        <w:t>rowers</w:t>
      </w:r>
      <w:r w:rsidR="00416018" w:rsidRPr="007F04EF">
        <w:rPr>
          <w:lang w:val="en-GB"/>
        </w:rPr>
        <w:t xml:space="preserve">, who regularly </w:t>
      </w:r>
      <w:r w:rsidR="007E0E78" w:rsidRPr="007F04EF">
        <w:rPr>
          <w:lang w:val="en-GB"/>
        </w:rPr>
        <w:t xml:space="preserve">apply </w:t>
      </w:r>
      <w:r w:rsidR="00FF0EBD" w:rsidRPr="007F04EF">
        <w:rPr>
          <w:lang w:val="en-GB"/>
        </w:rPr>
        <w:t xml:space="preserve">the </w:t>
      </w:r>
      <w:r w:rsidR="00416018" w:rsidRPr="007F04EF">
        <w:rPr>
          <w:lang w:val="en-GB"/>
        </w:rPr>
        <w:t xml:space="preserve">essential IPM </w:t>
      </w:r>
      <w:r w:rsidR="00FF0EBD" w:rsidRPr="007F04EF">
        <w:rPr>
          <w:lang w:val="en-GB"/>
        </w:rPr>
        <w:t>principles.</w:t>
      </w:r>
      <w:r w:rsidR="007F04EF" w:rsidRPr="007F04EF">
        <w:rPr>
          <w:lang w:val="en-GB"/>
        </w:rPr>
        <w:t xml:space="preserve"> </w:t>
      </w:r>
      <w:r w:rsidR="007E0E78" w:rsidRPr="007F04EF">
        <w:rPr>
          <w:lang w:val="en-GB"/>
        </w:rPr>
        <w:t>The downward trend in PPP</w:t>
      </w:r>
      <w:r w:rsidR="00416018" w:rsidRPr="007F04EF">
        <w:rPr>
          <w:lang w:val="en-GB"/>
        </w:rPr>
        <w:t>-</w:t>
      </w:r>
      <w:r w:rsidR="007E0E78" w:rsidRPr="007F04EF">
        <w:rPr>
          <w:lang w:val="en-GB"/>
        </w:rPr>
        <w:t>sales, dec</w:t>
      </w:r>
      <w:r w:rsidR="00CA03AE" w:rsidRPr="007F04EF">
        <w:rPr>
          <w:lang w:val="en-GB"/>
        </w:rPr>
        <w:t xml:space="preserve">reasing </w:t>
      </w:r>
      <w:r w:rsidR="007E0E78" w:rsidRPr="007F04EF">
        <w:rPr>
          <w:lang w:val="en-GB"/>
        </w:rPr>
        <w:t>number</w:t>
      </w:r>
      <w:r w:rsidR="00416018" w:rsidRPr="007F04EF">
        <w:rPr>
          <w:lang w:val="en-GB"/>
        </w:rPr>
        <w:t xml:space="preserve">s </w:t>
      </w:r>
      <w:r w:rsidR="007E0E78" w:rsidRPr="007F04EF">
        <w:rPr>
          <w:lang w:val="en-GB"/>
        </w:rPr>
        <w:t>of PPP</w:t>
      </w:r>
      <w:r w:rsidR="00416018" w:rsidRPr="007F04EF">
        <w:rPr>
          <w:lang w:val="en-GB"/>
        </w:rPr>
        <w:t>-</w:t>
      </w:r>
      <w:r w:rsidR="007E0E78" w:rsidRPr="007F04EF">
        <w:rPr>
          <w:lang w:val="en-GB"/>
        </w:rPr>
        <w:t>application equipment</w:t>
      </w:r>
      <w:r w:rsidR="00416018" w:rsidRPr="007F04EF">
        <w:rPr>
          <w:lang w:val="en-GB"/>
        </w:rPr>
        <w:t xml:space="preserve">, </w:t>
      </w:r>
      <w:r w:rsidR="007E0E78" w:rsidRPr="007F04EF">
        <w:rPr>
          <w:lang w:val="en-GB"/>
        </w:rPr>
        <w:t xml:space="preserve">and </w:t>
      </w:r>
      <w:r w:rsidR="00CA03AE" w:rsidRPr="007F04EF">
        <w:rPr>
          <w:lang w:val="en-GB"/>
        </w:rPr>
        <w:t xml:space="preserve">decreasing numbers </w:t>
      </w:r>
      <w:r w:rsidR="007E0E78" w:rsidRPr="007F04EF">
        <w:rPr>
          <w:lang w:val="en-GB"/>
        </w:rPr>
        <w:t xml:space="preserve">of valid training certificates </w:t>
      </w:r>
      <w:r w:rsidR="00CA03AE" w:rsidRPr="007F04EF">
        <w:rPr>
          <w:lang w:val="en-GB"/>
        </w:rPr>
        <w:t xml:space="preserve">require close </w:t>
      </w:r>
      <w:r w:rsidR="007E0E78" w:rsidRPr="007F04EF">
        <w:rPr>
          <w:lang w:val="en-GB"/>
        </w:rPr>
        <w:t>monitor</w:t>
      </w:r>
      <w:r w:rsidR="00CA03AE" w:rsidRPr="007F04EF">
        <w:rPr>
          <w:lang w:val="en-GB"/>
        </w:rPr>
        <w:t xml:space="preserve">ing, as they may </w:t>
      </w:r>
      <w:r w:rsidR="00416018" w:rsidRPr="007F04EF">
        <w:rPr>
          <w:lang w:val="en-GB"/>
        </w:rPr>
        <w:t xml:space="preserve">imply </w:t>
      </w:r>
      <w:r w:rsidR="007E0E78" w:rsidRPr="007F04EF">
        <w:rPr>
          <w:lang w:val="en-GB"/>
        </w:rPr>
        <w:t>that the number of growers in intensive agricultural production is decreasing in</w:t>
      </w:r>
      <w:r w:rsidR="00416018" w:rsidRPr="007F04EF">
        <w:rPr>
          <w:lang w:val="en-GB"/>
        </w:rPr>
        <w:t xml:space="preserve"> </w:t>
      </w:r>
      <w:r w:rsidR="007E0E78" w:rsidRPr="007F04EF">
        <w:rPr>
          <w:lang w:val="en-GB"/>
        </w:rPr>
        <w:t>Slovenia.</w:t>
      </w:r>
      <w:r w:rsidR="007F04EF" w:rsidRPr="007F04EF">
        <w:rPr>
          <w:lang w:val="en-GB"/>
        </w:rPr>
        <w:t xml:space="preserve"> </w:t>
      </w:r>
      <w:r w:rsidR="00CA03AE" w:rsidRPr="007F04EF">
        <w:rPr>
          <w:lang w:val="en-GB"/>
        </w:rPr>
        <w:t>N</w:t>
      </w:r>
      <w:r w:rsidR="00B52B35" w:rsidRPr="007F04EF">
        <w:rPr>
          <w:lang w:val="en-GB"/>
        </w:rPr>
        <w:t>umber</w:t>
      </w:r>
      <w:r w:rsidR="00CA03AE" w:rsidRPr="007F04EF">
        <w:rPr>
          <w:lang w:val="en-GB"/>
        </w:rPr>
        <w:t xml:space="preserve">s </w:t>
      </w:r>
      <w:r w:rsidR="00B52B35" w:rsidRPr="007F04EF">
        <w:rPr>
          <w:lang w:val="en-GB"/>
        </w:rPr>
        <w:t xml:space="preserve">of producers in intensive agricultural production may </w:t>
      </w:r>
      <w:r w:rsidR="00CA03AE" w:rsidRPr="007F04EF">
        <w:rPr>
          <w:lang w:val="en-GB"/>
        </w:rPr>
        <w:t xml:space="preserve">decrease as well, </w:t>
      </w:r>
      <w:r w:rsidR="00B52B35" w:rsidRPr="007F04EF">
        <w:rPr>
          <w:lang w:val="en-GB"/>
        </w:rPr>
        <w:t>due to a possible increase in the number of producers in organic production. It should be borne in mind that Slovenia is not self-sufficient in food production and is heavily dependent on food imports, except for milk and meat production.</w:t>
      </w:r>
    </w:p>
    <w:sectPr w:rsidR="007B651A" w:rsidRPr="00F92624" w:rsidSect="00B76866">
      <w:footerReference w:type="default" r:id="rId18"/>
      <w:headerReference w:type="first" r:id="rId19"/>
      <w:footnotePr>
        <w:pos w:val="beneathText"/>
      </w:footnotePr>
      <w:pgSz w:w="11906" w:h="16838"/>
      <w:pgMar w:top="1440" w:right="170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0876" w14:textId="77777777" w:rsidR="008150B5" w:rsidRDefault="008150B5" w:rsidP="009B6EF4">
      <w:r>
        <w:separator/>
      </w:r>
    </w:p>
  </w:endnote>
  <w:endnote w:type="continuationSeparator" w:id="0">
    <w:p w14:paraId="6D751876" w14:textId="77777777" w:rsidR="008150B5" w:rsidRDefault="008150B5" w:rsidP="009B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49417"/>
      <w:docPartObj>
        <w:docPartGallery w:val="Page Numbers (Bottom of Page)"/>
        <w:docPartUnique/>
      </w:docPartObj>
    </w:sdtPr>
    <w:sdtEndPr/>
    <w:sdtContent>
      <w:p w14:paraId="56807BC8" w14:textId="77777777" w:rsidR="00960783" w:rsidRDefault="00960783">
        <w:pPr>
          <w:pStyle w:val="Noga"/>
          <w:jc w:val="center"/>
        </w:pPr>
        <w:r>
          <w:fldChar w:fldCharType="begin"/>
        </w:r>
        <w:r>
          <w:instrText>PAGE   \* MERGEFORMAT</w:instrText>
        </w:r>
        <w:r>
          <w:fldChar w:fldCharType="separate"/>
        </w:r>
        <w:r w:rsidR="009A7FD0" w:rsidRPr="009A7FD0">
          <w:rPr>
            <w:noProof/>
          </w:rPr>
          <w:t>1</w:t>
        </w:r>
        <w:r w:rsidR="009A7FD0" w:rsidRPr="009A7FD0">
          <w:rPr>
            <w:noProof/>
          </w:rPr>
          <w:t>9</w:t>
        </w:r>
        <w:r>
          <w:fldChar w:fldCharType="end"/>
        </w:r>
      </w:p>
    </w:sdtContent>
  </w:sdt>
  <w:p w14:paraId="1A1985D8" w14:textId="77777777" w:rsidR="00960783" w:rsidRDefault="009607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F70F" w14:textId="77777777" w:rsidR="008150B5" w:rsidRDefault="008150B5" w:rsidP="009B6EF4">
      <w:r>
        <w:separator/>
      </w:r>
    </w:p>
  </w:footnote>
  <w:footnote w:type="continuationSeparator" w:id="0">
    <w:p w14:paraId="7DE383B8" w14:textId="77777777" w:rsidR="008150B5" w:rsidRDefault="008150B5" w:rsidP="009B6EF4">
      <w:r>
        <w:continuationSeparator/>
      </w:r>
    </w:p>
  </w:footnote>
  <w:footnote w:id="1">
    <w:p w14:paraId="6E945203" w14:textId="2DA02233" w:rsidR="00C46565" w:rsidRPr="00C46565" w:rsidRDefault="00C46565">
      <w:pPr>
        <w:pStyle w:val="Sprotnaopomba-besedilo"/>
        <w:rPr>
          <w:sz w:val="16"/>
          <w:szCs w:val="16"/>
        </w:rPr>
      </w:pPr>
      <w:r w:rsidRPr="00C46565">
        <w:rPr>
          <w:rStyle w:val="Sprotnaopomba-sklic"/>
          <w:sz w:val="16"/>
          <w:szCs w:val="16"/>
        </w:rPr>
        <w:footnoteRef/>
      </w:r>
      <w:r w:rsidRPr="00C46565">
        <w:rPr>
          <w:sz w:val="16"/>
          <w:szCs w:val="16"/>
        </w:rPr>
        <w:t xml:space="preserve"> UL RS – </w:t>
      </w:r>
      <w:r w:rsidRPr="00C46565">
        <w:rPr>
          <w:i/>
          <w:iCs/>
          <w:sz w:val="16"/>
          <w:szCs w:val="16"/>
        </w:rPr>
        <w:t>Uradni list Republike Slovenije</w:t>
      </w:r>
      <w:r w:rsidRPr="00C46565">
        <w:rPr>
          <w:sz w:val="16"/>
          <w:szCs w:val="16"/>
        </w:rPr>
        <w:t xml:space="preserve"> – </w:t>
      </w:r>
      <w:r w:rsidRPr="00C46565">
        <w:rPr>
          <w:sz w:val="16"/>
          <w:szCs w:val="16"/>
          <w:lang w:val="en-GB"/>
        </w:rPr>
        <w:t>Official Gazette of the Republic of Slovenia</w:t>
      </w:r>
    </w:p>
  </w:footnote>
  <w:footnote w:id="2">
    <w:p w14:paraId="4CC7A972" w14:textId="731C1C6E" w:rsidR="00960783" w:rsidRPr="00535C80" w:rsidRDefault="00960783">
      <w:pPr>
        <w:pStyle w:val="Sprotnaopomba-besedilo"/>
        <w:rPr>
          <w:sz w:val="16"/>
          <w:szCs w:val="16"/>
        </w:rPr>
      </w:pPr>
      <w:r w:rsidRPr="00535C80">
        <w:rPr>
          <w:rStyle w:val="Sprotnaopomba-sklic"/>
          <w:sz w:val="16"/>
          <w:szCs w:val="16"/>
        </w:rPr>
        <w:footnoteRef/>
      </w:r>
      <w:r w:rsidRPr="00535C80">
        <w:rPr>
          <w:sz w:val="16"/>
          <w:szCs w:val="16"/>
        </w:rPr>
        <w:t xml:space="preserve"> </w:t>
      </w:r>
      <w:hyperlink r:id="rId1" w:history="1">
        <w:r w:rsidRPr="00535C80">
          <w:rPr>
            <w:rStyle w:val="Hiperpovezava"/>
            <w:sz w:val="16"/>
            <w:szCs w:val="16"/>
          </w:rPr>
          <w:t>http://www.uvhvvr.gov.si/si/delovna_podrocja/fitofarmacevtska_sredstva/nacionalni_akcijski_program/</w:t>
        </w:r>
      </w:hyperlink>
      <w:r w:rsidRPr="00535C80">
        <w:rPr>
          <w:sz w:val="16"/>
          <w:szCs w:val="16"/>
        </w:rPr>
        <w:t xml:space="preserve"> </w:t>
      </w:r>
    </w:p>
  </w:footnote>
  <w:footnote w:id="3">
    <w:p w14:paraId="77D2B028" w14:textId="77777777" w:rsidR="00960783" w:rsidRPr="00535C80" w:rsidRDefault="00960783" w:rsidP="00644B6B">
      <w:pPr>
        <w:spacing w:before="60" w:after="60"/>
        <w:contextualSpacing/>
        <w:rPr>
          <w:rFonts w:cs="Arial"/>
          <w:sz w:val="16"/>
          <w:szCs w:val="16"/>
        </w:rPr>
      </w:pPr>
      <w:r w:rsidRPr="00535C80">
        <w:rPr>
          <w:rStyle w:val="Sprotnaopomba-sklic"/>
          <w:sz w:val="16"/>
          <w:szCs w:val="16"/>
        </w:rPr>
        <w:footnoteRef/>
      </w:r>
      <w:r w:rsidRPr="00535C80">
        <w:rPr>
          <w:sz w:val="16"/>
          <w:szCs w:val="16"/>
        </w:rPr>
        <w:t xml:space="preserve"> </w:t>
      </w:r>
      <w:hyperlink r:id="rId2" w:history="1">
        <w:r w:rsidRPr="00535C80">
          <w:rPr>
            <w:rStyle w:val="Hiperpovezava"/>
            <w:rFonts w:cs="Arial"/>
            <w:sz w:val="16"/>
            <w:szCs w:val="16"/>
          </w:rPr>
          <w:t>https://ec.europa.eu/food/plant/pesticides/sustainable_use_pesticides_en</w:t>
        </w:r>
      </w:hyperlink>
      <w:r w:rsidRPr="00535C80">
        <w:rPr>
          <w:rFonts w:cs="Arial"/>
          <w:sz w:val="16"/>
          <w:szCs w:val="16"/>
        </w:rPr>
        <w:t xml:space="preserve"> </w:t>
      </w:r>
    </w:p>
    <w:p w14:paraId="31A5E89B" w14:textId="600A627C" w:rsidR="00960783" w:rsidRPr="00644B6B" w:rsidRDefault="00960783">
      <w:pPr>
        <w:pStyle w:val="Sprotnaopomba-besedilo"/>
      </w:pPr>
    </w:p>
  </w:footnote>
  <w:footnote w:id="4">
    <w:p w14:paraId="7BC1B633" w14:textId="7B7D3A90" w:rsidR="004861B9" w:rsidRPr="0057622A" w:rsidRDefault="004861B9" w:rsidP="00407E4F">
      <w:pPr>
        <w:pStyle w:val="Sprotnaopomba-besedilo"/>
        <w:ind w:left="142" w:hanging="142"/>
        <w:rPr>
          <w:lang w:val="en-GB"/>
        </w:rPr>
      </w:pPr>
      <w:r w:rsidRPr="0057622A">
        <w:rPr>
          <w:rStyle w:val="Sprotnaopomba-sklic"/>
          <w:lang w:val="en-GB"/>
        </w:rPr>
        <w:footnoteRef/>
      </w:r>
      <w:r w:rsidR="0033171C">
        <w:rPr>
          <w:lang w:val="en-GB"/>
        </w:rPr>
        <w:t xml:space="preserve"> </w:t>
      </w:r>
      <w:r w:rsidRPr="0057622A">
        <w:rPr>
          <w:lang w:val="en-GB"/>
        </w:rPr>
        <w:t>Regulation (EC) No 1185/2009 of the European Parliament and of the Council of 25 November 2009</w:t>
      </w:r>
      <w:r w:rsidR="0033171C">
        <w:rPr>
          <w:lang w:val="en-GB"/>
        </w:rPr>
        <w:t xml:space="preserve"> </w:t>
      </w:r>
      <w:r w:rsidRPr="0057622A">
        <w:rPr>
          <w:lang w:val="en-GB"/>
        </w:rPr>
        <w:t>concerning statistics on pesticides</w:t>
      </w:r>
    </w:p>
  </w:footnote>
  <w:footnote w:id="5">
    <w:p w14:paraId="77487FE0" w14:textId="31AF087D" w:rsidR="008722AE" w:rsidRDefault="008722AE" w:rsidP="00407E4F">
      <w:pPr>
        <w:pStyle w:val="Sprotnaopomba-besedilo"/>
        <w:ind w:left="142" w:hanging="142"/>
      </w:pPr>
      <w:r>
        <w:rPr>
          <w:rStyle w:val="Sprotnaopomba-sklic"/>
        </w:rPr>
        <w:footnoteRef/>
      </w:r>
      <w:r>
        <w:t xml:space="preserve"> </w:t>
      </w:r>
      <w:hyperlink r:id="rId3" w:history="1">
        <w:r w:rsidRPr="00457F8A">
          <w:rPr>
            <w:rStyle w:val="Hiperpovezava"/>
          </w:rPr>
          <w:t>https://pxweb.stat.si/SiStat/sl</w:t>
        </w:r>
      </w:hyperlink>
      <w:r>
        <w:t xml:space="preserve"> </w:t>
      </w:r>
    </w:p>
  </w:footnote>
  <w:footnote w:id="6">
    <w:p w14:paraId="0DBA3B6F" w14:textId="3EBFB63B" w:rsidR="008722AE" w:rsidRDefault="008722AE" w:rsidP="00407E4F">
      <w:pPr>
        <w:pStyle w:val="Sprotnaopomba-besedilo"/>
        <w:ind w:left="142" w:hanging="142"/>
      </w:pPr>
      <w:r>
        <w:rPr>
          <w:rStyle w:val="Sprotnaopomba-sklic"/>
        </w:rPr>
        <w:footnoteRef/>
      </w:r>
      <w:r>
        <w:t xml:space="preserve"> </w:t>
      </w:r>
      <w:hyperlink r:id="rId4" w:history="1">
        <w:r w:rsidRPr="00457F8A">
          <w:rPr>
            <w:rStyle w:val="Hiperpovezava"/>
          </w:rPr>
          <w:t>https://eur-lex.europa.eu/legal-content/EN/ALL/?uri=CELEX%3A32023R0564</w:t>
        </w:r>
      </w:hyperlink>
      <w:r>
        <w:t xml:space="preserve"> </w:t>
      </w:r>
    </w:p>
  </w:footnote>
  <w:footnote w:id="7">
    <w:p w14:paraId="24A03B8C" w14:textId="3B8C49BA" w:rsidR="00967DD3" w:rsidRDefault="00967DD3" w:rsidP="00407E4F">
      <w:pPr>
        <w:pStyle w:val="Sprotnaopomba-besedilo"/>
        <w:ind w:left="142" w:hanging="142"/>
      </w:pPr>
      <w:r>
        <w:rPr>
          <w:rStyle w:val="Sprotnaopomba-sklic"/>
        </w:rPr>
        <w:footnoteRef/>
      </w:r>
      <w:r>
        <w:t xml:space="preserve"> </w:t>
      </w:r>
      <w:hyperlink r:id="rId5" w:history="1">
        <w:r w:rsidRPr="00457F8A">
          <w:rPr>
            <w:rStyle w:val="Hiperpovezava"/>
          </w:rPr>
          <w:t>https://eur-lex.europa.eu/eli/reg/2022/2379/oj</w:t>
        </w:r>
      </w:hyperlink>
      <w:r>
        <w:t xml:space="preserve"> </w:t>
      </w:r>
    </w:p>
  </w:footnote>
  <w:footnote w:id="8">
    <w:p w14:paraId="2FB1F5FB" w14:textId="0089B249" w:rsidR="00D727BB" w:rsidRPr="0057622A" w:rsidRDefault="00D727BB" w:rsidP="00407E4F">
      <w:pPr>
        <w:pStyle w:val="Sprotnaopomba-besedilo"/>
        <w:ind w:left="142" w:hanging="142"/>
        <w:rPr>
          <w:lang w:val="en-GB"/>
        </w:rPr>
      </w:pPr>
      <w:r w:rsidRPr="0057622A">
        <w:rPr>
          <w:rStyle w:val="Sprotnaopomba-sklic"/>
          <w:lang w:val="en-GB"/>
        </w:rPr>
        <w:footnoteRef/>
      </w:r>
      <w:r w:rsidRPr="0057622A">
        <w:rPr>
          <w:lang w:val="en-GB"/>
        </w:rPr>
        <w:t xml:space="preserve"> </w:t>
      </w:r>
      <w:hyperlink r:id="rId6" w:history="1">
        <w:r w:rsidRPr="0057622A">
          <w:rPr>
            <w:rStyle w:val="Hiperpovezava"/>
            <w:lang w:val="en-GB"/>
          </w:rPr>
          <w:t>Risk indicators for monitoring progress in the reduction of risk and adverse impacts of plant protection products | GOV.SI</w:t>
        </w:r>
      </w:hyperlink>
    </w:p>
  </w:footnote>
  <w:footnote w:id="9">
    <w:p w14:paraId="2C8D0557" w14:textId="27FCF7DF" w:rsidR="000E6770" w:rsidRPr="00D84C79" w:rsidRDefault="000E6770">
      <w:pPr>
        <w:pStyle w:val="Sprotnaopomba-besedilo"/>
        <w:rPr>
          <w:lang w:val="en-GB"/>
        </w:rPr>
      </w:pPr>
      <w:r w:rsidRPr="00D84C79">
        <w:rPr>
          <w:rStyle w:val="Sprotnaopomba-sklic"/>
          <w:lang w:val="en-GB"/>
        </w:rPr>
        <w:footnoteRef/>
      </w:r>
      <w:r w:rsidRPr="00D84C79">
        <w:rPr>
          <w:lang w:val="en-GB"/>
        </w:rPr>
        <w:t xml:space="preserve"> </w:t>
      </w:r>
      <w:hyperlink r:id="rId7" w:history="1">
        <w:r w:rsidR="0027315A" w:rsidRPr="00457F8A">
          <w:rPr>
            <w:rStyle w:val="Hiperpovezava"/>
            <w:lang w:val="en-GB"/>
          </w:rPr>
          <w:t>https://www.stat.si/StatWeb/News/Index/6258</w:t>
        </w:r>
      </w:hyperlink>
      <w:bookmarkStart w:id="16" w:name="_Hlk170805238"/>
      <w:r w:rsidR="0027315A">
        <w:rPr>
          <w:lang w:val="en-GB"/>
        </w:rPr>
        <w:t xml:space="preserve"> </w:t>
      </w:r>
    </w:p>
    <w:bookmarkEnd w:id="16"/>
  </w:footnote>
  <w:footnote w:id="10">
    <w:p w14:paraId="332623A2" w14:textId="02F952CD" w:rsidR="00566B7D" w:rsidRPr="00945EB2" w:rsidRDefault="00566B7D" w:rsidP="00945EB2">
      <w:pPr>
        <w:pStyle w:val="Sprotnaopomba-besedilo"/>
        <w:ind w:left="227" w:hanging="227"/>
        <w:jc w:val="both"/>
        <w:rPr>
          <w:sz w:val="16"/>
          <w:szCs w:val="16"/>
          <w:lang w:val="en-GB"/>
        </w:rPr>
      </w:pPr>
      <w:r w:rsidRPr="00945EB2">
        <w:rPr>
          <w:rStyle w:val="Sprotnaopomba-sklic"/>
          <w:sz w:val="16"/>
          <w:szCs w:val="16"/>
        </w:rPr>
        <w:footnoteRef/>
      </w:r>
      <w:r w:rsidR="00C46565" w:rsidRPr="00945EB2">
        <w:rPr>
          <w:sz w:val="16"/>
          <w:szCs w:val="16"/>
        </w:rPr>
        <w:t xml:space="preserve"> </w:t>
      </w:r>
      <w:r w:rsidR="00945EB2" w:rsidRPr="00945EB2">
        <w:rPr>
          <w:sz w:val="16"/>
          <w:szCs w:val="16"/>
        </w:rPr>
        <w:t xml:space="preserve"> </w:t>
      </w:r>
      <w:r w:rsidRPr="00945EB2">
        <w:rPr>
          <w:sz w:val="16"/>
          <w:szCs w:val="16"/>
        </w:rPr>
        <w:t>ARSO: Poročilo o okolju v Republiki Sloveniji 2022</w:t>
      </w:r>
      <w:r w:rsidR="00C46565" w:rsidRPr="00945EB2">
        <w:rPr>
          <w:sz w:val="16"/>
          <w:szCs w:val="16"/>
        </w:rPr>
        <w:t xml:space="preserve"> / </w:t>
      </w:r>
      <w:r w:rsidR="00C46565" w:rsidRPr="00945EB2">
        <w:rPr>
          <w:sz w:val="16"/>
          <w:szCs w:val="16"/>
          <w:lang w:val="en-GB"/>
        </w:rPr>
        <w:t>Slovenian Environment Agency (ARSO)</w:t>
      </w:r>
      <w:r w:rsidR="00945EB2" w:rsidRPr="00945EB2">
        <w:rPr>
          <w:sz w:val="16"/>
          <w:szCs w:val="16"/>
          <w:lang w:val="en-GB"/>
        </w:rPr>
        <w:t xml:space="preserve">: 2022 </w:t>
      </w:r>
      <w:r w:rsidR="00C46565" w:rsidRPr="00945EB2">
        <w:rPr>
          <w:sz w:val="16"/>
          <w:szCs w:val="16"/>
          <w:lang w:val="en-GB"/>
        </w:rPr>
        <w:t>Report on the environment in the</w:t>
      </w:r>
      <w:r w:rsidR="00945EB2" w:rsidRPr="00945EB2">
        <w:rPr>
          <w:sz w:val="16"/>
          <w:szCs w:val="16"/>
          <w:lang w:val="en-GB"/>
        </w:rPr>
        <w:t xml:space="preserve"> </w:t>
      </w:r>
      <w:r w:rsidR="00C46565" w:rsidRPr="00945EB2">
        <w:rPr>
          <w:sz w:val="16"/>
          <w:szCs w:val="16"/>
          <w:lang w:val="en-GB"/>
        </w:rPr>
        <w:t>Republic</w:t>
      </w:r>
      <w:r w:rsidR="00945EB2" w:rsidRPr="00945EB2">
        <w:rPr>
          <w:sz w:val="16"/>
          <w:szCs w:val="16"/>
          <w:lang w:val="en-GB"/>
        </w:rPr>
        <w:t xml:space="preserve"> </w:t>
      </w:r>
      <w:r w:rsidR="00C46565" w:rsidRPr="00945EB2">
        <w:rPr>
          <w:sz w:val="16"/>
          <w:szCs w:val="16"/>
          <w:lang w:val="en-GB"/>
        </w:rPr>
        <w:t>of Slovenia</w:t>
      </w:r>
    </w:p>
  </w:footnote>
  <w:footnote w:id="11">
    <w:p w14:paraId="2769AFBB" w14:textId="78DD6D47" w:rsidR="0027315A" w:rsidRPr="00432C91" w:rsidRDefault="0027315A">
      <w:pPr>
        <w:pStyle w:val="Sprotnaopomba-besedilo"/>
        <w:rPr>
          <w:lang w:val="en-GB"/>
        </w:rPr>
      </w:pPr>
      <w:r w:rsidRPr="00432C91">
        <w:rPr>
          <w:rStyle w:val="Sprotnaopomba-sklic"/>
          <w:lang w:val="en-GB"/>
        </w:rPr>
        <w:footnoteRef/>
      </w:r>
      <w:r w:rsidRPr="00432C91">
        <w:rPr>
          <w:lang w:val="en-GB"/>
        </w:rPr>
        <w:t xml:space="preserve"> Data source: A</w:t>
      </w:r>
      <w:r w:rsidR="00432C91">
        <w:rPr>
          <w:lang w:val="en-GB"/>
        </w:rPr>
        <w:t>FSVSPP</w:t>
      </w:r>
    </w:p>
  </w:footnote>
  <w:footnote w:id="12">
    <w:p w14:paraId="613CDC62" w14:textId="41CE79E0" w:rsidR="0027315A" w:rsidRDefault="0027315A">
      <w:pPr>
        <w:pStyle w:val="Sprotnaopomba-besedilo"/>
      </w:pPr>
      <w:r>
        <w:rPr>
          <w:rStyle w:val="Sprotnaopomba-sklic"/>
        </w:rPr>
        <w:footnoteRef/>
      </w:r>
      <w:r>
        <w:t xml:space="preserve"> </w:t>
      </w:r>
      <w:r w:rsidRPr="0027315A">
        <w:rPr>
          <w:sz w:val="18"/>
          <w:szCs w:val="18"/>
        </w:rPr>
        <w:t xml:space="preserve">Data </w:t>
      </w:r>
      <w:r w:rsidRPr="0027315A">
        <w:rPr>
          <w:sz w:val="18"/>
          <w:szCs w:val="18"/>
          <w:lang w:val="en-GB"/>
        </w:rPr>
        <w:t>source: A</w:t>
      </w:r>
      <w:r w:rsidR="00C15916">
        <w:rPr>
          <w:sz w:val="18"/>
          <w:szCs w:val="18"/>
          <w:lang w:val="en-GB"/>
        </w:rPr>
        <w:t>FSVSPP</w:t>
      </w:r>
    </w:p>
  </w:footnote>
  <w:footnote w:id="13">
    <w:p w14:paraId="5025A38F" w14:textId="77777777" w:rsidR="00043B49" w:rsidRPr="00436CD8" w:rsidRDefault="00043B49" w:rsidP="00043B49">
      <w:pPr>
        <w:pStyle w:val="Sprotnaopomba-besedilo"/>
        <w:rPr>
          <w:sz w:val="16"/>
          <w:szCs w:val="16"/>
        </w:rPr>
      </w:pPr>
      <w:r w:rsidRPr="00436CD8">
        <w:rPr>
          <w:rStyle w:val="Sprotnaopomba-sklic"/>
          <w:sz w:val="16"/>
          <w:szCs w:val="16"/>
        </w:rPr>
        <w:footnoteRef/>
      </w:r>
      <w:r w:rsidRPr="00436CD8">
        <w:rPr>
          <w:sz w:val="16"/>
          <w:szCs w:val="16"/>
        </w:rPr>
        <w:t xml:space="preserve"> </w:t>
      </w:r>
      <w:hyperlink r:id="rId8" w:history="1">
        <w:r w:rsidRPr="00436CD8">
          <w:rPr>
            <w:color w:val="0000FF"/>
            <w:sz w:val="16"/>
            <w:szCs w:val="16"/>
            <w:u w:val="single"/>
          </w:rPr>
          <w:t>Ostanki fitofarmacevtskih sredstev | GOV.SI</w:t>
        </w:r>
      </w:hyperlink>
    </w:p>
  </w:footnote>
  <w:footnote w:id="14">
    <w:p w14:paraId="2F5EC741" w14:textId="77777777" w:rsidR="00FE30D5" w:rsidRPr="002214F0" w:rsidRDefault="00FE30D5" w:rsidP="00FE30D5">
      <w:pPr>
        <w:pStyle w:val="Sprotnaopomba-besedilo"/>
        <w:rPr>
          <w:sz w:val="16"/>
          <w:szCs w:val="16"/>
        </w:rPr>
      </w:pPr>
      <w:r w:rsidRPr="002214F0">
        <w:rPr>
          <w:rStyle w:val="Sprotnaopomba-sklic"/>
          <w:sz w:val="16"/>
          <w:szCs w:val="16"/>
        </w:rPr>
        <w:footnoteRef/>
      </w:r>
      <w:r w:rsidRPr="002214F0">
        <w:rPr>
          <w:sz w:val="16"/>
          <w:szCs w:val="16"/>
        </w:rPr>
        <w:t xml:space="preserve"> </w:t>
      </w:r>
      <w:hyperlink r:id="rId9" w:history="1">
        <w:r w:rsidRPr="002214F0">
          <w:rPr>
            <w:rStyle w:val="Hiperpovezava"/>
            <w:sz w:val="16"/>
            <w:szCs w:val="16"/>
          </w:rPr>
          <w:t>mpv.si</w:t>
        </w:r>
      </w:hyperlink>
    </w:p>
  </w:footnote>
  <w:footnote w:id="15">
    <w:p w14:paraId="5FBF80CE" w14:textId="18D20530" w:rsidR="00C868EF" w:rsidRPr="00015CB7" w:rsidRDefault="00C868EF">
      <w:pPr>
        <w:pStyle w:val="Sprotnaopomba-besedilo"/>
        <w:rPr>
          <w:sz w:val="16"/>
          <w:szCs w:val="16"/>
        </w:rPr>
      </w:pPr>
      <w:r w:rsidRPr="00015CB7">
        <w:rPr>
          <w:rStyle w:val="Sprotnaopomba-sklic"/>
          <w:sz w:val="16"/>
          <w:szCs w:val="16"/>
        </w:rPr>
        <w:footnoteRef/>
      </w:r>
      <w:r w:rsidRPr="00015CB7">
        <w:rPr>
          <w:sz w:val="16"/>
          <w:szCs w:val="16"/>
        </w:rPr>
        <w:t xml:space="preserve"> </w:t>
      </w:r>
      <w:hyperlink r:id="rId10" w:history="1">
        <w:r w:rsidRPr="00015CB7">
          <w:rPr>
            <w:color w:val="0000FF"/>
            <w:sz w:val="16"/>
            <w:szCs w:val="16"/>
            <w:u w:val="single"/>
          </w:rPr>
          <w:t>Podzemne vode (gov.si)</w:t>
        </w:r>
      </w:hyperlink>
    </w:p>
  </w:footnote>
  <w:footnote w:id="16">
    <w:p w14:paraId="299D5FCF" w14:textId="4949FCA8" w:rsidR="0027315A" w:rsidRPr="0062752D" w:rsidRDefault="0027315A">
      <w:pPr>
        <w:pStyle w:val="Sprotnaopomba-besedilo"/>
        <w:rPr>
          <w:lang w:val="en-GB"/>
        </w:rPr>
      </w:pPr>
      <w:r w:rsidRPr="0062752D">
        <w:rPr>
          <w:rStyle w:val="Sprotnaopomba-sklic"/>
          <w:lang w:val="en-GB"/>
        </w:rPr>
        <w:footnoteRef/>
      </w:r>
      <w:r w:rsidRPr="0062752D">
        <w:rPr>
          <w:lang w:val="en-GB"/>
        </w:rPr>
        <w:t xml:space="preserve"> Data source</w:t>
      </w:r>
      <w:r w:rsidR="003C321A">
        <w:rPr>
          <w:lang w:val="en-GB"/>
        </w:rPr>
        <w:t xml:space="preserve">: </w:t>
      </w:r>
      <w:r w:rsidR="0062752D" w:rsidRPr="0062752D">
        <w:rPr>
          <w:lang w:val="en-GB"/>
        </w:rPr>
        <w:t>AFSVSPP</w:t>
      </w:r>
    </w:p>
  </w:footnote>
  <w:footnote w:id="17">
    <w:p w14:paraId="5EF7D024" w14:textId="25871A12" w:rsidR="0027315A" w:rsidRPr="0054182E" w:rsidRDefault="0027315A">
      <w:pPr>
        <w:pStyle w:val="Sprotnaopomba-besedilo"/>
        <w:rPr>
          <w:lang w:val="en-GB"/>
        </w:rPr>
      </w:pPr>
      <w:r w:rsidRPr="0054182E">
        <w:rPr>
          <w:rStyle w:val="Sprotnaopomba-sklic"/>
          <w:lang w:val="en-GB"/>
        </w:rPr>
        <w:footnoteRef/>
      </w:r>
      <w:r w:rsidRPr="0054182E">
        <w:rPr>
          <w:lang w:val="en-GB"/>
        </w:rPr>
        <w:t xml:space="preserve"> Data source: A</w:t>
      </w:r>
      <w:r w:rsidR="0054182E" w:rsidRPr="0054182E">
        <w:rPr>
          <w:lang w:val="en-GB"/>
        </w:rPr>
        <w:t>FSVSPP</w:t>
      </w:r>
    </w:p>
  </w:footnote>
  <w:footnote w:id="18">
    <w:p w14:paraId="2E10E28E" w14:textId="709C7A8F" w:rsidR="000B1910" w:rsidRPr="0054182E" w:rsidRDefault="000B1910">
      <w:pPr>
        <w:pStyle w:val="Sprotnaopomba-besedilo"/>
        <w:rPr>
          <w:lang w:val="en-GB"/>
        </w:rPr>
      </w:pPr>
      <w:r w:rsidRPr="0054182E">
        <w:rPr>
          <w:rStyle w:val="Sprotnaopomba-sklic"/>
          <w:lang w:val="en-GB"/>
        </w:rPr>
        <w:footnoteRef/>
      </w:r>
      <w:r w:rsidRPr="0054182E">
        <w:rPr>
          <w:lang w:val="en-GB"/>
        </w:rPr>
        <w:t xml:space="preserve"> Data source: A</w:t>
      </w:r>
      <w:r w:rsidR="0054182E" w:rsidRPr="0054182E">
        <w:rPr>
          <w:lang w:val="en-GB"/>
        </w:rPr>
        <w:t>FSVSPP</w:t>
      </w:r>
    </w:p>
  </w:footnote>
  <w:footnote w:id="19">
    <w:p w14:paraId="542C1A7C" w14:textId="77777777" w:rsidR="00691B4A" w:rsidRPr="00842FC7" w:rsidRDefault="00691B4A" w:rsidP="00691B4A">
      <w:pPr>
        <w:pStyle w:val="Sprotnaopomba-besedilo"/>
      </w:pPr>
      <w:r>
        <w:rPr>
          <w:rStyle w:val="Sprotnaopomba-sklic"/>
        </w:rPr>
        <w:footnoteRef/>
      </w:r>
      <w:r>
        <w:t xml:space="preserve"> </w:t>
      </w:r>
      <w:hyperlink r:id="rId11" w:history="1">
        <w:r w:rsidRPr="00842FC7">
          <w:rPr>
            <w:rStyle w:val="Hiperpovezava"/>
          </w:rPr>
          <w:t>Integrirano varstvo rastlin - IVR</w:t>
        </w:r>
      </w:hyperlink>
    </w:p>
  </w:footnote>
  <w:footnote w:id="20">
    <w:p w14:paraId="4913B953" w14:textId="5D13D616" w:rsidR="000B1910" w:rsidRPr="000B1910" w:rsidRDefault="000B1910">
      <w:pPr>
        <w:pStyle w:val="Sprotnaopomba-besedilo"/>
        <w:rPr>
          <w:sz w:val="18"/>
          <w:szCs w:val="18"/>
        </w:rPr>
      </w:pPr>
      <w:r w:rsidRPr="000B1910">
        <w:rPr>
          <w:rStyle w:val="Sprotnaopomba-sklic"/>
          <w:sz w:val="18"/>
          <w:szCs w:val="18"/>
        </w:rPr>
        <w:footnoteRef/>
      </w:r>
      <w:r w:rsidRPr="000B1910">
        <w:rPr>
          <w:sz w:val="18"/>
          <w:szCs w:val="18"/>
        </w:rPr>
        <w:t xml:space="preserve"> </w:t>
      </w:r>
      <w:hyperlink r:id="rId12" w:history="1">
        <w:r w:rsidRPr="00457F8A">
          <w:rPr>
            <w:rStyle w:val="Hiperpovezava"/>
            <w:sz w:val="18"/>
            <w:szCs w:val="18"/>
          </w:rPr>
          <w:t>https://agromet.mkgp.gov.si/APP2/Prognostika/Index/-</w:t>
        </w:r>
      </w:hyperlink>
      <w:r>
        <w:rPr>
          <w:sz w:val="18"/>
          <w:szCs w:val="18"/>
        </w:rPr>
        <w:t xml:space="preserve"> </w:t>
      </w:r>
    </w:p>
  </w:footnote>
  <w:footnote w:id="21">
    <w:p w14:paraId="094F5D3C" w14:textId="77777777" w:rsidR="00B70034" w:rsidRPr="000B1910" w:rsidRDefault="00B70034" w:rsidP="00B70034">
      <w:pPr>
        <w:pStyle w:val="Sprotnaopomba-besedilo"/>
        <w:rPr>
          <w:sz w:val="18"/>
          <w:szCs w:val="18"/>
        </w:rPr>
      </w:pPr>
      <w:r w:rsidRPr="000B1910">
        <w:rPr>
          <w:rStyle w:val="Sprotnaopomba-sklic"/>
          <w:sz w:val="18"/>
          <w:szCs w:val="18"/>
        </w:rPr>
        <w:footnoteRef/>
      </w:r>
      <w:r w:rsidRPr="000B1910">
        <w:rPr>
          <w:sz w:val="18"/>
          <w:szCs w:val="18"/>
        </w:rPr>
        <w:t xml:space="preserve"> </w:t>
      </w:r>
      <w:hyperlink r:id="rId13" w:history="1">
        <w:r w:rsidRPr="000B1910">
          <w:rPr>
            <w:color w:val="0000FF"/>
            <w:sz w:val="18"/>
            <w:szCs w:val="18"/>
            <w:u w:val="single"/>
          </w:rPr>
          <w:t>Pest Monitoring and Forecasting - Trapview - Integrated Pest Management</w:t>
        </w:r>
      </w:hyperlink>
    </w:p>
  </w:footnote>
  <w:footnote w:id="22">
    <w:p w14:paraId="13FABC9D" w14:textId="77777777" w:rsidR="00B70034" w:rsidRPr="000B1910" w:rsidRDefault="00B70034" w:rsidP="00B70034">
      <w:pPr>
        <w:pStyle w:val="Sprotnaopomba-besedilo"/>
        <w:rPr>
          <w:sz w:val="18"/>
          <w:szCs w:val="18"/>
        </w:rPr>
      </w:pPr>
      <w:r w:rsidRPr="000B1910">
        <w:rPr>
          <w:rStyle w:val="Sprotnaopomba-sklic"/>
          <w:sz w:val="18"/>
          <w:szCs w:val="18"/>
        </w:rPr>
        <w:footnoteRef/>
      </w:r>
      <w:r w:rsidRPr="000B1910">
        <w:rPr>
          <w:sz w:val="18"/>
          <w:szCs w:val="18"/>
        </w:rPr>
        <w:t xml:space="preserve"> </w:t>
      </w:r>
      <w:hyperlink r:id="rId14" w:anchor=":~:text=Javna%20slu%C5%BEba%20zdravstvenega%20varstva%20rastlin%20izvaja%20naloge%20s,varstvenim%20ukrepom%20za%20obvladovanje%20bolezni%20in%20%C5%A1kodljivcev%20rastlin." w:history="1">
        <w:r w:rsidRPr="000B1910">
          <w:rPr>
            <w:color w:val="0000FF"/>
            <w:sz w:val="18"/>
            <w:szCs w:val="18"/>
            <w:u w:val="single"/>
          </w:rPr>
          <w:t>Agrometeorološki portal Slovenije (gov.si)</w:t>
        </w:r>
      </w:hyperlink>
    </w:p>
  </w:footnote>
  <w:footnote w:id="23">
    <w:p w14:paraId="1F98CE01" w14:textId="7B97C3A2" w:rsidR="000B1910" w:rsidRPr="00944CBB" w:rsidRDefault="000B1910">
      <w:pPr>
        <w:pStyle w:val="Sprotnaopomba-besedilo"/>
        <w:rPr>
          <w:sz w:val="18"/>
          <w:szCs w:val="18"/>
          <w:lang w:val="en-GB"/>
        </w:rPr>
      </w:pPr>
      <w:r w:rsidRPr="00944CBB">
        <w:rPr>
          <w:rStyle w:val="Sprotnaopomba-sklic"/>
          <w:sz w:val="18"/>
          <w:szCs w:val="18"/>
          <w:lang w:val="en-GB"/>
        </w:rPr>
        <w:footnoteRef/>
      </w:r>
      <w:r w:rsidRPr="00944CBB">
        <w:rPr>
          <w:sz w:val="18"/>
          <w:szCs w:val="18"/>
          <w:lang w:val="en-GB"/>
        </w:rPr>
        <w:t xml:space="preserve"> Data source: A</w:t>
      </w:r>
      <w:r w:rsidR="00944CBB" w:rsidRPr="00944CBB">
        <w:rPr>
          <w:sz w:val="18"/>
          <w:szCs w:val="18"/>
          <w:lang w:val="en-GB"/>
        </w:rPr>
        <w:t>FSVSPP</w:t>
      </w:r>
    </w:p>
  </w:footnote>
  <w:footnote w:id="24">
    <w:p w14:paraId="5FCB9BEC" w14:textId="7F27AAB8" w:rsidR="00F91B75" w:rsidRPr="00F91B75" w:rsidRDefault="00F91B75">
      <w:pPr>
        <w:pStyle w:val="Sprotnaopomba-besedilo"/>
        <w:rPr>
          <w:sz w:val="18"/>
          <w:szCs w:val="18"/>
        </w:rPr>
      </w:pPr>
      <w:r w:rsidRPr="00F91B75">
        <w:rPr>
          <w:rStyle w:val="Sprotnaopomba-sklic"/>
          <w:sz w:val="18"/>
          <w:szCs w:val="18"/>
        </w:rPr>
        <w:footnoteRef/>
      </w:r>
      <w:r w:rsidRPr="00F91B75">
        <w:rPr>
          <w:sz w:val="18"/>
          <w:szCs w:val="18"/>
        </w:rPr>
        <w:t xml:space="preserve"> </w:t>
      </w:r>
      <w:hyperlink r:id="rId15" w:history="1">
        <w:r w:rsidRPr="00F91B75">
          <w:rPr>
            <w:rStyle w:val="Hiperpovezava"/>
            <w:sz w:val="18"/>
            <w:szCs w:val="18"/>
          </w:rPr>
          <w:t>ANALIZA-TRGA-EKO-ZIVIL-V-RS_koncno-porocilo_prilagojeno.docx (live.com)</w:t>
        </w:r>
      </w:hyperlink>
    </w:p>
  </w:footnote>
  <w:footnote w:id="25">
    <w:p w14:paraId="57B3F0DC" w14:textId="211DC93F" w:rsidR="000B1910" w:rsidRPr="000B1910" w:rsidRDefault="000B1910">
      <w:pPr>
        <w:pStyle w:val="Sprotnaopomba-besedilo"/>
        <w:rPr>
          <w:sz w:val="18"/>
          <w:szCs w:val="18"/>
        </w:rPr>
      </w:pPr>
      <w:r w:rsidRPr="000B1910">
        <w:rPr>
          <w:rStyle w:val="Sprotnaopomba-sklic"/>
          <w:sz w:val="18"/>
          <w:szCs w:val="18"/>
        </w:rPr>
        <w:footnoteRef/>
      </w:r>
      <w:r w:rsidRPr="000B1910">
        <w:rPr>
          <w:sz w:val="18"/>
          <w:szCs w:val="18"/>
        </w:rPr>
        <w:t xml:space="preserve"> </w:t>
      </w:r>
      <w:hyperlink r:id="rId16" w:history="1">
        <w:r w:rsidRPr="000B1910">
          <w:rPr>
            <w:rStyle w:val="Hiperpovezava"/>
            <w:sz w:val="18"/>
            <w:szCs w:val="18"/>
          </w:rPr>
          <w:t>https://www.gov.si/assets/ministrstva/MKGP/Dokumenti-/ANEK/ANEK_eng.pdf</w:t>
        </w:r>
      </w:hyperlink>
      <w:r w:rsidRPr="000B19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A3F" w14:textId="77777777" w:rsidR="00960783" w:rsidRDefault="00960783">
    <w:pPr>
      <w:pStyle w:val="Glava"/>
    </w:pPr>
    <w:r>
      <w:rPr>
        <w:noProof/>
      </w:rPr>
      <w:drawing>
        <wp:inline distT="0" distB="0" distL="0" distR="0" wp14:anchorId="143AD36F" wp14:editId="6899D414">
          <wp:extent cx="6300439" cy="2135299"/>
          <wp:effectExtent l="0" t="0" r="5715" b="0"/>
          <wp:docPr id="1" name="Slika 1" descr="http://portal.uvhvvr.sigov.si/int/html_uvhvvr/predloge/MKO_Veterinarska%20uprava%20R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uvhvvr.sigov.si/int/html_uvhvvr/predloge/MKO_Veterinarska%20uprava%20RS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604" cy="2152300"/>
                  </a:xfrm>
                  <a:prstGeom prst="rect">
                    <a:avLst/>
                  </a:prstGeom>
                  <a:noFill/>
                  <a:ln>
                    <a:noFill/>
                  </a:ln>
                </pic:spPr>
              </pic:pic>
            </a:graphicData>
          </a:graphic>
        </wp:inline>
      </w:drawing>
    </w:r>
  </w:p>
  <w:p w14:paraId="34CF26D8" w14:textId="77777777" w:rsidR="00960783" w:rsidRDefault="009607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209"/>
    <w:multiLevelType w:val="hybridMultilevel"/>
    <w:tmpl w:val="54000A6A"/>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76D574D"/>
    <w:multiLevelType w:val="hybridMultilevel"/>
    <w:tmpl w:val="EDDE1048"/>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B84DB0"/>
    <w:multiLevelType w:val="hybridMultilevel"/>
    <w:tmpl w:val="6AEE846C"/>
    <w:lvl w:ilvl="0" w:tplc="06FC64E6">
      <w:start w:val="2"/>
      <w:numFmt w:val="bullet"/>
      <w:lvlText w:val="-"/>
      <w:lvlJc w:val="left"/>
      <w:pPr>
        <w:ind w:left="11" w:hanging="360"/>
      </w:pPr>
      <w:rPr>
        <w:rFonts w:ascii="Arial" w:eastAsia="Times New Roman" w:hAnsi="Arial" w:cs="Arial"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3" w15:restartNumberingAfterBreak="0">
    <w:nsid w:val="26430328"/>
    <w:multiLevelType w:val="hybridMultilevel"/>
    <w:tmpl w:val="20BE96BE"/>
    <w:lvl w:ilvl="0" w:tplc="243EC18E">
      <w:start w:val="2"/>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CFD168C"/>
    <w:multiLevelType w:val="hybridMultilevel"/>
    <w:tmpl w:val="54EAE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614CBC"/>
    <w:multiLevelType w:val="hybridMultilevel"/>
    <w:tmpl w:val="3CECAD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385636"/>
    <w:multiLevelType w:val="hybridMultilevel"/>
    <w:tmpl w:val="E1BA20B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84951ED"/>
    <w:multiLevelType w:val="hybridMultilevel"/>
    <w:tmpl w:val="C9FEAF4A"/>
    <w:lvl w:ilvl="0" w:tplc="C298E1C8">
      <w:start w:val="1"/>
      <w:numFmt w:val="bullet"/>
      <w:pStyle w:val="zamik1"/>
      <w:lvlText w:val="­"/>
      <w:lvlJc w:val="left"/>
      <w:pPr>
        <w:ind w:left="360" w:hanging="360"/>
      </w:pPr>
      <w:rPr>
        <w:rFonts w:ascii="Times New Roman" w:hAnsi="Times New Roman" w:hint="default"/>
        <w:b w:val="0"/>
        <w:i w:val="0"/>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A4942CB"/>
    <w:multiLevelType w:val="hybridMultilevel"/>
    <w:tmpl w:val="630095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0745114"/>
    <w:multiLevelType w:val="hybridMultilevel"/>
    <w:tmpl w:val="4716AC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4181D93"/>
    <w:multiLevelType w:val="hybridMultilevel"/>
    <w:tmpl w:val="8EA6E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6206DA3"/>
    <w:multiLevelType w:val="hybridMultilevel"/>
    <w:tmpl w:val="902A37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B37497A"/>
    <w:multiLevelType w:val="hybridMultilevel"/>
    <w:tmpl w:val="361E7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D63F96"/>
    <w:multiLevelType w:val="hybridMultilevel"/>
    <w:tmpl w:val="34D42BB4"/>
    <w:lvl w:ilvl="0" w:tplc="AB7057D6">
      <w:start w:val="1"/>
      <w:numFmt w:val="upp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16cid:durableId="237638276">
    <w:abstractNumId w:val="7"/>
  </w:num>
  <w:num w:numId="2" w16cid:durableId="1677885249">
    <w:abstractNumId w:val="5"/>
  </w:num>
  <w:num w:numId="3" w16cid:durableId="168495140">
    <w:abstractNumId w:val="13"/>
  </w:num>
  <w:num w:numId="4" w16cid:durableId="830214829">
    <w:abstractNumId w:val="11"/>
  </w:num>
  <w:num w:numId="5" w16cid:durableId="2082018612">
    <w:abstractNumId w:val="8"/>
  </w:num>
  <w:num w:numId="6" w16cid:durableId="698891256">
    <w:abstractNumId w:val="9"/>
  </w:num>
  <w:num w:numId="7" w16cid:durableId="1997028379">
    <w:abstractNumId w:val="4"/>
  </w:num>
  <w:num w:numId="8" w16cid:durableId="724330688">
    <w:abstractNumId w:val="10"/>
  </w:num>
  <w:num w:numId="9" w16cid:durableId="1713114406">
    <w:abstractNumId w:val="2"/>
  </w:num>
  <w:num w:numId="10" w16cid:durableId="1328903214">
    <w:abstractNumId w:val="3"/>
  </w:num>
  <w:num w:numId="11" w16cid:durableId="1269195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1127688">
    <w:abstractNumId w:val="12"/>
  </w:num>
  <w:num w:numId="13" w16cid:durableId="1985548392">
    <w:abstractNumId w:val="1"/>
  </w:num>
  <w:num w:numId="14" w16cid:durableId="5289073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85"/>
    <w:rsid w:val="0000095E"/>
    <w:rsid w:val="00000A2F"/>
    <w:rsid w:val="00001700"/>
    <w:rsid w:val="00001CA1"/>
    <w:rsid w:val="00003213"/>
    <w:rsid w:val="00004268"/>
    <w:rsid w:val="000052A0"/>
    <w:rsid w:val="00006838"/>
    <w:rsid w:val="00010B40"/>
    <w:rsid w:val="00012806"/>
    <w:rsid w:val="0001314C"/>
    <w:rsid w:val="00013898"/>
    <w:rsid w:val="0001449A"/>
    <w:rsid w:val="00015240"/>
    <w:rsid w:val="00015A1F"/>
    <w:rsid w:val="00015CB7"/>
    <w:rsid w:val="00015CDC"/>
    <w:rsid w:val="00017141"/>
    <w:rsid w:val="00020E77"/>
    <w:rsid w:val="00023ED0"/>
    <w:rsid w:val="000246AA"/>
    <w:rsid w:val="00025F0C"/>
    <w:rsid w:val="00027120"/>
    <w:rsid w:val="00027E6E"/>
    <w:rsid w:val="00031203"/>
    <w:rsid w:val="0003183D"/>
    <w:rsid w:val="00032116"/>
    <w:rsid w:val="00033A43"/>
    <w:rsid w:val="000352E1"/>
    <w:rsid w:val="000361B7"/>
    <w:rsid w:val="0004269D"/>
    <w:rsid w:val="00043B49"/>
    <w:rsid w:val="00043F80"/>
    <w:rsid w:val="00045618"/>
    <w:rsid w:val="000507CE"/>
    <w:rsid w:val="00051B45"/>
    <w:rsid w:val="00052154"/>
    <w:rsid w:val="00052AD8"/>
    <w:rsid w:val="00053787"/>
    <w:rsid w:val="0005414A"/>
    <w:rsid w:val="00054944"/>
    <w:rsid w:val="00055C09"/>
    <w:rsid w:val="000562FA"/>
    <w:rsid w:val="00056A7E"/>
    <w:rsid w:val="00057162"/>
    <w:rsid w:val="0006166B"/>
    <w:rsid w:val="0006188D"/>
    <w:rsid w:val="00063128"/>
    <w:rsid w:val="00066489"/>
    <w:rsid w:val="00066C59"/>
    <w:rsid w:val="000677D3"/>
    <w:rsid w:val="00070751"/>
    <w:rsid w:val="00070C21"/>
    <w:rsid w:val="000713B9"/>
    <w:rsid w:val="00071461"/>
    <w:rsid w:val="00077C52"/>
    <w:rsid w:val="00080594"/>
    <w:rsid w:val="000808E8"/>
    <w:rsid w:val="000819A1"/>
    <w:rsid w:val="00083517"/>
    <w:rsid w:val="0008586F"/>
    <w:rsid w:val="00086899"/>
    <w:rsid w:val="0008696C"/>
    <w:rsid w:val="000909F0"/>
    <w:rsid w:val="000914D5"/>
    <w:rsid w:val="0009225C"/>
    <w:rsid w:val="00093604"/>
    <w:rsid w:val="00093698"/>
    <w:rsid w:val="0009466F"/>
    <w:rsid w:val="0009699D"/>
    <w:rsid w:val="00096AEA"/>
    <w:rsid w:val="00097215"/>
    <w:rsid w:val="00097853"/>
    <w:rsid w:val="00097890"/>
    <w:rsid w:val="000A044C"/>
    <w:rsid w:val="000A155D"/>
    <w:rsid w:val="000A1A36"/>
    <w:rsid w:val="000A1D11"/>
    <w:rsid w:val="000A1EE2"/>
    <w:rsid w:val="000A2F00"/>
    <w:rsid w:val="000A340B"/>
    <w:rsid w:val="000A45F1"/>
    <w:rsid w:val="000A507F"/>
    <w:rsid w:val="000A5199"/>
    <w:rsid w:val="000A5590"/>
    <w:rsid w:val="000A56CE"/>
    <w:rsid w:val="000A5792"/>
    <w:rsid w:val="000B0167"/>
    <w:rsid w:val="000B02CF"/>
    <w:rsid w:val="000B04DE"/>
    <w:rsid w:val="000B057B"/>
    <w:rsid w:val="000B1910"/>
    <w:rsid w:val="000B1F0A"/>
    <w:rsid w:val="000B26DA"/>
    <w:rsid w:val="000B39C6"/>
    <w:rsid w:val="000B4A6A"/>
    <w:rsid w:val="000B4FEF"/>
    <w:rsid w:val="000B590E"/>
    <w:rsid w:val="000B6183"/>
    <w:rsid w:val="000B79D5"/>
    <w:rsid w:val="000C0493"/>
    <w:rsid w:val="000C2458"/>
    <w:rsid w:val="000C29FC"/>
    <w:rsid w:val="000C3EA7"/>
    <w:rsid w:val="000C465D"/>
    <w:rsid w:val="000C5A68"/>
    <w:rsid w:val="000C5C49"/>
    <w:rsid w:val="000C71FD"/>
    <w:rsid w:val="000C7811"/>
    <w:rsid w:val="000D1CFC"/>
    <w:rsid w:val="000D26F7"/>
    <w:rsid w:val="000D2DEB"/>
    <w:rsid w:val="000D3614"/>
    <w:rsid w:val="000D39D7"/>
    <w:rsid w:val="000D4D6C"/>
    <w:rsid w:val="000D50FB"/>
    <w:rsid w:val="000D5A29"/>
    <w:rsid w:val="000E0151"/>
    <w:rsid w:val="000E05B8"/>
    <w:rsid w:val="000E0AA7"/>
    <w:rsid w:val="000E110D"/>
    <w:rsid w:val="000E1980"/>
    <w:rsid w:val="000E222C"/>
    <w:rsid w:val="000E29E9"/>
    <w:rsid w:val="000E45DD"/>
    <w:rsid w:val="000E5399"/>
    <w:rsid w:val="000E56D9"/>
    <w:rsid w:val="000E576E"/>
    <w:rsid w:val="000E5E74"/>
    <w:rsid w:val="000E6770"/>
    <w:rsid w:val="000F21F4"/>
    <w:rsid w:val="000F2534"/>
    <w:rsid w:val="000F2FB0"/>
    <w:rsid w:val="000F309A"/>
    <w:rsid w:val="000F5692"/>
    <w:rsid w:val="000F65A4"/>
    <w:rsid w:val="000F6BD7"/>
    <w:rsid w:val="00100884"/>
    <w:rsid w:val="0010213F"/>
    <w:rsid w:val="001032A7"/>
    <w:rsid w:val="001037C8"/>
    <w:rsid w:val="00107687"/>
    <w:rsid w:val="00107F24"/>
    <w:rsid w:val="00110784"/>
    <w:rsid w:val="00111704"/>
    <w:rsid w:val="001122E9"/>
    <w:rsid w:val="00114243"/>
    <w:rsid w:val="00114BAF"/>
    <w:rsid w:val="00115907"/>
    <w:rsid w:val="00115D3A"/>
    <w:rsid w:val="001163B5"/>
    <w:rsid w:val="001168FC"/>
    <w:rsid w:val="00117441"/>
    <w:rsid w:val="00117A85"/>
    <w:rsid w:val="00120456"/>
    <w:rsid w:val="001208A4"/>
    <w:rsid w:val="00122B61"/>
    <w:rsid w:val="001239CA"/>
    <w:rsid w:val="00123E94"/>
    <w:rsid w:val="0012463E"/>
    <w:rsid w:val="0012477E"/>
    <w:rsid w:val="00124CE2"/>
    <w:rsid w:val="00124EA0"/>
    <w:rsid w:val="001307F8"/>
    <w:rsid w:val="00130DBA"/>
    <w:rsid w:val="00132266"/>
    <w:rsid w:val="00133C1A"/>
    <w:rsid w:val="00133D58"/>
    <w:rsid w:val="00134DB7"/>
    <w:rsid w:val="00137601"/>
    <w:rsid w:val="00140FC3"/>
    <w:rsid w:val="00142129"/>
    <w:rsid w:val="00144451"/>
    <w:rsid w:val="00144EE4"/>
    <w:rsid w:val="001456BC"/>
    <w:rsid w:val="00145985"/>
    <w:rsid w:val="0014664F"/>
    <w:rsid w:val="001468B6"/>
    <w:rsid w:val="001472AA"/>
    <w:rsid w:val="001504B6"/>
    <w:rsid w:val="00151A13"/>
    <w:rsid w:val="00152F66"/>
    <w:rsid w:val="00153228"/>
    <w:rsid w:val="0015324E"/>
    <w:rsid w:val="001542C8"/>
    <w:rsid w:val="00155E87"/>
    <w:rsid w:val="00161F71"/>
    <w:rsid w:val="00162F31"/>
    <w:rsid w:val="001632AA"/>
    <w:rsid w:val="00166112"/>
    <w:rsid w:val="001671F4"/>
    <w:rsid w:val="00170079"/>
    <w:rsid w:val="00170BB9"/>
    <w:rsid w:val="001718F1"/>
    <w:rsid w:val="001729E3"/>
    <w:rsid w:val="00173F29"/>
    <w:rsid w:val="00174121"/>
    <w:rsid w:val="001750BD"/>
    <w:rsid w:val="00175D77"/>
    <w:rsid w:val="001764E2"/>
    <w:rsid w:val="0017705D"/>
    <w:rsid w:val="00177ADF"/>
    <w:rsid w:val="00181BAD"/>
    <w:rsid w:val="00182A1C"/>
    <w:rsid w:val="001850B7"/>
    <w:rsid w:val="001868A7"/>
    <w:rsid w:val="001917E6"/>
    <w:rsid w:val="00192953"/>
    <w:rsid w:val="00192D6A"/>
    <w:rsid w:val="001930CC"/>
    <w:rsid w:val="00193F5C"/>
    <w:rsid w:val="001947CE"/>
    <w:rsid w:val="001948A3"/>
    <w:rsid w:val="0019503F"/>
    <w:rsid w:val="00195A69"/>
    <w:rsid w:val="001A0481"/>
    <w:rsid w:val="001A0C03"/>
    <w:rsid w:val="001A1968"/>
    <w:rsid w:val="001A428B"/>
    <w:rsid w:val="001A4BC5"/>
    <w:rsid w:val="001A4E4D"/>
    <w:rsid w:val="001A4E6F"/>
    <w:rsid w:val="001A6882"/>
    <w:rsid w:val="001A72FB"/>
    <w:rsid w:val="001A7A37"/>
    <w:rsid w:val="001B1166"/>
    <w:rsid w:val="001B19CF"/>
    <w:rsid w:val="001B1AEF"/>
    <w:rsid w:val="001B3957"/>
    <w:rsid w:val="001B5017"/>
    <w:rsid w:val="001B5130"/>
    <w:rsid w:val="001B5CC7"/>
    <w:rsid w:val="001B720B"/>
    <w:rsid w:val="001B7899"/>
    <w:rsid w:val="001C020E"/>
    <w:rsid w:val="001C2DCD"/>
    <w:rsid w:val="001C4691"/>
    <w:rsid w:val="001C48FA"/>
    <w:rsid w:val="001C4A4E"/>
    <w:rsid w:val="001C53E2"/>
    <w:rsid w:val="001C65DC"/>
    <w:rsid w:val="001C66A1"/>
    <w:rsid w:val="001D0AAD"/>
    <w:rsid w:val="001D217F"/>
    <w:rsid w:val="001D2ED0"/>
    <w:rsid w:val="001D62F4"/>
    <w:rsid w:val="001D7CCB"/>
    <w:rsid w:val="001E1886"/>
    <w:rsid w:val="001E2D86"/>
    <w:rsid w:val="001E3BCD"/>
    <w:rsid w:val="001E4117"/>
    <w:rsid w:val="001E523B"/>
    <w:rsid w:val="001F000B"/>
    <w:rsid w:val="001F11FE"/>
    <w:rsid w:val="001F1531"/>
    <w:rsid w:val="001F1BAA"/>
    <w:rsid w:val="001F4A75"/>
    <w:rsid w:val="001F50A0"/>
    <w:rsid w:val="001F5472"/>
    <w:rsid w:val="001F5CAB"/>
    <w:rsid w:val="001F6317"/>
    <w:rsid w:val="001F6712"/>
    <w:rsid w:val="001F7521"/>
    <w:rsid w:val="001F797E"/>
    <w:rsid w:val="002002B1"/>
    <w:rsid w:val="0020054E"/>
    <w:rsid w:val="00201684"/>
    <w:rsid w:val="00203E7D"/>
    <w:rsid w:val="00206323"/>
    <w:rsid w:val="00207350"/>
    <w:rsid w:val="00211C05"/>
    <w:rsid w:val="00211FB3"/>
    <w:rsid w:val="0021283E"/>
    <w:rsid w:val="002135B9"/>
    <w:rsid w:val="00214AB7"/>
    <w:rsid w:val="00215852"/>
    <w:rsid w:val="002159B5"/>
    <w:rsid w:val="002172BB"/>
    <w:rsid w:val="00220DD5"/>
    <w:rsid w:val="002210F0"/>
    <w:rsid w:val="002214F0"/>
    <w:rsid w:val="00221DF3"/>
    <w:rsid w:val="002231D8"/>
    <w:rsid w:val="002233FA"/>
    <w:rsid w:val="00226698"/>
    <w:rsid w:val="00227117"/>
    <w:rsid w:val="0022729F"/>
    <w:rsid w:val="0022763F"/>
    <w:rsid w:val="002312DD"/>
    <w:rsid w:val="0023248F"/>
    <w:rsid w:val="00232591"/>
    <w:rsid w:val="00232A4E"/>
    <w:rsid w:val="00233B98"/>
    <w:rsid w:val="00234E7C"/>
    <w:rsid w:val="00236B37"/>
    <w:rsid w:val="00236E78"/>
    <w:rsid w:val="00237B54"/>
    <w:rsid w:val="00240C60"/>
    <w:rsid w:val="00240D63"/>
    <w:rsid w:val="00241D55"/>
    <w:rsid w:val="002435D1"/>
    <w:rsid w:val="00244479"/>
    <w:rsid w:val="002444D4"/>
    <w:rsid w:val="00244703"/>
    <w:rsid w:val="0024486A"/>
    <w:rsid w:val="00245456"/>
    <w:rsid w:val="00245D30"/>
    <w:rsid w:val="00245E2C"/>
    <w:rsid w:val="00251B5B"/>
    <w:rsid w:val="00252839"/>
    <w:rsid w:val="00252C72"/>
    <w:rsid w:val="002536B7"/>
    <w:rsid w:val="0025458B"/>
    <w:rsid w:val="00254D97"/>
    <w:rsid w:val="00254EBE"/>
    <w:rsid w:val="00255F76"/>
    <w:rsid w:val="00256D7D"/>
    <w:rsid w:val="0025714A"/>
    <w:rsid w:val="0025756D"/>
    <w:rsid w:val="002578B3"/>
    <w:rsid w:val="00260AC7"/>
    <w:rsid w:val="00260F49"/>
    <w:rsid w:val="00261614"/>
    <w:rsid w:val="00261A8D"/>
    <w:rsid w:val="00262306"/>
    <w:rsid w:val="00262F5D"/>
    <w:rsid w:val="00262FEE"/>
    <w:rsid w:val="002630AD"/>
    <w:rsid w:val="002639BA"/>
    <w:rsid w:val="00265F2F"/>
    <w:rsid w:val="002671E3"/>
    <w:rsid w:val="002709BA"/>
    <w:rsid w:val="00270A64"/>
    <w:rsid w:val="00271F4C"/>
    <w:rsid w:val="0027315A"/>
    <w:rsid w:val="00273A30"/>
    <w:rsid w:val="00273CEC"/>
    <w:rsid w:val="002743D9"/>
    <w:rsid w:val="00274C14"/>
    <w:rsid w:val="00274E95"/>
    <w:rsid w:val="0027514C"/>
    <w:rsid w:val="00275350"/>
    <w:rsid w:val="00276B24"/>
    <w:rsid w:val="00277E6B"/>
    <w:rsid w:val="00277F56"/>
    <w:rsid w:val="00281FDF"/>
    <w:rsid w:val="002824F8"/>
    <w:rsid w:val="002826AB"/>
    <w:rsid w:val="002828E4"/>
    <w:rsid w:val="0028336E"/>
    <w:rsid w:val="002837D6"/>
    <w:rsid w:val="00285C36"/>
    <w:rsid w:val="00286BDE"/>
    <w:rsid w:val="00290217"/>
    <w:rsid w:val="002914A6"/>
    <w:rsid w:val="00292007"/>
    <w:rsid w:val="002935CC"/>
    <w:rsid w:val="00293CCE"/>
    <w:rsid w:val="0029421F"/>
    <w:rsid w:val="00294D53"/>
    <w:rsid w:val="002A2EB4"/>
    <w:rsid w:val="002A464A"/>
    <w:rsid w:val="002A4B17"/>
    <w:rsid w:val="002A53C4"/>
    <w:rsid w:val="002A5706"/>
    <w:rsid w:val="002A6B6A"/>
    <w:rsid w:val="002A6C92"/>
    <w:rsid w:val="002B07FE"/>
    <w:rsid w:val="002B1130"/>
    <w:rsid w:val="002B420F"/>
    <w:rsid w:val="002B570E"/>
    <w:rsid w:val="002B5909"/>
    <w:rsid w:val="002B5B5E"/>
    <w:rsid w:val="002B694E"/>
    <w:rsid w:val="002B7536"/>
    <w:rsid w:val="002C1E30"/>
    <w:rsid w:val="002C38D1"/>
    <w:rsid w:val="002C47D3"/>
    <w:rsid w:val="002C5689"/>
    <w:rsid w:val="002C60EE"/>
    <w:rsid w:val="002C6599"/>
    <w:rsid w:val="002C732E"/>
    <w:rsid w:val="002C7C3B"/>
    <w:rsid w:val="002D1519"/>
    <w:rsid w:val="002D15FF"/>
    <w:rsid w:val="002D27BC"/>
    <w:rsid w:val="002D315C"/>
    <w:rsid w:val="002D3C7D"/>
    <w:rsid w:val="002D5087"/>
    <w:rsid w:val="002D5BD0"/>
    <w:rsid w:val="002D68E4"/>
    <w:rsid w:val="002D6BF5"/>
    <w:rsid w:val="002D715B"/>
    <w:rsid w:val="002D7851"/>
    <w:rsid w:val="002E01FC"/>
    <w:rsid w:val="002E11D4"/>
    <w:rsid w:val="002E2EDD"/>
    <w:rsid w:val="002E3EEF"/>
    <w:rsid w:val="002E4093"/>
    <w:rsid w:val="002E4A7B"/>
    <w:rsid w:val="002E501B"/>
    <w:rsid w:val="002E57D3"/>
    <w:rsid w:val="002E5EE9"/>
    <w:rsid w:val="002E75B8"/>
    <w:rsid w:val="002E7768"/>
    <w:rsid w:val="002E7A37"/>
    <w:rsid w:val="002F008C"/>
    <w:rsid w:val="002F1E0E"/>
    <w:rsid w:val="002F1F70"/>
    <w:rsid w:val="002F22A5"/>
    <w:rsid w:val="002F22CE"/>
    <w:rsid w:val="002F3AA2"/>
    <w:rsid w:val="002F49A7"/>
    <w:rsid w:val="002F4CBC"/>
    <w:rsid w:val="002F6F80"/>
    <w:rsid w:val="003002DD"/>
    <w:rsid w:val="00300595"/>
    <w:rsid w:val="003007D1"/>
    <w:rsid w:val="003014ED"/>
    <w:rsid w:val="00302386"/>
    <w:rsid w:val="00303F09"/>
    <w:rsid w:val="0030422C"/>
    <w:rsid w:val="00304275"/>
    <w:rsid w:val="0030562A"/>
    <w:rsid w:val="00306840"/>
    <w:rsid w:val="00306947"/>
    <w:rsid w:val="0031010F"/>
    <w:rsid w:val="0031042F"/>
    <w:rsid w:val="00310502"/>
    <w:rsid w:val="003115F2"/>
    <w:rsid w:val="00313FA4"/>
    <w:rsid w:val="00314F5F"/>
    <w:rsid w:val="003150A7"/>
    <w:rsid w:val="00316387"/>
    <w:rsid w:val="0031648E"/>
    <w:rsid w:val="003168F9"/>
    <w:rsid w:val="00316CC8"/>
    <w:rsid w:val="003170C8"/>
    <w:rsid w:val="003211B4"/>
    <w:rsid w:val="00321CC9"/>
    <w:rsid w:val="00321FE3"/>
    <w:rsid w:val="003228A0"/>
    <w:rsid w:val="00323A54"/>
    <w:rsid w:val="00324028"/>
    <w:rsid w:val="003244B6"/>
    <w:rsid w:val="00324A3F"/>
    <w:rsid w:val="00325044"/>
    <w:rsid w:val="0032742E"/>
    <w:rsid w:val="003276A7"/>
    <w:rsid w:val="00327943"/>
    <w:rsid w:val="00330E93"/>
    <w:rsid w:val="00331354"/>
    <w:rsid w:val="0033171C"/>
    <w:rsid w:val="003323A9"/>
    <w:rsid w:val="00333F33"/>
    <w:rsid w:val="00335C8A"/>
    <w:rsid w:val="00336175"/>
    <w:rsid w:val="00336C82"/>
    <w:rsid w:val="00336F27"/>
    <w:rsid w:val="00337117"/>
    <w:rsid w:val="00337349"/>
    <w:rsid w:val="003377A7"/>
    <w:rsid w:val="003379D3"/>
    <w:rsid w:val="00337D89"/>
    <w:rsid w:val="00340487"/>
    <w:rsid w:val="00340BED"/>
    <w:rsid w:val="00340C39"/>
    <w:rsid w:val="00345508"/>
    <w:rsid w:val="00350717"/>
    <w:rsid w:val="00352010"/>
    <w:rsid w:val="00352815"/>
    <w:rsid w:val="003539D0"/>
    <w:rsid w:val="00354763"/>
    <w:rsid w:val="003549FD"/>
    <w:rsid w:val="00355B1D"/>
    <w:rsid w:val="0035625E"/>
    <w:rsid w:val="003573FC"/>
    <w:rsid w:val="0036040E"/>
    <w:rsid w:val="00361841"/>
    <w:rsid w:val="00361D04"/>
    <w:rsid w:val="0036307E"/>
    <w:rsid w:val="0036383D"/>
    <w:rsid w:val="00363904"/>
    <w:rsid w:val="003641B5"/>
    <w:rsid w:val="00366843"/>
    <w:rsid w:val="003678B1"/>
    <w:rsid w:val="0037037E"/>
    <w:rsid w:val="003713AC"/>
    <w:rsid w:val="003715FF"/>
    <w:rsid w:val="003730FA"/>
    <w:rsid w:val="00373D86"/>
    <w:rsid w:val="00375162"/>
    <w:rsid w:val="00376B37"/>
    <w:rsid w:val="00376F69"/>
    <w:rsid w:val="003779B3"/>
    <w:rsid w:val="00380239"/>
    <w:rsid w:val="003833C2"/>
    <w:rsid w:val="00383FF4"/>
    <w:rsid w:val="00386339"/>
    <w:rsid w:val="00386852"/>
    <w:rsid w:val="00386F04"/>
    <w:rsid w:val="00387D94"/>
    <w:rsid w:val="00390C72"/>
    <w:rsid w:val="00391C24"/>
    <w:rsid w:val="00392E47"/>
    <w:rsid w:val="0039337B"/>
    <w:rsid w:val="003933FD"/>
    <w:rsid w:val="0039360E"/>
    <w:rsid w:val="003949D7"/>
    <w:rsid w:val="00396017"/>
    <w:rsid w:val="00396655"/>
    <w:rsid w:val="0039665E"/>
    <w:rsid w:val="00396953"/>
    <w:rsid w:val="003973F7"/>
    <w:rsid w:val="003A0154"/>
    <w:rsid w:val="003A1200"/>
    <w:rsid w:val="003A2B6A"/>
    <w:rsid w:val="003A2C18"/>
    <w:rsid w:val="003A328B"/>
    <w:rsid w:val="003A3470"/>
    <w:rsid w:val="003A34F9"/>
    <w:rsid w:val="003A369F"/>
    <w:rsid w:val="003A3CF2"/>
    <w:rsid w:val="003A4AC8"/>
    <w:rsid w:val="003B0000"/>
    <w:rsid w:val="003B0223"/>
    <w:rsid w:val="003B1EA6"/>
    <w:rsid w:val="003B2195"/>
    <w:rsid w:val="003B2879"/>
    <w:rsid w:val="003B2DA9"/>
    <w:rsid w:val="003B3002"/>
    <w:rsid w:val="003B31C3"/>
    <w:rsid w:val="003B5374"/>
    <w:rsid w:val="003B5E9D"/>
    <w:rsid w:val="003B7383"/>
    <w:rsid w:val="003B7C9A"/>
    <w:rsid w:val="003C2A19"/>
    <w:rsid w:val="003C321A"/>
    <w:rsid w:val="003C4C01"/>
    <w:rsid w:val="003C572F"/>
    <w:rsid w:val="003C7362"/>
    <w:rsid w:val="003C73CD"/>
    <w:rsid w:val="003C7A95"/>
    <w:rsid w:val="003C7DC3"/>
    <w:rsid w:val="003D138E"/>
    <w:rsid w:val="003D1824"/>
    <w:rsid w:val="003D23A7"/>
    <w:rsid w:val="003D3549"/>
    <w:rsid w:val="003D47F9"/>
    <w:rsid w:val="003D4976"/>
    <w:rsid w:val="003D4AF4"/>
    <w:rsid w:val="003D4E9B"/>
    <w:rsid w:val="003D4FB6"/>
    <w:rsid w:val="003D53FB"/>
    <w:rsid w:val="003D5F0F"/>
    <w:rsid w:val="003D60A0"/>
    <w:rsid w:val="003D60B3"/>
    <w:rsid w:val="003D6AB3"/>
    <w:rsid w:val="003D6CCE"/>
    <w:rsid w:val="003D76AF"/>
    <w:rsid w:val="003E00AE"/>
    <w:rsid w:val="003E1DA0"/>
    <w:rsid w:val="003E3DE8"/>
    <w:rsid w:val="003E47DB"/>
    <w:rsid w:val="003E5DBA"/>
    <w:rsid w:val="003E65FD"/>
    <w:rsid w:val="003E7211"/>
    <w:rsid w:val="003E774E"/>
    <w:rsid w:val="003F0E46"/>
    <w:rsid w:val="003F22E1"/>
    <w:rsid w:val="003F28E8"/>
    <w:rsid w:val="003F2CBF"/>
    <w:rsid w:val="003F2D93"/>
    <w:rsid w:val="003F3AE2"/>
    <w:rsid w:val="003F3CED"/>
    <w:rsid w:val="003F48AA"/>
    <w:rsid w:val="003F53BA"/>
    <w:rsid w:val="003F55EB"/>
    <w:rsid w:val="003F573A"/>
    <w:rsid w:val="003F5B15"/>
    <w:rsid w:val="003F6153"/>
    <w:rsid w:val="003F6447"/>
    <w:rsid w:val="003F783E"/>
    <w:rsid w:val="004008B6"/>
    <w:rsid w:val="00401F37"/>
    <w:rsid w:val="00403524"/>
    <w:rsid w:val="004035C5"/>
    <w:rsid w:val="0040403C"/>
    <w:rsid w:val="00405296"/>
    <w:rsid w:val="00405DAC"/>
    <w:rsid w:val="00405DC5"/>
    <w:rsid w:val="00405E19"/>
    <w:rsid w:val="00407D00"/>
    <w:rsid w:val="00407E4F"/>
    <w:rsid w:val="004109A0"/>
    <w:rsid w:val="00411EED"/>
    <w:rsid w:val="00413E17"/>
    <w:rsid w:val="00414B55"/>
    <w:rsid w:val="0041512F"/>
    <w:rsid w:val="00416018"/>
    <w:rsid w:val="00416BA1"/>
    <w:rsid w:val="00416F61"/>
    <w:rsid w:val="00417F90"/>
    <w:rsid w:val="00420B60"/>
    <w:rsid w:val="00420C8B"/>
    <w:rsid w:val="00422939"/>
    <w:rsid w:val="00422A43"/>
    <w:rsid w:val="00423788"/>
    <w:rsid w:val="00423D0D"/>
    <w:rsid w:val="00423DCD"/>
    <w:rsid w:val="00426900"/>
    <w:rsid w:val="00427374"/>
    <w:rsid w:val="00427866"/>
    <w:rsid w:val="00427C1C"/>
    <w:rsid w:val="004318FC"/>
    <w:rsid w:val="00431A1D"/>
    <w:rsid w:val="00431D61"/>
    <w:rsid w:val="00432541"/>
    <w:rsid w:val="00432C19"/>
    <w:rsid w:val="00432C91"/>
    <w:rsid w:val="0043303F"/>
    <w:rsid w:val="00434675"/>
    <w:rsid w:val="004346E7"/>
    <w:rsid w:val="00434AAF"/>
    <w:rsid w:val="0043591C"/>
    <w:rsid w:val="0043621F"/>
    <w:rsid w:val="00436CD8"/>
    <w:rsid w:val="00437FBF"/>
    <w:rsid w:val="00442420"/>
    <w:rsid w:val="00442D56"/>
    <w:rsid w:val="004434C3"/>
    <w:rsid w:val="00444805"/>
    <w:rsid w:val="0044487F"/>
    <w:rsid w:val="00446611"/>
    <w:rsid w:val="004472B9"/>
    <w:rsid w:val="004512D4"/>
    <w:rsid w:val="00452F69"/>
    <w:rsid w:val="00453234"/>
    <w:rsid w:val="0045324A"/>
    <w:rsid w:val="00453F48"/>
    <w:rsid w:val="004544E7"/>
    <w:rsid w:val="00454E73"/>
    <w:rsid w:val="00455460"/>
    <w:rsid w:val="00455C4B"/>
    <w:rsid w:val="0046399A"/>
    <w:rsid w:val="004644CF"/>
    <w:rsid w:val="004659B5"/>
    <w:rsid w:val="0047043A"/>
    <w:rsid w:val="00470B46"/>
    <w:rsid w:val="004716DF"/>
    <w:rsid w:val="00471B30"/>
    <w:rsid w:val="00472991"/>
    <w:rsid w:val="00473022"/>
    <w:rsid w:val="004734D5"/>
    <w:rsid w:val="00474902"/>
    <w:rsid w:val="00476134"/>
    <w:rsid w:val="00477787"/>
    <w:rsid w:val="00482401"/>
    <w:rsid w:val="00483AD9"/>
    <w:rsid w:val="00485051"/>
    <w:rsid w:val="004854A1"/>
    <w:rsid w:val="0048567C"/>
    <w:rsid w:val="00485E81"/>
    <w:rsid w:val="004861B9"/>
    <w:rsid w:val="0048669F"/>
    <w:rsid w:val="00492A90"/>
    <w:rsid w:val="00493290"/>
    <w:rsid w:val="00493427"/>
    <w:rsid w:val="004935E3"/>
    <w:rsid w:val="004956C3"/>
    <w:rsid w:val="00495793"/>
    <w:rsid w:val="00495EC8"/>
    <w:rsid w:val="00495FFF"/>
    <w:rsid w:val="0049649A"/>
    <w:rsid w:val="00496619"/>
    <w:rsid w:val="00496D70"/>
    <w:rsid w:val="004A0201"/>
    <w:rsid w:val="004A0297"/>
    <w:rsid w:val="004A1E09"/>
    <w:rsid w:val="004A20B0"/>
    <w:rsid w:val="004A3B8E"/>
    <w:rsid w:val="004A40A0"/>
    <w:rsid w:val="004B006E"/>
    <w:rsid w:val="004B1475"/>
    <w:rsid w:val="004B2BDF"/>
    <w:rsid w:val="004B362C"/>
    <w:rsid w:val="004B47A0"/>
    <w:rsid w:val="004B67D5"/>
    <w:rsid w:val="004B720C"/>
    <w:rsid w:val="004C058E"/>
    <w:rsid w:val="004C0A13"/>
    <w:rsid w:val="004C0BEF"/>
    <w:rsid w:val="004C10CA"/>
    <w:rsid w:val="004C2415"/>
    <w:rsid w:val="004C2E5B"/>
    <w:rsid w:val="004C38CF"/>
    <w:rsid w:val="004C3FE1"/>
    <w:rsid w:val="004C4559"/>
    <w:rsid w:val="004C4CD1"/>
    <w:rsid w:val="004C6D44"/>
    <w:rsid w:val="004C7E6D"/>
    <w:rsid w:val="004D0952"/>
    <w:rsid w:val="004D1525"/>
    <w:rsid w:val="004D1B80"/>
    <w:rsid w:val="004D1C10"/>
    <w:rsid w:val="004D230E"/>
    <w:rsid w:val="004D477A"/>
    <w:rsid w:val="004D665D"/>
    <w:rsid w:val="004D7275"/>
    <w:rsid w:val="004E1D5F"/>
    <w:rsid w:val="004E1D8B"/>
    <w:rsid w:val="004E31E3"/>
    <w:rsid w:val="004E495B"/>
    <w:rsid w:val="004E49F8"/>
    <w:rsid w:val="004E5B17"/>
    <w:rsid w:val="004E7479"/>
    <w:rsid w:val="004E75FF"/>
    <w:rsid w:val="004E77DD"/>
    <w:rsid w:val="004F0088"/>
    <w:rsid w:val="004F0C36"/>
    <w:rsid w:val="004F1CDE"/>
    <w:rsid w:val="004F25A5"/>
    <w:rsid w:val="004F3723"/>
    <w:rsid w:val="004F3D33"/>
    <w:rsid w:val="004F6840"/>
    <w:rsid w:val="004F6FC3"/>
    <w:rsid w:val="004F738C"/>
    <w:rsid w:val="00500377"/>
    <w:rsid w:val="00500731"/>
    <w:rsid w:val="00500B76"/>
    <w:rsid w:val="00500F38"/>
    <w:rsid w:val="00501453"/>
    <w:rsid w:val="00502110"/>
    <w:rsid w:val="00502A9A"/>
    <w:rsid w:val="00503AB2"/>
    <w:rsid w:val="0050495B"/>
    <w:rsid w:val="005052EE"/>
    <w:rsid w:val="00507323"/>
    <w:rsid w:val="00516927"/>
    <w:rsid w:val="00522A9E"/>
    <w:rsid w:val="0052386A"/>
    <w:rsid w:val="00523AD3"/>
    <w:rsid w:val="00525E75"/>
    <w:rsid w:val="005305A8"/>
    <w:rsid w:val="00531032"/>
    <w:rsid w:val="005320D6"/>
    <w:rsid w:val="00532264"/>
    <w:rsid w:val="0053332A"/>
    <w:rsid w:val="00533ABD"/>
    <w:rsid w:val="00533B7B"/>
    <w:rsid w:val="0053419E"/>
    <w:rsid w:val="00534E06"/>
    <w:rsid w:val="00535C80"/>
    <w:rsid w:val="00535DA8"/>
    <w:rsid w:val="00535E8C"/>
    <w:rsid w:val="00537AAC"/>
    <w:rsid w:val="0054182E"/>
    <w:rsid w:val="005473AB"/>
    <w:rsid w:val="00547935"/>
    <w:rsid w:val="0055093E"/>
    <w:rsid w:val="0055095B"/>
    <w:rsid w:val="00551508"/>
    <w:rsid w:val="005516FA"/>
    <w:rsid w:val="00551AD0"/>
    <w:rsid w:val="0055438C"/>
    <w:rsid w:val="005544E9"/>
    <w:rsid w:val="0055572B"/>
    <w:rsid w:val="005567BB"/>
    <w:rsid w:val="0055736D"/>
    <w:rsid w:val="00557BDC"/>
    <w:rsid w:val="00561A2E"/>
    <w:rsid w:val="00562096"/>
    <w:rsid w:val="0056224E"/>
    <w:rsid w:val="005624C2"/>
    <w:rsid w:val="00562E60"/>
    <w:rsid w:val="0056568C"/>
    <w:rsid w:val="00565D8F"/>
    <w:rsid w:val="005662A6"/>
    <w:rsid w:val="00566737"/>
    <w:rsid w:val="00566B7D"/>
    <w:rsid w:val="00571107"/>
    <w:rsid w:val="00572184"/>
    <w:rsid w:val="0057281D"/>
    <w:rsid w:val="005733CF"/>
    <w:rsid w:val="00573434"/>
    <w:rsid w:val="005737AE"/>
    <w:rsid w:val="00574993"/>
    <w:rsid w:val="0057622A"/>
    <w:rsid w:val="005766B2"/>
    <w:rsid w:val="00577FCB"/>
    <w:rsid w:val="005803FF"/>
    <w:rsid w:val="00581468"/>
    <w:rsid w:val="00581792"/>
    <w:rsid w:val="00582A74"/>
    <w:rsid w:val="00584B11"/>
    <w:rsid w:val="00585F6F"/>
    <w:rsid w:val="005878E1"/>
    <w:rsid w:val="00590BC6"/>
    <w:rsid w:val="005910CB"/>
    <w:rsid w:val="00592BEC"/>
    <w:rsid w:val="005934D4"/>
    <w:rsid w:val="00595DD6"/>
    <w:rsid w:val="00596704"/>
    <w:rsid w:val="00597265"/>
    <w:rsid w:val="005A1F73"/>
    <w:rsid w:val="005A33C9"/>
    <w:rsid w:val="005A3AE0"/>
    <w:rsid w:val="005A3C71"/>
    <w:rsid w:val="005A3ECC"/>
    <w:rsid w:val="005A414B"/>
    <w:rsid w:val="005A4D55"/>
    <w:rsid w:val="005A6032"/>
    <w:rsid w:val="005A6C5E"/>
    <w:rsid w:val="005A74EB"/>
    <w:rsid w:val="005B1DBC"/>
    <w:rsid w:val="005B2CE5"/>
    <w:rsid w:val="005B2E68"/>
    <w:rsid w:val="005B2EA2"/>
    <w:rsid w:val="005B2FF3"/>
    <w:rsid w:val="005B31C0"/>
    <w:rsid w:val="005B4290"/>
    <w:rsid w:val="005B55E7"/>
    <w:rsid w:val="005B5EAE"/>
    <w:rsid w:val="005B6130"/>
    <w:rsid w:val="005B6991"/>
    <w:rsid w:val="005C1616"/>
    <w:rsid w:val="005C291B"/>
    <w:rsid w:val="005C3D8A"/>
    <w:rsid w:val="005C5742"/>
    <w:rsid w:val="005C7A4C"/>
    <w:rsid w:val="005D0457"/>
    <w:rsid w:val="005D10E7"/>
    <w:rsid w:val="005D1579"/>
    <w:rsid w:val="005D34D7"/>
    <w:rsid w:val="005D3AC4"/>
    <w:rsid w:val="005D4AF3"/>
    <w:rsid w:val="005D5C65"/>
    <w:rsid w:val="005D6A41"/>
    <w:rsid w:val="005E0DFF"/>
    <w:rsid w:val="005E0F9D"/>
    <w:rsid w:val="005E147D"/>
    <w:rsid w:val="005E19E9"/>
    <w:rsid w:val="005E35CC"/>
    <w:rsid w:val="005E5121"/>
    <w:rsid w:val="005E6395"/>
    <w:rsid w:val="005E6DD9"/>
    <w:rsid w:val="005E6F58"/>
    <w:rsid w:val="005E7147"/>
    <w:rsid w:val="005E7E49"/>
    <w:rsid w:val="005F009C"/>
    <w:rsid w:val="005F0A36"/>
    <w:rsid w:val="005F1BB7"/>
    <w:rsid w:val="005F47BB"/>
    <w:rsid w:val="005F53F3"/>
    <w:rsid w:val="005F5B92"/>
    <w:rsid w:val="005F6414"/>
    <w:rsid w:val="00600E05"/>
    <w:rsid w:val="006014AA"/>
    <w:rsid w:val="00601829"/>
    <w:rsid w:val="00602A71"/>
    <w:rsid w:val="00602CBE"/>
    <w:rsid w:val="006037AD"/>
    <w:rsid w:val="00612ADE"/>
    <w:rsid w:val="0061338F"/>
    <w:rsid w:val="00614AFB"/>
    <w:rsid w:val="00616FF0"/>
    <w:rsid w:val="006171A5"/>
    <w:rsid w:val="00620A2F"/>
    <w:rsid w:val="00621322"/>
    <w:rsid w:val="00622297"/>
    <w:rsid w:val="00624A1C"/>
    <w:rsid w:val="00625126"/>
    <w:rsid w:val="006251CD"/>
    <w:rsid w:val="0062579A"/>
    <w:rsid w:val="00625BEB"/>
    <w:rsid w:val="00626633"/>
    <w:rsid w:val="0062688B"/>
    <w:rsid w:val="0062752D"/>
    <w:rsid w:val="00630901"/>
    <w:rsid w:val="00631205"/>
    <w:rsid w:val="00631F4E"/>
    <w:rsid w:val="00633079"/>
    <w:rsid w:val="006331AD"/>
    <w:rsid w:val="00633AD2"/>
    <w:rsid w:val="006355E4"/>
    <w:rsid w:val="00636E7F"/>
    <w:rsid w:val="0064183F"/>
    <w:rsid w:val="00642F98"/>
    <w:rsid w:val="00644B6B"/>
    <w:rsid w:val="00647583"/>
    <w:rsid w:val="0065022B"/>
    <w:rsid w:val="00650E9C"/>
    <w:rsid w:val="00651657"/>
    <w:rsid w:val="00651669"/>
    <w:rsid w:val="006522B6"/>
    <w:rsid w:val="006522DC"/>
    <w:rsid w:val="0065469D"/>
    <w:rsid w:val="00654B6F"/>
    <w:rsid w:val="006552BA"/>
    <w:rsid w:val="006553A1"/>
    <w:rsid w:val="00655813"/>
    <w:rsid w:val="00657C68"/>
    <w:rsid w:val="00661413"/>
    <w:rsid w:val="006626E5"/>
    <w:rsid w:val="00663078"/>
    <w:rsid w:val="00670DBE"/>
    <w:rsid w:val="00673338"/>
    <w:rsid w:val="00674515"/>
    <w:rsid w:val="00674617"/>
    <w:rsid w:val="00675C16"/>
    <w:rsid w:val="006770D5"/>
    <w:rsid w:val="0067746B"/>
    <w:rsid w:val="00677EA0"/>
    <w:rsid w:val="00680653"/>
    <w:rsid w:val="006817A4"/>
    <w:rsid w:val="0068325A"/>
    <w:rsid w:val="00683E73"/>
    <w:rsid w:val="00683F5F"/>
    <w:rsid w:val="006840BD"/>
    <w:rsid w:val="006851C7"/>
    <w:rsid w:val="0068758D"/>
    <w:rsid w:val="00691B4A"/>
    <w:rsid w:val="00692691"/>
    <w:rsid w:val="00692D0C"/>
    <w:rsid w:val="00693C5C"/>
    <w:rsid w:val="0069478A"/>
    <w:rsid w:val="006947F0"/>
    <w:rsid w:val="00695558"/>
    <w:rsid w:val="006A0A5A"/>
    <w:rsid w:val="006A126F"/>
    <w:rsid w:val="006A239F"/>
    <w:rsid w:val="006A2B43"/>
    <w:rsid w:val="006A2F2F"/>
    <w:rsid w:val="006A4542"/>
    <w:rsid w:val="006A55F5"/>
    <w:rsid w:val="006A60DE"/>
    <w:rsid w:val="006B28D3"/>
    <w:rsid w:val="006B39E7"/>
    <w:rsid w:val="006B3D5A"/>
    <w:rsid w:val="006B3EBA"/>
    <w:rsid w:val="006B4EC9"/>
    <w:rsid w:val="006B500C"/>
    <w:rsid w:val="006B5186"/>
    <w:rsid w:val="006B63C6"/>
    <w:rsid w:val="006B6DF3"/>
    <w:rsid w:val="006B7607"/>
    <w:rsid w:val="006B7E81"/>
    <w:rsid w:val="006C2321"/>
    <w:rsid w:val="006C256A"/>
    <w:rsid w:val="006C2B4B"/>
    <w:rsid w:val="006C44B6"/>
    <w:rsid w:val="006C582D"/>
    <w:rsid w:val="006C5B16"/>
    <w:rsid w:val="006C5F1C"/>
    <w:rsid w:val="006C67C9"/>
    <w:rsid w:val="006C6E21"/>
    <w:rsid w:val="006D0CB4"/>
    <w:rsid w:val="006D117E"/>
    <w:rsid w:val="006D2BD6"/>
    <w:rsid w:val="006D3789"/>
    <w:rsid w:val="006D4C0F"/>
    <w:rsid w:val="006D681A"/>
    <w:rsid w:val="006E0A98"/>
    <w:rsid w:val="006E1F2E"/>
    <w:rsid w:val="006E23B3"/>
    <w:rsid w:val="006E3CF5"/>
    <w:rsid w:val="006E45CC"/>
    <w:rsid w:val="006E54DE"/>
    <w:rsid w:val="006E632C"/>
    <w:rsid w:val="006E7132"/>
    <w:rsid w:val="006F0487"/>
    <w:rsid w:val="006F0C6F"/>
    <w:rsid w:val="006F1ADA"/>
    <w:rsid w:val="006F286C"/>
    <w:rsid w:val="006F2C2F"/>
    <w:rsid w:val="006F3A42"/>
    <w:rsid w:val="006F47B9"/>
    <w:rsid w:val="006F4DB2"/>
    <w:rsid w:val="006F5C70"/>
    <w:rsid w:val="006F6DBE"/>
    <w:rsid w:val="007002AB"/>
    <w:rsid w:val="0070170A"/>
    <w:rsid w:val="007056D1"/>
    <w:rsid w:val="00706452"/>
    <w:rsid w:val="00706AE8"/>
    <w:rsid w:val="00706BE1"/>
    <w:rsid w:val="00711DAE"/>
    <w:rsid w:val="00712ABE"/>
    <w:rsid w:val="00713480"/>
    <w:rsid w:val="00713E81"/>
    <w:rsid w:val="007144B2"/>
    <w:rsid w:val="00714CC9"/>
    <w:rsid w:val="00715287"/>
    <w:rsid w:val="00717926"/>
    <w:rsid w:val="00720138"/>
    <w:rsid w:val="00720358"/>
    <w:rsid w:val="00720808"/>
    <w:rsid w:val="00720DAD"/>
    <w:rsid w:val="007220DD"/>
    <w:rsid w:val="007224AB"/>
    <w:rsid w:val="007225EB"/>
    <w:rsid w:val="007230A9"/>
    <w:rsid w:val="00723107"/>
    <w:rsid w:val="0072448C"/>
    <w:rsid w:val="00725509"/>
    <w:rsid w:val="00725757"/>
    <w:rsid w:val="00726907"/>
    <w:rsid w:val="00726B52"/>
    <w:rsid w:val="00727277"/>
    <w:rsid w:val="0073068F"/>
    <w:rsid w:val="00730C2E"/>
    <w:rsid w:val="0073160F"/>
    <w:rsid w:val="007318C4"/>
    <w:rsid w:val="00731DB3"/>
    <w:rsid w:val="00734145"/>
    <w:rsid w:val="00734978"/>
    <w:rsid w:val="00735008"/>
    <w:rsid w:val="00735592"/>
    <w:rsid w:val="00735FD1"/>
    <w:rsid w:val="00736EE3"/>
    <w:rsid w:val="0073768C"/>
    <w:rsid w:val="007378C3"/>
    <w:rsid w:val="00737BDC"/>
    <w:rsid w:val="00737F01"/>
    <w:rsid w:val="007419B3"/>
    <w:rsid w:val="00742429"/>
    <w:rsid w:val="00742F76"/>
    <w:rsid w:val="00743E20"/>
    <w:rsid w:val="007444D2"/>
    <w:rsid w:val="00744593"/>
    <w:rsid w:val="00744D00"/>
    <w:rsid w:val="00745077"/>
    <w:rsid w:val="007452FA"/>
    <w:rsid w:val="0074706E"/>
    <w:rsid w:val="007478E1"/>
    <w:rsid w:val="00747A02"/>
    <w:rsid w:val="007505A4"/>
    <w:rsid w:val="00750DD3"/>
    <w:rsid w:val="00751769"/>
    <w:rsid w:val="00751B4E"/>
    <w:rsid w:val="0075322F"/>
    <w:rsid w:val="007538C4"/>
    <w:rsid w:val="00753B11"/>
    <w:rsid w:val="00753CB0"/>
    <w:rsid w:val="00754D55"/>
    <w:rsid w:val="007559A1"/>
    <w:rsid w:val="007562E9"/>
    <w:rsid w:val="00756454"/>
    <w:rsid w:val="00760A5D"/>
    <w:rsid w:val="00762883"/>
    <w:rsid w:val="00763737"/>
    <w:rsid w:val="00763BF9"/>
    <w:rsid w:val="00764B14"/>
    <w:rsid w:val="00765496"/>
    <w:rsid w:val="007658F4"/>
    <w:rsid w:val="007672EF"/>
    <w:rsid w:val="007703A2"/>
    <w:rsid w:val="007706E4"/>
    <w:rsid w:val="00770985"/>
    <w:rsid w:val="00770DFF"/>
    <w:rsid w:val="00772365"/>
    <w:rsid w:val="007733A9"/>
    <w:rsid w:val="007737DA"/>
    <w:rsid w:val="007757F0"/>
    <w:rsid w:val="00777796"/>
    <w:rsid w:val="00780902"/>
    <w:rsid w:val="00781C6C"/>
    <w:rsid w:val="007826B3"/>
    <w:rsid w:val="00784426"/>
    <w:rsid w:val="0078534E"/>
    <w:rsid w:val="00793803"/>
    <w:rsid w:val="007944C0"/>
    <w:rsid w:val="00794C83"/>
    <w:rsid w:val="00795828"/>
    <w:rsid w:val="0079595B"/>
    <w:rsid w:val="007971FD"/>
    <w:rsid w:val="00797C03"/>
    <w:rsid w:val="00797E83"/>
    <w:rsid w:val="00797EAC"/>
    <w:rsid w:val="007A0833"/>
    <w:rsid w:val="007A0A4E"/>
    <w:rsid w:val="007A1464"/>
    <w:rsid w:val="007A2916"/>
    <w:rsid w:val="007A41BB"/>
    <w:rsid w:val="007A6267"/>
    <w:rsid w:val="007A6EA5"/>
    <w:rsid w:val="007A7E77"/>
    <w:rsid w:val="007A7FCB"/>
    <w:rsid w:val="007B0794"/>
    <w:rsid w:val="007B0CFD"/>
    <w:rsid w:val="007B0D2E"/>
    <w:rsid w:val="007B1165"/>
    <w:rsid w:val="007B2BDD"/>
    <w:rsid w:val="007B2D17"/>
    <w:rsid w:val="007B2E4F"/>
    <w:rsid w:val="007B3874"/>
    <w:rsid w:val="007B3A7F"/>
    <w:rsid w:val="007B3E01"/>
    <w:rsid w:val="007B3EF6"/>
    <w:rsid w:val="007B651A"/>
    <w:rsid w:val="007B7CF3"/>
    <w:rsid w:val="007C0B81"/>
    <w:rsid w:val="007C0FFF"/>
    <w:rsid w:val="007C293D"/>
    <w:rsid w:val="007C40A6"/>
    <w:rsid w:val="007C4CD3"/>
    <w:rsid w:val="007C5437"/>
    <w:rsid w:val="007C5953"/>
    <w:rsid w:val="007C6D7B"/>
    <w:rsid w:val="007D0188"/>
    <w:rsid w:val="007D069D"/>
    <w:rsid w:val="007D50E1"/>
    <w:rsid w:val="007D5588"/>
    <w:rsid w:val="007D6CE6"/>
    <w:rsid w:val="007E0E78"/>
    <w:rsid w:val="007E14BD"/>
    <w:rsid w:val="007E240A"/>
    <w:rsid w:val="007E298C"/>
    <w:rsid w:val="007E507D"/>
    <w:rsid w:val="007E526B"/>
    <w:rsid w:val="007F04EF"/>
    <w:rsid w:val="007F5E58"/>
    <w:rsid w:val="007F6129"/>
    <w:rsid w:val="007F7B55"/>
    <w:rsid w:val="007F7BC8"/>
    <w:rsid w:val="008034ED"/>
    <w:rsid w:val="008037E6"/>
    <w:rsid w:val="00803F9E"/>
    <w:rsid w:val="008049E7"/>
    <w:rsid w:val="0080729D"/>
    <w:rsid w:val="00807A59"/>
    <w:rsid w:val="008104E3"/>
    <w:rsid w:val="0081058C"/>
    <w:rsid w:val="00812312"/>
    <w:rsid w:val="008132C5"/>
    <w:rsid w:val="00814DBE"/>
    <w:rsid w:val="008150B5"/>
    <w:rsid w:val="00815208"/>
    <w:rsid w:val="008161CC"/>
    <w:rsid w:val="008162A9"/>
    <w:rsid w:val="00821998"/>
    <w:rsid w:val="00821D09"/>
    <w:rsid w:val="00821D2B"/>
    <w:rsid w:val="00821F09"/>
    <w:rsid w:val="0082260C"/>
    <w:rsid w:val="00823DDD"/>
    <w:rsid w:val="00825CDB"/>
    <w:rsid w:val="008276AE"/>
    <w:rsid w:val="00830781"/>
    <w:rsid w:val="00830D67"/>
    <w:rsid w:val="00832232"/>
    <w:rsid w:val="00832312"/>
    <w:rsid w:val="008326F0"/>
    <w:rsid w:val="00833CCA"/>
    <w:rsid w:val="008342EC"/>
    <w:rsid w:val="008342F3"/>
    <w:rsid w:val="0083605E"/>
    <w:rsid w:val="00840118"/>
    <w:rsid w:val="00840371"/>
    <w:rsid w:val="00842B18"/>
    <w:rsid w:val="00842FC7"/>
    <w:rsid w:val="008436CE"/>
    <w:rsid w:val="00844612"/>
    <w:rsid w:val="00844E62"/>
    <w:rsid w:val="00844FB8"/>
    <w:rsid w:val="00845546"/>
    <w:rsid w:val="0084587B"/>
    <w:rsid w:val="00853110"/>
    <w:rsid w:val="0085326C"/>
    <w:rsid w:val="0085367F"/>
    <w:rsid w:val="00854DA1"/>
    <w:rsid w:val="00856896"/>
    <w:rsid w:val="00856ABA"/>
    <w:rsid w:val="0085733D"/>
    <w:rsid w:val="008576AF"/>
    <w:rsid w:val="00861532"/>
    <w:rsid w:val="00861F11"/>
    <w:rsid w:val="00863B49"/>
    <w:rsid w:val="00863F67"/>
    <w:rsid w:val="0086661D"/>
    <w:rsid w:val="00870274"/>
    <w:rsid w:val="00870DF1"/>
    <w:rsid w:val="00871125"/>
    <w:rsid w:val="00871811"/>
    <w:rsid w:val="00871DB1"/>
    <w:rsid w:val="008722AE"/>
    <w:rsid w:val="00872F4A"/>
    <w:rsid w:val="008739E2"/>
    <w:rsid w:val="00873BA1"/>
    <w:rsid w:val="008742E4"/>
    <w:rsid w:val="00876498"/>
    <w:rsid w:val="00877555"/>
    <w:rsid w:val="00881A90"/>
    <w:rsid w:val="008825C4"/>
    <w:rsid w:val="008835A8"/>
    <w:rsid w:val="00884E2B"/>
    <w:rsid w:val="00885193"/>
    <w:rsid w:val="00885DB2"/>
    <w:rsid w:val="008860C9"/>
    <w:rsid w:val="00886271"/>
    <w:rsid w:val="008863B1"/>
    <w:rsid w:val="008872A6"/>
    <w:rsid w:val="00887680"/>
    <w:rsid w:val="00890E03"/>
    <w:rsid w:val="0089304C"/>
    <w:rsid w:val="00893291"/>
    <w:rsid w:val="0089370E"/>
    <w:rsid w:val="00894CAE"/>
    <w:rsid w:val="0089622C"/>
    <w:rsid w:val="0089651C"/>
    <w:rsid w:val="00896665"/>
    <w:rsid w:val="0089748C"/>
    <w:rsid w:val="008A1FF8"/>
    <w:rsid w:val="008A30D7"/>
    <w:rsid w:val="008A4D55"/>
    <w:rsid w:val="008A6A99"/>
    <w:rsid w:val="008A74D2"/>
    <w:rsid w:val="008B14F1"/>
    <w:rsid w:val="008B3263"/>
    <w:rsid w:val="008B349D"/>
    <w:rsid w:val="008B6059"/>
    <w:rsid w:val="008B7D3B"/>
    <w:rsid w:val="008C1374"/>
    <w:rsid w:val="008C21BD"/>
    <w:rsid w:val="008C3660"/>
    <w:rsid w:val="008C393E"/>
    <w:rsid w:val="008C4C40"/>
    <w:rsid w:val="008C5E2E"/>
    <w:rsid w:val="008C68DF"/>
    <w:rsid w:val="008C6E42"/>
    <w:rsid w:val="008D079A"/>
    <w:rsid w:val="008D1F7B"/>
    <w:rsid w:val="008D20D7"/>
    <w:rsid w:val="008D2F26"/>
    <w:rsid w:val="008D2F3C"/>
    <w:rsid w:val="008D32F4"/>
    <w:rsid w:val="008D3FA2"/>
    <w:rsid w:val="008D5B46"/>
    <w:rsid w:val="008D5CF8"/>
    <w:rsid w:val="008D63B0"/>
    <w:rsid w:val="008D6CE9"/>
    <w:rsid w:val="008D7A40"/>
    <w:rsid w:val="008E14A3"/>
    <w:rsid w:val="008E18F2"/>
    <w:rsid w:val="008E283D"/>
    <w:rsid w:val="008E2E55"/>
    <w:rsid w:val="008E3AD6"/>
    <w:rsid w:val="008E7200"/>
    <w:rsid w:val="008E7885"/>
    <w:rsid w:val="008F21B3"/>
    <w:rsid w:val="008F3810"/>
    <w:rsid w:val="008F460E"/>
    <w:rsid w:val="008F6CC4"/>
    <w:rsid w:val="008F72D0"/>
    <w:rsid w:val="00901B39"/>
    <w:rsid w:val="00903743"/>
    <w:rsid w:val="00903EEE"/>
    <w:rsid w:val="00904E62"/>
    <w:rsid w:val="00905710"/>
    <w:rsid w:val="00905CAD"/>
    <w:rsid w:val="00907725"/>
    <w:rsid w:val="0091096C"/>
    <w:rsid w:val="00910A3A"/>
    <w:rsid w:val="00912937"/>
    <w:rsid w:val="0091293C"/>
    <w:rsid w:val="00912FA5"/>
    <w:rsid w:val="00913341"/>
    <w:rsid w:val="009134FF"/>
    <w:rsid w:val="00913D9B"/>
    <w:rsid w:val="009153EF"/>
    <w:rsid w:val="00916C2B"/>
    <w:rsid w:val="00916FAE"/>
    <w:rsid w:val="00917929"/>
    <w:rsid w:val="009205E2"/>
    <w:rsid w:val="00920F63"/>
    <w:rsid w:val="00921284"/>
    <w:rsid w:val="00921598"/>
    <w:rsid w:val="0092232A"/>
    <w:rsid w:val="00924918"/>
    <w:rsid w:val="009263A7"/>
    <w:rsid w:val="00930684"/>
    <w:rsid w:val="009315AF"/>
    <w:rsid w:val="009316E6"/>
    <w:rsid w:val="00931F80"/>
    <w:rsid w:val="0093380C"/>
    <w:rsid w:val="00933D7D"/>
    <w:rsid w:val="00933F09"/>
    <w:rsid w:val="00935918"/>
    <w:rsid w:val="00936129"/>
    <w:rsid w:val="00936FEF"/>
    <w:rsid w:val="00940E4B"/>
    <w:rsid w:val="009417A1"/>
    <w:rsid w:val="00941A53"/>
    <w:rsid w:val="009439F1"/>
    <w:rsid w:val="00943D11"/>
    <w:rsid w:val="009442E5"/>
    <w:rsid w:val="00944CBB"/>
    <w:rsid w:val="009458F9"/>
    <w:rsid w:val="00945EB2"/>
    <w:rsid w:val="0094604E"/>
    <w:rsid w:val="009460D7"/>
    <w:rsid w:val="00946987"/>
    <w:rsid w:val="00950C57"/>
    <w:rsid w:val="0095110B"/>
    <w:rsid w:val="00952534"/>
    <w:rsid w:val="00952A77"/>
    <w:rsid w:val="0095423A"/>
    <w:rsid w:val="0095466D"/>
    <w:rsid w:val="0095573F"/>
    <w:rsid w:val="00956C11"/>
    <w:rsid w:val="0095769A"/>
    <w:rsid w:val="00960783"/>
    <w:rsid w:val="00961FFF"/>
    <w:rsid w:val="00962080"/>
    <w:rsid w:val="00962654"/>
    <w:rsid w:val="0096288A"/>
    <w:rsid w:val="00963208"/>
    <w:rsid w:val="00965F3E"/>
    <w:rsid w:val="009664E2"/>
    <w:rsid w:val="0096716E"/>
    <w:rsid w:val="00967DD3"/>
    <w:rsid w:val="009702FF"/>
    <w:rsid w:val="009704CA"/>
    <w:rsid w:val="009707C7"/>
    <w:rsid w:val="009718C6"/>
    <w:rsid w:val="0097288D"/>
    <w:rsid w:val="00972EFA"/>
    <w:rsid w:val="00973CED"/>
    <w:rsid w:val="009740D2"/>
    <w:rsid w:val="00974A7C"/>
    <w:rsid w:val="00975AE1"/>
    <w:rsid w:val="0097612C"/>
    <w:rsid w:val="00976730"/>
    <w:rsid w:val="0097718F"/>
    <w:rsid w:val="00977D33"/>
    <w:rsid w:val="00980DD4"/>
    <w:rsid w:val="00982A0C"/>
    <w:rsid w:val="009833A3"/>
    <w:rsid w:val="00986056"/>
    <w:rsid w:val="009861FF"/>
    <w:rsid w:val="00987452"/>
    <w:rsid w:val="009878F3"/>
    <w:rsid w:val="0099019B"/>
    <w:rsid w:val="009908E5"/>
    <w:rsid w:val="00990CBB"/>
    <w:rsid w:val="00990CFF"/>
    <w:rsid w:val="00990E86"/>
    <w:rsid w:val="00991291"/>
    <w:rsid w:val="00992650"/>
    <w:rsid w:val="00993F4B"/>
    <w:rsid w:val="00995B8A"/>
    <w:rsid w:val="00996FD7"/>
    <w:rsid w:val="00997BD5"/>
    <w:rsid w:val="00997D85"/>
    <w:rsid w:val="009A0394"/>
    <w:rsid w:val="009A0967"/>
    <w:rsid w:val="009A0A0A"/>
    <w:rsid w:val="009A186B"/>
    <w:rsid w:val="009A3356"/>
    <w:rsid w:val="009A3F14"/>
    <w:rsid w:val="009A4DF6"/>
    <w:rsid w:val="009A4ECA"/>
    <w:rsid w:val="009A7FD0"/>
    <w:rsid w:val="009B0687"/>
    <w:rsid w:val="009B14ED"/>
    <w:rsid w:val="009B4707"/>
    <w:rsid w:val="009B5ADD"/>
    <w:rsid w:val="009B6EF4"/>
    <w:rsid w:val="009C2FD9"/>
    <w:rsid w:val="009C458C"/>
    <w:rsid w:val="009C5180"/>
    <w:rsid w:val="009C5DF7"/>
    <w:rsid w:val="009C6851"/>
    <w:rsid w:val="009C6D49"/>
    <w:rsid w:val="009C76B4"/>
    <w:rsid w:val="009C7E2A"/>
    <w:rsid w:val="009D04A7"/>
    <w:rsid w:val="009D19AC"/>
    <w:rsid w:val="009D3D31"/>
    <w:rsid w:val="009D4F97"/>
    <w:rsid w:val="009D51A9"/>
    <w:rsid w:val="009D586F"/>
    <w:rsid w:val="009D5F9C"/>
    <w:rsid w:val="009D795C"/>
    <w:rsid w:val="009E0AC7"/>
    <w:rsid w:val="009E0C4B"/>
    <w:rsid w:val="009E1369"/>
    <w:rsid w:val="009E2EC5"/>
    <w:rsid w:val="009E3587"/>
    <w:rsid w:val="009E5D19"/>
    <w:rsid w:val="009E6376"/>
    <w:rsid w:val="009E660F"/>
    <w:rsid w:val="009F0156"/>
    <w:rsid w:val="009F0C95"/>
    <w:rsid w:val="009F0CAA"/>
    <w:rsid w:val="009F1DF1"/>
    <w:rsid w:val="009F2661"/>
    <w:rsid w:val="009F2CE1"/>
    <w:rsid w:val="009F2F51"/>
    <w:rsid w:val="009F330F"/>
    <w:rsid w:val="009F3946"/>
    <w:rsid w:val="009F3FC6"/>
    <w:rsid w:val="009F5748"/>
    <w:rsid w:val="009F57AD"/>
    <w:rsid w:val="009F67DB"/>
    <w:rsid w:val="009F6A12"/>
    <w:rsid w:val="009F7E2E"/>
    <w:rsid w:val="00A00871"/>
    <w:rsid w:val="00A03E28"/>
    <w:rsid w:val="00A063F6"/>
    <w:rsid w:val="00A104ED"/>
    <w:rsid w:val="00A10A25"/>
    <w:rsid w:val="00A10B17"/>
    <w:rsid w:val="00A12003"/>
    <w:rsid w:val="00A14BD5"/>
    <w:rsid w:val="00A16839"/>
    <w:rsid w:val="00A171EA"/>
    <w:rsid w:val="00A17F82"/>
    <w:rsid w:val="00A205AD"/>
    <w:rsid w:val="00A212BB"/>
    <w:rsid w:val="00A223D2"/>
    <w:rsid w:val="00A23830"/>
    <w:rsid w:val="00A23AB9"/>
    <w:rsid w:val="00A241CC"/>
    <w:rsid w:val="00A2482C"/>
    <w:rsid w:val="00A24882"/>
    <w:rsid w:val="00A2495C"/>
    <w:rsid w:val="00A249CC"/>
    <w:rsid w:val="00A25422"/>
    <w:rsid w:val="00A256E4"/>
    <w:rsid w:val="00A27418"/>
    <w:rsid w:val="00A2750A"/>
    <w:rsid w:val="00A34D05"/>
    <w:rsid w:val="00A35852"/>
    <w:rsid w:val="00A35DBF"/>
    <w:rsid w:val="00A3769B"/>
    <w:rsid w:val="00A37D37"/>
    <w:rsid w:val="00A37D7B"/>
    <w:rsid w:val="00A37F08"/>
    <w:rsid w:val="00A406CA"/>
    <w:rsid w:val="00A42B5B"/>
    <w:rsid w:val="00A43E19"/>
    <w:rsid w:val="00A44968"/>
    <w:rsid w:val="00A44CB0"/>
    <w:rsid w:val="00A50AC3"/>
    <w:rsid w:val="00A52A0A"/>
    <w:rsid w:val="00A544B5"/>
    <w:rsid w:val="00A54776"/>
    <w:rsid w:val="00A56F5A"/>
    <w:rsid w:val="00A57E59"/>
    <w:rsid w:val="00A607DB"/>
    <w:rsid w:val="00A60B08"/>
    <w:rsid w:val="00A60BF0"/>
    <w:rsid w:val="00A60C27"/>
    <w:rsid w:val="00A61192"/>
    <w:rsid w:val="00A61BAA"/>
    <w:rsid w:val="00A61D70"/>
    <w:rsid w:val="00A61FD6"/>
    <w:rsid w:val="00A631E9"/>
    <w:rsid w:val="00A6324A"/>
    <w:rsid w:val="00A633F6"/>
    <w:rsid w:val="00A6495B"/>
    <w:rsid w:val="00A64C8B"/>
    <w:rsid w:val="00A66842"/>
    <w:rsid w:val="00A66C29"/>
    <w:rsid w:val="00A66FC4"/>
    <w:rsid w:val="00A678E5"/>
    <w:rsid w:val="00A71B40"/>
    <w:rsid w:val="00A71CF6"/>
    <w:rsid w:val="00A728B5"/>
    <w:rsid w:val="00A73ED2"/>
    <w:rsid w:val="00A74AE3"/>
    <w:rsid w:val="00A76F90"/>
    <w:rsid w:val="00A77B09"/>
    <w:rsid w:val="00A77D25"/>
    <w:rsid w:val="00A802CF"/>
    <w:rsid w:val="00A80347"/>
    <w:rsid w:val="00A80381"/>
    <w:rsid w:val="00A8081B"/>
    <w:rsid w:val="00A80977"/>
    <w:rsid w:val="00A80F91"/>
    <w:rsid w:val="00A81088"/>
    <w:rsid w:val="00A822F5"/>
    <w:rsid w:val="00A8299C"/>
    <w:rsid w:val="00A829EB"/>
    <w:rsid w:val="00A85E5C"/>
    <w:rsid w:val="00A8668F"/>
    <w:rsid w:val="00A86FC2"/>
    <w:rsid w:val="00A87C9F"/>
    <w:rsid w:val="00A910D9"/>
    <w:rsid w:val="00A92605"/>
    <w:rsid w:val="00A926FA"/>
    <w:rsid w:val="00A964A3"/>
    <w:rsid w:val="00A96AC8"/>
    <w:rsid w:val="00A975DB"/>
    <w:rsid w:val="00AA1214"/>
    <w:rsid w:val="00AA3820"/>
    <w:rsid w:val="00AA4AAF"/>
    <w:rsid w:val="00AA54B2"/>
    <w:rsid w:val="00AA554B"/>
    <w:rsid w:val="00AA6D86"/>
    <w:rsid w:val="00AA782B"/>
    <w:rsid w:val="00AB0D6B"/>
    <w:rsid w:val="00AB1BAC"/>
    <w:rsid w:val="00AB1C8D"/>
    <w:rsid w:val="00AB4B8E"/>
    <w:rsid w:val="00AB65F9"/>
    <w:rsid w:val="00AB6DCE"/>
    <w:rsid w:val="00AB7831"/>
    <w:rsid w:val="00AB7BE8"/>
    <w:rsid w:val="00AB7EF0"/>
    <w:rsid w:val="00AC0278"/>
    <w:rsid w:val="00AC0CEF"/>
    <w:rsid w:val="00AC1893"/>
    <w:rsid w:val="00AC1944"/>
    <w:rsid w:val="00AC2393"/>
    <w:rsid w:val="00AC27CD"/>
    <w:rsid w:val="00AC52B8"/>
    <w:rsid w:val="00AC5859"/>
    <w:rsid w:val="00AC6161"/>
    <w:rsid w:val="00AC6963"/>
    <w:rsid w:val="00AD078F"/>
    <w:rsid w:val="00AD19C1"/>
    <w:rsid w:val="00AD2901"/>
    <w:rsid w:val="00AD3C4C"/>
    <w:rsid w:val="00AD54A1"/>
    <w:rsid w:val="00AD556B"/>
    <w:rsid w:val="00AD560B"/>
    <w:rsid w:val="00AD7348"/>
    <w:rsid w:val="00AD7CBB"/>
    <w:rsid w:val="00AD7CE3"/>
    <w:rsid w:val="00AE02A1"/>
    <w:rsid w:val="00AE0F36"/>
    <w:rsid w:val="00AF0377"/>
    <w:rsid w:val="00AF0BD0"/>
    <w:rsid w:val="00AF1C00"/>
    <w:rsid w:val="00AF31A6"/>
    <w:rsid w:val="00AF5C56"/>
    <w:rsid w:val="00AF635E"/>
    <w:rsid w:val="00AF77D2"/>
    <w:rsid w:val="00AF7AA2"/>
    <w:rsid w:val="00AF7D27"/>
    <w:rsid w:val="00B01267"/>
    <w:rsid w:val="00B0128F"/>
    <w:rsid w:val="00B014A7"/>
    <w:rsid w:val="00B041D7"/>
    <w:rsid w:val="00B045C3"/>
    <w:rsid w:val="00B04E50"/>
    <w:rsid w:val="00B057B5"/>
    <w:rsid w:val="00B07963"/>
    <w:rsid w:val="00B1001D"/>
    <w:rsid w:val="00B10AA6"/>
    <w:rsid w:val="00B11790"/>
    <w:rsid w:val="00B15191"/>
    <w:rsid w:val="00B165F0"/>
    <w:rsid w:val="00B16F5B"/>
    <w:rsid w:val="00B204CB"/>
    <w:rsid w:val="00B214BE"/>
    <w:rsid w:val="00B21501"/>
    <w:rsid w:val="00B21931"/>
    <w:rsid w:val="00B227C3"/>
    <w:rsid w:val="00B23409"/>
    <w:rsid w:val="00B24EAD"/>
    <w:rsid w:val="00B25796"/>
    <w:rsid w:val="00B26413"/>
    <w:rsid w:val="00B272D0"/>
    <w:rsid w:val="00B31866"/>
    <w:rsid w:val="00B34180"/>
    <w:rsid w:val="00B34440"/>
    <w:rsid w:val="00B354F7"/>
    <w:rsid w:val="00B37195"/>
    <w:rsid w:val="00B373B0"/>
    <w:rsid w:val="00B40748"/>
    <w:rsid w:val="00B4213A"/>
    <w:rsid w:val="00B4238B"/>
    <w:rsid w:val="00B4248E"/>
    <w:rsid w:val="00B42545"/>
    <w:rsid w:val="00B42AD7"/>
    <w:rsid w:val="00B42F9C"/>
    <w:rsid w:val="00B44084"/>
    <w:rsid w:val="00B441E9"/>
    <w:rsid w:val="00B44C1B"/>
    <w:rsid w:val="00B454EC"/>
    <w:rsid w:val="00B4593B"/>
    <w:rsid w:val="00B464C6"/>
    <w:rsid w:val="00B46598"/>
    <w:rsid w:val="00B46C0D"/>
    <w:rsid w:val="00B47F47"/>
    <w:rsid w:val="00B50A92"/>
    <w:rsid w:val="00B516D8"/>
    <w:rsid w:val="00B51EA5"/>
    <w:rsid w:val="00B52B35"/>
    <w:rsid w:val="00B5542D"/>
    <w:rsid w:val="00B5740B"/>
    <w:rsid w:val="00B57482"/>
    <w:rsid w:val="00B60B11"/>
    <w:rsid w:val="00B61C78"/>
    <w:rsid w:val="00B62278"/>
    <w:rsid w:val="00B64623"/>
    <w:rsid w:val="00B64920"/>
    <w:rsid w:val="00B6507F"/>
    <w:rsid w:val="00B665E7"/>
    <w:rsid w:val="00B66C8F"/>
    <w:rsid w:val="00B67035"/>
    <w:rsid w:val="00B67D4B"/>
    <w:rsid w:val="00B70034"/>
    <w:rsid w:val="00B700F3"/>
    <w:rsid w:val="00B70CE6"/>
    <w:rsid w:val="00B716F6"/>
    <w:rsid w:val="00B71B8F"/>
    <w:rsid w:val="00B7219E"/>
    <w:rsid w:val="00B74007"/>
    <w:rsid w:val="00B753DA"/>
    <w:rsid w:val="00B755E7"/>
    <w:rsid w:val="00B758E4"/>
    <w:rsid w:val="00B76866"/>
    <w:rsid w:val="00B77451"/>
    <w:rsid w:val="00B77D5C"/>
    <w:rsid w:val="00B805D2"/>
    <w:rsid w:val="00B808F9"/>
    <w:rsid w:val="00B81329"/>
    <w:rsid w:val="00B83CCA"/>
    <w:rsid w:val="00B842B7"/>
    <w:rsid w:val="00B8452D"/>
    <w:rsid w:val="00B85CE6"/>
    <w:rsid w:val="00B879E3"/>
    <w:rsid w:val="00B90FE1"/>
    <w:rsid w:val="00B921D0"/>
    <w:rsid w:val="00B92661"/>
    <w:rsid w:val="00B92EC8"/>
    <w:rsid w:val="00B95A50"/>
    <w:rsid w:val="00B95BA3"/>
    <w:rsid w:val="00B975FE"/>
    <w:rsid w:val="00B97AEA"/>
    <w:rsid w:val="00BA193F"/>
    <w:rsid w:val="00BA2403"/>
    <w:rsid w:val="00BA24EA"/>
    <w:rsid w:val="00BA74B3"/>
    <w:rsid w:val="00BB242A"/>
    <w:rsid w:val="00BB249E"/>
    <w:rsid w:val="00BB2642"/>
    <w:rsid w:val="00BB395B"/>
    <w:rsid w:val="00BB4332"/>
    <w:rsid w:val="00BB53DF"/>
    <w:rsid w:val="00BB582C"/>
    <w:rsid w:val="00BB5FAD"/>
    <w:rsid w:val="00BC0145"/>
    <w:rsid w:val="00BC0BF8"/>
    <w:rsid w:val="00BC122D"/>
    <w:rsid w:val="00BC15F5"/>
    <w:rsid w:val="00BC1A0C"/>
    <w:rsid w:val="00BC4AAB"/>
    <w:rsid w:val="00BC4B30"/>
    <w:rsid w:val="00BC4F98"/>
    <w:rsid w:val="00BC54F4"/>
    <w:rsid w:val="00BC7954"/>
    <w:rsid w:val="00BD1F2F"/>
    <w:rsid w:val="00BD314D"/>
    <w:rsid w:val="00BD3B8B"/>
    <w:rsid w:val="00BD4521"/>
    <w:rsid w:val="00BD5547"/>
    <w:rsid w:val="00BD779B"/>
    <w:rsid w:val="00BD7E08"/>
    <w:rsid w:val="00BE027B"/>
    <w:rsid w:val="00BE08A0"/>
    <w:rsid w:val="00BE2C15"/>
    <w:rsid w:val="00BE2F95"/>
    <w:rsid w:val="00BE402D"/>
    <w:rsid w:val="00BE41B0"/>
    <w:rsid w:val="00BE4BE9"/>
    <w:rsid w:val="00BE5BB7"/>
    <w:rsid w:val="00BE5C08"/>
    <w:rsid w:val="00BE6E54"/>
    <w:rsid w:val="00BE772D"/>
    <w:rsid w:val="00BF144B"/>
    <w:rsid w:val="00BF1E8A"/>
    <w:rsid w:val="00BF44A6"/>
    <w:rsid w:val="00BF5BDC"/>
    <w:rsid w:val="00BF6F3D"/>
    <w:rsid w:val="00C015B1"/>
    <w:rsid w:val="00C01831"/>
    <w:rsid w:val="00C0242E"/>
    <w:rsid w:val="00C038F9"/>
    <w:rsid w:val="00C042F5"/>
    <w:rsid w:val="00C056FB"/>
    <w:rsid w:val="00C057E0"/>
    <w:rsid w:val="00C05A06"/>
    <w:rsid w:val="00C05F72"/>
    <w:rsid w:val="00C062AE"/>
    <w:rsid w:val="00C0667A"/>
    <w:rsid w:val="00C068E9"/>
    <w:rsid w:val="00C07084"/>
    <w:rsid w:val="00C0716D"/>
    <w:rsid w:val="00C07874"/>
    <w:rsid w:val="00C079C9"/>
    <w:rsid w:val="00C1029E"/>
    <w:rsid w:val="00C10CF3"/>
    <w:rsid w:val="00C11134"/>
    <w:rsid w:val="00C117AD"/>
    <w:rsid w:val="00C124A3"/>
    <w:rsid w:val="00C12CD6"/>
    <w:rsid w:val="00C1447E"/>
    <w:rsid w:val="00C14800"/>
    <w:rsid w:val="00C1585F"/>
    <w:rsid w:val="00C15916"/>
    <w:rsid w:val="00C15AEB"/>
    <w:rsid w:val="00C16484"/>
    <w:rsid w:val="00C16A51"/>
    <w:rsid w:val="00C17854"/>
    <w:rsid w:val="00C17F11"/>
    <w:rsid w:val="00C17F4E"/>
    <w:rsid w:val="00C200A1"/>
    <w:rsid w:val="00C210B9"/>
    <w:rsid w:val="00C2269A"/>
    <w:rsid w:val="00C22BD9"/>
    <w:rsid w:val="00C237A4"/>
    <w:rsid w:val="00C23802"/>
    <w:rsid w:val="00C23AA8"/>
    <w:rsid w:val="00C2407F"/>
    <w:rsid w:val="00C24A3B"/>
    <w:rsid w:val="00C252F7"/>
    <w:rsid w:val="00C257B0"/>
    <w:rsid w:val="00C25A89"/>
    <w:rsid w:val="00C261C2"/>
    <w:rsid w:val="00C26F7B"/>
    <w:rsid w:val="00C27CBA"/>
    <w:rsid w:val="00C317D4"/>
    <w:rsid w:val="00C34974"/>
    <w:rsid w:val="00C34DD4"/>
    <w:rsid w:val="00C371D7"/>
    <w:rsid w:val="00C41F23"/>
    <w:rsid w:val="00C42606"/>
    <w:rsid w:val="00C4266C"/>
    <w:rsid w:val="00C42BD6"/>
    <w:rsid w:val="00C447BA"/>
    <w:rsid w:val="00C450A6"/>
    <w:rsid w:val="00C45EEA"/>
    <w:rsid w:val="00C462C6"/>
    <w:rsid w:val="00C46565"/>
    <w:rsid w:val="00C46EFB"/>
    <w:rsid w:val="00C5265D"/>
    <w:rsid w:val="00C5307A"/>
    <w:rsid w:val="00C530CB"/>
    <w:rsid w:val="00C53B87"/>
    <w:rsid w:val="00C54684"/>
    <w:rsid w:val="00C550C6"/>
    <w:rsid w:val="00C55CE4"/>
    <w:rsid w:val="00C62634"/>
    <w:rsid w:val="00C642A7"/>
    <w:rsid w:val="00C6444F"/>
    <w:rsid w:val="00C64A7A"/>
    <w:rsid w:val="00C64B4B"/>
    <w:rsid w:val="00C654AA"/>
    <w:rsid w:val="00C65819"/>
    <w:rsid w:val="00C65B31"/>
    <w:rsid w:val="00C66C5B"/>
    <w:rsid w:val="00C67C81"/>
    <w:rsid w:val="00C70924"/>
    <w:rsid w:val="00C70A1D"/>
    <w:rsid w:val="00C70ACF"/>
    <w:rsid w:val="00C717E1"/>
    <w:rsid w:val="00C727FD"/>
    <w:rsid w:val="00C7420E"/>
    <w:rsid w:val="00C744BC"/>
    <w:rsid w:val="00C7488B"/>
    <w:rsid w:val="00C7659E"/>
    <w:rsid w:val="00C76E3B"/>
    <w:rsid w:val="00C81629"/>
    <w:rsid w:val="00C8198B"/>
    <w:rsid w:val="00C834EC"/>
    <w:rsid w:val="00C8494E"/>
    <w:rsid w:val="00C850B6"/>
    <w:rsid w:val="00C85569"/>
    <w:rsid w:val="00C85C15"/>
    <w:rsid w:val="00C868EF"/>
    <w:rsid w:val="00C86AF7"/>
    <w:rsid w:val="00C873D4"/>
    <w:rsid w:val="00C87BB5"/>
    <w:rsid w:val="00C90AD3"/>
    <w:rsid w:val="00C91351"/>
    <w:rsid w:val="00C9181A"/>
    <w:rsid w:val="00C92805"/>
    <w:rsid w:val="00C930CE"/>
    <w:rsid w:val="00C93642"/>
    <w:rsid w:val="00C9520E"/>
    <w:rsid w:val="00C9725D"/>
    <w:rsid w:val="00C97707"/>
    <w:rsid w:val="00CA03AE"/>
    <w:rsid w:val="00CA13D5"/>
    <w:rsid w:val="00CA29CE"/>
    <w:rsid w:val="00CA4D78"/>
    <w:rsid w:val="00CA590B"/>
    <w:rsid w:val="00CA6CE6"/>
    <w:rsid w:val="00CA7320"/>
    <w:rsid w:val="00CA7BE4"/>
    <w:rsid w:val="00CA7D2F"/>
    <w:rsid w:val="00CA7EBF"/>
    <w:rsid w:val="00CB02E8"/>
    <w:rsid w:val="00CB1401"/>
    <w:rsid w:val="00CB25C0"/>
    <w:rsid w:val="00CB2DB8"/>
    <w:rsid w:val="00CB52BC"/>
    <w:rsid w:val="00CB60A7"/>
    <w:rsid w:val="00CB77B5"/>
    <w:rsid w:val="00CC1434"/>
    <w:rsid w:val="00CC1FC4"/>
    <w:rsid w:val="00CC2311"/>
    <w:rsid w:val="00CC3017"/>
    <w:rsid w:val="00CC49AF"/>
    <w:rsid w:val="00CC4B67"/>
    <w:rsid w:val="00CC6E95"/>
    <w:rsid w:val="00CC7F22"/>
    <w:rsid w:val="00CD10D9"/>
    <w:rsid w:val="00CD2E02"/>
    <w:rsid w:val="00CD5752"/>
    <w:rsid w:val="00CD5A14"/>
    <w:rsid w:val="00CD7BDB"/>
    <w:rsid w:val="00CD7ECD"/>
    <w:rsid w:val="00CE13D0"/>
    <w:rsid w:val="00CE18F6"/>
    <w:rsid w:val="00CE288F"/>
    <w:rsid w:val="00CE2AAD"/>
    <w:rsid w:val="00CE49C9"/>
    <w:rsid w:val="00CE6BC4"/>
    <w:rsid w:val="00CF05FD"/>
    <w:rsid w:val="00CF0869"/>
    <w:rsid w:val="00CF1F3F"/>
    <w:rsid w:val="00CF2198"/>
    <w:rsid w:val="00CF357F"/>
    <w:rsid w:val="00CF41FB"/>
    <w:rsid w:val="00CF4BCC"/>
    <w:rsid w:val="00CF51D4"/>
    <w:rsid w:val="00CF74F2"/>
    <w:rsid w:val="00D016A9"/>
    <w:rsid w:val="00D016CE"/>
    <w:rsid w:val="00D01A61"/>
    <w:rsid w:val="00D04280"/>
    <w:rsid w:val="00D04974"/>
    <w:rsid w:val="00D06A19"/>
    <w:rsid w:val="00D07EDB"/>
    <w:rsid w:val="00D1000D"/>
    <w:rsid w:val="00D10333"/>
    <w:rsid w:val="00D10848"/>
    <w:rsid w:val="00D112EE"/>
    <w:rsid w:val="00D13EBB"/>
    <w:rsid w:val="00D14068"/>
    <w:rsid w:val="00D15926"/>
    <w:rsid w:val="00D16728"/>
    <w:rsid w:val="00D169A3"/>
    <w:rsid w:val="00D23FFA"/>
    <w:rsid w:val="00D25B6C"/>
    <w:rsid w:val="00D25F87"/>
    <w:rsid w:val="00D2723A"/>
    <w:rsid w:val="00D30EBA"/>
    <w:rsid w:val="00D31B74"/>
    <w:rsid w:val="00D324E5"/>
    <w:rsid w:val="00D3289F"/>
    <w:rsid w:val="00D3381C"/>
    <w:rsid w:val="00D33FA8"/>
    <w:rsid w:val="00D3494D"/>
    <w:rsid w:val="00D34E9F"/>
    <w:rsid w:val="00D35104"/>
    <w:rsid w:val="00D35355"/>
    <w:rsid w:val="00D36B27"/>
    <w:rsid w:val="00D36D07"/>
    <w:rsid w:val="00D422E0"/>
    <w:rsid w:val="00D42B01"/>
    <w:rsid w:val="00D441ED"/>
    <w:rsid w:val="00D45096"/>
    <w:rsid w:val="00D45FAC"/>
    <w:rsid w:val="00D474D8"/>
    <w:rsid w:val="00D50776"/>
    <w:rsid w:val="00D51B01"/>
    <w:rsid w:val="00D51B6C"/>
    <w:rsid w:val="00D548EE"/>
    <w:rsid w:val="00D551D2"/>
    <w:rsid w:val="00D56C84"/>
    <w:rsid w:val="00D570AB"/>
    <w:rsid w:val="00D5763B"/>
    <w:rsid w:val="00D60352"/>
    <w:rsid w:val="00D607F2"/>
    <w:rsid w:val="00D620DB"/>
    <w:rsid w:val="00D63FEB"/>
    <w:rsid w:val="00D64949"/>
    <w:rsid w:val="00D66105"/>
    <w:rsid w:val="00D664E5"/>
    <w:rsid w:val="00D6677C"/>
    <w:rsid w:val="00D66ABF"/>
    <w:rsid w:val="00D727BB"/>
    <w:rsid w:val="00D72AB0"/>
    <w:rsid w:val="00D73D07"/>
    <w:rsid w:val="00D748F7"/>
    <w:rsid w:val="00D74AAD"/>
    <w:rsid w:val="00D759DC"/>
    <w:rsid w:val="00D76BC4"/>
    <w:rsid w:val="00D76E7A"/>
    <w:rsid w:val="00D77386"/>
    <w:rsid w:val="00D80DBE"/>
    <w:rsid w:val="00D81240"/>
    <w:rsid w:val="00D813FC"/>
    <w:rsid w:val="00D81AAF"/>
    <w:rsid w:val="00D824B1"/>
    <w:rsid w:val="00D828A0"/>
    <w:rsid w:val="00D82C47"/>
    <w:rsid w:val="00D83167"/>
    <w:rsid w:val="00D832DF"/>
    <w:rsid w:val="00D833EE"/>
    <w:rsid w:val="00D8353B"/>
    <w:rsid w:val="00D8399B"/>
    <w:rsid w:val="00D84696"/>
    <w:rsid w:val="00D84C79"/>
    <w:rsid w:val="00D850E4"/>
    <w:rsid w:val="00D853B7"/>
    <w:rsid w:val="00D867ED"/>
    <w:rsid w:val="00D8733E"/>
    <w:rsid w:val="00D902E9"/>
    <w:rsid w:val="00D90CF7"/>
    <w:rsid w:val="00D90EFA"/>
    <w:rsid w:val="00D90FF8"/>
    <w:rsid w:val="00D9264B"/>
    <w:rsid w:val="00D92DD0"/>
    <w:rsid w:val="00D92E9D"/>
    <w:rsid w:val="00D93943"/>
    <w:rsid w:val="00D943F1"/>
    <w:rsid w:val="00D947B3"/>
    <w:rsid w:val="00D94D5F"/>
    <w:rsid w:val="00D96AF1"/>
    <w:rsid w:val="00D97AB9"/>
    <w:rsid w:val="00D97F67"/>
    <w:rsid w:val="00DA0E04"/>
    <w:rsid w:val="00DA1005"/>
    <w:rsid w:val="00DA111E"/>
    <w:rsid w:val="00DA15D6"/>
    <w:rsid w:val="00DA2226"/>
    <w:rsid w:val="00DA2899"/>
    <w:rsid w:val="00DA2F06"/>
    <w:rsid w:val="00DA3736"/>
    <w:rsid w:val="00DA3C72"/>
    <w:rsid w:val="00DA6737"/>
    <w:rsid w:val="00DA7136"/>
    <w:rsid w:val="00DB0AE6"/>
    <w:rsid w:val="00DB0CD2"/>
    <w:rsid w:val="00DB1C32"/>
    <w:rsid w:val="00DB1CD5"/>
    <w:rsid w:val="00DB2A52"/>
    <w:rsid w:val="00DB314D"/>
    <w:rsid w:val="00DB3656"/>
    <w:rsid w:val="00DB64D3"/>
    <w:rsid w:val="00DB7441"/>
    <w:rsid w:val="00DB7964"/>
    <w:rsid w:val="00DC0302"/>
    <w:rsid w:val="00DC2DFD"/>
    <w:rsid w:val="00DC3204"/>
    <w:rsid w:val="00DC4644"/>
    <w:rsid w:val="00DC4EB3"/>
    <w:rsid w:val="00DC63D1"/>
    <w:rsid w:val="00DD0793"/>
    <w:rsid w:val="00DD36C2"/>
    <w:rsid w:val="00DD3A6A"/>
    <w:rsid w:val="00DD5853"/>
    <w:rsid w:val="00DD63AB"/>
    <w:rsid w:val="00DD687C"/>
    <w:rsid w:val="00DD6A9B"/>
    <w:rsid w:val="00DD784D"/>
    <w:rsid w:val="00DD7AD4"/>
    <w:rsid w:val="00DE0A32"/>
    <w:rsid w:val="00DE0A67"/>
    <w:rsid w:val="00DE1992"/>
    <w:rsid w:val="00DE3729"/>
    <w:rsid w:val="00DE3E32"/>
    <w:rsid w:val="00DE418B"/>
    <w:rsid w:val="00DE5976"/>
    <w:rsid w:val="00DE5E08"/>
    <w:rsid w:val="00DF0ACE"/>
    <w:rsid w:val="00DF114A"/>
    <w:rsid w:val="00DF2507"/>
    <w:rsid w:val="00DF284F"/>
    <w:rsid w:val="00DF5BB2"/>
    <w:rsid w:val="00DF6A89"/>
    <w:rsid w:val="00DF6B71"/>
    <w:rsid w:val="00DF6F22"/>
    <w:rsid w:val="00DF7014"/>
    <w:rsid w:val="00DF78B0"/>
    <w:rsid w:val="00E0001D"/>
    <w:rsid w:val="00E00CAE"/>
    <w:rsid w:val="00E00FE8"/>
    <w:rsid w:val="00E0471C"/>
    <w:rsid w:val="00E10609"/>
    <w:rsid w:val="00E109CF"/>
    <w:rsid w:val="00E10FE3"/>
    <w:rsid w:val="00E12B8F"/>
    <w:rsid w:val="00E13AE9"/>
    <w:rsid w:val="00E1431A"/>
    <w:rsid w:val="00E14BC0"/>
    <w:rsid w:val="00E15140"/>
    <w:rsid w:val="00E15948"/>
    <w:rsid w:val="00E1712B"/>
    <w:rsid w:val="00E175B8"/>
    <w:rsid w:val="00E22A84"/>
    <w:rsid w:val="00E24DA7"/>
    <w:rsid w:val="00E30627"/>
    <w:rsid w:val="00E30E69"/>
    <w:rsid w:val="00E33144"/>
    <w:rsid w:val="00E33962"/>
    <w:rsid w:val="00E33B7B"/>
    <w:rsid w:val="00E34808"/>
    <w:rsid w:val="00E35231"/>
    <w:rsid w:val="00E35DF2"/>
    <w:rsid w:val="00E365A1"/>
    <w:rsid w:val="00E37788"/>
    <w:rsid w:val="00E404D9"/>
    <w:rsid w:val="00E41045"/>
    <w:rsid w:val="00E41866"/>
    <w:rsid w:val="00E427F6"/>
    <w:rsid w:val="00E43489"/>
    <w:rsid w:val="00E439D6"/>
    <w:rsid w:val="00E449BD"/>
    <w:rsid w:val="00E44E76"/>
    <w:rsid w:val="00E44FE8"/>
    <w:rsid w:val="00E4561A"/>
    <w:rsid w:val="00E45E9F"/>
    <w:rsid w:val="00E46A28"/>
    <w:rsid w:val="00E503A3"/>
    <w:rsid w:val="00E520E4"/>
    <w:rsid w:val="00E52A52"/>
    <w:rsid w:val="00E53BCA"/>
    <w:rsid w:val="00E54326"/>
    <w:rsid w:val="00E558EF"/>
    <w:rsid w:val="00E57D57"/>
    <w:rsid w:val="00E6191A"/>
    <w:rsid w:val="00E6217D"/>
    <w:rsid w:val="00E63184"/>
    <w:rsid w:val="00E64E2F"/>
    <w:rsid w:val="00E651AF"/>
    <w:rsid w:val="00E6787B"/>
    <w:rsid w:val="00E67BBF"/>
    <w:rsid w:val="00E70C65"/>
    <w:rsid w:val="00E712BC"/>
    <w:rsid w:val="00E745DB"/>
    <w:rsid w:val="00E75B61"/>
    <w:rsid w:val="00E7750E"/>
    <w:rsid w:val="00E775F0"/>
    <w:rsid w:val="00E807AF"/>
    <w:rsid w:val="00E80A4D"/>
    <w:rsid w:val="00E814AD"/>
    <w:rsid w:val="00E81CA4"/>
    <w:rsid w:val="00E82A1A"/>
    <w:rsid w:val="00E82D13"/>
    <w:rsid w:val="00E82E2B"/>
    <w:rsid w:val="00E84083"/>
    <w:rsid w:val="00E8644A"/>
    <w:rsid w:val="00E8659D"/>
    <w:rsid w:val="00E86F38"/>
    <w:rsid w:val="00E87DA2"/>
    <w:rsid w:val="00E87DAB"/>
    <w:rsid w:val="00E917EC"/>
    <w:rsid w:val="00E92A79"/>
    <w:rsid w:val="00E92CD6"/>
    <w:rsid w:val="00E93E5C"/>
    <w:rsid w:val="00E950A4"/>
    <w:rsid w:val="00E95BC8"/>
    <w:rsid w:val="00E9751F"/>
    <w:rsid w:val="00E97AF3"/>
    <w:rsid w:val="00EA0370"/>
    <w:rsid w:val="00EA03B3"/>
    <w:rsid w:val="00EA1296"/>
    <w:rsid w:val="00EA1781"/>
    <w:rsid w:val="00EA212B"/>
    <w:rsid w:val="00EA3184"/>
    <w:rsid w:val="00EA3E65"/>
    <w:rsid w:val="00EA42FD"/>
    <w:rsid w:val="00EA4CF4"/>
    <w:rsid w:val="00EA66F7"/>
    <w:rsid w:val="00EA785D"/>
    <w:rsid w:val="00EA7D82"/>
    <w:rsid w:val="00EB0461"/>
    <w:rsid w:val="00EB142D"/>
    <w:rsid w:val="00EB19E6"/>
    <w:rsid w:val="00EB1BD8"/>
    <w:rsid w:val="00EB3062"/>
    <w:rsid w:val="00EB3276"/>
    <w:rsid w:val="00EB5465"/>
    <w:rsid w:val="00EB5EE7"/>
    <w:rsid w:val="00EB6A1A"/>
    <w:rsid w:val="00EC4C50"/>
    <w:rsid w:val="00EC4EA7"/>
    <w:rsid w:val="00EC5867"/>
    <w:rsid w:val="00EC5FEA"/>
    <w:rsid w:val="00EC7757"/>
    <w:rsid w:val="00EC77B2"/>
    <w:rsid w:val="00EC7F20"/>
    <w:rsid w:val="00ED1B93"/>
    <w:rsid w:val="00ED1D78"/>
    <w:rsid w:val="00ED2A3B"/>
    <w:rsid w:val="00ED2B63"/>
    <w:rsid w:val="00ED2BBD"/>
    <w:rsid w:val="00ED362A"/>
    <w:rsid w:val="00ED3635"/>
    <w:rsid w:val="00ED4519"/>
    <w:rsid w:val="00ED5A3C"/>
    <w:rsid w:val="00ED5DF2"/>
    <w:rsid w:val="00ED5E78"/>
    <w:rsid w:val="00ED5F24"/>
    <w:rsid w:val="00ED604A"/>
    <w:rsid w:val="00ED6E70"/>
    <w:rsid w:val="00ED7611"/>
    <w:rsid w:val="00EE0488"/>
    <w:rsid w:val="00EE09A8"/>
    <w:rsid w:val="00EE0F57"/>
    <w:rsid w:val="00EE142F"/>
    <w:rsid w:val="00EE152A"/>
    <w:rsid w:val="00EE25D2"/>
    <w:rsid w:val="00EE3617"/>
    <w:rsid w:val="00EE564E"/>
    <w:rsid w:val="00EE5866"/>
    <w:rsid w:val="00EE6472"/>
    <w:rsid w:val="00EE651A"/>
    <w:rsid w:val="00EF0794"/>
    <w:rsid w:val="00EF0DE6"/>
    <w:rsid w:val="00EF15ED"/>
    <w:rsid w:val="00EF2999"/>
    <w:rsid w:val="00EF2DE8"/>
    <w:rsid w:val="00EF3AD8"/>
    <w:rsid w:val="00EF4D70"/>
    <w:rsid w:val="00EF4DD5"/>
    <w:rsid w:val="00EF6D42"/>
    <w:rsid w:val="00F03666"/>
    <w:rsid w:val="00F04183"/>
    <w:rsid w:val="00F04382"/>
    <w:rsid w:val="00F05A0F"/>
    <w:rsid w:val="00F0715C"/>
    <w:rsid w:val="00F11845"/>
    <w:rsid w:val="00F12B5A"/>
    <w:rsid w:val="00F1324A"/>
    <w:rsid w:val="00F14B73"/>
    <w:rsid w:val="00F15096"/>
    <w:rsid w:val="00F16FF0"/>
    <w:rsid w:val="00F22972"/>
    <w:rsid w:val="00F23C8B"/>
    <w:rsid w:val="00F24278"/>
    <w:rsid w:val="00F2439B"/>
    <w:rsid w:val="00F267BA"/>
    <w:rsid w:val="00F27F19"/>
    <w:rsid w:val="00F30CA9"/>
    <w:rsid w:val="00F31C93"/>
    <w:rsid w:val="00F32611"/>
    <w:rsid w:val="00F3291B"/>
    <w:rsid w:val="00F349C2"/>
    <w:rsid w:val="00F34EEB"/>
    <w:rsid w:val="00F3582D"/>
    <w:rsid w:val="00F377B9"/>
    <w:rsid w:val="00F4006F"/>
    <w:rsid w:val="00F402BA"/>
    <w:rsid w:val="00F41744"/>
    <w:rsid w:val="00F41BD7"/>
    <w:rsid w:val="00F42338"/>
    <w:rsid w:val="00F4288D"/>
    <w:rsid w:val="00F42E8E"/>
    <w:rsid w:val="00F431F2"/>
    <w:rsid w:val="00F434D1"/>
    <w:rsid w:val="00F47D20"/>
    <w:rsid w:val="00F50023"/>
    <w:rsid w:val="00F5090D"/>
    <w:rsid w:val="00F509F3"/>
    <w:rsid w:val="00F51772"/>
    <w:rsid w:val="00F520DD"/>
    <w:rsid w:val="00F5269F"/>
    <w:rsid w:val="00F52A79"/>
    <w:rsid w:val="00F54159"/>
    <w:rsid w:val="00F54233"/>
    <w:rsid w:val="00F54811"/>
    <w:rsid w:val="00F56774"/>
    <w:rsid w:val="00F56CA6"/>
    <w:rsid w:val="00F57399"/>
    <w:rsid w:val="00F574B2"/>
    <w:rsid w:val="00F603AD"/>
    <w:rsid w:val="00F603B6"/>
    <w:rsid w:val="00F61344"/>
    <w:rsid w:val="00F61ED6"/>
    <w:rsid w:val="00F63715"/>
    <w:rsid w:val="00F63D0F"/>
    <w:rsid w:val="00F64ABA"/>
    <w:rsid w:val="00F654D4"/>
    <w:rsid w:val="00F70B1F"/>
    <w:rsid w:val="00F71672"/>
    <w:rsid w:val="00F7258A"/>
    <w:rsid w:val="00F75BA3"/>
    <w:rsid w:val="00F760C6"/>
    <w:rsid w:val="00F764F2"/>
    <w:rsid w:val="00F769F2"/>
    <w:rsid w:val="00F803DA"/>
    <w:rsid w:val="00F80CC6"/>
    <w:rsid w:val="00F82950"/>
    <w:rsid w:val="00F83B7B"/>
    <w:rsid w:val="00F83C12"/>
    <w:rsid w:val="00F845B5"/>
    <w:rsid w:val="00F85696"/>
    <w:rsid w:val="00F91A70"/>
    <w:rsid w:val="00F91B75"/>
    <w:rsid w:val="00F92624"/>
    <w:rsid w:val="00F92FA6"/>
    <w:rsid w:val="00F9332B"/>
    <w:rsid w:val="00F93E2E"/>
    <w:rsid w:val="00F94585"/>
    <w:rsid w:val="00F9461F"/>
    <w:rsid w:val="00F94ACC"/>
    <w:rsid w:val="00F955D9"/>
    <w:rsid w:val="00F957F4"/>
    <w:rsid w:val="00F96205"/>
    <w:rsid w:val="00F96327"/>
    <w:rsid w:val="00F96A32"/>
    <w:rsid w:val="00F97B78"/>
    <w:rsid w:val="00F97D1B"/>
    <w:rsid w:val="00FA08ED"/>
    <w:rsid w:val="00FA0D46"/>
    <w:rsid w:val="00FA0EAF"/>
    <w:rsid w:val="00FA1590"/>
    <w:rsid w:val="00FA2DE1"/>
    <w:rsid w:val="00FA467C"/>
    <w:rsid w:val="00FA4D1B"/>
    <w:rsid w:val="00FA4DA2"/>
    <w:rsid w:val="00FA5E8B"/>
    <w:rsid w:val="00FA5FF2"/>
    <w:rsid w:val="00FA72DC"/>
    <w:rsid w:val="00FA7785"/>
    <w:rsid w:val="00FB1728"/>
    <w:rsid w:val="00FB25B9"/>
    <w:rsid w:val="00FB3533"/>
    <w:rsid w:val="00FB39AE"/>
    <w:rsid w:val="00FB3F2F"/>
    <w:rsid w:val="00FB417C"/>
    <w:rsid w:val="00FB440E"/>
    <w:rsid w:val="00FB45E9"/>
    <w:rsid w:val="00FB4F71"/>
    <w:rsid w:val="00FB5884"/>
    <w:rsid w:val="00FB6F66"/>
    <w:rsid w:val="00FB77FC"/>
    <w:rsid w:val="00FC0187"/>
    <w:rsid w:val="00FC0AB4"/>
    <w:rsid w:val="00FC141D"/>
    <w:rsid w:val="00FC2450"/>
    <w:rsid w:val="00FC25AE"/>
    <w:rsid w:val="00FC375F"/>
    <w:rsid w:val="00FC39FF"/>
    <w:rsid w:val="00FC4BBF"/>
    <w:rsid w:val="00FC554E"/>
    <w:rsid w:val="00FC743E"/>
    <w:rsid w:val="00FD02BF"/>
    <w:rsid w:val="00FD03BF"/>
    <w:rsid w:val="00FD1147"/>
    <w:rsid w:val="00FD2BFB"/>
    <w:rsid w:val="00FD3C7E"/>
    <w:rsid w:val="00FD49FC"/>
    <w:rsid w:val="00FD642A"/>
    <w:rsid w:val="00FE0678"/>
    <w:rsid w:val="00FE1144"/>
    <w:rsid w:val="00FE1461"/>
    <w:rsid w:val="00FE2113"/>
    <w:rsid w:val="00FE2F46"/>
    <w:rsid w:val="00FE30D5"/>
    <w:rsid w:val="00FE5C44"/>
    <w:rsid w:val="00FF0757"/>
    <w:rsid w:val="00FF0EBD"/>
    <w:rsid w:val="00FF1795"/>
    <w:rsid w:val="00FF2AD5"/>
    <w:rsid w:val="00FF2F6F"/>
    <w:rsid w:val="00FF3B8B"/>
    <w:rsid w:val="00FF4731"/>
    <w:rsid w:val="00FF5CB6"/>
    <w:rsid w:val="00FF5F7E"/>
    <w:rsid w:val="00FF6A65"/>
    <w:rsid w:val="00FF74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D4CEB4"/>
  <w15:docId w15:val="{0AF6AFBC-5691-46E1-8CFF-12F9E08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5C80"/>
  </w:style>
  <w:style w:type="paragraph" w:styleId="Naslov1">
    <w:name w:val="heading 1"/>
    <w:basedOn w:val="Navaden"/>
    <w:next w:val="Navaden"/>
    <w:link w:val="Naslov1Znak"/>
    <w:uiPriority w:val="99"/>
    <w:qFormat/>
    <w:rsid w:val="004C4559"/>
    <w:pPr>
      <w:keepNext/>
      <w:keepLines/>
      <w:spacing w:before="48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9"/>
    <w:qFormat/>
    <w:rsid w:val="004C4559"/>
    <w:pPr>
      <w:keepNext/>
      <w:keepLines/>
      <w:spacing w:before="200"/>
      <w:outlineLvl w:val="1"/>
    </w:pPr>
    <w:rPr>
      <w:rFonts w:ascii="Cambria" w:eastAsia="Times New Roman" w:hAnsi="Cambria"/>
      <w:b/>
      <w:bCs/>
      <w:color w:val="4F81BD"/>
      <w:sz w:val="26"/>
      <w:szCs w:val="26"/>
    </w:rPr>
  </w:style>
  <w:style w:type="paragraph" w:styleId="Naslov3">
    <w:name w:val="heading 3"/>
    <w:basedOn w:val="Navaden"/>
    <w:next w:val="Navaden"/>
    <w:link w:val="Naslov3Znak"/>
    <w:unhideWhenUsed/>
    <w:qFormat/>
    <w:locked/>
    <w:rsid w:val="007D0188"/>
    <w:pPr>
      <w:keepNext/>
      <w:spacing w:before="240" w:after="60"/>
      <w:outlineLvl w:val="2"/>
    </w:pPr>
    <w:rPr>
      <w:rFonts w:eastAsia="Times New Roman"/>
      <w:b/>
      <w:bCs/>
      <w:sz w:val="26"/>
      <w:szCs w:val="26"/>
    </w:rPr>
  </w:style>
  <w:style w:type="paragraph" w:styleId="Naslov4">
    <w:name w:val="heading 4"/>
    <w:basedOn w:val="Navaden"/>
    <w:next w:val="Navaden"/>
    <w:link w:val="Naslov4Znak"/>
    <w:unhideWhenUsed/>
    <w:qFormat/>
    <w:locked/>
    <w:rsid w:val="009B6EF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9B6EF4"/>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locked/>
    <w:rsid w:val="009B6EF4"/>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nhideWhenUsed/>
    <w:qFormat/>
    <w:locked/>
    <w:rsid w:val="0003120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4C4559"/>
    <w:rPr>
      <w:rFonts w:ascii="Cambria" w:hAnsi="Cambria" w:cs="Times New Roman"/>
      <w:b/>
      <w:bCs/>
      <w:color w:val="365F91"/>
      <w:sz w:val="28"/>
      <w:szCs w:val="28"/>
      <w:lang w:val="en-GB"/>
    </w:rPr>
  </w:style>
  <w:style w:type="character" w:customStyle="1" w:styleId="Naslov2Znak">
    <w:name w:val="Naslov 2 Znak"/>
    <w:link w:val="Naslov2"/>
    <w:uiPriority w:val="99"/>
    <w:locked/>
    <w:rsid w:val="004C4559"/>
    <w:rPr>
      <w:rFonts w:ascii="Cambria" w:hAnsi="Cambria" w:cs="Times New Roman"/>
      <w:b/>
      <w:bCs/>
      <w:color w:val="4F81BD"/>
      <w:sz w:val="26"/>
      <w:szCs w:val="26"/>
      <w:lang w:val="en-GB"/>
    </w:rPr>
  </w:style>
  <w:style w:type="paragraph" w:styleId="Odstavekseznama">
    <w:name w:val="List Paragraph"/>
    <w:basedOn w:val="Navaden"/>
    <w:uiPriority w:val="34"/>
    <w:qFormat/>
    <w:rsid w:val="00145985"/>
    <w:pPr>
      <w:ind w:left="720"/>
      <w:contextualSpacing/>
    </w:pPr>
  </w:style>
  <w:style w:type="table" w:styleId="Tabelamrea">
    <w:name w:val="Table Grid"/>
    <w:basedOn w:val="Navadnatabela"/>
    <w:uiPriority w:val="39"/>
    <w:rsid w:val="0045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1917E6"/>
    <w:pPr>
      <w:spacing w:before="100" w:beforeAutospacing="1" w:after="100" w:afterAutospacing="1"/>
    </w:pPr>
    <w:rPr>
      <w:rFonts w:ascii="Times New Roman" w:eastAsia="Times New Roman" w:hAnsi="Times New Roman"/>
      <w:sz w:val="24"/>
      <w:szCs w:val="24"/>
    </w:rPr>
  </w:style>
  <w:style w:type="paragraph" w:customStyle="1" w:styleId="Default">
    <w:name w:val="Default"/>
    <w:uiPriority w:val="99"/>
    <w:rsid w:val="001917E6"/>
    <w:pPr>
      <w:autoSpaceDE w:val="0"/>
      <w:autoSpaceDN w:val="0"/>
      <w:adjustRightInd w:val="0"/>
    </w:pPr>
    <w:rPr>
      <w:rFonts w:ascii="EUAlbertina" w:eastAsia="Times New Roman" w:hAnsi="EUAlbertina" w:cs="EUAlbertina"/>
      <w:color w:val="000000"/>
      <w:sz w:val="24"/>
      <w:szCs w:val="24"/>
      <w:lang w:val="en-GB" w:eastAsia="en-US"/>
    </w:rPr>
  </w:style>
  <w:style w:type="paragraph" w:styleId="Besedilooblaka">
    <w:name w:val="Balloon Text"/>
    <w:basedOn w:val="Navaden"/>
    <w:link w:val="BesedilooblakaZnak"/>
    <w:uiPriority w:val="99"/>
    <w:semiHidden/>
    <w:rsid w:val="00751B4E"/>
    <w:rPr>
      <w:rFonts w:ascii="Tahoma" w:hAnsi="Tahoma" w:cs="Tahoma"/>
      <w:sz w:val="16"/>
      <w:szCs w:val="16"/>
    </w:rPr>
  </w:style>
  <w:style w:type="character" w:customStyle="1" w:styleId="BesedilooblakaZnak">
    <w:name w:val="Besedilo oblačka Znak"/>
    <w:link w:val="Besedilooblaka"/>
    <w:uiPriority w:val="99"/>
    <w:semiHidden/>
    <w:locked/>
    <w:rsid w:val="00751B4E"/>
    <w:rPr>
      <w:rFonts w:ascii="Tahoma" w:hAnsi="Tahoma" w:cs="Tahoma"/>
      <w:sz w:val="16"/>
      <w:szCs w:val="16"/>
      <w:lang w:val="en-GB"/>
    </w:rPr>
  </w:style>
  <w:style w:type="paragraph" w:styleId="Telobesedila">
    <w:name w:val="Body Text"/>
    <w:basedOn w:val="Navaden"/>
    <w:link w:val="TelobesedilaZnak"/>
    <w:uiPriority w:val="99"/>
    <w:unhideWhenUsed/>
    <w:rsid w:val="003E5DBA"/>
    <w:pPr>
      <w:spacing w:before="120" w:after="120"/>
      <w:jc w:val="center"/>
    </w:pPr>
    <w:rPr>
      <w:rFonts w:cs="Arial"/>
      <w:sz w:val="20"/>
    </w:rPr>
  </w:style>
  <w:style w:type="character" w:customStyle="1" w:styleId="TelobesedilaZnak">
    <w:name w:val="Telo besedila Znak"/>
    <w:link w:val="Telobesedila"/>
    <w:uiPriority w:val="99"/>
    <w:rsid w:val="003E5DBA"/>
    <w:rPr>
      <w:rFonts w:ascii="Arial" w:hAnsi="Arial" w:cs="Arial"/>
      <w:sz w:val="20"/>
      <w:szCs w:val="20"/>
      <w:lang w:eastAsia="en-US"/>
    </w:rPr>
  </w:style>
  <w:style w:type="character" w:customStyle="1" w:styleId="Naslov3Znak">
    <w:name w:val="Naslov 3 Znak"/>
    <w:link w:val="Naslov3"/>
    <w:rsid w:val="007D0188"/>
    <w:rPr>
      <w:rFonts w:ascii="Arial" w:eastAsia="Times New Roman" w:hAnsi="Arial"/>
      <w:b/>
      <w:bCs/>
      <w:sz w:val="26"/>
      <w:szCs w:val="26"/>
      <w:lang w:eastAsia="en-US"/>
    </w:rPr>
  </w:style>
  <w:style w:type="paragraph" w:styleId="Telobesedila2">
    <w:name w:val="Body Text 2"/>
    <w:basedOn w:val="Navaden"/>
    <w:link w:val="Telobesedila2Znak"/>
    <w:uiPriority w:val="99"/>
    <w:unhideWhenUsed/>
    <w:rsid w:val="00B47F47"/>
    <w:pPr>
      <w:spacing w:before="120" w:after="120"/>
    </w:pPr>
    <w:rPr>
      <w:rFonts w:cs="Arial"/>
      <w:sz w:val="20"/>
    </w:rPr>
  </w:style>
  <w:style w:type="character" w:customStyle="1" w:styleId="Telobesedila2Znak">
    <w:name w:val="Telo besedila 2 Znak"/>
    <w:link w:val="Telobesedila2"/>
    <w:uiPriority w:val="99"/>
    <w:rsid w:val="00B47F47"/>
    <w:rPr>
      <w:rFonts w:ascii="Arial" w:hAnsi="Arial" w:cs="Arial"/>
      <w:lang w:val="sl-SI" w:eastAsia="en-US"/>
    </w:rPr>
  </w:style>
  <w:style w:type="paragraph" w:styleId="Telobesedila3">
    <w:name w:val="Body Text 3"/>
    <w:basedOn w:val="Navaden"/>
    <w:link w:val="Telobesedila3Znak"/>
    <w:uiPriority w:val="99"/>
    <w:unhideWhenUsed/>
    <w:rsid w:val="005A414B"/>
    <w:rPr>
      <w:rFonts w:cs="Arial"/>
      <w:b/>
      <w:bCs/>
      <w:i/>
      <w:color w:val="000000"/>
      <w:sz w:val="20"/>
    </w:rPr>
  </w:style>
  <w:style w:type="character" w:customStyle="1" w:styleId="Telobesedila3Znak">
    <w:name w:val="Telo besedila 3 Znak"/>
    <w:link w:val="Telobesedila3"/>
    <w:uiPriority w:val="99"/>
    <w:rsid w:val="005A414B"/>
    <w:rPr>
      <w:rFonts w:ascii="Arial" w:hAnsi="Arial" w:cs="Arial"/>
      <w:b/>
      <w:bCs/>
      <w:i/>
      <w:color w:val="000000"/>
      <w:lang w:val="sl-SI" w:eastAsia="sl-SI"/>
    </w:rPr>
  </w:style>
  <w:style w:type="character" w:styleId="Hiperpovezava">
    <w:name w:val="Hyperlink"/>
    <w:uiPriority w:val="99"/>
    <w:unhideWhenUsed/>
    <w:rsid w:val="00EA03B3"/>
    <w:rPr>
      <w:color w:val="0000FF"/>
      <w:u w:val="single"/>
    </w:rPr>
  </w:style>
  <w:style w:type="paragraph" w:styleId="Brezrazmikov">
    <w:name w:val="No Spacing"/>
    <w:link w:val="BrezrazmikovZnak"/>
    <w:uiPriority w:val="1"/>
    <w:qFormat/>
    <w:rsid w:val="00F377B9"/>
    <w:rPr>
      <w:rFonts w:eastAsiaTheme="minorEastAsia" w:cstheme="minorBidi"/>
      <w:szCs w:val="22"/>
    </w:rPr>
  </w:style>
  <w:style w:type="character" w:customStyle="1" w:styleId="BrezrazmikovZnak">
    <w:name w:val="Brez razmikov Znak"/>
    <w:basedOn w:val="Privzetapisavaodstavka"/>
    <w:link w:val="Brezrazmikov"/>
    <w:uiPriority w:val="1"/>
    <w:rsid w:val="00F377B9"/>
    <w:rPr>
      <w:rFonts w:eastAsiaTheme="minorEastAsia" w:cstheme="minorBidi"/>
      <w:szCs w:val="22"/>
    </w:rPr>
  </w:style>
  <w:style w:type="paragraph" w:styleId="Glava">
    <w:name w:val="header"/>
    <w:basedOn w:val="Navaden"/>
    <w:link w:val="GlavaZnak"/>
    <w:uiPriority w:val="99"/>
    <w:unhideWhenUsed/>
    <w:rsid w:val="009B6EF4"/>
    <w:pPr>
      <w:tabs>
        <w:tab w:val="center" w:pos="4536"/>
        <w:tab w:val="right" w:pos="9072"/>
      </w:tabs>
    </w:pPr>
  </w:style>
  <w:style w:type="character" w:customStyle="1" w:styleId="GlavaZnak">
    <w:name w:val="Glava Znak"/>
    <w:basedOn w:val="Privzetapisavaodstavka"/>
    <w:link w:val="Glava"/>
    <w:uiPriority w:val="99"/>
    <w:rsid w:val="009B6EF4"/>
    <w:rPr>
      <w:sz w:val="22"/>
      <w:szCs w:val="22"/>
      <w:lang w:val="en-GB" w:eastAsia="en-US"/>
    </w:rPr>
  </w:style>
  <w:style w:type="paragraph" w:styleId="Noga">
    <w:name w:val="footer"/>
    <w:basedOn w:val="Navaden"/>
    <w:link w:val="NogaZnak"/>
    <w:uiPriority w:val="99"/>
    <w:unhideWhenUsed/>
    <w:rsid w:val="009B6EF4"/>
    <w:pPr>
      <w:tabs>
        <w:tab w:val="center" w:pos="4536"/>
        <w:tab w:val="right" w:pos="9072"/>
      </w:tabs>
    </w:pPr>
  </w:style>
  <w:style w:type="character" w:customStyle="1" w:styleId="NogaZnak">
    <w:name w:val="Noga Znak"/>
    <w:basedOn w:val="Privzetapisavaodstavka"/>
    <w:link w:val="Noga"/>
    <w:uiPriority w:val="99"/>
    <w:rsid w:val="009B6EF4"/>
    <w:rPr>
      <w:sz w:val="22"/>
      <w:szCs w:val="22"/>
      <w:lang w:val="en-GB" w:eastAsia="en-US"/>
    </w:rPr>
  </w:style>
  <w:style w:type="character" w:customStyle="1" w:styleId="Naslov4Znak">
    <w:name w:val="Naslov 4 Znak"/>
    <w:basedOn w:val="Privzetapisavaodstavka"/>
    <w:link w:val="Naslov4"/>
    <w:rsid w:val="009B6EF4"/>
    <w:rPr>
      <w:rFonts w:asciiTheme="majorHAnsi" w:eastAsiaTheme="majorEastAsia" w:hAnsiTheme="majorHAnsi" w:cstheme="majorBidi"/>
      <w:i/>
      <w:iCs/>
      <w:color w:val="365F91" w:themeColor="accent1" w:themeShade="BF"/>
      <w:sz w:val="22"/>
      <w:szCs w:val="22"/>
      <w:lang w:val="en-GB" w:eastAsia="en-US"/>
    </w:rPr>
  </w:style>
  <w:style w:type="character" w:customStyle="1" w:styleId="Naslov5Znak">
    <w:name w:val="Naslov 5 Znak"/>
    <w:basedOn w:val="Privzetapisavaodstavka"/>
    <w:link w:val="Naslov5"/>
    <w:rsid w:val="009B6EF4"/>
    <w:rPr>
      <w:rFonts w:asciiTheme="majorHAnsi" w:eastAsiaTheme="majorEastAsia" w:hAnsiTheme="majorHAnsi" w:cstheme="majorBidi"/>
      <w:color w:val="365F91" w:themeColor="accent1" w:themeShade="BF"/>
      <w:sz w:val="22"/>
      <w:szCs w:val="22"/>
      <w:lang w:val="en-GB" w:eastAsia="en-US"/>
    </w:rPr>
  </w:style>
  <w:style w:type="character" w:customStyle="1" w:styleId="Naslov6Znak">
    <w:name w:val="Naslov 6 Znak"/>
    <w:basedOn w:val="Privzetapisavaodstavka"/>
    <w:link w:val="Naslov6"/>
    <w:rsid w:val="009B6EF4"/>
    <w:rPr>
      <w:rFonts w:asciiTheme="majorHAnsi" w:eastAsiaTheme="majorEastAsia" w:hAnsiTheme="majorHAnsi" w:cstheme="majorBidi"/>
      <w:color w:val="243F60" w:themeColor="accent1" w:themeShade="7F"/>
      <w:sz w:val="22"/>
      <w:szCs w:val="22"/>
      <w:lang w:val="en-GB" w:eastAsia="en-US"/>
    </w:rPr>
  </w:style>
  <w:style w:type="character" w:customStyle="1" w:styleId="Naslov7Znak">
    <w:name w:val="Naslov 7 Znak"/>
    <w:basedOn w:val="Privzetapisavaodstavka"/>
    <w:link w:val="Naslov7"/>
    <w:rsid w:val="00031203"/>
    <w:rPr>
      <w:rFonts w:asciiTheme="majorHAnsi" w:eastAsiaTheme="majorEastAsia" w:hAnsiTheme="majorHAnsi" w:cstheme="majorBidi"/>
      <w:i/>
      <w:iCs/>
      <w:color w:val="243F60" w:themeColor="accent1" w:themeShade="7F"/>
      <w:sz w:val="22"/>
      <w:szCs w:val="22"/>
      <w:lang w:val="en-GB" w:eastAsia="en-US"/>
    </w:rPr>
  </w:style>
  <w:style w:type="paragraph" w:styleId="NaslovTOC">
    <w:name w:val="TOC Heading"/>
    <w:basedOn w:val="Naslov1"/>
    <w:next w:val="Navaden"/>
    <w:uiPriority w:val="39"/>
    <w:unhideWhenUsed/>
    <w:qFormat/>
    <w:rsid w:val="00306840"/>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Kazalovsebine3">
    <w:name w:val="toc 3"/>
    <w:basedOn w:val="Navaden"/>
    <w:next w:val="Navaden"/>
    <w:autoRedefine/>
    <w:uiPriority w:val="39"/>
    <w:locked/>
    <w:rsid w:val="00407E4F"/>
    <w:pPr>
      <w:tabs>
        <w:tab w:val="right" w:leader="dot" w:pos="9736"/>
      </w:tabs>
      <w:ind w:left="142"/>
    </w:pPr>
  </w:style>
  <w:style w:type="paragraph" w:styleId="Kazalovsebine2">
    <w:name w:val="toc 2"/>
    <w:basedOn w:val="Navaden"/>
    <w:next w:val="Navaden"/>
    <w:autoRedefine/>
    <w:uiPriority w:val="39"/>
    <w:unhideWhenUsed/>
    <w:locked/>
    <w:rsid w:val="00306840"/>
    <w:pPr>
      <w:spacing w:after="100" w:line="259" w:lineRule="auto"/>
      <w:ind w:left="220"/>
    </w:pPr>
    <w:rPr>
      <w:rFonts w:asciiTheme="minorHAnsi" w:eastAsiaTheme="minorEastAsia" w:hAnsiTheme="minorHAnsi"/>
    </w:rPr>
  </w:style>
  <w:style w:type="paragraph" w:styleId="Kazalovsebine1">
    <w:name w:val="toc 1"/>
    <w:basedOn w:val="Navaden"/>
    <w:next w:val="Navaden"/>
    <w:autoRedefine/>
    <w:uiPriority w:val="39"/>
    <w:unhideWhenUsed/>
    <w:locked/>
    <w:rsid w:val="004C0BEF"/>
    <w:pPr>
      <w:spacing w:line="259" w:lineRule="auto"/>
    </w:pPr>
    <w:rPr>
      <w:rFonts w:eastAsiaTheme="minorEastAsia"/>
      <w:sz w:val="18"/>
    </w:rPr>
  </w:style>
  <w:style w:type="paragraph" w:styleId="Podnaslov">
    <w:name w:val="Subtitle"/>
    <w:basedOn w:val="Navaden"/>
    <w:next w:val="Navaden"/>
    <w:link w:val="PodnaslovZnak"/>
    <w:qFormat/>
    <w:locked/>
    <w:rsid w:val="0030684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rsid w:val="00306840"/>
    <w:rPr>
      <w:rFonts w:asciiTheme="minorHAnsi" w:eastAsiaTheme="minorEastAsia" w:hAnsiTheme="minorHAnsi" w:cstheme="minorBidi"/>
      <w:color w:val="5A5A5A" w:themeColor="text1" w:themeTint="A5"/>
      <w:spacing w:val="15"/>
      <w:sz w:val="22"/>
      <w:szCs w:val="22"/>
      <w:lang w:val="en-GB" w:eastAsia="en-US"/>
    </w:rPr>
  </w:style>
  <w:style w:type="paragraph" w:customStyle="1" w:styleId="zamik1">
    <w:name w:val="zamik1"/>
    <w:basedOn w:val="Navaden"/>
    <w:qFormat/>
    <w:rsid w:val="001671F4"/>
    <w:pPr>
      <w:numPr>
        <w:numId w:val="1"/>
      </w:numPr>
      <w:suppressAutoHyphens/>
      <w:spacing w:before="120"/>
    </w:pPr>
    <w:rPr>
      <w:rFonts w:eastAsia="Times New Roman"/>
      <w:sz w:val="20"/>
      <w:lang w:eastAsia="ar-SA"/>
    </w:rPr>
  </w:style>
  <w:style w:type="character" w:styleId="Pripombasklic">
    <w:name w:val="annotation reference"/>
    <w:basedOn w:val="Privzetapisavaodstavka"/>
    <w:uiPriority w:val="99"/>
    <w:semiHidden/>
    <w:unhideWhenUsed/>
    <w:rsid w:val="00B70CE6"/>
    <w:rPr>
      <w:sz w:val="16"/>
      <w:szCs w:val="16"/>
    </w:rPr>
  </w:style>
  <w:style w:type="paragraph" w:styleId="Pripombabesedilo">
    <w:name w:val="annotation text"/>
    <w:basedOn w:val="Navaden"/>
    <w:link w:val="PripombabesediloZnak"/>
    <w:uiPriority w:val="99"/>
    <w:unhideWhenUsed/>
    <w:rsid w:val="00B70CE6"/>
    <w:rPr>
      <w:sz w:val="20"/>
    </w:rPr>
  </w:style>
  <w:style w:type="character" w:customStyle="1" w:styleId="PripombabesediloZnak">
    <w:name w:val="Pripomba – besedilo Znak"/>
    <w:basedOn w:val="Privzetapisavaodstavka"/>
    <w:link w:val="Pripombabesedilo"/>
    <w:uiPriority w:val="99"/>
    <w:rsid w:val="00B70CE6"/>
    <w:rPr>
      <w:lang w:val="en-GB" w:eastAsia="en-US"/>
    </w:rPr>
  </w:style>
  <w:style w:type="paragraph" w:styleId="Zadevapripombe">
    <w:name w:val="annotation subject"/>
    <w:basedOn w:val="Pripombabesedilo"/>
    <w:next w:val="Pripombabesedilo"/>
    <w:link w:val="ZadevapripombeZnak"/>
    <w:uiPriority w:val="99"/>
    <w:semiHidden/>
    <w:unhideWhenUsed/>
    <w:rsid w:val="00B70CE6"/>
    <w:rPr>
      <w:b/>
      <w:bCs/>
    </w:rPr>
  </w:style>
  <w:style w:type="character" w:customStyle="1" w:styleId="ZadevapripombeZnak">
    <w:name w:val="Zadeva pripombe Znak"/>
    <w:basedOn w:val="PripombabesediloZnak"/>
    <w:link w:val="Zadevapripombe"/>
    <w:uiPriority w:val="99"/>
    <w:semiHidden/>
    <w:rsid w:val="00B70CE6"/>
    <w:rPr>
      <w:b/>
      <w:bCs/>
      <w:lang w:val="en-GB" w:eastAsia="en-US"/>
    </w:rPr>
  </w:style>
  <w:style w:type="table" w:customStyle="1" w:styleId="Tabelaseznam3poudarek11">
    <w:name w:val="Tabela – seznam 3 (poudarek 1)1"/>
    <w:basedOn w:val="Navadnatabela"/>
    <w:uiPriority w:val="48"/>
    <w:rsid w:val="00E14B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Sprotnaopomba-besedilo">
    <w:name w:val="footnote text"/>
    <w:basedOn w:val="Navaden"/>
    <w:link w:val="Sprotnaopomba-besediloZnak"/>
    <w:uiPriority w:val="99"/>
    <w:semiHidden/>
    <w:unhideWhenUsed/>
    <w:rsid w:val="00E6787B"/>
    <w:rPr>
      <w:sz w:val="20"/>
    </w:rPr>
  </w:style>
  <w:style w:type="character" w:customStyle="1" w:styleId="Sprotnaopomba-besediloZnak">
    <w:name w:val="Sprotna opomba - besedilo Znak"/>
    <w:basedOn w:val="Privzetapisavaodstavka"/>
    <w:link w:val="Sprotnaopomba-besedilo"/>
    <w:uiPriority w:val="99"/>
    <w:semiHidden/>
    <w:rsid w:val="00E6787B"/>
    <w:rPr>
      <w:lang w:val="en-GB" w:eastAsia="en-US"/>
    </w:rPr>
  </w:style>
  <w:style w:type="character" w:styleId="Sprotnaopomba-sklic">
    <w:name w:val="footnote reference"/>
    <w:basedOn w:val="Privzetapisavaodstavka"/>
    <w:uiPriority w:val="99"/>
    <w:semiHidden/>
    <w:unhideWhenUsed/>
    <w:rsid w:val="00E6787B"/>
    <w:rPr>
      <w:vertAlign w:val="superscript"/>
    </w:rPr>
  </w:style>
  <w:style w:type="table" w:customStyle="1" w:styleId="Tabelasvetlamrea1poudarek11">
    <w:name w:val="Tabela – svetla mreža 1 (poudarek 1)1"/>
    <w:basedOn w:val="Navadnatabela"/>
    <w:uiPriority w:val="46"/>
    <w:rsid w:val="00647583"/>
    <w:rPr>
      <w:rFonts w:eastAsiaTheme="minorHAnsi" w:cs="Arial"/>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ledenaHiperpovezava">
    <w:name w:val="FollowedHyperlink"/>
    <w:basedOn w:val="Privzetapisavaodstavka"/>
    <w:uiPriority w:val="99"/>
    <w:semiHidden/>
    <w:unhideWhenUsed/>
    <w:rsid w:val="005A3C71"/>
    <w:rPr>
      <w:color w:val="800080" w:themeColor="followedHyperlink"/>
      <w:u w:val="single"/>
    </w:rPr>
  </w:style>
  <w:style w:type="paragraph" w:styleId="Napis">
    <w:name w:val="caption"/>
    <w:basedOn w:val="Navaden"/>
    <w:next w:val="Navaden"/>
    <w:uiPriority w:val="35"/>
    <w:unhideWhenUsed/>
    <w:qFormat/>
    <w:locked/>
    <w:rsid w:val="00D664E5"/>
    <w:rPr>
      <w:i/>
      <w:iCs/>
      <w:color w:val="1F497D" w:themeColor="text2"/>
      <w:sz w:val="18"/>
      <w:szCs w:val="18"/>
    </w:rPr>
  </w:style>
  <w:style w:type="table" w:customStyle="1" w:styleId="Tabelamrea4poudarek11">
    <w:name w:val="Tabela – mreža 4 (poudarek 1)1"/>
    <w:basedOn w:val="Navadnatabela"/>
    <w:uiPriority w:val="49"/>
    <w:rsid w:val="007C0B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azaloslik">
    <w:name w:val="table of figures"/>
    <w:basedOn w:val="Navaden"/>
    <w:next w:val="Navaden"/>
    <w:autoRedefine/>
    <w:uiPriority w:val="99"/>
    <w:unhideWhenUsed/>
    <w:rsid w:val="00B76866"/>
    <w:pPr>
      <w:tabs>
        <w:tab w:val="right" w:leader="dot" w:pos="9736"/>
      </w:tabs>
      <w:ind w:left="737" w:hanging="737"/>
    </w:pPr>
    <w:rPr>
      <w:rFonts w:asciiTheme="minorHAnsi" w:hAnsiTheme="minorHAnsi" w:cs="Arial"/>
      <w:i/>
      <w:iCs/>
      <w:color w:val="000000" w:themeColor="text1"/>
      <w:sz w:val="20"/>
    </w:rPr>
  </w:style>
  <w:style w:type="paragraph" w:styleId="Stvarnokazalo1">
    <w:name w:val="index 1"/>
    <w:basedOn w:val="Navaden"/>
    <w:next w:val="Navaden"/>
    <w:autoRedefine/>
    <w:uiPriority w:val="99"/>
    <w:semiHidden/>
    <w:unhideWhenUsed/>
    <w:rsid w:val="008B14F1"/>
    <w:pPr>
      <w:ind w:left="221" w:hanging="221"/>
    </w:pPr>
    <w:rPr>
      <w:sz w:val="18"/>
    </w:rPr>
  </w:style>
  <w:style w:type="character" w:styleId="Krepko">
    <w:name w:val="Strong"/>
    <w:basedOn w:val="Privzetapisavaodstavka"/>
    <w:uiPriority w:val="22"/>
    <w:qFormat/>
    <w:locked/>
    <w:rsid w:val="00B40748"/>
    <w:rPr>
      <w:b/>
      <w:bCs/>
    </w:rPr>
  </w:style>
  <w:style w:type="character" w:styleId="Nerazreenaomemba">
    <w:name w:val="Unresolved Mention"/>
    <w:basedOn w:val="Privzetapisavaodstavka"/>
    <w:uiPriority w:val="99"/>
    <w:semiHidden/>
    <w:unhideWhenUsed/>
    <w:rsid w:val="00271F4C"/>
    <w:rPr>
      <w:color w:val="605E5C"/>
      <w:shd w:val="clear" w:color="auto" w:fill="E1DFDD"/>
    </w:rPr>
  </w:style>
  <w:style w:type="table" w:styleId="Navadnatabela2">
    <w:name w:val="Plain Table 2"/>
    <w:basedOn w:val="Navadnatabela"/>
    <w:uiPriority w:val="42"/>
    <w:rsid w:val="00FE30D5"/>
    <w:rPr>
      <w:rFonts w:asciiTheme="minorHAnsi" w:eastAsiaTheme="minorHAnsi" w:hAnsiTheme="minorHAnsi" w:cstheme="minorBidi"/>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slov">
    <w:name w:val="Title"/>
    <w:basedOn w:val="Navaden"/>
    <w:next w:val="Navaden"/>
    <w:link w:val="NaslovZnak"/>
    <w:qFormat/>
    <w:locked/>
    <w:rsid w:val="00E35DF2"/>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E35DF2"/>
    <w:rPr>
      <w:rFonts w:asciiTheme="majorHAnsi" w:eastAsiaTheme="majorEastAsia" w:hAnsiTheme="majorHAnsi" w:cstheme="majorBidi"/>
      <w:spacing w:val="-10"/>
      <w:kern w:val="28"/>
      <w:sz w:val="56"/>
      <w:szCs w:val="56"/>
      <w:lang w:val="en-GB" w:eastAsia="en-US"/>
    </w:rPr>
  </w:style>
  <w:style w:type="paragraph" w:styleId="Revizija">
    <w:name w:val="Revision"/>
    <w:hidden/>
    <w:uiPriority w:val="99"/>
    <w:semiHidden/>
    <w:rsid w:val="00CD10D9"/>
  </w:style>
  <w:style w:type="paragraph" w:styleId="Konnaopomba-besedilo">
    <w:name w:val="endnote text"/>
    <w:basedOn w:val="Navaden"/>
    <w:link w:val="Konnaopomba-besediloZnak"/>
    <w:uiPriority w:val="99"/>
    <w:semiHidden/>
    <w:unhideWhenUsed/>
    <w:rsid w:val="009D4F97"/>
    <w:rPr>
      <w:sz w:val="20"/>
    </w:rPr>
  </w:style>
  <w:style w:type="character" w:customStyle="1" w:styleId="Konnaopomba-besediloZnak">
    <w:name w:val="Končna opomba - besedilo Znak"/>
    <w:basedOn w:val="Privzetapisavaodstavka"/>
    <w:link w:val="Konnaopomba-besedilo"/>
    <w:uiPriority w:val="99"/>
    <w:semiHidden/>
    <w:rsid w:val="009D4F97"/>
    <w:rPr>
      <w:sz w:val="20"/>
    </w:rPr>
  </w:style>
  <w:style w:type="character" w:styleId="Konnaopomba-sklic">
    <w:name w:val="endnote reference"/>
    <w:basedOn w:val="Privzetapisavaodstavka"/>
    <w:uiPriority w:val="99"/>
    <w:semiHidden/>
    <w:unhideWhenUsed/>
    <w:rsid w:val="009D4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663">
      <w:bodyDiv w:val="1"/>
      <w:marLeft w:val="0"/>
      <w:marRight w:val="0"/>
      <w:marTop w:val="0"/>
      <w:marBottom w:val="0"/>
      <w:divBdr>
        <w:top w:val="none" w:sz="0" w:space="0" w:color="auto"/>
        <w:left w:val="none" w:sz="0" w:space="0" w:color="auto"/>
        <w:bottom w:val="none" w:sz="0" w:space="0" w:color="auto"/>
        <w:right w:val="none" w:sz="0" w:space="0" w:color="auto"/>
      </w:divBdr>
    </w:div>
    <w:div w:id="81147287">
      <w:bodyDiv w:val="1"/>
      <w:marLeft w:val="0"/>
      <w:marRight w:val="0"/>
      <w:marTop w:val="0"/>
      <w:marBottom w:val="0"/>
      <w:divBdr>
        <w:top w:val="none" w:sz="0" w:space="0" w:color="auto"/>
        <w:left w:val="none" w:sz="0" w:space="0" w:color="auto"/>
        <w:bottom w:val="none" w:sz="0" w:space="0" w:color="auto"/>
        <w:right w:val="none" w:sz="0" w:space="0" w:color="auto"/>
      </w:divBdr>
    </w:div>
    <w:div w:id="95365184">
      <w:bodyDiv w:val="1"/>
      <w:marLeft w:val="0"/>
      <w:marRight w:val="0"/>
      <w:marTop w:val="0"/>
      <w:marBottom w:val="0"/>
      <w:divBdr>
        <w:top w:val="none" w:sz="0" w:space="0" w:color="auto"/>
        <w:left w:val="none" w:sz="0" w:space="0" w:color="auto"/>
        <w:bottom w:val="none" w:sz="0" w:space="0" w:color="auto"/>
        <w:right w:val="none" w:sz="0" w:space="0" w:color="auto"/>
      </w:divBdr>
    </w:div>
    <w:div w:id="96566157">
      <w:bodyDiv w:val="1"/>
      <w:marLeft w:val="0"/>
      <w:marRight w:val="0"/>
      <w:marTop w:val="0"/>
      <w:marBottom w:val="0"/>
      <w:divBdr>
        <w:top w:val="none" w:sz="0" w:space="0" w:color="auto"/>
        <w:left w:val="none" w:sz="0" w:space="0" w:color="auto"/>
        <w:bottom w:val="none" w:sz="0" w:space="0" w:color="auto"/>
        <w:right w:val="none" w:sz="0" w:space="0" w:color="auto"/>
      </w:divBdr>
    </w:div>
    <w:div w:id="136538309">
      <w:bodyDiv w:val="1"/>
      <w:marLeft w:val="0"/>
      <w:marRight w:val="0"/>
      <w:marTop w:val="0"/>
      <w:marBottom w:val="0"/>
      <w:divBdr>
        <w:top w:val="none" w:sz="0" w:space="0" w:color="auto"/>
        <w:left w:val="none" w:sz="0" w:space="0" w:color="auto"/>
        <w:bottom w:val="none" w:sz="0" w:space="0" w:color="auto"/>
        <w:right w:val="none" w:sz="0" w:space="0" w:color="auto"/>
      </w:divBdr>
    </w:div>
    <w:div w:id="138570426">
      <w:bodyDiv w:val="1"/>
      <w:marLeft w:val="0"/>
      <w:marRight w:val="0"/>
      <w:marTop w:val="0"/>
      <w:marBottom w:val="0"/>
      <w:divBdr>
        <w:top w:val="none" w:sz="0" w:space="0" w:color="auto"/>
        <w:left w:val="none" w:sz="0" w:space="0" w:color="auto"/>
        <w:bottom w:val="none" w:sz="0" w:space="0" w:color="auto"/>
        <w:right w:val="none" w:sz="0" w:space="0" w:color="auto"/>
      </w:divBdr>
    </w:div>
    <w:div w:id="153449202">
      <w:bodyDiv w:val="1"/>
      <w:marLeft w:val="0"/>
      <w:marRight w:val="0"/>
      <w:marTop w:val="0"/>
      <w:marBottom w:val="0"/>
      <w:divBdr>
        <w:top w:val="none" w:sz="0" w:space="0" w:color="auto"/>
        <w:left w:val="none" w:sz="0" w:space="0" w:color="auto"/>
        <w:bottom w:val="none" w:sz="0" w:space="0" w:color="auto"/>
        <w:right w:val="none" w:sz="0" w:space="0" w:color="auto"/>
      </w:divBdr>
    </w:div>
    <w:div w:id="185755859">
      <w:bodyDiv w:val="1"/>
      <w:marLeft w:val="0"/>
      <w:marRight w:val="0"/>
      <w:marTop w:val="0"/>
      <w:marBottom w:val="0"/>
      <w:divBdr>
        <w:top w:val="none" w:sz="0" w:space="0" w:color="auto"/>
        <w:left w:val="none" w:sz="0" w:space="0" w:color="auto"/>
        <w:bottom w:val="none" w:sz="0" w:space="0" w:color="auto"/>
        <w:right w:val="none" w:sz="0" w:space="0" w:color="auto"/>
      </w:divBdr>
    </w:div>
    <w:div w:id="294338378">
      <w:bodyDiv w:val="1"/>
      <w:marLeft w:val="0"/>
      <w:marRight w:val="0"/>
      <w:marTop w:val="0"/>
      <w:marBottom w:val="0"/>
      <w:divBdr>
        <w:top w:val="none" w:sz="0" w:space="0" w:color="auto"/>
        <w:left w:val="none" w:sz="0" w:space="0" w:color="auto"/>
        <w:bottom w:val="none" w:sz="0" w:space="0" w:color="auto"/>
        <w:right w:val="none" w:sz="0" w:space="0" w:color="auto"/>
      </w:divBdr>
    </w:div>
    <w:div w:id="319965204">
      <w:bodyDiv w:val="1"/>
      <w:marLeft w:val="0"/>
      <w:marRight w:val="0"/>
      <w:marTop w:val="0"/>
      <w:marBottom w:val="0"/>
      <w:divBdr>
        <w:top w:val="none" w:sz="0" w:space="0" w:color="auto"/>
        <w:left w:val="none" w:sz="0" w:space="0" w:color="auto"/>
        <w:bottom w:val="none" w:sz="0" w:space="0" w:color="auto"/>
        <w:right w:val="none" w:sz="0" w:space="0" w:color="auto"/>
      </w:divBdr>
    </w:div>
    <w:div w:id="373581445">
      <w:bodyDiv w:val="1"/>
      <w:marLeft w:val="0"/>
      <w:marRight w:val="0"/>
      <w:marTop w:val="0"/>
      <w:marBottom w:val="0"/>
      <w:divBdr>
        <w:top w:val="none" w:sz="0" w:space="0" w:color="auto"/>
        <w:left w:val="none" w:sz="0" w:space="0" w:color="auto"/>
        <w:bottom w:val="none" w:sz="0" w:space="0" w:color="auto"/>
        <w:right w:val="none" w:sz="0" w:space="0" w:color="auto"/>
      </w:divBdr>
    </w:div>
    <w:div w:id="412968558">
      <w:bodyDiv w:val="1"/>
      <w:marLeft w:val="0"/>
      <w:marRight w:val="0"/>
      <w:marTop w:val="0"/>
      <w:marBottom w:val="0"/>
      <w:divBdr>
        <w:top w:val="none" w:sz="0" w:space="0" w:color="auto"/>
        <w:left w:val="none" w:sz="0" w:space="0" w:color="auto"/>
        <w:bottom w:val="none" w:sz="0" w:space="0" w:color="auto"/>
        <w:right w:val="none" w:sz="0" w:space="0" w:color="auto"/>
      </w:divBdr>
    </w:div>
    <w:div w:id="418064001">
      <w:bodyDiv w:val="1"/>
      <w:marLeft w:val="0"/>
      <w:marRight w:val="0"/>
      <w:marTop w:val="0"/>
      <w:marBottom w:val="0"/>
      <w:divBdr>
        <w:top w:val="none" w:sz="0" w:space="0" w:color="auto"/>
        <w:left w:val="none" w:sz="0" w:space="0" w:color="auto"/>
        <w:bottom w:val="none" w:sz="0" w:space="0" w:color="auto"/>
        <w:right w:val="none" w:sz="0" w:space="0" w:color="auto"/>
      </w:divBdr>
    </w:div>
    <w:div w:id="436488170">
      <w:bodyDiv w:val="1"/>
      <w:marLeft w:val="0"/>
      <w:marRight w:val="0"/>
      <w:marTop w:val="0"/>
      <w:marBottom w:val="0"/>
      <w:divBdr>
        <w:top w:val="none" w:sz="0" w:space="0" w:color="auto"/>
        <w:left w:val="none" w:sz="0" w:space="0" w:color="auto"/>
        <w:bottom w:val="none" w:sz="0" w:space="0" w:color="auto"/>
        <w:right w:val="none" w:sz="0" w:space="0" w:color="auto"/>
      </w:divBdr>
    </w:div>
    <w:div w:id="524170332">
      <w:bodyDiv w:val="1"/>
      <w:marLeft w:val="0"/>
      <w:marRight w:val="0"/>
      <w:marTop w:val="0"/>
      <w:marBottom w:val="0"/>
      <w:divBdr>
        <w:top w:val="none" w:sz="0" w:space="0" w:color="auto"/>
        <w:left w:val="none" w:sz="0" w:space="0" w:color="auto"/>
        <w:bottom w:val="none" w:sz="0" w:space="0" w:color="auto"/>
        <w:right w:val="none" w:sz="0" w:space="0" w:color="auto"/>
      </w:divBdr>
    </w:div>
    <w:div w:id="566309459">
      <w:bodyDiv w:val="1"/>
      <w:marLeft w:val="0"/>
      <w:marRight w:val="0"/>
      <w:marTop w:val="0"/>
      <w:marBottom w:val="0"/>
      <w:divBdr>
        <w:top w:val="none" w:sz="0" w:space="0" w:color="auto"/>
        <w:left w:val="none" w:sz="0" w:space="0" w:color="auto"/>
        <w:bottom w:val="none" w:sz="0" w:space="0" w:color="auto"/>
        <w:right w:val="none" w:sz="0" w:space="0" w:color="auto"/>
      </w:divBdr>
    </w:div>
    <w:div w:id="568928900">
      <w:bodyDiv w:val="1"/>
      <w:marLeft w:val="0"/>
      <w:marRight w:val="0"/>
      <w:marTop w:val="0"/>
      <w:marBottom w:val="0"/>
      <w:divBdr>
        <w:top w:val="none" w:sz="0" w:space="0" w:color="auto"/>
        <w:left w:val="none" w:sz="0" w:space="0" w:color="auto"/>
        <w:bottom w:val="none" w:sz="0" w:space="0" w:color="auto"/>
        <w:right w:val="none" w:sz="0" w:space="0" w:color="auto"/>
      </w:divBdr>
    </w:div>
    <w:div w:id="594898774">
      <w:bodyDiv w:val="1"/>
      <w:marLeft w:val="0"/>
      <w:marRight w:val="0"/>
      <w:marTop w:val="0"/>
      <w:marBottom w:val="0"/>
      <w:divBdr>
        <w:top w:val="none" w:sz="0" w:space="0" w:color="auto"/>
        <w:left w:val="none" w:sz="0" w:space="0" w:color="auto"/>
        <w:bottom w:val="none" w:sz="0" w:space="0" w:color="auto"/>
        <w:right w:val="none" w:sz="0" w:space="0" w:color="auto"/>
      </w:divBdr>
    </w:div>
    <w:div w:id="598179560">
      <w:bodyDiv w:val="1"/>
      <w:marLeft w:val="0"/>
      <w:marRight w:val="0"/>
      <w:marTop w:val="0"/>
      <w:marBottom w:val="0"/>
      <w:divBdr>
        <w:top w:val="none" w:sz="0" w:space="0" w:color="auto"/>
        <w:left w:val="none" w:sz="0" w:space="0" w:color="auto"/>
        <w:bottom w:val="none" w:sz="0" w:space="0" w:color="auto"/>
        <w:right w:val="none" w:sz="0" w:space="0" w:color="auto"/>
      </w:divBdr>
    </w:div>
    <w:div w:id="658462077">
      <w:bodyDiv w:val="1"/>
      <w:marLeft w:val="0"/>
      <w:marRight w:val="0"/>
      <w:marTop w:val="0"/>
      <w:marBottom w:val="0"/>
      <w:divBdr>
        <w:top w:val="none" w:sz="0" w:space="0" w:color="auto"/>
        <w:left w:val="none" w:sz="0" w:space="0" w:color="auto"/>
        <w:bottom w:val="none" w:sz="0" w:space="0" w:color="auto"/>
        <w:right w:val="none" w:sz="0" w:space="0" w:color="auto"/>
      </w:divBdr>
    </w:div>
    <w:div w:id="678704742">
      <w:bodyDiv w:val="1"/>
      <w:marLeft w:val="0"/>
      <w:marRight w:val="0"/>
      <w:marTop w:val="0"/>
      <w:marBottom w:val="0"/>
      <w:divBdr>
        <w:top w:val="none" w:sz="0" w:space="0" w:color="auto"/>
        <w:left w:val="none" w:sz="0" w:space="0" w:color="auto"/>
        <w:bottom w:val="none" w:sz="0" w:space="0" w:color="auto"/>
        <w:right w:val="none" w:sz="0" w:space="0" w:color="auto"/>
      </w:divBdr>
    </w:div>
    <w:div w:id="708380768">
      <w:bodyDiv w:val="1"/>
      <w:marLeft w:val="0"/>
      <w:marRight w:val="0"/>
      <w:marTop w:val="0"/>
      <w:marBottom w:val="0"/>
      <w:divBdr>
        <w:top w:val="none" w:sz="0" w:space="0" w:color="auto"/>
        <w:left w:val="none" w:sz="0" w:space="0" w:color="auto"/>
        <w:bottom w:val="none" w:sz="0" w:space="0" w:color="auto"/>
        <w:right w:val="none" w:sz="0" w:space="0" w:color="auto"/>
      </w:divBdr>
    </w:div>
    <w:div w:id="786192439">
      <w:bodyDiv w:val="1"/>
      <w:marLeft w:val="0"/>
      <w:marRight w:val="0"/>
      <w:marTop w:val="0"/>
      <w:marBottom w:val="0"/>
      <w:divBdr>
        <w:top w:val="none" w:sz="0" w:space="0" w:color="auto"/>
        <w:left w:val="none" w:sz="0" w:space="0" w:color="auto"/>
        <w:bottom w:val="none" w:sz="0" w:space="0" w:color="auto"/>
        <w:right w:val="none" w:sz="0" w:space="0" w:color="auto"/>
      </w:divBdr>
    </w:div>
    <w:div w:id="805663050">
      <w:bodyDiv w:val="1"/>
      <w:marLeft w:val="0"/>
      <w:marRight w:val="0"/>
      <w:marTop w:val="0"/>
      <w:marBottom w:val="0"/>
      <w:divBdr>
        <w:top w:val="none" w:sz="0" w:space="0" w:color="auto"/>
        <w:left w:val="none" w:sz="0" w:space="0" w:color="auto"/>
        <w:bottom w:val="none" w:sz="0" w:space="0" w:color="auto"/>
        <w:right w:val="none" w:sz="0" w:space="0" w:color="auto"/>
      </w:divBdr>
    </w:div>
    <w:div w:id="827984861">
      <w:bodyDiv w:val="1"/>
      <w:marLeft w:val="0"/>
      <w:marRight w:val="0"/>
      <w:marTop w:val="0"/>
      <w:marBottom w:val="0"/>
      <w:divBdr>
        <w:top w:val="none" w:sz="0" w:space="0" w:color="auto"/>
        <w:left w:val="none" w:sz="0" w:space="0" w:color="auto"/>
        <w:bottom w:val="none" w:sz="0" w:space="0" w:color="auto"/>
        <w:right w:val="none" w:sz="0" w:space="0" w:color="auto"/>
      </w:divBdr>
    </w:div>
    <w:div w:id="881138755">
      <w:bodyDiv w:val="1"/>
      <w:marLeft w:val="0"/>
      <w:marRight w:val="0"/>
      <w:marTop w:val="0"/>
      <w:marBottom w:val="0"/>
      <w:divBdr>
        <w:top w:val="none" w:sz="0" w:space="0" w:color="auto"/>
        <w:left w:val="none" w:sz="0" w:space="0" w:color="auto"/>
        <w:bottom w:val="none" w:sz="0" w:space="0" w:color="auto"/>
        <w:right w:val="none" w:sz="0" w:space="0" w:color="auto"/>
      </w:divBdr>
    </w:div>
    <w:div w:id="883903590">
      <w:bodyDiv w:val="1"/>
      <w:marLeft w:val="0"/>
      <w:marRight w:val="0"/>
      <w:marTop w:val="0"/>
      <w:marBottom w:val="0"/>
      <w:divBdr>
        <w:top w:val="none" w:sz="0" w:space="0" w:color="auto"/>
        <w:left w:val="none" w:sz="0" w:space="0" w:color="auto"/>
        <w:bottom w:val="none" w:sz="0" w:space="0" w:color="auto"/>
        <w:right w:val="none" w:sz="0" w:space="0" w:color="auto"/>
      </w:divBdr>
    </w:div>
    <w:div w:id="903486223">
      <w:bodyDiv w:val="1"/>
      <w:marLeft w:val="0"/>
      <w:marRight w:val="0"/>
      <w:marTop w:val="0"/>
      <w:marBottom w:val="0"/>
      <w:divBdr>
        <w:top w:val="none" w:sz="0" w:space="0" w:color="auto"/>
        <w:left w:val="none" w:sz="0" w:space="0" w:color="auto"/>
        <w:bottom w:val="none" w:sz="0" w:space="0" w:color="auto"/>
        <w:right w:val="none" w:sz="0" w:space="0" w:color="auto"/>
      </w:divBdr>
    </w:div>
    <w:div w:id="909655030">
      <w:bodyDiv w:val="1"/>
      <w:marLeft w:val="0"/>
      <w:marRight w:val="0"/>
      <w:marTop w:val="0"/>
      <w:marBottom w:val="0"/>
      <w:divBdr>
        <w:top w:val="none" w:sz="0" w:space="0" w:color="auto"/>
        <w:left w:val="none" w:sz="0" w:space="0" w:color="auto"/>
        <w:bottom w:val="none" w:sz="0" w:space="0" w:color="auto"/>
        <w:right w:val="none" w:sz="0" w:space="0" w:color="auto"/>
      </w:divBdr>
    </w:div>
    <w:div w:id="945235464">
      <w:bodyDiv w:val="1"/>
      <w:marLeft w:val="0"/>
      <w:marRight w:val="0"/>
      <w:marTop w:val="0"/>
      <w:marBottom w:val="0"/>
      <w:divBdr>
        <w:top w:val="none" w:sz="0" w:space="0" w:color="auto"/>
        <w:left w:val="none" w:sz="0" w:space="0" w:color="auto"/>
        <w:bottom w:val="none" w:sz="0" w:space="0" w:color="auto"/>
        <w:right w:val="none" w:sz="0" w:space="0" w:color="auto"/>
      </w:divBdr>
    </w:div>
    <w:div w:id="996959915">
      <w:bodyDiv w:val="1"/>
      <w:marLeft w:val="0"/>
      <w:marRight w:val="0"/>
      <w:marTop w:val="0"/>
      <w:marBottom w:val="0"/>
      <w:divBdr>
        <w:top w:val="none" w:sz="0" w:space="0" w:color="auto"/>
        <w:left w:val="none" w:sz="0" w:space="0" w:color="auto"/>
        <w:bottom w:val="none" w:sz="0" w:space="0" w:color="auto"/>
        <w:right w:val="none" w:sz="0" w:space="0" w:color="auto"/>
      </w:divBdr>
    </w:div>
    <w:div w:id="997074895">
      <w:bodyDiv w:val="1"/>
      <w:marLeft w:val="0"/>
      <w:marRight w:val="0"/>
      <w:marTop w:val="0"/>
      <w:marBottom w:val="0"/>
      <w:divBdr>
        <w:top w:val="none" w:sz="0" w:space="0" w:color="auto"/>
        <w:left w:val="none" w:sz="0" w:space="0" w:color="auto"/>
        <w:bottom w:val="none" w:sz="0" w:space="0" w:color="auto"/>
        <w:right w:val="none" w:sz="0" w:space="0" w:color="auto"/>
      </w:divBdr>
    </w:div>
    <w:div w:id="1054112428">
      <w:bodyDiv w:val="1"/>
      <w:marLeft w:val="0"/>
      <w:marRight w:val="0"/>
      <w:marTop w:val="0"/>
      <w:marBottom w:val="0"/>
      <w:divBdr>
        <w:top w:val="none" w:sz="0" w:space="0" w:color="auto"/>
        <w:left w:val="none" w:sz="0" w:space="0" w:color="auto"/>
        <w:bottom w:val="none" w:sz="0" w:space="0" w:color="auto"/>
        <w:right w:val="none" w:sz="0" w:space="0" w:color="auto"/>
      </w:divBdr>
    </w:div>
    <w:div w:id="1108624166">
      <w:bodyDiv w:val="1"/>
      <w:marLeft w:val="0"/>
      <w:marRight w:val="0"/>
      <w:marTop w:val="0"/>
      <w:marBottom w:val="0"/>
      <w:divBdr>
        <w:top w:val="none" w:sz="0" w:space="0" w:color="auto"/>
        <w:left w:val="none" w:sz="0" w:space="0" w:color="auto"/>
        <w:bottom w:val="none" w:sz="0" w:space="0" w:color="auto"/>
        <w:right w:val="none" w:sz="0" w:space="0" w:color="auto"/>
      </w:divBdr>
    </w:div>
    <w:div w:id="1118766027">
      <w:bodyDiv w:val="1"/>
      <w:marLeft w:val="0"/>
      <w:marRight w:val="0"/>
      <w:marTop w:val="0"/>
      <w:marBottom w:val="0"/>
      <w:divBdr>
        <w:top w:val="none" w:sz="0" w:space="0" w:color="auto"/>
        <w:left w:val="none" w:sz="0" w:space="0" w:color="auto"/>
        <w:bottom w:val="none" w:sz="0" w:space="0" w:color="auto"/>
        <w:right w:val="none" w:sz="0" w:space="0" w:color="auto"/>
      </w:divBdr>
    </w:div>
    <w:div w:id="1120032684">
      <w:bodyDiv w:val="1"/>
      <w:marLeft w:val="0"/>
      <w:marRight w:val="0"/>
      <w:marTop w:val="0"/>
      <w:marBottom w:val="0"/>
      <w:divBdr>
        <w:top w:val="none" w:sz="0" w:space="0" w:color="auto"/>
        <w:left w:val="none" w:sz="0" w:space="0" w:color="auto"/>
        <w:bottom w:val="none" w:sz="0" w:space="0" w:color="auto"/>
        <w:right w:val="none" w:sz="0" w:space="0" w:color="auto"/>
      </w:divBdr>
    </w:div>
    <w:div w:id="1133403283">
      <w:bodyDiv w:val="1"/>
      <w:marLeft w:val="0"/>
      <w:marRight w:val="0"/>
      <w:marTop w:val="0"/>
      <w:marBottom w:val="0"/>
      <w:divBdr>
        <w:top w:val="none" w:sz="0" w:space="0" w:color="auto"/>
        <w:left w:val="none" w:sz="0" w:space="0" w:color="auto"/>
        <w:bottom w:val="none" w:sz="0" w:space="0" w:color="auto"/>
        <w:right w:val="none" w:sz="0" w:space="0" w:color="auto"/>
      </w:divBdr>
    </w:div>
    <w:div w:id="1135177088">
      <w:bodyDiv w:val="1"/>
      <w:marLeft w:val="0"/>
      <w:marRight w:val="0"/>
      <w:marTop w:val="0"/>
      <w:marBottom w:val="0"/>
      <w:divBdr>
        <w:top w:val="none" w:sz="0" w:space="0" w:color="auto"/>
        <w:left w:val="none" w:sz="0" w:space="0" w:color="auto"/>
        <w:bottom w:val="none" w:sz="0" w:space="0" w:color="auto"/>
        <w:right w:val="none" w:sz="0" w:space="0" w:color="auto"/>
      </w:divBdr>
    </w:div>
    <w:div w:id="1147355408">
      <w:bodyDiv w:val="1"/>
      <w:marLeft w:val="0"/>
      <w:marRight w:val="0"/>
      <w:marTop w:val="0"/>
      <w:marBottom w:val="0"/>
      <w:divBdr>
        <w:top w:val="none" w:sz="0" w:space="0" w:color="auto"/>
        <w:left w:val="none" w:sz="0" w:space="0" w:color="auto"/>
        <w:bottom w:val="none" w:sz="0" w:space="0" w:color="auto"/>
        <w:right w:val="none" w:sz="0" w:space="0" w:color="auto"/>
      </w:divBdr>
    </w:div>
    <w:div w:id="1256936831">
      <w:bodyDiv w:val="1"/>
      <w:marLeft w:val="0"/>
      <w:marRight w:val="0"/>
      <w:marTop w:val="0"/>
      <w:marBottom w:val="0"/>
      <w:divBdr>
        <w:top w:val="none" w:sz="0" w:space="0" w:color="auto"/>
        <w:left w:val="none" w:sz="0" w:space="0" w:color="auto"/>
        <w:bottom w:val="none" w:sz="0" w:space="0" w:color="auto"/>
        <w:right w:val="none" w:sz="0" w:space="0" w:color="auto"/>
      </w:divBdr>
    </w:div>
    <w:div w:id="1259632214">
      <w:bodyDiv w:val="1"/>
      <w:marLeft w:val="0"/>
      <w:marRight w:val="0"/>
      <w:marTop w:val="0"/>
      <w:marBottom w:val="0"/>
      <w:divBdr>
        <w:top w:val="none" w:sz="0" w:space="0" w:color="auto"/>
        <w:left w:val="none" w:sz="0" w:space="0" w:color="auto"/>
        <w:bottom w:val="none" w:sz="0" w:space="0" w:color="auto"/>
        <w:right w:val="none" w:sz="0" w:space="0" w:color="auto"/>
      </w:divBdr>
    </w:div>
    <w:div w:id="1262451226">
      <w:bodyDiv w:val="1"/>
      <w:marLeft w:val="0"/>
      <w:marRight w:val="0"/>
      <w:marTop w:val="0"/>
      <w:marBottom w:val="0"/>
      <w:divBdr>
        <w:top w:val="none" w:sz="0" w:space="0" w:color="auto"/>
        <w:left w:val="none" w:sz="0" w:space="0" w:color="auto"/>
        <w:bottom w:val="none" w:sz="0" w:space="0" w:color="auto"/>
        <w:right w:val="none" w:sz="0" w:space="0" w:color="auto"/>
      </w:divBdr>
    </w:div>
    <w:div w:id="1374385863">
      <w:bodyDiv w:val="1"/>
      <w:marLeft w:val="0"/>
      <w:marRight w:val="0"/>
      <w:marTop w:val="0"/>
      <w:marBottom w:val="0"/>
      <w:divBdr>
        <w:top w:val="none" w:sz="0" w:space="0" w:color="auto"/>
        <w:left w:val="none" w:sz="0" w:space="0" w:color="auto"/>
        <w:bottom w:val="none" w:sz="0" w:space="0" w:color="auto"/>
        <w:right w:val="none" w:sz="0" w:space="0" w:color="auto"/>
      </w:divBdr>
    </w:div>
    <w:div w:id="1388263516">
      <w:bodyDiv w:val="1"/>
      <w:marLeft w:val="0"/>
      <w:marRight w:val="0"/>
      <w:marTop w:val="0"/>
      <w:marBottom w:val="0"/>
      <w:divBdr>
        <w:top w:val="none" w:sz="0" w:space="0" w:color="auto"/>
        <w:left w:val="none" w:sz="0" w:space="0" w:color="auto"/>
        <w:bottom w:val="none" w:sz="0" w:space="0" w:color="auto"/>
        <w:right w:val="none" w:sz="0" w:space="0" w:color="auto"/>
      </w:divBdr>
    </w:div>
    <w:div w:id="1388408656">
      <w:bodyDiv w:val="1"/>
      <w:marLeft w:val="0"/>
      <w:marRight w:val="0"/>
      <w:marTop w:val="0"/>
      <w:marBottom w:val="0"/>
      <w:divBdr>
        <w:top w:val="none" w:sz="0" w:space="0" w:color="auto"/>
        <w:left w:val="none" w:sz="0" w:space="0" w:color="auto"/>
        <w:bottom w:val="none" w:sz="0" w:space="0" w:color="auto"/>
        <w:right w:val="none" w:sz="0" w:space="0" w:color="auto"/>
      </w:divBdr>
    </w:div>
    <w:div w:id="1392116882">
      <w:bodyDiv w:val="1"/>
      <w:marLeft w:val="0"/>
      <w:marRight w:val="0"/>
      <w:marTop w:val="0"/>
      <w:marBottom w:val="0"/>
      <w:divBdr>
        <w:top w:val="none" w:sz="0" w:space="0" w:color="auto"/>
        <w:left w:val="none" w:sz="0" w:space="0" w:color="auto"/>
        <w:bottom w:val="none" w:sz="0" w:space="0" w:color="auto"/>
        <w:right w:val="none" w:sz="0" w:space="0" w:color="auto"/>
      </w:divBdr>
    </w:div>
    <w:div w:id="1409040468">
      <w:bodyDiv w:val="1"/>
      <w:marLeft w:val="0"/>
      <w:marRight w:val="0"/>
      <w:marTop w:val="0"/>
      <w:marBottom w:val="0"/>
      <w:divBdr>
        <w:top w:val="none" w:sz="0" w:space="0" w:color="auto"/>
        <w:left w:val="none" w:sz="0" w:space="0" w:color="auto"/>
        <w:bottom w:val="none" w:sz="0" w:space="0" w:color="auto"/>
        <w:right w:val="none" w:sz="0" w:space="0" w:color="auto"/>
      </w:divBdr>
    </w:div>
    <w:div w:id="1417245749">
      <w:bodyDiv w:val="1"/>
      <w:marLeft w:val="0"/>
      <w:marRight w:val="0"/>
      <w:marTop w:val="0"/>
      <w:marBottom w:val="0"/>
      <w:divBdr>
        <w:top w:val="none" w:sz="0" w:space="0" w:color="auto"/>
        <w:left w:val="none" w:sz="0" w:space="0" w:color="auto"/>
        <w:bottom w:val="none" w:sz="0" w:space="0" w:color="auto"/>
        <w:right w:val="none" w:sz="0" w:space="0" w:color="auto"/>
      </w:divBdr>
    </w:div>
    <w:div w:id="1459108515">
      <w:bodyDiv w:val="1"/>
      <w:marLeft w:val="0"/>
      <w:marRight w:val="0"/>
      <w:marTop w:val="0"/>
      <w:marBottom w:val="0"/>
      <w:divBdr>
        <w:top w:val="none" w:sz="0" w:space="0" w:color="auto"/>
        <w:left w:val="none" w:sz="0" w:space="0" w:color="auto"/>
        <w:bottom w:val="none" w:sz="0" w:space="0" w:color="auto"/>
        <w:right w:val="none" w:sz="0" w:space="0" w:color="auto"/>
      </w:divBdr>
    </w:div>
    <w:div w:id="154417505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85">
          <w:marLeft w:val="0"/>
          <w:marRight w:val="0"/>
          <w:marTop w:val="0"/>
          <w:marBottom w:val="0"/>
          <w:divBdr>
            <w:top w:val="none" w:sz="0" w:space="0" w:color="auto"/>
            <w:left w:val="none" w:sz="0" w:space="0" w:color="auto"/>
            <w:bottom w:val="none" w:sz="0" w:space="0" w:color="auto"/>
            <w:right w:val="none" w:sz="0" w:space="0" w:color="auto"/>
          </w:divBdr>
        </w:div>
      </w:divsChild>
    </w:div>
    <w:div w:id="1552769811">
      <w:bodyDiv w:val="1"/>
      <w:marLeft w:val="0"/>
      <w:marRight w:val="0"/>
      <w:marTop w:val="0"/>
      <w:marBottom w:val="0"/>
      <w:divBdr>
        <w:top w:val="none" w:sz="0" w:space="0" w:color="auto"/>
        <w:left w:val="none" w:sz="0" w:space="0" w:color="auto"/>
        <w:bottom w:val="none" w:sz="0" w:space="0" w:color="auto"/>
        <w:right w:val="none" w:sz="0" w:space="0" w:color="auto"/>
      </w:divBdr>
    </w:div>
    <w:div w:id="1610502427">
      <w:bodyDiv w:val="1"/>
      <w:marLeft w:val="0"/>
      <w:marRight w:val="0"/>
      <w:marTop w:val="0"/>
      <w:marBottom w:val="0"/>
      <w:divBdr>
        <w:top w:val="none" w:sz="0" w:space="0" w:color="auto"/>
        <w:left w:val="none" w:sz="0" w:space="0" w:color="auto"/>
        <w:bottom w:val="none" w:sz="0" w:space="0" w:color="auto"/>
        <w:right w:val="none" w:sz="0" w:space="0" w:color="auto"/>
      </w:divBdr>
    </w:div>
    <w:div w:id="1621033032">
      <w:bodyDiv w:val="1"/>
      <w:marLeft w:val="0"/>
      <w:marRight w:val="0"/>
      <w:marTop w:val="0"/>
      <w:marBottom w:val="0"/>
      <w:divBdr>
        <w:top w:val="none" w:sz="0" w:space="0" w:color="auto"/>
        <w:left w:val="none" w:sz="0" w:space="0" w:color="auto"/>
        <w:bottom w:val="none" w:sz="0" w:space="0" w:color="auto"/>
        <w:right w:val="none" w:sz="0" w:space="0" w:color="auto"/>
      </w:divBdr>
    </w:div>
    <w:div w:id="1642493172">
      <w:bodyDiv w:val="1"/>
      <w:marLeft w:val="0"/>
      <w:marRight w:val="0"/>
      <w:marTop w:val="0"/>
      <w:marBottom w:val="0"/>
      <w:divBdr>
        <w:top w:val="none" w:sz="0" w:space="0" w:color="auto"/>
        <w:left w:val="none" w:sz="0" w:space="0" w:color="auto"/>
        <w:bottom w:val="none" w:sz="0" w:space="0" w:color="auto"/>
        <w:right w:val="none" w:sz="0" w:space="0" w:color="auto"/>
      </w:divBdr>
    </w:div>
    <w:div w:id="1685210177">
      <w:bodyDiv w:val="1"/>
      <w:marLeft w:val="0"/>
      <w:marRight w:val="0"/>
      <w:marTop w:val="0"/>
      <w:marBottom w:val="0"/>
      <w:divBdr>
        <w:top w:val="none" w:sz="0" w:space="0" w:color="auto"/>
        <w:left w:val="none" w:sz="0" w:space="0" w:color="auto"/>
        <w:bottom w:val="none" w:sz="0" w:space="0" w:color="auto"/>
        <w:right w:val="none" w:sz="0" w:space="0" w:color="auto"/>
      </w:divBdr>
    </w:div>
    <w:div w:id="1722752137">
      <w:bodyDiv w:val="1"/>
      <w:marLeft w:val="0"/>
      <w:marRight w:val="0"/>
      <w:marTop w:val="0"/>
      <w:marBottom w:val="0"/>
      <w:divBdr>
        <w:top w:val="none" w:sz="0" w:space="0" w:color="auto"/>
        <w:left w:val="none" w:sz="0" w:space="0" w:color="auto"/>
        <w:bottom w:val="none" w:sz="0" w:space="0" w:color="auto"/>
        <w:right w:val="none" w:sz="0" w:space="0" w:color="auto"/>
      </w:divBdr>
    </w:div>
    <w:div w:id="1732073293">
      <w:bodyDiv w:val="1"/>
      <w:marLeft w:val="0"/>
      <w:marRight w:val="0"/>
      <w:marTop w:val="0"/>
      <w:marBottom w:val="0"/>
      <w:divBdr>
        <w:top w:val="none" w:sz="0" w:space="0" w:color="auto"/>
        <w:left w:val="none" w:sz="0" w:space="0" w:color="auto"/>
        <w:bottom w:val="none" w:sz="0" w:space="0" w:color="auto"/>
        <w:right w:val="none" w:sz="0" w:space="0" w:color="auto"/>
      </w:divBdr>
    </w:div>
    <w:div w:id="1732577253">
      <w:bodyDiv w:val="1"/>
      <w:marLeft w:val="0"/>
      <w:marRight w:val="0"/>
      <w:marTop w:val="0"/>
      <w:marBottom w:val="0"/>
      <w:divBdr>
        <w:top w:val="none" w:sz="0" w:space="0" w:color="auto"/>
        <w:left w:val="none" w:sz="0" w:space="0" w:color="auto"/>
        <w:bottom w:val="none" w:sz="0" w:space="0" w:color="auto"/>
        <w:right w:val="none" w:sz="0" w:space="0" w:color="auto"/>
      </w:divBdr>
    </w:div>
    <w:div w:id="1753962425">
      <w:bodyDiv w:val="1"/>
      <w:marLeft w:val="0"/>
      <w:marRight w:val="0"/>
      <w:marTop w:val="0"/>
      <w:marBottom w:val="0"/>
      <w:divBdr>
        <w:top w:val="none" w:sz="0" w:space="0" w:color="auto"/>
        <w:left w:val="none" w:sz="0" w:space="0" w:color="auto"/>
        <w:bottom w:val="none" w:sz="0" w:space="0" w:color="auto"/>
        <w:right w:val="none" w:sz="0" w:space="0" w:color="auto"/>
      </w:divBdr>
    </w:div>
    <w:div w:id="1821188507">
      <w:bodyDiv w:val="1"/>
      <w:marLeft w:val="0"/>
      <w:marRight w:val="0"/>
      <w:marTop w:val="0"/>
      <w:marBottom w:val="0"/>
      <w:divBdr>
        <w:top w:val="none" w:sz="0" w:space="0" w:color="auto"/>
        <w:left w:val="none" w:sz="0" w:space="0" w:color="auto"/>
        <w:bottom w:val="none" w:sz="0" w:space="0" w:color="auto"/>
        <w:right w:val="none" w:sz="0" w:space="0" w:color="auto"/>
      </w:divBdr>
    </w:div>
    <w:div w:id="1835797644">
      <w:bodyDiv w:val="1"/>
      <w:marLeft w:val="0"/>
      <w:marRight w:val="0"/>
      <w:marTop w:val="0"/>
      <w:marBottom w:val="0"/>
      <w:divBdr>
        <w:top w:val="none" w:sz="0" w:space="0" w:color="auto"/>
        <w:left w:val="none" w:sz="0" w:space="0" w:color="auto"/>
        <w:bottom w:val="none" w:sz="0" w:space="0" w:color="auto"/>
        <w:right w:val="none" w:sz="0" w:space="0" w:color="auto"/>
      </w:divBdr>
    </w:div>
    <w:div w:id="1868566088">
      <w:bodyDiv w:val="1"/>
      <w:marLeft w:val="0"/>
      <w:marRight w:val="0"/>
      <w:marTop w:val="0"/>
      <w:marBottom w:val="0"/>
      <w:divBdr>
        <w:top w:val="none" w:sz="0" w:space="0" w:color="auto"/>
        <w:left w:val="none" w:sz="0" w:space="0" w:color="auto"/>
        <w:bottom w:val="none" w:sz="0" w:space="0" w:color="auto"/>
        <w:right w:val="none" w:sz="0" w:space="0" w:color="auto"/>
      </w:divBdr>
    </w:div>
    <w:div w:id="1879271350">
      <w:bodyDiv w:val="1"/>
      <w:marLeft w:val="0"/>
      <w:marRight w:val="0"/>
      <w:marTop w:val="0"/>
      <w:marBottom w:val="0"/>
      <w:divBdr>
        <w:top w:val="none" w:sz="0" w:space="0" w:color="auto"/>
        <w:left w:val="none" w:sz="0" w:space="0" w:color="auto"/>
        <w:bottom w:val="none" w:sz="0" w:space="0" w:color="auto"/>
        <w:right w:val="none" w:sz="0" w:space="0" w:color="auto"/>
      </w:divBdr>
    </w:div>
    <w:div w:id="1896352806">
      <w:bodyDiv w:val="1"/>
      <w:marLeft w:val="0"/>
      <w:marRight w:val="0"/>
      <w:marTop w:val="0"/>
      <w:marBottom w:val="0"/>
      <w:divBdr>
        <w:top w:val="none" w:sz="0" w:space="0" w:color="auto"/>
        <w:left w:val="none" w:sz="0" w:space="0" w:color="auto"/>
        <w:bottom w:val="none" w:sz="0" w:space="0" w:color="auto"/>
        <w:right w:val="none" w:sz="0" w:space="0" w:color="auto"/>
      </w:divBdr>
    </w:div>
    <w:div w:id="1934052988">
      <w:bodyDiv w:val="1"/>
      <w:marLeft w:val="0"/>
      <w:marRight w:val="0"/>
      <w:marTop w:val="0"/>
      <w:marBottom w:val="0"/>
      <w:divBdr>
        <w:top w:val="none" w:sz="0" w:space="0" w:color="auto"/>
        <w:left w:val="none" w:sz="0" w:space="0" w:color="auto"/>
        <w:bottom w:val="none" w:sz="0" w:space="0" w:color="auto"/>
        <w:right w:val="none" w:sz="0" w:space="0" w:color="auto"/>
      </w:divBdr>
    </w:div>
    <w:div w:id="1946765662">
      <w:bodyDiv w:val="1"/>
      <w:marLeft w:val="0"/>
      <w:marRight w:val="0"/>
      <w:marTop w:val="0"/>
      <w:marBottom w:val="0"/>
      <w:divBdr>
        <w:top w:val="none" w:sz="0" w:space="0" w:color="auto"/>
        <w:left w:val="none" w:sz="0" w:space="0" w:color="auto"/>
        <w:bottom w:val="none" w:sz="0" w:space="0" w:color="auto"/>
        <w:right w:val="none" w:sz="0" w:space="0" w:color="auto"/>
      </w:divBdr>
    </w:div>
    <w:div w:id="1957246935">
      <w:bodyDiv w:val="1"/>
      <w:marLeft w:val="0"/>
      <w:marRight w:val="0"/>
      <w:marTop w:val="0"/>
      <w:marBottom w:val="0"/>
      <w:divBdr>
        <w:top w:val="none" w:sz="0" w:space="0" w:color="auto"/>
        <w:left w:val="none" w:sz="0" w:space="0" w:color="auto"/>
        <w:bottom w:val="none" w:sz="0" w:space="0" w:color="auto"/>
        <w:right w:val="none" w:sz="0" w:space="0" w:color="auto"/>
      </w:divBdr>
    </w:div>
    <w:div w:id="1982685674">
      <w:bodyDiv w:val="1"/>
      <w:marLeft w:val="0"/>
      <w:marRight w:val="0"/>
      <w:marTop w:val="0"/>
      <w:marBottom w:val="0"/>
      <w:divBdr>
        <w:top w:val="none" w:sz="0" w:space="0" w:color="auto"/>
        <w:left w:val="none" w:sz="0" w:space="0" w:color="auto"/>
        <w:bottom w:val="none" w:sz="0" w:space="0" w:color="auto"/>
        <w:right w:val="none" w:sz="0" w:space="0" w:color="auto"/>
      </w:divBdr>
    </w:div>
    <w:div w:id="1987735380">
      <w:bodyDiv w:val="1"/>
      <w:marLeft w:val="0"/>
      <w:marRight w:val="0"/>
      <w:marTop w:val="0"/>
      <w:marBottom w:val="0"/>
      <w:divBdr>
        <w:top w:val="none" w:sz="0" w:space="0" w:color="auto"/>
        <w:left w:val="none" w:sz="0" w:space="0" w:color="auto"/>
        <w:bottom w:val="none" w:sz="0" w:space="0" w:color="auto"/>
        <w:right w:val="none" w:sz="0" w:space="0" w:color="auto"/>
      </w:divBdr>
      <w:divsChild>
        <w:div w:id="207492060">
          <w:marLeft w:val="0"/>
          <w:marRight w:val="0"/>
          <w:marTop w:val="0"/>
          <w:marBottom w:val="0"/>
          <w:divBdr>
            <w:top w:val="none" w:sz="0" w:space="0" w:color="auto"/>
            <w:left w:val="none" w:sz="0" w:space="0" w:color="auto"/>
            <w:bottom w:val="none" w:sz="0" w:space="0" w:color="auto"/>
            <w:right w:val="none" w:sz="0" w:space="0" w:color="auto"/>
          </w:divBdr>
          <w:divsChild>
            <w:div w:id="1611157416">
              <w:marLeft w:val="0"/>
              <w:marRight w:val="0"/>
              <w:marTop w:val="0"/>
              <w:marBottom w:val="0"/>
              <w:divBdr>
                <w:top w:val="none" w:sz="0" w:space="0" w:color="auto"/>
                <w:left w:val="none" w:sz="0" w:space="0" w:color="auto"/>
                <w:bottom w:val="none" w:sz="0" w:space="0" w:color="auto"/>
                <w:right w:val="none" w:sz="0" w:space="0" w:color="auto"/>
              </w:divBdr>
              <w:divsChild>
                <w:div w:id="622224814">
                  <w:marLeft w:val="0"/>
                  <w:marRight w:val="0"/>
                  <w:marTop w:val="0"/>
                  <w:marBottom w:val="0"/>
                  <w:divBdr>
                    <w:top w:val="none" w:sz="0" w:space="0" w:color="auto"/>
                    <w:left w:val="none" w:sz="0" w:space="0" w:color="auto"/>
                    <w:bottom w:val="none" w:sz="0" w:space="0" w:color="auto"/>
                    <w:right w:val="none" w:sz="0" w:space="0" w:color="auto"/>
                  </w:divBdr>
                  <w:divsChild>
                    <w:div w:id="9167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5240">
      <w:bodyDiv w:val="1"/>
      <w:marLeft w:val="0"/>
      <w:marRight w:val="0"/>
      <w:marTop w:val="0"/>
      <w:marBottom w:val="0"/>
      <w:divBdr>
        <w:top w:val="none" w:sz="0" w:space="0" w:color="auto"/>
        <w:left w:val="none" w:sz="0" w:space="0" w:color="auto"/>
        <w:bottom w:val="none" w:sz="0" w:space="0" w:color="auto"/>
        <w:right w:val="none" w:sz="0" w:space="0" w:color="auto"/>
      </w:divBdr>
    </w:div>
    <w:div w:id="2005745351">
      <w:bodyDiv w:val="1"/>
      <w:marLeft w:val="0"/>
      <w:marRight w:val="0"/>
      <w:marTop w:val="0"/>
      <w:marBottom w:val="0"/>
      <w:divBdr>
        <w:top w:val="none" w:sz="0" w:space="0" w:color="auto"/>
        <w:left w:val="none" w:sz="0" w:space="0" w:color="auto"/>
        <w:bottom w:val="none" w:sz="0" w:space="0" w:color="auto"/>
        <w:right w:val="none" w:sz="0" w:space="0" w:color="auto"/>
      </w:divBdr>
    </w:div>
    <w:div w:id="2012561326">
      <w:bodyDiv w:val="1"/>
      <w:marLeft w:val="0"/>
      <w:marRight w:val="0"/>
      <w:marTop w:val="0"/>
      <w:marBottom w:val="0"/>
      <w:divBdr>
        <w:top w:val="none" w:sz="0" w:space="0" w:color="auto"/>
        <w:left w:val="none" w:sz="0" w:space="0" w:color="auto"/>
        <w:bottom w:val="none" w:sz="0" w:space="0" w:color="auto"/>
        <w:right w:val="none" w:sz="0" w:space="0" w:color="auto"/>
      </w:divBdr>
    </w:div>
    <w:div w:id="2018000548">
      <w:bodyDiv w:val="1"/>
      <w:marLeft w:val="0"/>
      <w:marRight w:val="0"/>
      <w:marTop w:val="0"/>
      <w:marBottom w:val="0"/>
      <w:divBdr>
        <w:top w:val="none" w:sz="0" w:space="0" w:color="auto"/>
        <w:left w:val="none" w:sz="0" w:space="0" w:color="auto"/>
        <w:bottom w:val="none" w:sz="0" w:space="0" w:color="auto"/>
        <w:right w:val="none" w:sz="0" w:space="0" w:color="auto"/>
      </w:divBdr>
    </w:div>
    <w:div w:id="2046590531">
      <w:bodyDiv w:val="1"/>
      <w:marLeft w:val="0"/>
      <w:marRight w:val="0"/>
      <w:marTop w:val="0"/>
      <w:marBottom w:val="0"/>
      <w:divBdr>
        <w:top w:val="none" w:sz="0" w:space="0" w:color="auto"/>
        <w:left w:val="none" w:sz="0" w:space="0" w:color="auto"/>
        <w:bottom w:val="none" w:sz="0" w:space="0" w:color="auto"/>
        <w:right w:val="none" w:sz="0" w:space="0" w:color="auto"/>
      </w:divBdr>
    </w:div>
    <w:div w:id="2052606997">
      <w:bodyDiv w:val="1"/>
      <w:marLeft w:val="0"/>
      <w:marRight w:val="0"/>
      <w:marTop w:val="0"/>
      <w:marBottom w:val="0"/>
      <w:divBdr>
        <w:top w:val="none" w:sz="0" w:space="0" w:color="auto"/>
        <w:left w:val="none" w:sz="0" w:space="0" w:color="auto"/>
        <w:bottom w:val="none" w:sz="0" w:space="0" w:color="auto"/>
        <w:right w:val="none" w:sz="0" w:space="0" w:color="auto"/>
      </w:divBdr>
    </w:div>
    <w:div w:id="2085493879">
      <w:bodyDiv w:val="1"/>
      <w:marLeft w:val="0"/>
      <w:marRight w:val="0"/>
      <w:marTop w:val="0"/>
      <w:marBottom w:val="0"/>
      <w:divBdr>
        <w:top w:val="none" w:sz="0" w:space="0" w:color="auto"/>
        <w:left w:val="none" w:sz="0" w:space="0" w:color="auto"/>
        <w:bottom w:val="none" w:sz="0" w:space="0" w:color="auto"/>
        <w:right w:val="none" w:sz="0" w:space="0" w:color="auto"/>
      </w:divBdr>
    </w:div>
    <w:div w:id="20957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pv.si/"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mpv.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i/teme/ostanki-fitofarmacevtskih-sredstev/" TargetMode="External"/><Relationship Id="rId13" Type="http://schemas.openxmlformats.org/officeDocument/2006/relationships/hyperlink" Target="https://trapview.com/" TargetMode="External"/><Relationship Id="rId3" Type="http://schemas.openxmlformats.org/officeDocument/2006/relationships/hyperlink" Target="https://pxweb.stat.si/SiStat/sl" TargetMode="External"/><Relationship Id="rId7" Type="http://schemas.openxmlformats.org/officeDocument/2006/relationships/hyperlink" Target="https://www.stat.si/StatWeb/News/Index/6258" TargetMode="External"/><Relationship Id="rId12" Type="http://schemas.openxmlformats.org/officeDocument/2006/relationships/hyperlink" Target="https://agromet.mkgp.gov.si/APP2/Prognostika/Index/-" TargetMode="External"/><Relationship Id="rId2" Type="http://schemas.openxmlformats.org/officeDocument/2006/relationships/hyperlink" Target="https://ec.europa.eu/food/plant/pesticides/sustainable_use_pesticides_en" TargetMode="External"/><Relationship Id="rId16" Type="http://schemas.openxmlformats.org/officeDocument/2006/relationships/hyperlink" Target="https://www.gov.si/assets/ministrstva/MKGP/Dokumenti-/ANEK/ANEK_eng.pdf" TargetMode="External"/><Relationship Id="rId1" Type="http://schemas.openxmlformats.org/officeDocument/2006/relationships/hyperlink" Target="http://www.uvhvvr.gov.si/si/delovna_podrocja/fitofarmacevtska_sredstva/nacionalni_akcijski_program/" TargetMode="External"/><Relationship Id="rId6" Type="http://schemas.openxmlformats.org/officeDocument/2006/relationships/hyperlink" Target="https://www.gov.si/en/topics/risk-indicators-for-monitoring-progress-in-the-reduction-of-risk-and-adverse-impacts-of-plant-protection-products/" TargetMode="External"/><Relationship Id="rId11" Type="http://schemas.openxmlformats.org/officeDocument/2006/relationships/hyperlink" Target="https://www.ivr.si/" TargetMode="External"/><Relationship Id="rId5" Type="http://schemas.openxmlformats.org/officeDocument/2006/relationships/hyperlink" Target="https://eur-lex.europa.eu/eli/reg/2022/2379/oj" TargetMode="External"/><Relationship Id="rId15" Type="http://schemas.openxmlformats.org/officeDocument/2006/relationships/hyperlink" Target="https://view.officeapps.live.com/op/view.aspx?src=https%3A%2F%2Fwww.gov.si%2Fassets%2Fministrstva%2FMKGP%2FPODROCJA%2FKMETIJSTVO%2FEkolosko_kmetovanje%2FAnaliza-trga-z-ekoloskimi-zivili-v-Republiki-Sloveniji-%2FANALIZA-TRGA-EKO-ZIVIL-V-RS_koncno-porocilo_prilagojeno.docx&amp;wdOrigin=BROWSELINK" TargetMode="External"/><Relationship Id="rId10" Type="http://schemas.openxmlformats.org/officeDocument/2006/relationships/hyperlink" Target="https://www.arso.gov.si/vode/podzemne%20vode/" TargetMode="External"/><Relationship Id="rId4" Type="http://schemas.openxmlformats.org/officeDocument/2006/relationships/hyperlink" Target="https://eur-lex.europa.eu/legal-content/EN/ALL/?uri=CELEX%3A32023R0564" TargetMode="External"/><Relationship Id="rId9" Type="http://schemas.openxmlformats.org/officeDocument/2006/relationships/hyperlink" Target="http://mpv.si/" TargetMode="External"/><Relationship Id="rId14" Type="http://schemas.openxmlformats.org/officeDocument/2006/relationships/hyperlink" Target="http://agromet.mkgp.gov.si/APP2/sl/Content/plant-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K-L\KoprivnikarM64\Documents\deloAvg2023\MKB\NAP\Primerjava%20-%20aktivne%20snovi%20z%20nizkim%20tveganje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Harmonised Risk</a:t>
            </a:r>
            <a:r>
              <a:rPr lang="sl-SI" baseline="0"/>
              <a:t> Indicator </a:t>
            </a:r>
            <a:r>
              <a:rPr lang="sl-SI"/>
              <a:t>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1</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98</c:v>
                </c:pt>
                <c:pt idx="2">
                  <c:v>100</c:v>
                </c:pt>
                <c:pt idx="3">
                  <c:v>107</c:v>
                </c:pt>
                <c:pt idx="4">
                  <c:v>98</c:v>
                </c:pt>
                <c:pt idx="5">
                  <c:v>103</c:v>
                </c:pt>
                <c:pt idx="6">
                  <c:v>75</c:v>
                </c:pt>
                <c:pt idx="7">
                  <c:v>72</c:v>
                </c:pt>
                <c:pt idx="8">
                  <c:v>68</c:v>
                </c:pt>
              </c:numCache>
            </c:numRef>
          </c:val>
          <c:smooth val="0"/>
          <c:extLst>
            <c:ext xmlns:c16="http://schemas.microsoft.com/office/drawing/2014/chart" uri="{C3380CC4-5D6E-409C-BE32-E72D297353CC}">
              <c16:uniqueId val="{00000000-EB96-403C-BC68-2D3274F7E192}"/>
            </c:ext>
          </c:extLst>
        </c:ser>
        <c:dLbls>
          <c:showLegendKey val="0"/>
          <c:showVal val="0"/>
          <c:showCatName val="0"/>
          <c:showSerName val="0"/>
          <c:showPercent val="0"/>
          <c:showBubbleSize val="0"/>
        </c:dLbls>
        <c:smooth val="0"/>
        <c:axId val="517417088"/>
        <c:axId val="518246720"/>
      </c:lineChart>
      <c:catAx>
        <c:axId val="51741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741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Harmonised risk indicator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2</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182</c:v>
                </c:pt>
                <c:pt idx="2">
                  <c:v>39</c:v>
                </c:pt>
                <c:pt idx="3">
                  <c:v>150</c:v>
                </c:pt>
                <c:pt idx="4">
                  <c:v>150</c:v>
                </c:pt>
                <c:pt idx="5">
                  <c:v>111</c:v>
                </c:pt>
                <c:pt idx="6">
                  <c:v>150</c:v>
                </c:pt>
                <c:pt idx="7">
                  <c:v>316</c:v>
                </c:pt>
                <c:pt idx="8">
                  <c:v>205</c:v>
                </c:pt>
              </c:numCache>
            </c:numRef>
          </c:val>
          <c:smooth val="0"/>
          <c:extLst>
            <c:ext xmlns:c16="http://schemas.microsoft.com/office/drawing/2014/chart" uri="{C3380CC4-5D6E-409C-BE32-E72D297353CC}">
              <c16:uniqueId val="{00000000-364C-4F2D-9F7A-A64412DF8521}"/>
            </c:ext>
          </c:extLst>
        </c:ser>
        <c:dLbls>
          <c:showLegendKey val="0"/>
          <c:showVal val="0"/>
          <c:showCatName val="0"/>
          <c:showSerName val="0"/>
          <c:showPercent val="0"/>
          <c:showBubbleSize val="0"/>
        </c:dLbls>
        <c:smooth val="0"/>
        <c:axId val="520308448"/>
        <c:axId val="518246720"/>
      </c:lineChart>
      <c:catAx>
        <c:axId val="52030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030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Candidates for substitution sales data in kg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zamenjava!$A$40</c:f>
              <c:strCache>
                <c:ptCount val="1"/>
                <c:pt idx="0">
                  <c:v>all candidates</c:v>
                </c:pt>
              </c:strCache>
            </c:strRef>
          </c:tx>
          <c:spPr>
            <a:ln w="28575" cap="rnd">
              <a:solidFill>
                <a:schemeClr val="accent1"/>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zamenjava!$B$40:$G$40</c:f>
              <c:numCache>
                <c:formatCode>General</c:formatCode>
                <c:ptCount val="6"/>
                <c:pt idx="0">
                  <c:v>77764.987788400002</c:v>
                </c:pt>
                <c:pt idx="1">
                  <c:v>80367.03096400002</c:v>
                </c:pt>
                <c:pt idx="2">
                  <c:v>78876.262859399998</c:v>
                </c:pt>
                <c:pt idx="3">
                  <c:v>84761.444667399992</c:v>
                </c:pt>
                <c:pt idx="4">
                  <c:v>81705.126544999992</c:v>
                </c:pt>
                <c:pt idx="5">
                  <c:v>73022.640975000002</c:v>
                </c:pt>
              </c:numCache>
            </c:numRef>
          </c:val>
          <c:smooth val="0"/>
          <c:extLst>
            <c:ext xmlns:c16="http://schemas.microsoft.com/office/drawing/2014/chart" uri="{C3380CC4-5D6E-409C-BE32-E72D297353CC}">
              <c16:uniqueId val="{00000000-4DC0-4D8E-8DE1-5EB7F06CAED9}"/>
            </c:ext>
          </c:extLst>
        </c:ser>
        <c:ser>
          <c:idx val="1"/>
          <c:order val="1"/>
          <c:tx>
            <c:strRef>
              <c:f>zamenjava!$A$41</c:f>
              <c:strCache>
                <c:ptCount val="1"/>
                <c:pt idx="0">
                  <c:v>copper</c:v>
                </c:pt>
              </c:strCache>
            </c:strRef>
          </c:tx>
          <c:spPr>
            <a:ln w="28575" cap="rnd">
              <a:solidFill>
                <a:schemeClr val="accent2"/>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zamenjava!$B$41:$G$41</c:f>
              <c:numCache>
                <c:formatCode>General</c:formatCode>
                <c:ptCount val="6"/>
                <c:pt idx="0">
                  <c:v>41212.766600000003</c:v>
                </c:pt>
                <c:pt idx="1">
                  <c:v>38959.600040000005</c:v>
                </c:pt>
                <c:pt idx="2">
                  <c:v>39875.6702</c:v>
                </c:pt>
                <c:pt idx="3">
                  <c:v>38559.818800000001</c:v>
                </c:pt>
                <c:pt idx="4">
                  <c:v>38793.660900000003</c:v>
                </c:pt>
                <c:pt idx="5">
                  <c:v>37449.399299999997</c:v>
                </c:pt>
              </c:numCache>
            </c:numRef>
          </c:val>
          <c:smooth val="0"/>
          <c:extLst>
            <c:ext xmlns:c16="http://schemas.microsoft.com/office/drawing/2014/chart" uri="{C3380CC4-5D6E-409C-BE32-E72D297353CC}">
              <c16:uniqueId val="{00000001-4DC0-4D8E-8DE1-5EB7F06CAED9}"/>
            </c:ext>
          </c:extLst>
        </c:ser>
        <c:dLbls>
          <c:showLegendKey val="0"/>
          <c:showVal val="0"/>
          <c:showCatName val="0"/>
          <c:showSerName val="0"/>
          <c:showPercent val="0"/>
          <c:showBubbleSize val="0"/>
        </c:dLbls>
        <c:smooth val="0"/>
        <c:axId val="1283636127"/>
        <c:axId val="902589711"/>
      </c:lineChart>
      <c:catAx>
        <c:axId val="128363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02589711"/>
        <c:crosses val="autoZero"/>
        <c:auto val="1"/>
        <c:lblAlgn val="ctr"/>
        <c:lblOffset val="100"/>
        <c:noMultiLvlLbl val="0"/>
      </c:catAx>
      <c:valAx>
        <c:axId val="902589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3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AS in PPP containing MO in kg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MO!$A$31</c:f>
              <c:strCache>
                <c:ptCount val="1"/>
                <c:pt idx="0">
                  <c:v>FFS na podlagi MO</c:v>
                </c:pt>
              </c:strCache>
            </c:strRef>
          </c:tx>
          <c:spPr>
            <a:ln w="28575" cap="rnd">
              <a:solidFill>
                <a:schemeClr val="accent1"/>
              </a:solidFill>
              <a:round/>
            </a:ln>
            <a:effectLst/>
          </c:spPr>
          <c:marker>
            <c:symbol val="none"/>
          </c:marker>
          <c:cat>
            <c:numRef>
              <c:f>MO!$B$30:$G$30</c:f>
              <c:numCache>
                <c:formatCode>General</c:formatCode>
                <c:ptCount val="6"/>
                <c:pt idx="0">
                  <c:v>2017</c:v>
                </c:pt>
                <c:pt idx="1">
                  <c:v>2018</c:v>
                </c:pt>
                <c:pt idx="2">
                  <c:v>2019</c:v>
                </c:pt>
                <c:pt idx="3">
                  <c:v>2020</c:v>
                </c:pt>
                <c:pt idx="4">
                  <c:v>2021</c:v>
                </c:pt>
                <c:pt idx="5">
                  <c:v>2022</c:v>
                </c:pt>
              </c:numCache>
            </c:numRef>
          </c:cat>
          <c:val>
            <c:numRef>
              <c:f>MO!$B$31:$G$31</c:f>
              <c:numCache>
                <c:formatCode>#,##0.00</c:formatCode>
                <c:ptCount val="6"/>
                <c:pt idx="0">
                  <c:v>219.9328055</c:v>
                </c:pt>
                <c:pt idx="1">
                  <c:v>438.47518900000006</c:v>
                </c:pt>
                <c:pt idx="2">
                  <c:v>586.3949889999999</c:v>
                </c:pt>
                <c:pt idx="3">
                  <c:v>1028.4024529999999</c:v>
                </c:pt>
                <c:pt idx="4">
                  <c:v>940.83037649999983</c:v>
                </c:pt>
                <c:pt idx="5">
                  <c:v>971.5812535</c:v>
                </c:pt>
              </c:numCache>
            </c:numRef>
          </c:val>
          <c:smooth val="0"/>
          <c:extLst>
            <c:ext xmlns:c16="http://schemas.microsoft.com/office/drawing/2014/chart" uri="{C3380CC4-5D6E-409C-BE32-E72D297353CC}">
              <c16:uniqueId val="{00000000-0F25-4359-B156-B95A38F11310}"/>
            </c:ext>
          </c:extLst>
        </c:ser>
        <c:dLbls>
          <c:showLegendKey val="0"/>
          <c:showVal val="0"/>
          <c:showCatName val="0"/>
          <c:showSerName val="0"/>
          <c:showPercent val="0"/>
          <c:showBubbleSize val="0"/>
        </c:dLbls>
        <c:smooth val="0"/>
        <c:axId val="1283620351"/>
        <c:axId val="1279543359"/>
      </c:lineChart>
      <c:catAx>
        <c:axId val="1283620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79543359"/>
        <c:crosses val="autoZero"/>
        <c:auto val="1"/>
        <c:lblAlgn val="ctr"/>
        <c:lblOffset val="100"/>
        <c:noMultiLvlLbl val="0"/>
      </c:catAx>
      <c:valAx>
        <c:axId val="1279543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20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Numbers of registered and inspected equipment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naprave!$B$1</c:f>
              <c:strCache>
                <c:ptCount val="1"/>
                <c:pt idx="0">
                  <c:v>No. registered equipment</c:v>
                </c:pt>
              </c:strCache>
            </c:strRef>
          </c:tx>
          <c:spPr>
            <a:ln w="28575" cap="rnd">
              <a:solidFill>
                <a:schemeClr val="accent1"/>
              </a:solidFill>
              <a:round/>
            </a:ln>
            <a:effectLst/>
          </c:spPr>
          <c:marker>
            <c:symbol val="none"/>
          </c:marker>
          <c:cat>
            <c:numRef>
              <c:f>naprave!$A$2:$A$7</c:f>
              <c:numCache>
                <c:formatCode>General</c:formatCode>
                <c:ptCount val="6"/>
                <c:pt idx="0">
                  <c:v>2017</c:v>
                </c:pt>
                <c:pt idx="1">
                  <c:v>2018</c:v>
                </c:pt>
                <c:pt idx="2">
                  <c:v>2019</c:v>
                </c:pt>
                <c:pt idx="3">
                  <c:v>2020</c:v>
                </c:pt>
                <c:pt idx="4">
                  <c:v>2021</c:v>
                </c:pt>
                <c:pt idx="5">
                  <c:v>2022</c:v>
                </c:pt>
              </c:numCache>
            </c:numRef>
          </c:cat>
          <c:val>
            <c:numRef>
              <c:f>naprave!$B$2:$B$7</c:f>
              <c:numCache>
                <c:formatCode>#,##0</c:formatCode>
                <c:ptCount val="6"/>
                <c:pt idx="0">
                  <c:v>17988</c:v>
                </c:pt>
                <c:pt idx="1">
                  <c:v>18636</c:v>
                </c:pt>
                <c:pt idx="2">
                  <c:v>17978</c:v>
                </c:pt>
                <c:pt idx="3">
                  <c:v>16758</c:v>
                </c:pt>
                <c:pt idx="4">
                  <c:v>17090</c:v>
                </c:pt>
                <c:pt idx="5">
                  <c:v>16373</c:v>
                </c:pt>
              </c:numCache>
            </c:numRef>
          </c:val>
          <c:smooth val="0"/>
          <c:extLst>
            <c:ext xmlns:c16="http://schemas.microsoft.com/office/drawing/2014/chart" uri="{C3380CC4-5D6E-409C-BE32-E72D297353CC}">
              <c16:uniqueId val="{00000000-DA78-4BDF-83AE-F45AA19C9D4D}"/>
            </c:ext>
          </c:extLst>
        </c:ser>
        <c:ser>
          <c:idx val="1"/>
          <c:order val="1"/>
          <c:tx>
            <c:strRef>
              <c:f>naprave!$C$1</c:f>
              <c:strCache>
                <c:ptCount val="1"/>
                <c:pt idx="0">
                  <c:v>No. inspected equipmnet</c:v>
                </c:pt>
              </c:strCache>
            </c:strRef>
          </c:tx>
          <c:spPr>
            <a:ln w="28575" cap="rnd">
              <a:solidFill>
                <a:schemeClr val="accent2"/>
              </a:solidFill>
              <a:round/>
            </a:ln>
            <a:effectLst/>
          </c:spPr>
          <c:marker>
            <c:symbol val="none"/>
          </c:marker>
          <c:cat>
            <c:numRef>
              <c:f>naprave!$A$2:$A$7</c:f>
              <c:numCache>
                <c:formatCode>General</c:formatCode>
                <c:ptCount val="6"/>
                <c:pt idx="0">
                  <c:v>2017</c:v>
                </c:pt>
                <c:pt idx="1">
                  <c:v>2018</c:v>
                </c:pt>
                <c:pt idx="2">
                  <c:v>2019</c:v>
                </c:pt>
                <c:pt idx="3">
                  <c:v>2020</c:v>
                </c:pt>
                <c:pt idx="4">
                  <c:v>2021</c:v>
                </c:pt>
                <c:pt idx="5">
                  <c:v>2022</c:v>
                </c:pt>
              </c:numCache>
            </c:numRef>
          </c:cat>
          <c:val>
            <c:numRef>
              <c:f>naprave!$C$2:$C$7</c:f>
              <c:numCache>
                <c:formatCode>#,##0</c:formatCode>
                <c:ptCount val="6"/>
                <c:pt idx="0">
                  <c:v>8372</c:v>
                </c:pt>
                <c:pt idx="1">
                  <c:v>1368</c:v>
                </c:pt>
                <c:pt idx="2">
                  <c:v>7325</c:v>
                </c:pt>
                <c:pt idx="3">
                  <c:v>6638</c:v>
                </c:pt>
                <c:pt idx="4">
                  <c:v>1985</c:v>
                </c:pt>
                <c:pt idx="5">
                  <c:v>6648</c:v>
                </c:pt>
              </c:numCache>
            </c:numRef>
          </c:val>
          <c:smooth val="0"/>
          <c:extLst>
            <c:ext xmlns:c16="http://schemas.microsoft.com/office/drawing/2014/chart" uri="{C3380CC4-5D6E-409C-BE32-E72D297353CC}">
              <c16:uniqueId val="{00000001-DA78-4BDF-83AE-F45AA19C9D4D}"/>
            </c:ext>
          </c:extLst>
        </c:ser>
        <c:dLbls>
          <c:showLegendKey val="0"/>
          <c:showVal val="0"/>
          <c:showCatName val="0"/>
          <c:showSerName val="0"/>
          <c:showPercent val="0"/>
          <c:showBubbleSize val="0"/>
        </c:dLbls>
        <c:smooth val="0"/>
        <c:axId val="443260720"/>
        <c:axId val="330656496"/>
      </c:lineChart>
      <c:catAx>
        <c:axId val="4432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0656496"/>
        <c:crosses val="autoZero"/>
        <c:auto val="1"/>
        <c:lblAlgn val="ctr"/>
        <c:lblOffset val="100"/>
        <c:noMultiLvlLbl val="0"/>
      </c:catAx>
      <c:valAx>
        <c:axId val="33065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326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sl-SI"/>
              <a:t>Number of valid training certificates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usposabljanje!$B$19</c:f>
              <c:strCache>
                <c:ptCount val="1"/>
                <c:pt idx="0">
                  <c:v> Število veljavnih potrdil </c:v>
                </c:pt>
              </c:strCache>
            </c:strRef>
          </c:tx>
          <c:spPr>
            <a:ln w="28575" cap="rnd">
              <a:solidFill>
                <a:schemeClr val="accent1"/>
              </a:solidFill>
              <a:round/>
            </a:ln>
            <a:effectLst/>
          </c:spPr>
          <c:marker>
            <c:symbol val="none"/>
          </c:marker>
          <c:cat>
            <c:numRef>
              <c:f>usposabljanje!$A$20:$A$25</c:f>
              <c:numCache>
                <c:formatCode>General</c:formatCode>
                <c:ptCount val="6"/>
                <c:pt idx="0">
                  <c:v>2017</c:v>
                </c:pt>
                <c:pt idx="1">
                  <c:v>2018</c:v>
                </c:pt>
                <c:pt idx="2">
                  <c:v>2019</c:v>
                </c:pt>
                <c:pt idx="3">
                  <c:v>2020</c:v>
                </c:pt>
                <c:pt idx="4">
                  <c:v>2021</c:v>
                </c:pt>
                <c:pt idx="5">
                  <c:v>2022</c:v>
                </c:pt>
              </c:numCache>
            </c:numRef>
          </c:cat>
          <c:val>
            <c:numRef>
              <c:f>usposabljanje!$B$20:$B$25</c:f>
              <c:numCache>
                <c:formatCode>General</c:formatCode>
                <c:ptCount val="6"/>
                <c:pt idx="0">
                  <c:v>58795</c:v>
                </c:pt>
                <c:pt idx="1">
                  <c:v>56908</c:v>
                </c:pt>
                <c:pt idx="2">
                  <c:v>54934</c:v>
                </c:pt>
                <c:pt idx="3">
                  <c:v>54161</c:v>
                </c:pt>
                <c:pt idx="4">
                  <c:v>54754</c:v>
                </c:pt>
                <c:pt idx="5">
                  <c:v>52789</c:v>
                </c:pt>
              </c:numCache>
            </c:numRef>
          </c:val>
          <c:smooth val="0"/>
          <c:extLst>
            <c:ext xmlns:c16="http://schemas.microsoft.com/office/drawing/2014/chart" uri="{C3380CC4-5D6E-409C-BE32-E72D297353CC}">
              <c16:uniqueId val="{00000000-800D-4FC7-B591-6BEAC2C7C8E6}"/>
            </c:ext>
          </c:extLst>
        </c:ser>
        <c:dLbls>
          <c:showLegendKey val="0"/>
          <c:showVal val="0"/>
          <c:showCatName val="0"/>
          <c:showSerName val="0"/>
          <c:showPercent val="0"/>
          <c:showBubbleSize val="0"/>
        </c:dLbls>
        <c:smooth val="0"/>
        <c:axId val="506498320"/>
        <c:axId val="334506016"/>
      </c:lineChart>
      <c:catAx>
        <c:axId val="50649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506016"/>
        <c:crosses val="autoZero"/>
        <c:auto val="1"/>
        <c:lblAlgn val="ctr"/>
        <c:lblOffset val="100"/>
        <c:noMultiLvlLbl val="0"/>
      </c:catAx>
      <c:valAx>
        <c:axId val="33450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649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IPM portal visits 2018-2023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List1!$A$20</c:f>
              <c:strCache>
                <c:ptCount val="1"/>
                <c:pt idx="0">
                  <c:v>No. of page views</c:v>
                </c:pt>
              </c:strCache>
            </c:strRef>
          </c:tx>
          <c:spPr>
            <a:ln w="28575" cap="rnd">
              <a:solidFill>
                <a:schemeClr val="accent1"/>
              </a:solidFill>
              <a:round/>
            </a:ln>
            <a:effectLst/>
          </c:spPr>
          <c:marker>
            <c:symbol val="none"/>
          </c:marker>
          <c:cat>
            <c:numRef>
              <c:f>List1!$B$19:$G$19</c:f>
              <c:numCache>
                <c:formatCode>General</c:formatCode>
                <c:ptCount val="6"/>
                <c:pt idx="0">
                  <c:v>2018</c:v>
                </c:pt>
                <c:pt idx="1">
                  <c:v>2019</c:v>
                </c:pt>
                <c:pt idx="2">
                  <c:v>2020</c:v>
                </c:pt>
                <c:pt idx="3">
                  <c:v>2021</c:v>
                </c:pt>
                <c:pt idx="4">
                  <c:v>2022</c:v>
                </c:pt>
                <c:pt idx="5">
                  <c:v>2023</c:v>
                </c:pt>
              </c:numCache>
            </c:numRef>
          </c:cat>
          <c:val>
            <c:numRef>
              <c:f>List1!$B$20:$G$20</c:f>
              <c:numCache>
                <c:formatCode>#,##0</c:formatCode>
                <c:ptCount val="6"/>
                <c:pt idx="0">
                  <c:v>40014</c:v>
                </c:pt>
                <c:pt idx="1">
                  <c:v>68392</c:v>
                </c:pt>
                <c:pt idx="2">
                  <c:v>115811</c:v>
                </c:pt>
                <c:pt idx="3">
                  <c:v>112138</c:v>
                </c:pt>
                <c:pt idx="4">
                  <c:v>118683</c:v>
                </c:pt>
                <c:pt idx="5">
                  <c:v>112602</c:v>
                </c:pt>
              </c:numCache>
            </c:numRef>
          </c:val>
          <c:smooth val="0"/>
          <c:extLst>
            <c:ext xmlns:c16="http://schemas.microsoft.com/office/drawing/2014/chart" uri="{C3380CC4-5D6E-409C-BE32-E72D297353CC}">
              <c16:uniqueId val="{00000000-9D6B-4CE1-918F-19347B38DDE1}"/>
            </c:ext>
          </c:extLst>
        </c:ser>
        <c:ser>
          <c:idx val="1"/>
          <c:order val="1"/>
          <c:tx>
            <c:strRef>
              <c:f>List1!$A$21</c:f>
              <c:strCache>
                <c:ptCount val="1"/>
                <c:pt idx="0">
                  <c:v>No. of users</c:v>
                </c:pt>
              </c:strCache>
            </c:strRef>
          </c:tx>
          <c:spPr>
            <a:ln w="28575" cap="rnd">
              <a:solidFill>
                <a:schemeClr val="accent2"/>
              </a:solidFill>
              <a:round/>
            </a:ln>
            <a:effectLst/>
          </c:spPr>
          <c:marker>
            <c:symbol val="none"/>
          </c:marker>
          <c:cat>
            <c:numRef>
              <c:f>List1!$B$19:$G$19</c:f>
              <c:numCache>
                <c:formatCode>General</c:formatCode>
                <c:ptCount val="6"/>
                <c:pt idx="0">
                  <c:v>2018</c:v>
                </c:pt>
                <c:pt idx="1">
                  <c:v>2019</c:v>
                </c:pt>
                <c:pt idx="2">
                  <c:v>2020</c:v>
                </c:pt>
                <c:pt idx="3">
                  <c:v>2021</c:v>
                </c:pt>
                <c:pt idx="4">
                  <c:v>2022</c:v>
                </c:pt>
                <c:pt idx="5">
                  <c:v>2023</c:v>
                </c:pt>
              </c:numCache>
            </c:numRef>
          </c:cat>
          <c:val>
            <c:numRef>
              <c:f>List1!$B$21:$G$21</c:f>
              <c:numCache>
                <c:formatCode>#,##0</c:formatCode>
                <c:ptCount val="6"/>
                <c:pt idx="0">
                  <c:v>9555</c:v>
                </c:pt>
                <c:pt idx="1">
                  <c:v>20048</c:v>
                </c:pt>
                <c:pt idx="2">
                  <c:v>33839</c:v>
                </c:pt>
                <c:pt idx="3">
                  <c:v>39877</c:v>
                </c:pt>
                <c:pt idx="4">
                  <c:v>41989</c:v>
                </c:pt>
                <c:pt idx="5">
                  <c:v>53208</c:v>
                </c:pt>
              </c:numCache>
            </c:numRef>
          </c:val>
          <c:smooth val="0"/>
          <c:extLst>
            <c:ext xmlns:c16="http://schemas.microsoft.com/office/drawing/2014/chart" uri="{C3380CC4-5D6E-409C-BE32-E72D297353CC}">
              <c16:uniqueId val="{00000001-9D6B-4CE1-918F-19347B38DDE1}"/>
            </c:ext>
          </c:extLst>
        </c:ser>
        <c:dLbls>
          <c:showLegendKey val="0"/>
          <c:showVal val="0"/>
          <c:showCatName val="0"/>
          <c:showSerName val="0"/>
          <c:showPercent val="0"/>
          <c:showBubbleSize val="0"/>
        </c:dLbls>
        <c:smooth val="0"/>
        <c:axId val="1139967088"/>
        <c:axId val="531321696"/>
      </c:lineChart>
      <c:catAx>
        <c:axId val="113996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321696"/>
        <c:crosses val="autoZero"/>
        <c:auto val="1"/>
        <c:lblAlgn val="ctr"/>
        <c:lblOffset val="100"/>
        <c:noMultiLvlLbl val="0"/>
      </c:catAx>
      <c:valAx>
        <c:axId val="53132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39967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9F423-FB2F-4C99-9C28-033A8826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7184</Words>
  <Characters>42105</Characters>
  <Application>Microsoft Office Word</Application>
  <DocSecurity>4</DocSecurity>
  <Lines>350</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napredku pri doseganju  ciljev</vt:lpstr>
      <vt:lpstr>Poročilo o napredku pri doseganju  ciljev</vt:lpstr>
    </vt:vector>
  </TitlesOfParts>
  <Company>FURS</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napredku pri doseganju  ciljev</dc:title>
  <dc:subject>Final report for period      2018 – 2022</dc:subject>
  <dc:creator>MAFF, AFSVSPP</dc:creator>
  <cp:lastModifiedBy>Milena Koprivnikar</cp:lastModifiedBy>
  <cp:revision>2</cp:revision>
  <cp:lastPrinted>2023-12-11T13:01:00Z</cp:lastPrinted>
  <dcterms:created xsi:type="dcterms:W3CDTF">2024-07-22T08:10:00Z</dcterms:created>
  <dcterms:modified xsi:type="dcterms:W3CDTF">2024-07-22T08:10:00Z</dcterms:modified>
</cp:coreProperties>
</file>