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71FD" w14:textId="77777777" w:rsidR="00BD5FEC" w:rsidRPr="00501245" w:rsidRDefault="00BD5FEC" w:rsidP="002D3493">
      <w:pPr>
        <w:tabs>
          <w:tab w:val="left" w:pos="708"/>
        </w:tabs>
        <w:ind w:left="6012"/>
        <w:rPr>
          <w:rFonts w:cs="Arial"/>
          <w:b/>
          <w:szCs w:val="20"/>
        </w:rPr>
      </w:pPr>
    </w:p>
    <w:p w14:paraId="4C47A909" w14:textId="77777777" w:rsidR="00D913B4" w:rsidRPr="00501245" w:rsidRDefault="00D913B4" w:rsidP="00036D5D">
      <w:pPr>
        <w:pStyle w:val="Pravnapodlaga"/>
        <w:ind w:firstLine="0"/>
        <w:rPr>
          <w:b/>
          <w:sz w:val="20"/>
          <w:szCs w:val="20"/>
        </w:rPr>
      </w:pPr>
      <w:r>
        <w:rPr>
          <w:rFonts w:cs="Arial"/>
          <w:sz w:val="20"/>
          <w:szCs w:val="20"/>
          <w:lang w:val="en-GB"/>
        </w:rPr>
        <w:t>Pursuant to paragraph five of Article 5 and paragraph three of Article 8 of the Plant Protection Products Act (Official Gazette of the Republic of Slovenia [</w:t>
      </w:r>
      <w:proofErr w:type="spellStart"/>
      <w:r>
        <w:rPr>
          <w:rFonts w:cs="Arial"/>
          <w:i/>
          <w:iCs/>
          <w:sz w:val="20"/>
          <w:szCs w:val="20"/>
          <w:lang w:val="en-GB"/>
        </w:rPr>
        <w:t>Uradni</w:t>
      </w:r>
      <w:proofErr w:type="spellEnd"/>
      <w:r>
        <w:rPr>
          <w:rFonts w:cs="Arial"/>
          <w:i/>
          <w:iCs/>
          <w:sz w:val="20"/>
          <w:szCs w:val="20"/>
          <w:lang w:val="en-GB"/>
        </w:rPr>
        <w:t xml:space="preserve"> list RS</w:t>
      </w:r>
      <w:r>
        <w:rPr>
          <w:rFonts w:cs="Arial"/>
          <w:sz w:val="20"/>
          <w:szCs w:val="20"/>
          <w:lang w:val="en-GB"/>
        </w:rPr>
        <w:t xml:space="preserve">], Nos 83/12 and </w:t>
      </w:r>
      <w:hyperlink r:id="rId8" w:tgtFrame="_blank" w:tooltip="Decision establishing that paragraph four of the Plant Protection Products Act, insofar as it relates to the core water protection areas with the strictest water protection regime, point 3 of paragraph three of Article 74 and paragraph one and point 2 of parag" w:history="1">
        <w:r>
          <w:rPr>
            <w:rFonts w:cs="Arial"/>
            <w:sz w:val="20"/>
            <w:szCs w:val="20"/>
            <w:lang w:val="en-GB"/>
          </w:rPr>
          <w:t>35/23</w:t>
        </w:r>
      </w:hyperlink>
      <w:r>
        <w:rPr>
          <w:rFonts w:cs="Arial"/>
          <w:sz w:val="20"/>
          <w:szCs w:val="20"/>
          <w:lang w:val="en-GB"/>
        </w:rPr>
        <w:t xml:space="preserve"> – Constitutional Court Decision), the Government of the Republic of Slovenia hereby issues the following</w:t>
      </w:r>
    </w:p>
    <w:p w14:paraId="742CABF6" w14:textId="77777777" w:rsidR="00D913B4" w:rsidRPr="00501245" w:rsidRDefault="00D913B4" w:rsidP="00D913B4">
      <w:pPr>
        <w:pStyle w:val="Pravnapodlaga"/>
        <w:ind w:firstLine="0"/>
        <w:jc w:val="center"/>
        <w:rPr>
          <w:rFonts w:cs="Arial"/>
          <w:b/>
          <w:sz w:val="20"/>
          <w:szCs w:val="20"/>
        </w:rPr>
      </w:pPr>
      <w:r>
        <w:rPr>
          <w:rFonts w:cs="Arial"/>
          <w:b/>
          <w:bCs/>
          <w:sz w:val="20"/>
          <w:szCs w:val="20"/>
          <w:lang w:val="en-GB"/>
        </w:rPr>
        <w:t>DECREE</w:t>
      </w:r>
    </w:p>
    <w:p w14:paraId="70CDF992" w14:textId="77777777" w:rsidR="00D913B4" w:rsidRPr="00501245" w:rsidRDefault="00D913B4" w:rsidP="00D913B4">
      <w:pPr>
        <w:pStyle w:val="Naslovpredpisa"/>
        <w:rPr>
          <w:sz w:val="20"/>
          <w:szCs w:val="20"/>
        </w:rPr>
      </w:pPr>
      <w:r>
        <w:rPr>
          <w:bCs/>
          <w:sz w:val="20"/>
          <w:szCs w:val="20"/>
          <w:lang w:val="en-GB"/>
        </w:rPr>
        <w:t>on the implementation of EC and EU regulations on placing plant protection products on the market</w:t>
      </w:r>
    </w:p>
    <w:p w14:paraId="28EC43F6" w14:textId="77777777" w:rsidR="00D913B4" w:rsidRPr="00501245" w:rsidRDefault="00D913B4" w:rsidP="00D913B4">
      <w:pPr>
        <w:pStyle w:val="len0"/>
        <w:rPr>
          <w:sz w:val="20"/>
          <w:szCs w:val="20"/>
        </w:rPr>
      </w:pPr>
      <w:r>
        <w:rPr>
          <w:bCs/>
          <w:sz w:val="20"/>
          <w:szCs w:val="20"/>
          <w:lang w:val="en-GB"/>
        </w:rPr>
        <w:t>Article 1</w:t>
      </w:r>
    </w:p>
    <w:p w14:paraId="0AF7F9D4" w14:textId="77777777" w:rsidR="00D913B4" w:rsidRPr="00501245" w:rsidRDefault="00D913B4" w:rsidP="00D913B4">
      <w:pPr>
        <w:pStyle w:val="lennaslov0"/>
        <w:rPr>
          <w:rFonts w:cs="Arial"/>
          <w:sz w:val="20"/>
          <w:szCs w:val="20"/>
        </w:rPr>
      </w:pPr>
      <w:r>
        <w:rPr>
          <w:rFonts w:cs="Arial"/>
          <w:bCs/>
          <w:sz w:val="20"/>
          <w:szCs w:val="20"/>
          <w:lang w:val="en-GB"/>
        </w:rPr>
        <w:t>(Subject)</w:t>
      </w:r>
    </w:p>
    <w:p w14:paraId="6637FC1A" w14:textId="77777777" w:rsidR="002E5EBC" w:rsidRPr="00501245" w:rsidRDefault="002E5EBC" w:rsidP="00D913B4">
      <w:pPr>
        <w:pStyle w:val="lennaslov0"/>
        <w:rPr>
          <w:rFonts w:cs="Arial"/>
          <w:sz w:val="20"/>
          <w:szCs w:val="20"/>
        </w:rPr>
      </w:pPr>
    </w:p>
    <w:p w14:paraId="0CCF533B" w14:textId="77777777" w:rsidR="002E5EBC" w:rsidRPr="00501245" w:rsidRDefault="002E5EBC" w:rsidP="00036D5D">
      <w:pPr>
        <w:pStyle w:val="Odstavek"/>
        <w:ind w:firstLine="0"/>
        <w:rPr>
          <w:sz w:val="20"/>
          <w:szCs w:val="20"/>
        </w:rPr>
      </w:pPr>
      <w:r>
        <w:rPr>
          <w:sz w:val="20"/>
          <w:szCs w:val="20"/>
          <w:lang w:val="en-GB"/>
        </w:rPr>
        <w:t xml:space="preserve">This Decree regulates competent authorities, obligations regarding the authorisation of and permits for plant protection products (hereinafter: PPPs), the labelling of PPPs and of seeds treated with PPPs, fees, </w:t>
      </w:r>
      <w:proofErr w:type="gramStart"/>
      <w:r>
        <w:rPr>
          <w:sz w:val="20"/>
          <w:szCs w:val="20"/>
          <w:lang w:val="en-GB"/>
        </w:rPr>
        <w:t>supervision</w:t>
      </w:r>
      <w:proofErr w:type="gramEnd"/>
      <w:r>
        <w:rPr>
          <w:sz w:val="20"/>
          <w:szCs w:val="20"/>
          <w:lang w:val="en-GB"/>
        </w:rPr>
        <w:t xml:space="preserve"> and penalty provisions for the implementation of:</w:t>
      </w:r>
    </w:p>
    <w:p w14:paraId="08B8B37D" w14:textId="77777777" w:rsidR="002E5EBC" w:rsidRPr="00501245" w:rsidRDefault="002E5EBC" w:rsidP="00511F66">
      <w:pPr>
        <w:pStyle w:val="Alineazaodstavkom"/>
        <w:numPr>
          <w:ilvl w:val="0"/>
          <w:numId w:val="9"/>
        </w:numPr>
        <w:overflowPunct/>
        <w:autoSpaceDE/>
        <w:autoSpaceDN/>
        <w:adjustRightInd/>
        <w:spacing w:line="240" w:lineRule="auto"/>
        <w:textAlignment w:val="auto"/>
        <w:rPr>
          <w:rFonts w:eastAsia="Calibri"/>
          <w:sz w:val="20"/>
          <w:szCs w:val="20"/>
        </w:rPr>
      </w:pPr>
      <w:r>
        <w:rPr>
          <w:rFonts w:eastAsia="Calibri"/>
          <w:sz w:val="20"/>
          <w:szCs w:val="20"/>
          <w:lang w:val="en-GB"/>
        </w:rPr>
        <w:t xml:space="preserve">Regulation (EC) No 1107/2009 of the European Parliament and of the Council of 21 October 2009 concerning the placing of plant protection products on the market and repealing Council Directives 79/117/EEC and 91/414/EEC (OJ L 309, 24.11.2009, p. 1), last amended by </w:t>
      </w:r>
      <w:hyperlink r:id="rId9" w:history="1">
        <w:r>
          <w:rPr>
            <w:rFonts w:eastAsia="Calibri"/>
            <w:sz w:val="20"/>
            <w:szCs w:val="20"/>
            <w:lang w:val="en-GB"/>
          </w:rPr>
          <w:t>Commission Regulation (EU) 2022/1438 of 31 August 2022 amending Annex II to Regulation (EC) No 1107/2009 of the European Parliament and of the Council as regards specific criteria for the approval of active substances that are micro-organisms</w:t>
        </w:r>
      </w:hyperlink>
      <w:r>
        <w:rPr>
          <w:rFonts w:eastAsia="Calibri"/>
          <w:sz w:val="20"/>
          <w:szCs w:val="20"/>
          <w:lang w:val="en-GB"/>
        </w:rPr>
        <w:t xml:space="preserve"> (OJ L 227, 1.9.2022, p. 2), (hereinafter: Regulation 1107/2009/EC),</w:t>
      </w:r>
    </w:p>
    <w:p w14:paraId="30CA669A" w14:textId="77777777" w:rsidR="002E5EBC" w:rsidRPr="00501245" w:rsidRDefault="002E5EBC" w:rsidP="00511F66">
      <w:pPr>
        <w:pStyle w:val="Alineazaodstavkom"/>
        <w:numPr>
          <w:ilvl w:val="0"/>
          <w:numId w:val="9"/>
        </w:numPr>
        <w:overflowPunct/>
        <w:autoSpaceDE/>
        <w:autoSpaceDN/>
        <w:adjustRightInd/>
        <w:spacing w:line="240" w:lineRule="auto"/>
        <w:textAlignment w:val="auto"/>
        <w:rPr>
          <w:rFonts w:cs="Arial"/>
          <w:sz w:val="20"/>
          <w:szCs w:val="20"/>
        </w:rPr>
      </w:pPr>
      <w:r>
        <w:rPr>
          <w:sz w:val="20"/>
          <w:szCs w:val="20"/>
          <w:lang w:val="en-GB"/>
        </w:rPr>
        <w:t>Commission Regulation (EU) No 547/2011 of 8 June 2011 implementing Regulation (EC) No 1107/2009 of the European Parliament and of the Council as regards labelling requirements for plant protection products (OJ L 155, 11.6.2011, p. 176), last amended by Commission Regulation (EU) No 519/2013 of 21 February 2013 adapting certain regulations and decisions in the fields of free movement of goods, freedom of movement for persons, right of establishment and freedom to provide services, company law, competition policy, agriculture, food safety, veterinary and phytosanitary policy, fisheries, transport policy, energy, taxation, statistics, social policy and employment, the environment, customs union, external relations, and foreign, security and defence policy, by reason of the accession of Croatia (OJ L 158, 10.6.2013, p. 74), (hereinafter: Regulation 547/2011/EU), and</w:t>
      </w:r>
    </w:p>
    <w:p w14:paraId="5FCEF184" w14:textId="77777777" w:rsidR="00033468" w:rsidRPr="00501245" w:rsidRDefault="00033468" w:rsidP="00511F66">
      <w:pPr>
        <w:pStyle w:val="Odstavek"/>
        <w:numPr>
          <w:ilvl w:val="0"/>
          <w:numId w:val="9"/>
        </w:numPr>
        <w:spacing w:before="0"/>
        <w:rPr>
          <w:sz w:val="20"/>
          <w:szCs w:val="20"/>
        </w:rPr>
      </w:pPr>
      <w:r>
        <w:rPr>
          <w:rFonts w:eastAsia="Calibri"/>
          <w:sz w:val="20"/>
          <w:szCs w:val="20"/>
          <w:lang w:val="en-GB"/>
        </w:rPr>
        <w:t xml:space="preserve">Regulation (EC) No 1272/2008 of the European Parliament and of the Council of 16 December 2008 on classification, labelling and packaging of substances and mixtures, amending and repealing Directives 67/548/EEC and 1999/45/EC, and amending Regulation (EC) No 1907/2006 (OJ L 353, 31.12.2008, p. 1), last amended by </w:t>
      </w:r>
      <w:hyperlink r:id="rId10" w:history="1">
        <w:r>
          <w:rPr>
            <w:rFonts w:eastAsia="Calibri"/>
            <w:sz w:val="20"/>
            <w:szCs w:val="20"/>
            <w:lang w:val="en-GB"/>
          </w:rPr>
          <w:t>Commission Delegated Regulation (EU) 2022/692 of 16 February 2022 amending, for the purposes of its adaptation to technical and scientific progress, Regulation (EC) No 1272/2008 of the European Parliament and of the Council on classification, labelling and packaging of substances and mixtures</w:t>
        </w:r>
      </w:hyperlink>
      <w:r>
        <w:rPr>
          <w:rFonts w:eastAsia="Calibri"/>
          <w:sz w:val="20"/>
          <w:szCs w:val="20"/>
          <w:lang w:val="en-GB"/>
        </w:rPr>
        <w:t xml:space="preserve"> (OJ L 129, 3.5.2022, p. 1), (hereinafter: Regulation 1272/2008/EC).</w:t>
      </w:r>
    </w:p>
    <w:p w14:paraId="21145169" w14:textId="77777777" w:rsidR="00D36923" w:rsidRPr="00501245" w:rsidRDefault="00D36923" w:rsidP="00036D5D">
      <w:pPr>
        <w:contextualSpacing/>
        <w:jc w:val="both"/>
        <w:rPr>
          <w:rFonts w:cs="Arial"/>
          <w:szCs w:val="20"/>
        </w:rPr>
      </w:pPr>
    </w:p>
    <w:p w14:paraId="2383F7AC" w14:textId="77777777" w:rsidR="00AF5166" w:rsidRPr="00501245" w:rsidRDefault="00AF5166" w:rsidP="00036D5D">
      <w:pPr>
        <w:contextualSpacing/>
        <w:jc w:val="both"/>
        <w:rPr>
          <w:rFonts w:cs="Arial"/>
          <w:szCs w:val="20"/>
        </w:rPr>
      </w:pPr>
    </w:p>
    <w:p w14:paraId="18C142C0" w14:textId="77777777" w:rsidR="00D913B4" w:rsidRPr="00501245" w:rsidRDefault="00D913B4" w:rsidP="00D913B4">
      <w:pPr>
        <w:pStyle w:val="len0"/>
        <w:tabs>
          <w:tab w:val="num" w:pos="425"/>
        </w:tabs>
        <w:suppressAutoHyphens w:val="0"/>
        <w:overflowPunct/>
        <w:autoSpaceDE/>
        <w:autoSpaceDN/>
        <w:adjustRightInd/>
        <w:spacing w:before="0"/>
        <w:ind w:left="425" w:hanging="425"/>
        <w:textAlignment w:val="auto"/>
        <w:rPr>
          <w:sz w:val="20"/>
          <w:szCs w:val="20"/>
        </w:rPr>
      </w:pPr>
      <w:r>
        <w:rPr>
          <w:bCs/>
          <w:sz w:val="20"/>
          <w:szCs w:val="20"/>
          <w:lang w:val="en-GB"/>
        </w:rPr>
        <w:t>Article 2</w:t>
      </w:r>
    </w:p>
    <w:p w14:paraId="492A7B3E" w14:textId="77777777" w:rsidR="00D913B4" w:rsidRPr="00501245" w:rsidRDefault="00D913B4" w:rsidP="00D913B4">
      <w:pPr>
        <w:pStyle w:val="lennaslov0"/>
        <w:rPr>
          <w:rFonts w:cs="Arial"/>
          <w:sz w:val="20"/>
          <w:szCs w:val="20"/>
        </w:rPr>
      </w:pPr>
      <w:r>
        <w:rPr>
          <w:rFonts w:cs="Arial"/>
          <w:bCs/>
          <w:sz w:val="20"/>
          <w:szCs w:val="20"/>
          <w:lang w:val="en-GB"/>
        </w:rPr>
        <w:t>(Definitions)</w:t>
      </w:r>
    </w:p>
    <w:p w14:paraId="7DC6DBE7" w14:textId="77777777" w:rsidR="00D913B4" w:rsidRPr="00501245" w:rsidRDefault="00D913B4" w:rsidP="00D913B4">
      <w:pPr>
        <w:pStyle w:val="Odstavek"/>
        <w:rPr>
          <w:sz w:val="20"/>
          <w:szCs w:val="20"/>
        </w:rPr>
      </w:pPr>
      <w:r>
        <w:rPr>
          <w:sz w:val="20"/>
          <w:szCs w:val="20"/>
          <w:lang w:val="en-GB"/>
        </w:rPr>
        <w:t>(1) For the purposes of this Decree, the following definitions shall apply:</w:t>
      </w:r>
    </w:p>
    <w:p w14:paraId="50EF19B7" w14:textId="77777777" w:rsidR="00D913B4" w:rsidRPr="00501245" w:rsidRDefault="00D913B4" w:rsidP="00511F66">
      <w:pPr>
        <w:pStyle w:val="Alineazaodstavkom"/>
        <w:numPr>
          <w:ilvl w:val="0"/>
          <w:numId w:val="9"/>
        </w:numPr>
        <w:overflowPunct/>
        <w:autoSpaceDE/>
        <w:autoSpaceDN/>
        <w:adjustRightInd/>
        <w:spacing w:line="240" w:lineRule="auto"/>
        <w:ind w:left="426" w:hanging="426"/>
        <w:textAlignment w:val="auto"/>
        <w:rPr>
          <w:sz w:val="20"/>
          <w:szCs w:val="20"/>
        </w:rPr>
      </w:pPr>
      <w:r>
        <w:rPr>
          <w:sz w:val="20"/>
          <w:szCs w:val="20"/>
          <w:lang w:val="en-GB"/>
        </w:rPr>
        <w:t>application shall mean an application pursuant to Article 33, 40, 43, 45, 47, 48, 51 or 58 of Regulation 1107/2009/EC or an application pursuant to Article 52, 53 or 54 of Regulation 1107/2009/EC,</w:t>
      </w:r>
    </w:p>
    <w:p w14:paraId="7FBA516D" w14:textId="77777777" w:rsidR="00D913B4" w:rsidRPr="00501245" w:rsidRDefault="00D913B4" w:rsidP="00511F66">
      <w:pPr>
        <w:pStyle w:val="Alineazaodstavkom"/>
        <w:numPr>
          <w:ilvl w:val="0"/>
          <w:numId w:val="9"/>
        </w:numPr>
        <w:overflowPunct/>
        <w:autoSpaceDE/>
        <w:autoSpaceDN/>
        <w:adjustRightInd/>
        <w:spacing w:line="240" w:lineRule="auto"/>
        <w:ind w:left="426" w:hanging="426"/>
        <w:textAlignment w:val="auto"/>
        <w:rPr>
          <w:sz w:val="20"/>
          <w:szCs w:val="20"/>
        </w:rPr>
      </w:pPr>
      <w:r>
        <w:rPr>
          <w:sz w:val="20"/>
          <w:szCs w:val="20"/>
          <w:lang w:val="en-GB"/>
        </w:rPr>
        <w:t>the renewal of a PPP authorisation shall mean the renewal of a PPP authorisation in accordance with Article 43(1) to (5) of Regulation 1107/2009/EC,</w:t>
      </w:r>
    </w:p>
    <w:p w14:paraId="29D2BB89" w14:textId="77777777" w:rsidR="00D913B4" w:rsidRPr="00501245" w:rsidRDefault="00D913B4" w:rsidP="00511F66">
      <w:pPr>
        <w:pStyle w:val="Alineazaodstavkom"/>
        <w:numPr>
          <w:ilvl w:val="0"/>
          <w:numId w:val="9"/>
        </w:numPr>
        <w:overflowPunct/>
        <w:autoSpaceDE/>
        <w:autoSpaceDN/>
        <w:adjustRightInd/>
        <w:spacing w:line="240" w:lineRule="auto"/>
        <w:ind w:left="426" w:hanging="426"/>
        <w:textAlignment w:val="auto"/>
        <w:rPr>
          <w:sz w:val="20"/>
          <w:szCs w:val="20"/>
        </w:rPr>
      </w:pPr>
      <w:r>
        <w:rPr>
          <w:sz w:val="20"/>
          <w:szCs w:val="20"/>
          <w:lang w:val="en-GB"/>
        </w:rPr>
        <w:lastRenderedPageBreak/>
        <w:t>the extension of a PPP authorisation shall mean the extension of a PPP authorisation in accordance with Article 43(6) of Regulation 1107/2009/EC.</w:t>
      </w:r>
    </w:p>
    <w:p w14:paraId="147130D8" w14:textId="77777777" w:rsidR="00D913B4" w:rsidRPr="00501245" w:rsidRDefault="00D913B4" w:rsidP="00D913B4">
      <w:pPr>
        <w:pStyle w:val="Odstavek"/>
        <w:rPr>
          <w:sz w:val="20"/>
          <w:szCs w:val="20"/>
        </w:rPr>
      </w:pPr>
      <w:r>
        <w:rPr>
          <w:sz w:val="20"/>
          <w:szCs w:val="20"/>
          <w:lang w:val="en-GB"/>
        </w:rPr>
        <w:t>(2) For the purposes of PPP authorisation procedures, the following shall be deemed a PPP authorisation:</w:t>
      </w:r>
    </w:p>
    <w:p w14:paraId="556B792D" w14:textId="77777777" w:rsidR="00D913B4" w:rsidRPr="00501245" w:rsidRDefault="00C840D0" w:rsidP="00C840D0">
      <w:pPr>
        <w:pStyle w:val="rkovnatokazaodstavkom"/>
        <w:numPr>
          <w:ilvl w:val="0"/>
          <w:numId w:val="0"/>
        </w:numPr>
        <w:tabs>
          <w:tab w:val="left" w:pos="425"/>
        </w:tabs>
        <w:spacing w:line="240" w:lineRule="auto"/>
        <w:ind w:left="425" w:hanging="425"/>
        <w:contextualSpacing/>
        <w:rPr>
          <w:rFonts w:cs="Arial"/>
        </w:rPr>
      </w:pPr>
      <w:r>
        <w:rPr>
          <w:rFonts w:cs="Arial"/>
          <w:sz w:val="22"/>
          <w:lang w:val="en-GB"/>
        </w:rPr>
        <w:t>a)</w:t>
      </w:r>
      <w:r>
        <w:rPr>
          <w:rFonts w:cs="Arial"/>
          <w:sz w:val="22"/>
          <w:lang w:val="en-GB"/>
        </w:rPr>
        <w:tab/>
      </w:r>
      <w:r>
        <w:rPr>
          <w:rFonts w:cs="Arial"/>
          <w:lang w:val="en-GB"/>
        </w:rPr>
        <w:t>the authorisation of a new PPP referred to in Article 36 of Regulation 1107/2009/EC,</w:t>
      </w:r>
    </w:p>
    <w:p w14:paraId="1714A1B8" w14:textId="77777777" w:rsidR="00D913B4" w:rsidRPr="00501245" w:rsidRDefault="00C840D0" w:rsidP="00C840D0">
      <w:pPr>
        <w:pStyle w:val="rkovnatokazaodstavkom"/>
        <w:numPr>
          <w:ilvl w:val="0"/>
          <w:numId w:val="0"/>
        </w:numPr>
        <w:tabs>
          <w:tab w:val="left" w:pos="425"/>
        </w:tabs>
        <w:spacing w:line="240" w:lineRule="auto"/>
        <w:ind w:left="425" w:hanging="425"/>
        <w:contextualSpacing/>
        <w:rPr>
          <w:rFonts w:cs="Arial"/>
        </w:rPr>
      </w:pPr>
      <w:r>
        <w:rPr>
          <w:rFonts w:cs="Arial"/>
          <w:sz w:val="22"/>
          <w:lang w:val="en-GB"/>
        </w:rPr>
        <w:t>b)</w:t>
      </w:r>
      <w:r>
        <w:rPr>
          <w:rFonts w:cs="Arial"/>
          <w:sz w:val="22"/>
          <w:lang w:val="en-GB"/>
        </w:rPr>
        <w:tab/>
      </w:r>
      <w:r>
        <w:rPr>
          <w:rFonts w:cs="Arial"/>
          <w:lang w:val="en-GB"/>
        </w:rPr>
        <w:t>the authorisation of a PPP referred to in Article 41 of Regulation 1107/2009/EC,</w:t>
      </w:r>
    </w:p>
    <w:p w14:paraId="0D8CD8AD" w14:textId="77777777" w:rsidR="00D913B4" w:rsidRPr="00501245" w:rsidRDefault="00C840D0" w:rsidP="00C840D0">
      <w:pPr>
        <w:pStyle w:val="rkovnatokazaodstavkom"/>
        <w:numPr>
          <w:ilvl w:val="0"/>
          <w:numId w:val="0"/>
        </w:numPr>
        <w:tabs>
          <w:tab w:val="left" w:pos="425"/>
        </w:tabs>
        <w:spacing w:line="240" w:lineRule="auto"/>
        <w:ind w:left="425" w:hanging="425"/>
        <w:contextualSpacing/>
        <w:rPr>
          <w:rFonts w:cs="Arial"/>
        </w:rPr>
      </w:pPr>
      <w:r>
        <w:rPr>
          <w:rFonts w:cs="Arial"/>
          <w:sz w:val="22"/>
          <w:lang w:val="en-GB"/>
        </w:rPr>
        <w:t>c)</w:t>
      </w:r>
      <w:r>
        <w:rPr>
          <w:rFonts w:cs="Arial"/>
          <w:sz w:val="22"/>
          <w:lang w:val="en-GB"/>
        </w:rPr>
        <w:tab/>
      </w:r>
      <w:r>
        <w:rPr>
          <w:rFonts w:cs="Arial"/>
          <w:lang w:val="en-GB"/>
        </w:rPr>
        <w:t>the renewal or extension of a PPP authorisation referred to in Article 43 of Regulation 1107/2009/EC,</w:t>
      </w:r>
    </w:p>
    <w:p w14:paraId="6F612D9A" w14:textId="77777777" w:rsidR="00D913B4" w:rsidRPr="00501245" w:rsidRDefault="00D913B4" w:rsidP="00D913B4">
      <w:pPr>
        <w:pStyle w:val="rkovnatokazaodstavkom"/>
        <w:numPr>
          <w:ilvl w:val="0"/>
          <w:numId w:val="0"/>
        </w:numPr>
        <w:ind w:left="426" w:hanging="426"/>
        <w:rPr>
          <w:rFonts w:cs="Arial"/>
        </w:rPr>
      </w:pPr>
      <w:r>
        <w:rPr>
          <w:rFonts w:cs="Arial"/>
          <w:lang w:val="en-GB"/>
        </w:rPr>
        <w:t>č)</w:t>
      </w:r>
      <w:r>
        <w:rPr>
          <w:rFonts w:cs="Arial"/>
          <w:lang w:val="en-GB"/>
        </w:rPr>
        <w:tab/>
        <w:t>the withdrawal or amendment of a PPP authorisation referred to in Articles 44 and 45 of Regulation 1107/2009/EC,</w:t>
      </w:r>
    </w:p>
    <w:p w14:paraId="7E1F5518" w14:textId="77777777" w:rsidR="00D913B4" w:rsidRPr="00501245" w:rsidRDefault="00C840D0" w:rsidP="00C840D0">
      <w:pPr>
        <w:pStyle w:val="rkovnatokazaodstavkom"/>
        <w:numPr>
          <w:ilvl w:val="0"/>
          <w:numId w:val="0"/>
        </w:numPr>
        <w:tabs>
          <w:tab w:val="left" w:pos="425"/>
        </w:tabs>
        <w:spacing w:line="240" w:lineRule="auto"/>
        <w:ind w:left="425" w:hanging="425"/>
        <w:contextualSpacing/>
        <w:rPr>
          <w:rFonts w:cs="Arial"/>
        </w:rPr>
      </w:pPr>
      <w:r>
        <w:rPr>
          <w:rFonts w:cs="Arial"/>
          <w:sz w:val="22"/>
          <w:lang w:val="en-GB"/>
        </w:rPr>
        <w:t>d)</w:t>
      </w:r>
      <w:r>
        <w:rPr>
          <w:rFonts w:cs="Arial"/>
          <w:sz w:val="22"/>
          <w:lang w:val="en-GB"/>
        </w:rPr>
        <w:tab/>
      </w:r>
      <w:r>
        <w:rPr>
          <w:rFonts w:cs="Arial"/>
          <w:lang w:val="en-GB"/>
        </w:rPr>
        <w:t>the authorisation of a low-risk PPP referred to in Article 47 of Regulation 1107/2009/EC,</w:t>
      </w:r>
    </w:p>
    <w:p w14:paraId="13106625" w14:textId="77777777" w:rsidR="00D913B4" w:rsidRPr="00501245" w:rsidRDefault="00C840D0" w:rsidP="00C840D0">
      <w:pPr>
        <w:pStyle w:val="rkovnatokazaodstavkom"/>
        <w:numPr>
          <w:ilvl w:val="0"/>
          <w:numId w:val="0"/>
        </w:numPr>
        <w:tabs>
          <w:tab w:val="left" w:pos="425"/>
        </w:tabs>
        <w:spacing w:line="240" w:lineRule="auto"/>
        <w:ind w:left="425" w:hanging="425"/>
        <w:contextualSpacing/>
        <w:rPr>
          <w:rFonts w:cs="Arial"/>
        </w:rPr>
      </w:pPr>
      <w:r>
        <w:rPr>
          <w:rFonts w:cs="Arial"/>
          <w:sz w:val="22"/>
          <w:lang w:val="en-GB"/>
        </w:rPr>
        <w:t>e)</w:t>
      </w:r>
      <w:r>
        <w:rPr>
          <w:rFonts w:cs="Arial"/>
          <w:sz w:val="22"/>
          <w:lang w:val="en-GB"/>
        </w:rPr>
        <w:tab/>
      </w:r>
      <w:r>
        <w:rPr>
          <w:rFonts w:cs="Arial"/>
          <w:lang w:val="en-GB"/>
        </w:rPr>
        <w:t>the authorisation of a PPP containing a genetically modified organism referred to in Article 48 of Regulation 1107/2009/EC, and</w:t>
      </w:r>
    </w:p>
    <w:p w14:paraId="772B469F" w14:textId="77777777" w:rsidR="00D913B4" w:rsidRPr="00501245" w:rsidRDefault="00C840D0" w:rsidP="00C840D0">
      <w:pPr>
        <w:pStyle w:val="rkovnatokazaodstavkom"/>
        <w:numPr>
          <w:ilvl w:val="0"/>
          <w:numId w:val="0"/>
        </w:numPr>
        <w:tabs>
          <w:tab w:val="left" w:pos="425"/>
        </w:tabs>
        <w:spacing w:line="240" w:lineRule="auto"/>
        <w:ind w:left="425" w:hanging="425"/>
        <w:contextualSpacing/>
        <w:rPr>
          <w:rFonts w:cs="Arial"/>
        </w:rPr>
      </w:pPr>
      <w:r>
        <w:rPr>
          <w:rFonts w:cs="Arial"/>
          <w:sz w:val="22"/>
          <w:lang w:val="en-GB"/>
        </w:rPr>
        <w:t>f)</w:t>
      </w:r>
      <w:r>
        <w:rPr>
          <w:rFonts w:cs="Arial"/>
          <w:sz w:val="22"/>
          <w:lang w:val="en-GB"/>
        </w:rPr>
        <w:tab/>
      </w:r>
      <w:r>
        <w:rPr>
          <w:rFonts w:cs="Arial"/>
          <w:lang w:val="en-GB"/>
        </w:rPr>
        <w:t>the extension of a PPP authorisation for minor uses referred to in Article 51 of Regulation 1107/2009/EC.</w:t>
      </w:r>
    </w:p>
    <w:p w14:paraId="52412FE8" w14:textId="77777777" w:rsidR="00D913B4" w:rsidRPr="00501245" w:rsidRDefault="00D913B4" w:rsidP="00D913B4">
      <w:pPr>
        <w:pStyle w:val="len0"/>
        <w:rPr>
          <w:sz w:val="20"/>
          <w:szCs w:val="20"/>
        </w:rPr>
      </w:pPr>
      <w:r>
        <w:rPr>
          <w:bCs/>
          <w:sz w:val="20"/>
          <w:szCs w:val="20"/>
          <w:lang w:val="en-GB"/>
        </w:rPr>
        <w:t>Article 3</w:t>
      </w:r>
    </w:p>
    <w:p w14:paraId="29D7B1B9" w14:textId="77777777" w:rsidR="00D913B4" w:rsidRPr="00501245" w:rsidRDefault="00D913B4" w:rsidP="00D913B4">
      <w:pPr>
        <w:pStyle w:val="lennaslov0"/>
        <w:rPr>
          <w:rFonts w:cs="Arial"/>
          <w:sz w:val="20"/>
          <w:szCs w:val="20"/>
        </w:rPr>
      </w:pPr>
      <w:r>
        <w:rPr>
          <w:rFonts w:cs="Arial"/>
          <w:bCs/>
          <w:sz w:val="20"/>
          <w:szCs w:val="20"/>
          <w:lang w:val="en-GB"/>
        </w:rPr>
        <w:t>(Competent authorities)</w:t>
      </w:r>
    </w:p>
    <w:p w14:paraId="52C9C2E6" w14:textId="77777777" w:rsidR="00D913B4" w:rsidRPr="00501245" w:rsidRDefault="00D913B4" w:rsidP="00D913B4">
      <w:pPr>
        <w:pStyle w:val="Odstavek"/>
        <w:rPr>
          <w:sz w:val="20"/>
          <w:szCs w:val="20"/>
        </w:rPr>
      </w:pPr>
      <w:r>
        <w:rPr>
          <w:sz w:val="20"/>
          <w:szCs w:val="20"/>
          <w:lang w:val="en-GB"/>
        </w:rPr>
        <w:t>(1) Administration of the Republic of Slovenia for Food Safety, Veterinary</w:t>
      </w:r>
      <w:r w:rsidR="00230A81">
        <w:rPr>
          <w:sz w:val="20"/>
          <w:szCs w:val="20"/>
          <w:lang w:val="en-GB"/>
        </w:rPr>
        <w:t xml:space="preserve"> </w:t>
      </w:r>
      <w:r w:rsidR="00230A81" w:rsidRPr="00230A81">
        <w:rPr>
          <w:sz w:val="20"/>
          <w:szCs w:val="20"/>
          <w:lang w:val="en-GB"/>
        </w:rPr>
        <w:t>Sector</w:t>
      </w:r>
      <w:r>
        <w:rPr>
          <w:sz w:val="20"/>
          <w:szCs w:val="20"/>
          <w:lang w:val="en-GB"/>
        </w:rPr>
        <w:t xml:space="preserve"> and Plant Protection (hereinafter: </w:t>
      </w:r>
      <w:r w:rsidR="00230A81" w:rsidRPr="00230A81">
        <w:rPr>
          <w:sz w:val="20"/>
          <w:szCs w:val="20"/>
          <w:lang w:val="en-GB"/>
        </w:rPr>
        <w:t>AFSVSPP</w:t>
      </w:r>
      <w:r>
        <w:rPr>
          <w:sz w:val="20"/>
          <w:szCs w:val="20"/>
          <w:lang w:val="en-GB"/>
        </w:rPr>
        <w:t>) shall be the authority responsible for implementing this Decree and the regulations referred to in Article 1 of this Decree.</w:t>
      </w:r>
    </w:p>
    <w:p w14:paraId="2146D057" w14:textId="77777777" w:rsidR="00D913B4" w:rsidRPr="00501245" w:rsidRDefault="00D913B4" w:rsidP="00A13FC8">
      <w:pPr>
        <w:pStyle w:val="Odstavek"/>
        <w:rPr>
          <w:sz w:val="20"/>
          <w:szCs w:val="20"/>
        </w:rPr>
      </w:pPr>
      <w:r>
        <w:rPr>
          <w:sz w:val="20"/>
          <w:szCs w:val="20"/>
          <w:lang w:val="en-GB"/>
        </w:rPr>
        <w:t xml:space="preserve">(2) In the part concerning PPP authorisation, </w:t>
      </w:r>
      <w:r w:rsidR="00230A81" w:rsidRPr="00230A81">
        <w:rPr>
          <w:sz w:val="20"/>
          <w:szCs w:val="20"/>
          <w:lang w:val="en-GB"/>
        </w:rPr>
        <w:t>AFSVSPP</w:t>
      </w:r>
      <w:r>
        <w:rPr>
          <w:sz w:val="20"/>
          <w:szCs w:val="20"/>
          <w:lang w:val="en-GB"/>
        </w:rPr>
        <w:t xml:space="preserve"> shall decide on the authorisation of PPPs based on the assent of the Chemicals Office of the Republic of Slovenia (hereinafter: Chemicals Office), which shall be based on an assessment of the PPP </w:t>
      </w:r>
      <w:proofErr w:type="gramStart"/>
      <w:r>
        <w:rPr>
          <w:sz w:val="20"/>
          <w:szCs w:val="20"/>
          <w:lang w:val="en-GB"/>
        </w:rPr>
        <w:t>with regard to</w:t>
      </w:r>
      <w:proofErr w:type="gramEnd"/>
      <w:r>
        <w:rPr>
          <w:sz w:val="20"/>
          <w:szCs w:val="20"/>
          <w:lang w:val="en-GB"/>
        </w:rPr>
        <w:t xml:space="preserve"> human health and the environment in accordance with the regulations governing chemicals. The assent of the Chemicals Office shall not be necessary in authorisation procedures that do not require an assessment of PPPs </w:t>
      </w:r>
      <w:proofErr w:type="gramStart"/>
      <w:r>
        <w:rPr>
          <w:sz w:val="20"/>
          <w:szCs w:val="20"/>
          <w:lang w:val="en-GB"/>
        </w:rPr>
        <w:t>with regard to</w:t>
      </w:r>
      <w:proofErr w:type="gramEnd"/>
      <w:r>
        <w:rPr>
          <w:sz w:val="20"/>
          <w:szCs w:val="20"/>
          <w:lang w:val="en-GB"/>
        </w:rPr>
        <w:t xml:space="preserve"> human health and the environment or in procedures for amending an authorisation that do not affect the results of such assessment. If new circumstances that affect assessment results emerge in relation to a PPP for which an authorisation has already been granted, the Chemicals Office may withdraw the granted authorisation.</w:t>
      </w:r>
    </w:p>
    <w:p w14:paraId="34B36AD4" w14:textId="77777777" w:rsidR="00D913B4" w:rsidRPr="00501245" w:rsidRDefault="00D913B4" w:rsidP="00D913B4">
      <w:pPr>
        <w:pStyle w:val="Odstavek"/>
        <w:rPr>
          <w:sz w:val="20"/>
          <w:szCs w:val="20"/>
        </w:rPr>
      </w:pPr>
      <w:r>
        <w:rPr>
          <w:sz w:val="20"/>
          <w:szCs w:val="20"/>
          <w:lang w:val="en-GB"/>
        </w:rPr>
        <w:t xml:space="preserve">(3) </w:t>
      </w:r>
      <w:r w:rsidR="00230A81" w:rsidRPr="00230A81">
        <w:rPr>
          <w:sz w:val="20"/>
          <w:szCs w:val="20"/>
          <w:lang w:val="en-GB"/>
        </w:rPr>
        <w:t>AFSVSPP</w:t>
      </w:r>
      <w:r>
        <w:rPr>
          <w:sz w:val="20"/>
          <w:szCs w:val="20"/>
          <w:lang w:val="en-GB"/>
        </w:rPr>
        <w:t xml:space="preserve"> shall be the authority responsible for implementing the supervision referred to in this Decree and the controls referred to in the regulations referred to in Article 1 of this Decree and for submitting reports on controls to the European Commission under Article 68(1) of Regulation 1107/2009/EC.</w:t>
      </w:r>
    </w:p>
    <w:p w14:paraId="62161CF5" w14:textId="77777777" w:rsidR="00D913B4" w:rsidRPr="00501245" w:rsidRDefault="00D913B4" w:rsidP="00D913B4">
      <w:pPr>
        <w:pStyle w:val="Odstavek"/>
        <w:rPr>
          <w:sz w:val="20"/>
          <w:szCs w:val="20"/>
        </w:rPr>
      </w:pPr>
      <w:r>
        <w:rPr>
          <w:sz w:val="20"/>
          <w:szCs w:val="20"/>
          <w:lang w:val="en-GB"/>
        </w:rPr>
        <w:t xml:space="preserve">(4) </w:t>
      </w:r>
      <w:r w:rsidR="00230A81" w:rsidRPr="00230A81">
        <w:rPr>
          <w:sz w:val="20"/>
          <w:szCs w:val="20"/>
          <w:lang w:val="en-GB"/>
        </w:rPr>
        <w:t xml:space="preserve">AFSVSPP </w:t>
      </w:r>
      <w:r>
        <w:rPr>
          <w:sz w:val="20"/>
          <w:szCs w:val="20"/>
          <w:lang w:val="en-GB"/>
        </w:rPr>
        <w:t>shall be the coordinating national authority referred to in Article 75(2) of Regulation 1107/2009/EC.</w:t>
      </w:r>
    </w:p>
    <w:p w14:paraId="0561C9F6" w14:textId="77777777" w:rsidR="00D913B4" w:rsidRPr="00501245" w:rsidRDefault="00D913B4" w:rsidP="00D913B4">
      <w:pPr>
        <w:pStyle w:val="len0"/>
        <w:rPr>
          <w:sz w:val="20"/>
          <w:szCs w:val="20"/>
        </w:rPr>
      </w:pPr>
      <w:r>
        <w:rPr>
          <w:bCs/>
          <w:sz w:val="20"/>
          <w:szCs w:val="20"/>
          <w:lang w:val="en-GB"/>
        </w:rPr>
        <w:t>Article 4</w:t>
      </w:r>
    </w:p>
    <w:p w14:paraId="138D8583" w14:textId="77777777" w:rsidR="00D913B4" w:rsidRPr="00501245" w:rsidRDefault="00D913B4" w:rsidP="00D913B4">
      <w:pPr>
        <w:pStyle w:val="lennaslov0"/>
        <w:rPr>
          <w:rFonts w:cs="Arial"/>
          <w:sz w:val="20"/>
          <w:szCs w:val="20"/>
        </w:rPr>
      </w:pPr>
      <w:r>
        <w:rPr>
          <w:rFonts w:cs="Arial"/>
          <w:bCs/>
          <w:sz w:val="20"/>
          <w:szCs w:val="20"/>
          <w:lang w:val="en-GB"/>
        </w:rPr>
        <w:t>(Content of impurities)</w:t>
      </w:r>
    </w:p>
    <w:p w14:paraId="3747AD56" w14:textId="77777777" w:rsidR="00E900BE" w:rsidRPr="00501245" w:rsidRDefault="00E900BE" w:rsidP="00D913B4">
      <w:pPr>
        <w:pStyle w:val="lennaslov0"/>
        <w:rPr>
          <w:rFonts w:cs="Arial"/>
          <w:sz w:val="20"/>
          <w:szCs w:val="20"/>
        </w:rPr>
      </w:pPr>
    </w:p>
    <w:p w14:paraId="53D17F4D" w14:textId="77777777" w:rsidR="00D913B4" w:rsidRPr="00501245" w:rsidRDefault="00E900BE" w:rsidP="00AF5166">
      <w:pPr>
        <w:pStyle w:val="Alineazaodstavkom"/>
        <w:numPr>
          <w:ilvl w:val="0"/>
          <w:numId w:val="0"/>
        </w:numPr>
        <w:overflowPunct/>
        <w:autoSpaceDE/>
        <w:autoSpaceDN/>
        <w:adjustRightInd/>
        <w:spacing w:line="240" w:lineRule="auto"/>
        <w:ind w:firstLine="1021"/>
        <w:textAlignment w:val="auto"/>
        <w:rPr>
          <w:rFonts w:eastAsia="Calibri"/>
        </w:rPr>
      </w:pPr>
      <w:r>
        <w:rPr>
          <w:sz w:val="20"/>
          <w:szCs w:val="20"/>
          <w:lang w:val="en-GB"/>
        </w:rPr>
        <w:t>The highest generic limit value for impurities in PPPs shall not exceed 1 g/kg (0.1% m/m), unless a lower concentration limit is provided for a particular substance in accordance with Regulation 1272/2008/EC.</w:t>
      </w:r>
    </w:p>
    <w:p w14:paraId="270D9C9E" w14:textId="77777777" w:rsidR="00D913B4" w:rsidRPr="00501245" w:rsidRDefault="00D913B4" w:rsidP="00D913B4">
      <w:pPr>
        <w:pStyle w:val="len0"/>
        <w:rPr>
          <w:sz w:val="20"/>
          <w:szCs w:val="20"/>
        </w:rPr>
      </w:pPr>
      <w:r>
        <w:rPr>
          <w:bCs/>
          <w:sz w:val="20"/>
          <w:szCs w:val="20"/>
          <w:lang w:val="en-GB"/>
        </w:rPr>
        <w:t>Article 5</w:t>
      </w:r>
    </w:p>
    <w:p w14:paraId="503E259A" w14:textId="77777777" w:rsidR="00D913B4" w:rsidRPr="00501245" w:rsidRDefault="00D913B4" w:rsidP="00D913B4">
      <w:pPr>
        <w:pStyle w:val="lennaslov0"/>
        <w:rPr>
          <w:rFonts w:cs="Arial"/>
          <w:sz w:val="20"/>
          <w:szCs w:val="20"/>
        </w:rPr>
      </w:pPr>
      <w:r>
        <w:rPr>
          <w:rFonts w:cs="Arial"/>
          <w:bCs/>
          <w:sz w:val="20"/>
          <w:szCs w:val="20"/>
          <w:lang w:val="en-GB"/>
        </w:rPr>
        <w:t>(Application and dossier for PPP authorisation)</w:t>
      </w:r>
    </w:p>
    <w:p w14:paraId="7B35545E" w14:textId="77777777" w:rsidR="00D913B4" w:rsidRPr="00501245" w:rsidRDefault="00D913B4" w:rsidP="00D913B4">
      <w:pPr>
        <w:pStyle w:val="Odstavek"/>
        <w:rPr>
          <w:sz w:val="20"/>
          <w:szCs w:val="20"/>
        </w:rPr>
      </w:pPr>
      <w:r>
        <w:rPr>
          <w:sz w:val="20"/>
          <w:szCs w:val="20"/>
          <w:lang w:val="en-GB"/>
        </w:rPr>
        <w:t>(1) In addition to the information required for PPP authorisation under Regulation 1107/2009/EC, an application for the authorisation of a PPP shall also include:</w:t>
      </w:r>
    </w:p>
    <w:p w14:paraId="47F288AB" w14:textId="77777777" w:rsidR="00D913B4" w:rsidRPr="00501245" w:rsidRDefault="00D913B4" w:rsidP="00511F66">
      <w:pPr>
        <w:pStyle w:val="Alineazaodstavkom"/>
        <w:numPr>
          <w:ilvl w:val="0"/>
          <w:numId w:val="9"/>
        </w:numPr>
        <w:tabs>
          <w:tab w:val="left" w:pos="425"/>
        </w:tabs>
        <w:overflowPunct/>
        <w:autoSpaceDE/>
        <w:autoSpaceDN/>
        <w:adjustRightInd/>
        <w:spacing w:line="240" w:lineRule="auto"/>
        <w:ind w:left="426" w:hanging="426"/>
        <w:textAlignment w:val="auto"/>
        <w:rPr>
          <w:sz w:val="20"/>
          <w:szCs w:val="20"/>
        </w:rPr>
      </w:pPr>
      <w:r>
        <w:rPr>
          <w:sz w:val="20"/>
          <w:szCs w:val="20"/>
          <w:lang w:val="en-GB"/>
        </w:rPr>
        <w:t>information on the applicant: personal name and address or company name and registered office address,</w:t>
      </w:r>
    </w:p>
    <w:p w14:paraId="3E71DEF7" w14:textId="77777777" w:rsidR="00D913B4" w:rsidRPr="00501245" w:rsidRDefault="00D913B4" w:rsidP="00511F66">
      <w:pPr>
        <w:pStyle w:val="Alineazaodstavkom"/>
        <w:numPr>
          <w:ilvl w:val="0"/>
          <w:numId w:val="9"/>
        </w:numPr>
        <w:tabs>
          <w:tab w:val="left" w:pos="425"/>
        </w:tabs>
        <w:overflowPunct/>
        <w:autoSpaceDE/>
        <w:autoSpaceDN/>
        <w:adjustRightInd/>
        <w:spacing w:line="240" w:lineRule="auto"/>
        <w:ind w:left="426" w:hanging="426"/>
        <w:textAlignment w:val="auto"/>
        <w:rPr>
          <w:sz w:val="20"/>
          <w:szCs w:val="20"/>
        </w:rPr>
      </w:pPr>
      <w:r>
        <w:rPr>
          <w:sz w:val="20"/>
          <w:szCs w:val="20"/>
          <w:lang w:val="en-GB"/>
        </w:rPr>
        <w:t>the type of authorisation and the proposed use of the PPP in the Republic of Slovenia,</w:t>
      </w:r>
    </w:p>
    <w:p w14:paraId="31837137" w14:textId="77777777" w:rsidR="00D913B4" w:rsidRPr="00501245" w:rsidRDefault="00D913B4" w:rsidP="00511F66">
      <w:pPr>
        <w:pStyle w:val="Alineazaodstavkom"/>
        <w:numPr>
          <w:ilvl w:val="0"/>
          <w:numId w:val="9"/>
        </w:numPr>
        <w:tabs>
          <w:tab w:val="left" w:pos="425"/>
        </w:tabs>
        <w:overflowPunct/>
        <w:autoSpaceDE/>
        <w:autoSpaceDN/>
        <w:adjustRightInd/>
        <w:spacing w:line="240" w:lineRule="auto"/>
        <w:ind w:left="426" w:hanging="426"/>
        <w:textAlignment w:val="auto"/>
        <w:rPr>
          <w:sz w:val="20"/>
          <w:szCs w:val="20"/>
        </w:rPr>
      </w:pPr>
      <w:r>
        <w:rPr>
          <w:sz w:val="20"/>
          <w:szCs w:val="20"/>
          <w:lang w:val="en-GB"/>
        </w:rPr>
        <w:t xml:space="preserve">information on the official representative with the registered office in the Republic of Slovenia or the person authorised </w:t>
      </w:r>
      <w:bookmarkStart w:id="0" w:name="_Hlk129070972"/>
      <w:r>
        <w:rPr>
          <w:sz w:val="20"/>
          <w:szCs w:val="20"/>
          <w:lang w:val="en-GB"/>
        </w:rPr>
        <w:t>to accept service of documents</w:t>
      </w:r>
      <w:bookmarkEnd w:id="0"/>
      <w:r>
        <w:rPr>
          <w:sz w:val="20"/>
          <w:szCs w:val="20"/>
          <w:lang w:val="en-GB"/>
        </w:rPr>
        <w:t xml:space="preserve"> with the registered office in the Republic of Slovenia (personal name and address or company name and registered office address),</w:t>
      </w:r>
    </w:p>
    <w:p w14:paraId="1A9B0966" w14:textId="77777777" w:rsidR="00D913B4" w:rsidRPr="00501245" w:rsidRDefault="00D913B4" w:rsidP="00511F66">
      <w:pPr>
        <w:pStyle w:val="Alineazaodstavkom"/>
        <w:numPr>
          <w:ilvl w:val="0"/>
          <w:numId w:val="9"/>
        </w:numPr>
        <w:tabs>
          <w:tab w:val="left" w:pos="425"/>
        </w:tabs>
        <w:overflowPunct/>
        <w:autoSpaceDE/>
        <w:autoSpaceDN/>
        <w:adjustRightInd/>
        <w:spacing w:line="240" w:lineRule="auto"/>
        <w:ind w:left="426" w:hanging="426"/>
        <w:textAlignment w:val="auto"/>
        <w:rPr>
          <w:sz w:val="20"/>
          <w:szCs w:val="20"/>
        </w:rPr>
      </w:pPr>
      <w:r>
        <w:rPr>
          <w:sz w:val="20"/>
          <w:szCs w:val="20"/>
          <w:lang w:val="en-GB"/>
        </w:rPr>
        <w:t xml:space="preserve">information on the distributor with the registered office in the Republic of Slovenia (personal name and address or company name and registered office address) if the PPP will be marketed </w:t>
      </w:r>
      <w:bookmarkStart w:id="1" w:name="_Hlk128477265"/>
      <w:r>
        <w:rPr>
          <w:sz w:val="20"/>
          <w:szCs w:val="20"/>
          <w:lang w:val="en-GB"/>
        </w:rPr>
        <w:t>in the Republic of Slovenia</w:t>
      </w:r>
      <w:bookmarkEnd w:id="1"/>
      <w:r>
        <w:rPr>
          <w:sz w:val="20"/>
          <w:szCs w:val="20"/>
          <w:lang w:val="en-GB"/>
        </w:rPr>
        <w:t>; if the PPP will not be marketed in the Republic of Slovenia, the applicant shall submit a statement that the PPP concerned will not be marketed in the Republic of Slovenia.</w:t>
      </w:r>
    </w:p>
    <w:p w14:paraId="48C44D4B" w14:textId="77777777" w:rsidR="00D913B4" w:rsidRPr="00501245" w:rsidRDefault="00D913B4" w:rsidP="00036D5D">
      <w:pPr>
        <w:spacing w:before="240"/>
        <w:ind w:firstLine="1021"/>
        <w:jc w:val="both"/>
        <w:rPr>
          <w:rFonts w:cs="Arial"/>
          <w:noProof/>
          <w:szCs w:val="20"/>
        </w:rPr>
      </w:pPr>
      <w:bookmarkStart w:id="2" w:name="_Hlk128485979"/>
      <w:r>
        <w:rPr>
          <w:rFonts w:cs="Arial"/>
          <w:szCs w:val="20"/>
          <w:lang w:val="en-GB"/>
        </w:rPr>
        <w:t xml:space="preserve">(2) </w:t>
      </w:r>
      <w:bookmarkStart w:id="3" w:name="_Hlk131684302"/>
      <w:r>
        <w:rPr>
          <w:rFonts w:cs="Arial"/>
          <w:szCs w:val="20"/>
          <w:lang w:val="en-GB"/>
        </w:rPr>
        <w:t xml:space="preserve">In an application referred to in the preceding paragraph, the information on the proposed use shall include at least the categories of users (professional or non-professional users), cultivated plants, including the corresponding code of the European and Mediterranean Plant Protection Organisation (hereinafter: EPPO code), or other intended use </w:t>
      </w:r>
      <w:r>
        <w:rPr>
          <w:rFonts w:cs="Arial"/>
          <w:noProof/>
          <w:szCs w:val="20"/>
          <w:lang w:val="en-GB"/>
        </w:rPr>
        <w:t>(e.g. storage facilities, silos, crops before storage), the place of use, pests or pathogens, including the corresponding EPPO code, the envisaged method of PPP application, the time of PPP use</w:t>
      </w:r>
      <w:r>
        <w:rPr>
          <w:rFonts w:cs="Arial"/>
          <w:szCs w:val="20"/>
          <w:lang w:val="en-GB"/>
        </w:rPr>
        <w:t>, which should be in compliance with the permitted use according to the scale for determining the development stages of cultivated plants</w:t>
      </w:r>
      <w:r>
        <w:rPr>
          <w:rFonts w:cs="Arial"/>
          <w:noProof/>
          <w:szCs w:val="20"/>
          <w:lang w:val="en-GB"/>
        </w:rPr>
        <w:t xml:space="preserve"> (BBCH stage), the highest permitted number of PPP applications and the shortest time interval between two applications, in accordance with the tables of proposed PPP uses (hereinafter: GAP table) published on the state administration’s website. The doses of the PPP and the active substance shall also be indicated: the maximum and the minimum doses of the PPP and the active substance in one application and in one year or growth season, the maximum and the minimum quantity of water used in one application, the pre-harvest interval (the minimum time interval between the last application and harvest), and other information required for the use of the PPP.</w:t>
      </w:r>
    </w:p>
    <w:bookmarkEnd w:id="3"/>
    <w:p w14:paraId="2DD61BC6" w14:textId="77777777" w:rsidR="00D913B4" w:rsidRPr="00501245" w:rsidRDefault="00D913B4" w:rsidP="00D913B4">
      <w:pPr>
        <w:pStyle w:val="Odstavek"/>
        <w:rPr>
          <w:sz w:val="20"/>
          <w:szCs w:val="20"/>
        </w:rPr>
      </w:pPr>
      <w:r>
        <w:rPr>
          <w:sz w:val="20"/>
          <w:szCs w:val="20"/>
          <w:lang w:val="en-GB"/>
        </w:rPr>
        <w:t>(3) Applications for the authorisation of PPPs referred to in paragraph one of this Article shall be in the Slovenian language, except the information on the proposed use of the PPP in accordance with the GAP table and other documents enclosed with the application, which may be in Slovenian or English.</w:t>
      </w:r>
    </w:p>
    <w:bookmarkEnd w:id="2"/>
    <w:p w14:paraId="09F4597E" w14:textId="77777777" w:rsidR="00D913B4" w:rsidRPr="00501245" w:rsidRDefault="00D913B4" w:rsidP="00D913B4">
      <w:pPr>
        <w:pStyle w:val="Odstavek"/>
        <w:rPr>
          <w:sz w:val="20"/>
          <w:szCs w:val="20"/>
        </w:rPr>
      </w:pPr>
      <w:r>
        <w:rPr>
          <w:sz w:val="20"/>
          <w:szCs w:val="20"/>
          <w:lang w:val="en-GB"/>
        </w:rPr>
        <w:t>(4) Draft labels referred to in point 4 of Annex I to Regulation 547/2011/EU and the instructions for use, which shall be integral parts of dossiers, shall be in Slovenian.</w:t>
      </w:r>
    </w:p>
    <w:p w14:paraId="7E19F316" w14:textId="77777777" w:rsidR="00D913B4" w:rsidRPr="00501245" w:rsidRDefault="00D913B4" w:rsidP="00D913B4">
      <w:pPr>
        <w:pStyle w:val="Odstavek"/>
        <w:rPr>
          <w:sz w:val="20"/>
          <w:szCs w:val="20"/>
        </w:rPr>
      </w:pPr>
      <w:r>
        <w:rPr>
          <w:sz w:val="20"/>
          <w:szCs w:val="20"/>
          <w:lang w:val="en-GB"/>
        </w:rPr>
        <w:t xml:space="preserve">(5) For the purposes of the implementation of Article 36(3) of Regulation 1107/2009/EC, </w:t>
      </w:r>
      <w:r w:rsidR="00230A81" w:rsidRPr="00230A81">
        <w:rPr>
          <w:sz w:val="20"/>
          <w:szCs w:val="20"/>
          <w:lang w:val="en-GB"/>
        </w:rPr>
        <w:t>AFSVSPP</w:t>
      </w:r>
      <w:r>
        <w:rPr>
          <w:sz w:val="20"/>
          <w:szCs w:val="20"/>
          <w:lang w:val="en-GB"/>
        </w:rPr>
        <w:t xml:space="preserve"> may, in order to determine additional measures to reduce risks to human or animal health or the environment in the use of a PPP in the Republic of Slovenia, require that the applicant include in the application for the authorisation of the PPP additional information concerning the efficacy of the PPP, safety in handling the PPP, the protection of surface and underground water, and the protection of aquatic organisms, birds, mammals and bees.</w:t>
      </w:r>
    </w:p>
    <w:p w14:paraId="448F9BA9" w14:textId="77777777" w:rsidR="00D913B4" w:rsidRPr="00501245" w:rsidRDefault="00D913B4" w:rsidP="00D913B4">
      <w:pPr>
        <w:pStyle w:val="Odstavek"/>
        <w:rPr>
          <w:sz w:val="20"/>
          <w:szCs w:val="20"/>
        </w:rPr>
      </w:pPr>
      <w:r>
        <w:rPr>
          <w:sz w:val="20"/>
          <w:szCs w:val="20"/>
          <w:lang w:val="en-GB"/>
        </w:rPr>
        <w:t xml:space="preserve">(6) More detailed instructions on the submission of information referred to in the preceding paragraph are published on </w:t>
      </w:r>
      <w:r w:rsidR="00230A81" w:rsidRPr="00230A81">
        <w:rPr>
          <w:sz w:val="20"/>
          <w:szCs w:val="20"/>
          <w:lang w:val="en-GB"/>
        </w:rPr>
        <w:t>AFSVSPP</w:t>
      </w:r>
      <w:r>
        <w:rPr>
          <w:sz w:val="20"/>
          <w:szCs w:val="20"/>
          <w:lang w:val="en-GB"/>
        </w:rPr>
        <w:t>’s website.</w:t>
      </w:r>
    </w:p>
    <w:p w14:paraId="54538839" w14:textId="77777777" w:rsidR="00D913B4" w:rsidRPr="00501245" w:rsidRDefault="00D913B4" w:rsidP="00D913B4">
      <w:pPr>
        <w:pStyle w:val="Odstavek"/>
        <w:rPr>
          <w:sz w:val="20"/>
          <w:szCs w:val="20"/>
        </w:rPr>
      </w:pPr>
      <w:r>
        <w:rPr>
          <w:sz w:val="20"/>
          <w:szCs w:val="20"/>
          <w:lang w:val="en-GB"/>
        </w:rPr>
        <w:t xml:space="preserve">(7) </w:t>
      </w:r>
      <w:r>
        <w:rPr>
          <w:color w:val="000000"/>
          <w:sz w:val="20"/>
          <w:szCs w:val="20"/>
          <w:lang w:val="en-GB"/>
        </w:rPr>
        <w:t>For the purposes of the implementation of Article 42(1)(c) of Regulation 1107/2009/EC, the applicant shall enclose with the application a complete dossier referred to in Article 33(3) of Regulation 1107/2009/EC.</w:t>
      </w:r>
    </w:p>
    <w:p w14:paraId="239DC6C7" w14:textId="77777777" w:rsidR="00D913B4" w:rsidRPr="00501245" w:rsidRDefault="00D913B4" w:rsidP="00D913B4">
      <w:pPr>
        <w:pStyle w:val="Odstavek"/>
        <w:rPr>
          <w:sz w:val="20"/>
          <w:szCs w:val="20"/>
        </w:rPr>
      </w:pPr>
      <w:r>
        <w:rPr>
          <w:sz w:val="20"/>
          <w:szCs w:val="20"/>
          <w:lang w:val="en-GB"/>
        </w:rPr>
        <w:t xml:space="preserve">(8) If safe use of a PPP cannot be ensured with additional measures for reducing the risks to human or animal health or the environment, the authorisation of this PPP or of a particular use thereof in the Republic of Slovenia shall not be granted and </w:t>
      </w:r>
      <w:r w:rsidR="00230A81" w:rsidRPr="00230A81">
        <w:rPr>
          <w:sz w:val="20"/>
          <w:szCs w:val="20"/>
          <w:lang w:val="en-GB"/>
        </w:rPr>
        <w:t>AFSVSPP</w:t>
      </w:r>
      <w:r>
        <w:rPr>
          <w:sz w:val="20"/>
          <w:szCs w:val="20"/>
          <w:lang w:val="en-GB"/>
        </w:rPr>
        <w:t xml:space="preserve"> shall inform the European Commission thereof.</w:t>
      </w:r>
    </w:p>
    <w:p w14:paraId="76DF927C" w14:textId="77777777" w:rsidR="00D913B4" w:rsidRPr="00501245" w:rsidRDefault="00D913B4" w:rsidP="00D913B4">
      <w:pPr>
        <w:pStyle w:val="Odstavek"/>
        <w:rPr>
          <w:sz w:val="20"/>
          <w:szCs w:val="20"/>
        </w:rPr>
      </w:pPr>
      <w:r>
        <w:rPr>
          <w:sz w:val="20"/>
          <w:szCs w:val="20"/>
          <w:lang w:val="en-GB"/>
        </w:rPr>
        <w:t>(9) The application form template for the submission of information referred to in paragraphs one and two of this Article is published on the state administration’s website.</w:t>
      </w:r>
    </w:p>
    <w:p w14:paraId="7A03A936" w14:textId="77777777" w:rsidR="00D913B4" w:rsidRPr="00501245" w:rsidRDefault="00D913B4" w:rsidP="00D913B4">
      <w:pPr>
        <w:pStyle w:val="len0"/>
        <w:rPr>
          <w:sz w:val="20"/>
          <w:szCs w:val="20"/>
        </w:rPr>
      </w:pPr>
      <w:bookmarkStart w:id="4" w:name="_Hlk131724199"/>
      <w:r>
        <w:rPr>
          <w:bCs/>
          <w:sz w:val="20"/>
          <w:szCs w:val="20"/>
          <w:lang w:val="en-GB"/>
        </w:rPr>
        <w:t>Article 6</w:t>
      </w:r>
    </w:p>
    <w:p w14:paraId="797F7AB8" w14:textId="77777777" w:rsidR="00D913B4" w:rsidRPr="00501245" w:rsidRDefault="00D913B4" w:rsidP="00D913B4">
      <w:pPr>
        <w:pStyle w:val="lennaslov0"/>
        <w:rPr>
          <w:rFonts w:cs="Arial"/>
          <w:sz w:val="20"/>
          <w:szCs w:val="20"/>
        </w:rPr>
      </w:pPr>
      <w:r>
        <w:rPr>
          <w:rFonts w:cs="Arial"/>
          <w:bCs/>
          <w:sz w:val="20"/>
          <w:szCs w:val="20"/>
          <w:lang w:val="en-GB"/>
        </w:rPr>
        <w:t>(Decisions on PPP authorisation)</w:t>
      </w:r>
    </w:p>
    <w:p w14:paraId="2A93D9A9" w14:textId="77777777" w:rsidR="00D913B4" w:rsidRPr="00501245" w:rsidRDefault="00D913B4" w:rsidP="00D913B4">
      <w:pPr>
        <w:pStyle w:val="Odstavek"/>
        <w:rPr>
          <w:sz w:val="20"/>
          <w:szCs w:val="20"/>
        </w:rPr>
      </w:pPr>
      <w:r>
        <w:rPr>
          <w:sz w:val="20"/>
          <w:szCs w:val="20"/>
          <w:lang w:val="en-GB"/>
        </w:rPr>
        <w:t>(1) In addition to the information referred to in Articles 31(1), (2) and (3) and Article 32 of Regulation 1107/2009/EC, a decision on the authorisation of a PPP shall also include:</w:t>
      </w:r>
    </w:p>
    <w:p w14:paraId="0511E2C5" w14:textId="77777777" w:rsidR="00D913B4" w:rsidRPr="00501245" w:rsidRDefault="00D913B4" w:rsidP="00511F66">
      <w:pPr>
        <w:pStyle w:val="Alineazaodstavkom"/>
        <w:numPr>
          <w:ilvl w:val="0"/>
          <w:numId w:val="9"/>
        </w:numPr>
        <w:tabs>
          <w:tab w:val="left" w:pos="425"/>
        </w:tabs>
        <w:overflowPunct/>
        <w:autoSpaceDE/>
        <w:autoSpaceDN/>
        <w:adjustRightInd/>
        <w:spacing w:line="240" w:lineRule="auto"/>
        <w:ind w:left="426" w:hanging="426"/>
        <w:textAlignment w:val="auto"/>
        <w:rPr>
          <w:sz w:val="20"/>
          <w:szCs w:val="20"/>
        </w:rPr>
      </w:pPr>
      <w:r>
        <w:rPr>
          <w:sz w:val="20"/>
          <w:szCs w:val="20"/>
          <w:lang w:val="en-GB"/>
        </w:rPr>
        <w:t>additional requirements concerning the placing on the market and use of the PPP if this is necessary to reduce the risks to human health and the environment,</w:t>
      </w:r>
    </w:p>
    <w:p w14:paraId="1A353FCA" w14:textId="77777777" w:rsidR="00D913B4" w:rsidRPr="00501245" w:rsidRDefault="00D913B4" w:rsidP="00511F66">
      <w:pPr>
        <w:pStyle w:val="Alineazaodstavkom"/>
        <w:numPr>
          <w:ilvl w:val="0"/>
          <w:numId w:val="9"/>
        </w:numPr>
        <w:tabs>
          <w:tab w:val="left" w:pos="425"/>
        </w:tabs>
        <w:overflowPunct/>
        <w:autoSpaceDE/>
        <w:autoSpaceDN/>
        <w:adjustRightInd/>
        <w:spacing w:line="240" w:lineRule="auto"/>
        <w:ind w:left="426" w:hanging="426"/>
        <w:textAlignment w:val="auto"/>
        <w:rPr>
          <w:sz w:val="20"/>
          <w:szCs w:val="20"/>
        </w:rPr>
      </w:pPr>
      <w:r>
        <w:rPr>
          <w:sz w:val="20"/>
          <w:szCs w:val="20"/>
          <w:lang w:val="en-GB"/>
        </w:rPr>
        <w:t>the approval of the label and the instructions for use,</w:t>
      </w:r>
    </w:p>
    <w:p w14:paraId="07DCDFE9" w14:textId="77777777" w:rsidR="00D913B4" w:rsidRPr="00501245" w:rsidRDefault="00D913B4" w:rsidP="00511F66">
      <w:pPr>
        <w:pStyle w:val="Alineazaodstavkom"/>
        <w:numPr>
          <w:ilvl w:val="0"/>
          <w:numId w:val="9"/>
        </w:numPr>
        <w:tabs>
          <w:tab w:val="left" w:pos="425"/>
        </w:tabs>
        <w:overflowPunct/>
        <w:autoSpaceDE/>
        <w:autoSpaceDN/>
        <w:adjustRightInd/>
        <w:spacing w:line="240" w:lineRule="auto"/>
        <w:ind w:left="426" w:hanging="426"/>
        <w:textAlignment w:val="auto"/>
        <w:rPr>
          <w:sz w:val="20"/>
          <w:szCs w:val="20"/>
        </w:rPr>
      </w:pPr>
      <w:r>
        <w:rPr>
          <w:sz w:val="20"/>
          <w:szCs w:val="20"/>
          <w:lang w:val="en-GB"/>
        </w:rPr>
        <w:t>time intervals between consecutive treatments,</w:t>
      </w:r>
    </w:p>
    <w:p w14:paraId="3F86919C" w14:textId="77777777" w:rsidR="00D913B4" w:rsidRPr="00501245" w:rsidRDefault="00D913B4" w:rsidP="00511F66">
      <w:pPr>
        <w:pStyle w:val="Alineazaodstavkom"/>
        <w:numPr>
          <w:ilvl w:val="0"/>
          <w:numId w:val="9"/>
        </w:numPr>
        <w:tabs>
          <w:tab w:val="left" w:pos="425"/>
        </w:tabs>
        <w:overflowPunct/>
        <w:autoSpaceDE/>
        <w:autoSpaceDN/>
        <w:adjustRightInd/>
        <w:spacing w:line="240" w:lineRule="auto"/>
        <w:ind w:left="426" w:hanging="426"/>
        <w:textAlignment w:val="auto"/>
        <w:rPr>
          <w:sz w:val="20"/>
          <w:szCs w:val="20"/>
        </w:rPr>
      </w:pPr>
      <w:r>
        <w:rPr>
          <w:sz w:val="20"/>
          <w:szCs w:val="20"/>
          <w:lang w:val="en-GB"/>
        </w:rPr>
        <w:t>re-entry interval (the required period of waiting before people or animals can re-enter a treated area),</w:t>
      </w:r>
    </w:p>
    <w:p w14:paraId="288CEEB5" w14:textId="77777777" w:rsidR="00D913B4" w:rsidRPr="00501245" w:rsidRDefault="00D913B4" w:rsidP="00511F66">
      <w:pPr>
        <w:pStyle w:val="Alineazaodstavkom"/>
        <w:numPr>
          <w:ilvl w:val="0"/>
          <w:numId w:val="9"/>
        </w:numPr>
        <w:tabs>
          <w:tab w:val="left" w:pos="425"/>
        </w:tabs>
        <w:overflowPunct/>
        <w:autoSpaceDE/>
        <w:autoSpaceDN/>
        <w:adjustRightInd/>
        <w:spacing w:line="240" w:lineRule="auto"/>
        <w:ind w:left="426" w:hanging="426"/>
        <w:textAlignment w:val="auto"/>
        <w:rPr>
          <w:sz w:val="20"/>
          <w:szCs w:val="20"/>
        </w:rPr>
      </w:pPr>
      <w:r>
        <w:rPr>
          <w:sz w:val="20"/>
          <w:szCs w:val="20"/>
          <w:lang w:val="en-GB"/>
        </w:rPr>
        <w:t>the size and material of the PPP’s packaging.</w:t>
      </w:r>
    </w:p>
    <w:p w14:paraId="41AE51D9" w14:textId="77777777" w:rsidR="00D913B4" w:rsidRPr="00501245" w:rsidRDefault="00D913B4" w:rsidP="00D913B4">
      <w:pPr>
        <w:pStyle w:val="Alineazaodstavkom"/>
        <w:numPr>
          <w:ilvl w:val="0"/>
          <w:numId w:val="0"/>
        </w:numPr>
        <w:ind w:left="425" w:hanging="425"/>
        <w:rPr>
          <w:sz w:val="20"/>
          <w:szCs w:val="20"/>
        </w:rPr>
      </w:pPr>
    </w:p>
    <w:p w14:paraId="5786BF3B" w14:textId="77777777" w:rsidR="00D913B4" w:rsidRPr="00501245" w:rsidRDefault="00D913B4" w:rsidP="00D913B4">
      <w:pPr>
        <w:pStyle w:val="Odstavek"/>
        <w:rPr>
          <w:sz w:val="20"/>
          <w:szCs w:val="20"/>
        </w:rPr>
      </w:pPr>
      <w:r>
        <w:rPr>
          <w:sz w:val="20"/>
          <w:szCs w:val="20"/>
          <w:lang w:val="en-GB"/>
        </w:rPr>
        <w:t xml:space="preserve">(2) For the purposes of the implementation of the second subparagraph of Article 31(2) of Regulation 1107/2009/EC, any holder of a PPP authorisation that amends the label approved by the decision on the PPP’s authorisation in the part related to the classification and labelling of the PPP in accordance with Regulation 1272/2008/EC shall immediately send a sample of the amended label to </w:t>
      </w:r>
      <w:r w:rsidR="00230A81" w:rsidRPr="00230A81">
        <w:rPr>
          <w:sz w:val="20"/>
          <w:szCs w:val="20"/>
          <w:lang w:val="en-GB"/>
        </w:rPr>
        <w:t>AFSVSPP</w:t>
      </w:r>
      <w:r>
        <w:rPr>
          <w:sz w:val="20"/>
          <w:szCs w:val="20"/>
          <w:lang w:val="en-GB"/>
        </w:rPr>
        <w:t>.</w:t>
      </w:r>
    </w:p>
    <w:p w14:paraId="67632C9F" w14:textId="77777777" w:rsidR="00500334" w:rsidRPr="00501245" w:rsidRDefault="001E73B6" w:rsidP="0023289B">
      <w:pPr>
        <w:pStyle w:val="Odstavek"/>
        <w:rPr>
          <w:sz w:val="20"/>
          <w:szCs w:val="20"/>
        </w:rPr>
      </w:pPr>
      <w:bookmarkStart w:id="5" w:name="_Hlk140652900"/>
      <w:r>
        <w:rPr>
          <w:sz w:val="20"/>
          <w:szCs w:val="20"/>
          <w:lang w:val="en-GB"/>
        </w:rPr>
        <w:t xml:space="preserve">(3) For the purposes of the implementation of the second subparagraph of Article 36(3) of Regulation 1107/2009/EC, </w:t>
      </w:r>
      <w:r w:rsidR="00230A81" w:rsidRPr="00230A81">
        <w:rPr>
          <w:sz w:val="20"/>
          <w:szCs w:val="20"/>
          <w:lang w:val="en-GB"/>
        </w:rPr>
        <w:t>AFSVSPP</w:t>
      </w:r>
      <w:r>
        <w:rPr>
          <w:sz w:val="20"/>
          <w:szCs w:val="20"/>
          <w:lang w:val="en-GB"/>
        </w:rPr>
        <w:t xml:space="preserve"> may reject an application for a particular use of a PPP or for the authorisation of a PPP if, based on the assessment of the risk to groundwater, the proposed use of the PPP is limited to every second, third, fourth year or longer intervals or if, due to specific environmental or agricultural conditions, the risk assessment shows that the PPP concerned poses an unacceptable risk to human or animal health or the environment.</w:t>
      </w:r>
    </w:p>
    <w:bookmarkEnd w:id="4"/>
    <w:bookmarkEnd w:id="5"/>
    <w:p w14:paraId="62B3C912" w14:textId="77777777" w:rsidR="00D913B4" w:rsidRPr="00501245" w:rsidRDefault="00D913B4" w:rsidP="00D913B4">
      <w:pPr>
        <w:pStyle w:val="len0"/>
        <w:rPr>
          <w:sz w:val="20"/>
          <w:szCs w:val="20"/>
        </w:rPr>
      </w:pPr>
      <w:r>
        <w:rPr>
          <w:bCs/>
          <w:sz w:val="20"/>
          <w:szCs w:val="20"/>
          <w:lang w:val="en-GB"/>
        </w:rPr>
        <w:t>Article 7</w:t>
      </w:r>
    </w:p>
    <w:p w14:paraId="2635944D" w14:textId="77777777" w:rsidR="00D913B4" w:rsidRPr="00501245" w:rsidRDefault="00D913B4" w:rsidP="00D913B4">
      <w:pPr>
        <w:pStyle w:val="lennaslov0"/>
        <w:rPr>
          <w:rFonts w:cs="Arial"/>
          <w:sz w:val="20"/>
          <w:szCs w:val="20"/>
        </w:rPr>
      </w:pPr>
      <w:r>
        <w:rPr>
          <w:rFonts w:cs="Arial"/>
          <w:bCs/>
          <w:sz w:val="20"/>
          <w:szCs w:val="20"/>
          <w:lang w:val="en-GB"/>
        </w:rPr>
        <w:t>(PPP permits)</w:t>
      </w:r>
    </w:p>
    <w:p w14:paraId="708722DD" w14:textId="77777777" w:rsidR="00D913B4" w:rsidRPr="00501245" w:rsidRDefault="00D913B4" w:rsidP="00D913B4">
      <w:pPr>
        <w:pStyle w:val="Odstavek"/>
        <w:rPr>
          <w:sz w:val="20"/>
          <w:szCs w:val="20"/>
        </w:rPr>
      </w:pPr>
      <w:r>
        <w:rPr>
          <w:sz w:val="20"/>
          <w:szCs w:val="20"/>
          <w:lang w:val="en-GB"/>
        </w:rPr>
        <w:t>(1) An application for parallel trade in accordance with Article 52 of Regulation 1107/2009/EC, for emergency authorisation in accordance with Article 53 of Regulation 1107/2009/EC, or for a research and development permit in accordance with Article 54 of Regulation 1107/2009/EC shall be submitted on the form for the type of permit or authorisation concerned available on the state administration’s website.</w:t>
      </w:r>
    </w:p>
    <w:p w14:paraId="0B5170C6" w14:textId="77777777" w:rsidR="00D913B4" w:rsidRPr="00501245" w:rsidRDefault="00D913B4" w:rsidP="00D913B4">
      <w:pPr>
        <w:pStyle w:val="Odstavek"/>
        <w:rPr>
          <w:sz w:val="20"/>
          <w:szCs w:val="20"/>
        </w:rPr>
      </w:pPr>
      <w:r>
        <w:rPr>
          <w:sz w:val="20"/>
          <w:szCs w:val="20"/>
          <w:lang w:val="en-GB"/>
        </w:rPr>
        <w:t>(2) For the purposes of the implementation of Article 53(1) of Regulation 1107/2009/EC, any application for emergency authorisation referred to in the preceding paragraph shall be accompanied by a detailed statement of reasons for using the PPP.</w:t>
      </w:r>
    </w:p>
    <w:p w14:paraId="4E601267" w14:textId="77777777" w:rsidR="00D913B4" w:rsidRPr="00501245" w:rsidRDefault="00D913B4" w:rsidP="00D913B4">
      <w:pPr>
        <w:pStyle w:val="Odstavek"/>
        <w:rPr>
          <w:sz w:val="20"/>
          <w:szCs w:val="20"/>
        </w:rPr>
      </w:pPr>
      <w:r>
        <w:rPr>
          <w:sz w:val="20"/>
          <w:szCs w:val="20"/>
          <w:lang w:val="en-GB"/>
        </w:rPr>
        <w:t>(3) For the purposes of the implementation of Article 54 of Regulation 1107/2009/EC, any application for a research and development permit referred to in paragraph one of this Article shall be accompanied by:</w:t>
      </w:r>
    </w:p>
    <w:p w14:paraId="56AED547" w14:textId="77777777" w:rsidR="00D913B4" w:rsidRPr="00501245" w:rsidRDefault="00D913B4" w:rsidP="00511F66">
      <w:pPr>
        <w:pStyle w:val="Alineazaodstavkom"/>
        <w:numPr>
          <w:ilvl w:val="0"/>
          <w:numId w:val="9"/>
        </w:numPr>
        <w:overflowPunct/>
        <w:autoSpaceDE/>
        <w:autoSpaceDN/>
        <w:adjustRightInd/>
        <w:spacing w:line="240" w:lineRule="auto"/>
        <w:ind w:left="567" w:hanging="567"/>
        <w:textAlignment w:val="auto"/>
        <w:rPr>
          <w:sz w:val="20"/>
          <w:szCs w:val="20"/>
        </w:rPr>
      </w:pPr>
      <w:r>
        <w:rPr>
          <w:sz w:val="20"/>
          <w:szCs w:val="20"/>
          <w:lang w:val="en-GB"/>
        </w:rPr>
        <w:t xml:space="preserve">the safety data sheet for the PPP in accordance with the regulations governing registration, evaluation, </w:t>
      </w:r>
      <w:proofErr w:type="gramStart"/>
      <w:r>
        <w:rPr>
          <w:sz w:val="20"/>
          <w:szCs w:val="20"/>
          <w:lang w:val="en-GB"/>
        </w:rPr>
        <w:t>authorisation</w:t>
      </w:r>
      <w:proofErr w:type="gramEnd"/>
      <w:r>
        <w:rPr>
          <w:sz w:val="20"/>
          <w:szCs w:val="20"/>
          <w:lang w:val="en-GB"/>
        </w:rPr>
        <w:t xml:space="preserve"> and restriction of chemicals,</w:t>
      </w:r>
    </w:p>
    <w:p w14:paraId="0C38F929" w14:textId="77777777" w:rsidR="00D913B4" w:rsidRPr="00501245" w:rsidRDefault="00D913B4" w:rsidP="00511F66">
      <w:pPr>
        <w:pStyle w:val="Alineazaodstavkom"/>
        <w:numPr>
          <w:ilvl w:val="0"/>
          <w:numId w:val="9"/>
        </w:numPr>
        <w:overflowPunct/>
        <w:autoSpaceDE/>
        <w:autoSpaceDN/>
        <w:adjustRightInd/>
        <w:spacing w:line="240" w:lineRule="auto"/>
        <w:ind w:left="567" w:hanging="567"/>
        <w:textAlignment w:val="auto"/>
        <w:rPr>
          <w:sz w:val="20"/>
          <w:szCs w:val="20"/>
        </w:rPr>
      </w:pPr>
      <w:r>
        <w:rPr>
          <w:sz w:val="20"/>
          <w:szCs w:val="20"/>
          <w:lang w:val="en-GB"/>
        </w:rPr>
        <w:t>a detailed plan and location of the trial in which the PPP will be used.</w:t>
      </w:r>
    </w:p>
    <w:p w14:paraId="00BB50BF" w14:textId="77777777" w:rsidR="00500334" w:rsidRPr="00501245" w:rsidRDefault="00500334" w:rsidP="009555EA">
      <w:pPr>
        <w:pStyle w:val="Alineazaodstavkom"/>
        <w:numPr>
          <w:ilvl w:val="0"/>
          <w:numId w:val="0"/>
        </w:numPr>
        <w:overflowPunct/>
        <w:autoSpaceDE/>
        <w:autoSpaceDN/>
        <w:adjustRightInd/>
        <w:spacing w:line="240" w:lineRule="auto"/>
        <w:ind w:left="425"/>
        <w:textAlignment w:val="auto"/>
        <w:rPr>
          <w:sz w:val="20"/>
          <w:szCs w:val="20"/>
        </w:rPr>
      </w:pPr>
    </w:p>
    <w:p w14:paraId="2D15615E" w14:textId="77777777" w:rsidR="00AF5166" w:rsidRPr="00501245" w:rsidRDefault="00AF5166" w:rsidP="009555EA">
      <w:pPr>
        <w:pStyle w:val="Alineazaodstavkom"/>
        <w:numPr>
          <w:ilvl w:val="0"/>
          <w:numId w:val="0"/>
        </w:numPr>
        <w:overflowPunct/>
        <w:autoSpaceDE/>
        <w:autoSpaceDN/>
        <w:adjustRightInd/>
        <w:spacing w:line="240" w:lineRule="auto"/>
        <w:ind w:left="425"/>
        <w:textAlignment w:val="auto"/>
        <w:rPr>
          <w:sz w:val="20"/>
          <w:szCs w:val="20"/>
        </w:rPr>
      </w:pPr>
    </w:p>
    <w:p w14:paraId="28450C8C" w14:textId="77777777" w:rsidR="00D913B4" w:rsidRPr="00501245" w:rsidRDefault="00D913B4" w:rsidP="00500334">
      <w:pPr>
        <w:pStyle w:val="len0"/>
        <w:tabs>
          <w:tab w:val="num" w:pos="425"/>
        </w:tabs>
        <w:suppressAutoHyphens w:val="0"/>
        <w:overflowPunct/>
        <w:autoSpaceDE/>
        <w:autoSpaceDN/>
        <w:adjustRightInd/>
        <w:spacing w:before="0"/>
        <w:ind w:left="425" w:hanging="425"/>
        <w:textAlignment w:val="auto"/>
        <w:rPr>
          <w:sz w:val="20"/>
          <w:szCs w:val="20"/>
        </w:rPr>
      </w:pPr>
      <w:r>
        <w:rPr>
          <w:bCs/>
          <w:sz w:val="20"/>
          <w:szCs w:val="20"/>
          <w:lang w:val="en-GB"/>
        </w:rPr>
        <w:t>Article 8</w:t>
      </w:r>
    </w:p>
    <w:p w14:paraId="7BFF1B14" w14:textId="77777777" w:rsidR="00D913B4" w:rsidRPr="00501245" w:rsidRDefault="00D913B4" w:rsidP="00D913B4">
      <w:pPr>
        <w:pStyle w:val="lennaslov0"/>
        <w:rPr>
          <w:rFonts w:cs="Arial"/>
          <w:sz w:val="20"/>
          <w:szCs w:val="20"/>
        </w:rPr>
      </w:pPr>
      <w:r>
        <w:rPr>
          <w:rFonts w:cs="Arial"/>
          <w:bCs/>
          <w:sz w:val="20"/>
          <w:szCs w:val="20"/>
          <w:lang w:val="en-GB"/>
        </w:rPr>
        <w:t>(Provision of information)</w:t>
      </w:r>
    </w:p>
    <w:p w14:paraId="04BECA03" w14:textId="77777777" w:rsidR="00D913B4" w:rsidRPr="00501245" w:rsidRDefault="00D913B4" w:rsidP="00D913B4">
      <w:pPr>
        <w:pStyle w:val="len0"/>
        <w:ind w:firstLine="1021"/>
        <w:jc w:val="both"/>
        <w:rPr>
          <w:b w:val="0"/>
          <w:bCs/>
          <w:sz w:val="20"/>
          <w:szCs w:val="20"/>
        </w:rPr>
      </w:pPr>
      <w:r>
        <w:rPr>
          <w:b w:val="0"/>
          <w:sz w:val="20"/>
          <w:szCs w:val="20"/>
          <w:lang w:val="en-GB"/>
        </w:rPr>
        <w:t xml:space="preserve">In accordance with Article 57 of Regulation 1107/2009/EC, </w:t>
      </w:r>
      <w:r w:rsidR="00230A81" w:rsidRPr="00230A81">
        <w:rPr>
          <w:b w:val="0"/>
          <w:sz w:val="20"/>
          <w:szCs w:val="20"/>
          <w:lang w:val="en-GB"/>
        </w:rPr>
        <w:t>AFSVSPP</w:t>
      </w:r>
      <w:r>
        <w:rPr>
          <w:b w:val="0"/>
          <w:sz w:val="20"/>
          <w:szCs w:val="20"/>
          <w:lang w:val="en-GB"/>
        </w:rPr>
        <w:t xml:space="preserve"> shall publish on its website relevant data from the issued decisions on PPP authorisation, parallel trade permits and emergency authorisations referred to in the preceding Article.</w:t>
      </w:r>
    </w:p>
    <w:p w14:paraId="26589B00" w14:textId="77777777" w:rsidR="00D913B4" w:rsidRPr="00501245" w:rsidRDefault="00D913B4" w:rsidP="00D913B4">
      <w:pPr>
        <w:pStyle w:val="len0"/>
        <w:rPr>
          <w:sz w:val="20"/>
          <w:szCs w:val="20"/>
        </w:rPr>
      </w:pPr>
      <w:r>
        <w:rPr>
          <w:bCs/>
          <w:sz w:val="20"/>
          <w:szCs w:val="20"/>
          <w:lang w:val="en-GB"/>
        </w:rPr>
        <w:t>Article 9</w:t>
      </w:r>
    </w:p>
    <w:p w14:paraId="303F1489" w14:textId="77777777" w:rsidR="00D913B4" w:rsidRPr="00501245" w:rsidRDefault="00D913B4" w:rsidP="00D913B4">
      <w:pPr>
        <w:pStyle w:val="lennaslov0"/>
        <w:rPr>
          <w:rFonts w:cs="Arial"/>
          <w:sz w:val="20"/>
          <w:szCs w:val="20"/>
        </w:rPr>
      </w:pPr>
      <w:r>
        <w:rPr>
          <w:rFonts w:cs="Arial"/>
          <w:bCs/>
          <w:sz w:val="20"/>
          <w:szCs w:val="20"/>
          <w:lang w:val="en-GB"/>
        </w:rPr>
        <w:t>(Labelling of PPPs for the protection of bees)</w:t>
      </w:r>
    </w:p>
    <w:p w14:paraId="7F0394D2" w14:textId="77777777" w:rsidR="00D913B4" w:rsidRPr="00501245" w:rsidRDefault="00D913B4" w:rsidP="00D913B4">
      <w:pPr>
        <w:pStyle w:val="Odstavek"/>
        <w:rPr>
          <w:sz w:val="20"/>
          <w:szCs w:val="20"/>
        </w:rPr>
      </w:pPr>
      <w:r>
        <w:rPr>
          <w:sz w:val="20"/>
          <w:szCs w:val="20"/>
          <w:lang w:val="en-GB"/>
        </w:rPr>
        <w:t>(1) In accordance with point 4 of Annex I to Regulation 547/2011/EU, PPPs on the market shall bear a label and instructions for use in Slovenian.</w:t>
      </w:r>
    </w:p>
    <w:p w14:paraId="47714050" w14:textId="77777777" w:rsidR="00D913B4" w:rsidRPr="00501245" w:rsidRDefault="00D913B4" w:rsidP="00D913B4">
      <w:pPr>
        <w:pStyle w:val="Odstavek"/>
        <w:rPr>
          <w:sz w:val="20"/>
          <w:szCs w:val="20"/>
        </w:rPr>
      </w:pPr>
      <w:r>
        <w:rPr>
          <w:sz w:val="20"/>
          <w:szCs w:val="20"/>
          <w:lang w:val="en-GB"/>
        </w:rPr>
        <w:t>(2) For the purposes of the implementation of Article 65(3) of Regulation 1107/2009/EC, PPP labels shall include a graphic symbol of a bee as set out in Annex 1, which is an integral part of this Decree. The symbol consists of a black bee on a white background with a red diamond-shaped border. The symbol shall cover at least one fifteenth of the label area and must not be smaller than 1 cm</w:t>
      </w:r>
      <w:r>
        <w:rPr>
          <w:sz w:val="20"/>
          <w:szCs w:val="20"/>
          <w:vertAlign w:val="superscript"/>
          <w:lang w:val="en-GB"/>
        </w:rPr>
        <w:t>2</w:t>
      </w:r>
      <w:r>
        <w:rPr>
          <w:sz w:val="20"/>
          <w:szCs w:val="20"/>
          <w:lang w:val="en-GB"/>
        </w:rPr>
        <w:t xml:space="preserve">. The icon shall be on the first page of the label. </w:t>
      </w:r>
    </w:p>
    <w:p w14:paraId="5EBD18FF" w14:textId="77777777" w:rsidR="00D913B4" w:rsidRPr="00501245" w:rsidRDefault="00D913B4" w:rsidP="00D913B4">
      <w:pPr>
        <w:pStyle w:val="len0"/>
        <w:rPr>
          <w:sz w:val="20"/>
          <w:szCs w:val="20"/>
        </w:rPr>
      </w:pPr>
      <w:r>
        <w:rPr>
          <w:bCs/>
          <w:sz w:val="20"/>
          <w:szCs w:val="20"/>
          <w:lang w:val="en-GB"/>
        </w:rPr>
        <w:t>Article 10</w:t>
      </w:r>
    </w:p>
    <w:p w14:paraId="1774E9F9" w14:textId="77777777" w:rsidR="00D913B4" w:rsidRPr="00501245" w:rsidRDefault="00D913B4" w:rsidP="00D913B4">
      <w:pPr>
        <w:pStyle w:val="lennaslov0"/>
        <w:rPr>
          <w:rFonts w:cs="Arial"/>
          <w:sz w:val="20"/>
          <w:szCs w:val="20"/>
        </w:rPr>
      </w:pPr>
      <w:r>
        <w:rPr>
          <w:rFonts w:cs="Arial"/>
          <w:bCs/>
          <w:sz w:val="20"/>
          <w:szCs w:val="20"/>
          <w:lang w:val="en-GB"/>
        </w:rPr>
        <w:t>(Labelling of seeds treated with PPPs)</w:t>
      </w:r>
    </w:p>
    <w:p w14:paraId="7B40A82E" w14:textId="77777777" w:rsidR="00D913B4" w:rsidRPr="00501245" w:rsidRDefault="00D913B4" w:rsidP="00D913B4">
      <w:pPr>
        <w:pStyle w:val="Odstavek"/>
        <w:rPr>
          <w:sz w:val="20"/>
          <w:szCs w:val="20"/>
        </w:rPr>
      </w:pPr>
      <w:r>
        <w:rPr>
          <w:sz w:val="20"/>
          <w:szCs w:val="20"/>
          <w:lang w:val="en-GB"/>
        </w:rPr>
        <w:t>Seeds treated with PPPs shall bear a label with the data from the decision on the authorisation of the PPPs in accordance with Article 49(4) of Regulation 1107/2009/EC in Slovenian.</w:t>
      </w:r>
    </w:p>
    <w:p w14:paraId="7A80EBC9" w14:textId="77777777" w:rsidR="00D913B4" w:rsidRPr="00501245" w:rsidRDefault="00D913B4" w:rsidP="00D913B4">
      <w:pPr>
        <w:pStyle w:val="len0"/>
        <w:rPr>
          <w:sz w:val="20"/>
          <w:szCs w:val="20"/>
        </w:rPr>
      </w:pPr>
      <w:r>
        <w:rPr>
          <w:bCs/>
          <w:sz w:val="20"/>
          <w:szCs w:val="20"/>
          <w:lang w:val="en-GB"/>
        </w:rPr>
        <w:t>Article 11</w:t>
      </w:r>
    </w:p>
    <w:p w14:paraId="3EE2809F" w14:textId="77777777" w:rsidR="00D913B4" w:rsidRPr="00501245" w:rsidRDefault="00D913B4" w:rsidP="00D913B4">
      <w:pPr>
        <w:pStyle w:val="lennaslov0"/>
        <w:rPr>
          <w:rFonts w:cs="Arial"/>
          <w:sz w:val="20"/>
          <w:szCs w:val="20"/>
        </w:rPr>
      </w:pPr>
      <w:r>
        <w:rPr>
          <w:rFonts w:cs="Arial"/>
          <w:bCs/>
          <w:sz w:val="20"/>
          <w:szCs w:val="20"/>
          <w:lang w:val="en-GB"/>
        </w:rPr>
        <w:t>(Indication of the expiration date of PPPs)</w:t>
      </w:r>
    </w:p>
    <w:p w14:paraId="126D1E52" w14:textId="77777777" w:rsidR="00D913B4" w:rsidRPr="00501245" w:rsidRDefault="00C840D0" w:rsidP="00C840D0">
      <w:pPr>
        <w:pStyle w:val="Odstavek"/>
        <w:rPr>
          <w:sz w:val="20"/>
          <w:szCs w:val="20"/>
        </w:rPr>
      </w:pPr>
      <w:r>
        <w:rPr>
          <w:sz w:val="20"/>
          <w:szCs w:val="20"/>
          <w:lang w:val="en-GB"/>
        </w:rPr>
        <w:t xml:space="preserve">(1) For the purposes of the implementation of point 1(r) of Annex I to Regulation 547/2011/EU, the expiry date shall be indicated on the packaging of PPPs with an expiry date of less than two years in normal conditions of storage. The expiry date shall be stated as the year and the month when the PPP’s usage expires. The indicated expiry date shall be in accordance with the information on the stability of the PPP in storage, as submitted by the authorisation holder in the procedure for the authorisation of the PPP. </w:t>
      </w:r>
    </w:p>
    <w:p w14:paraId="7F30D8FF" w14:textId="77777777" w:rsidR="00D913B4" w:rsidRPr="00501245" w:rsidRDefault="00C840D0" w:rsidP="00C840D0">
      <w:pPr>
        <w:pStyle w:val="Odstavek"/>
        <w:rPr>
          <w:sz w:val="20"/>
          <w:szCs w:val="20"/>
        </w:rPr>
      </w:pPr>
      <w:r>
        <w:rPr>
          <w:sz w:val="20"/>
          <w:szCs w:val="20"/>
          <w:lang w:val="en-GB"/>
        </w:rPr>
        <w:t>(2) If secondary packaging is used for packaging a PPP (e.g. a box), the expiry date and the formulation batch number of the PPP shall be indicated on both the primary and the secondary packaging.</w:t>
      </w:r>
    </w:p>
    <w:p w14:paraId="1001AB19" w14:textId="77777777" w:rsidR="00D913B4" w:rsidRPr="00501245" w:rsidRDefault="00C840D0" w:rsidP="00C840D0">
      <w:pPr>
        <w:pStyle w:val="Odstavek"/>
        <w:rPr>
          <w:sz w:val="20"/>
          <w:szCs w:val="20"/>
        </w:rPr>
      </w:pPr>
      <w:r>
        <w:rPr>
          <w:sz w:val="20"/>
          <w:szCs w:val="20"/>
          <w:lang w:val="en-GB"/>
        </w:rPr>
        <w:t>(3) If the expiry date and the formulation batch number are imprinted in the packaging, they shall be in a colour distinguishable from the background and easily legible.</w:t>
      </w:r>
    </w:p>
    <w:p w14:paraId="2B0D8652" w14:textId="77777777" w:rsidR="00D913B4" w:rsidRPr="00501245" w:rsidRDefault="00D913B4" w:rsidP="00D913B4">
      <w:pPr>
        <w:pStyle w:val="Odstavek"/>
        <w:rPr>
          <w:sz w:val="20"/>
          <w:szCs w:val="20"/>
        </w:rPr>
      </w:pPr>
      <w:r>
        <w:rPr>
          <w:sz w:val="20"/>
          <w:szCs w:val="20"/>
          <w:lang w:val="en-GB"/>
        </w:rPr>
        <w:t>(4) A holder of expired PPPs on the market and in use shall dispose of such PPPs in accordance with the regulation governing waste.</w:t>
      </w:r>
    </w:p>
    <w:p w14:paraId="40E6C005" w14:textId="77777777" w:rsidR="00D913B4" w:rsidRPr="00501245" w:rsidRDefault="00D913B4" w:rsidP="00D913B4">
      <w:pPr>
        <w:pStyle w:val="Odstavek"/>
        <w:rPr>
          <w:sz w:val="20"/>
          <w:szCs w:val="20"/>
        </w:rPr>
      </w:pPr>
      <w:r>
        <w:rPr>
          <w:sz w:val="20"/>
          <w:szCs w:val="20"/>
          <w:lang w:val="en-GB"/>
        </w:rPr>
        <w:t xml:space="preserve">(5) If the initially set expiry date of a PPP on shelves expires before the PPP is sold, the authorisation holder, agent, </w:t>
      </w:r>
      <w:proofErr w:type="gramStart"/>
      <w:r>
        <w:rPr>
          <w:sz w:val="20"/>
          <w:szCs w:val="20"/>
          <w:lang w:val="en-GB"/>
        </w:rPr>
        <w:t>distributor</w:t>
      </w:r>
      <w:proofErr w:type="gramEnd"/>
      <w:r>
        <w:rPr>
          <w:sz w:val="20"/>
          <w:szCs w:val="20"/>
          <w:lang w:val="en-GB"/>
        </w:rPr>
        <w:t xml:space="preserve"> or seller of the PPP may extend the expiry date for this PPP for no more than two years if they have relevant analytical data on active substance content acquired from an accredited laboratory. Analysis data indicating the PPP’s batch number and date of production may be used for all batches of this PPP produced in the same year. The extended expiry date shall be indicated on the PPP’s packaging with a self-adhesive label bearing the new date. The analysis data shall be available to the supervisory authorities at any time until the expiry date of the PPPs on the market. Analysis reports shall be available at points of sale of the PPP or in electronic form on the website of the person that ordered the analysis or shall be sent electronically or by post to the supervisory authorities at their request.</w:t>
      </w:r>
    </w:p>
    <w:p w14:paraId="6F615D8D" w14:textId="77777777" w:rsidR="00D913B4" w:rsidRPr="00501245" w:rsidRDefault="00D913B4" w:rsidP="00D913B4">
      <w:pPr>
        <w:pStyle w:val="len"/>
        <w:shd w:val="clear" w:color="auto" w:fill="FFFFFF"/>
        <w:spacing w:before="480" w:beforeAutospacing="0" w:after="0" w:afterAutospacing="0"/>
        <w:jc w:val="center"/>
        <w:rPr>
          <w:rFonts w:ascii="Arial" w:hAnsi="Arial" w:cs="Arial"/>
          <w:b/>
          <w:bCs/>
          <w:sz w:val="20"/>
          <w:szCs w:val="20"/>
        </w:rPr>
      </w:pPr>
      <w:r>
        <w:rPr>
          <w:rFonts w:ascii="Arial" w:hAnsi="Arial" w:cs="Arial"/>
          <w:b/>
          <w:bCs/>
          <w:sz w:val="20"/>
          <w:szCs w:val="20"/>
          <w:lang w:val="en-GB"/>
        </w:rPr>
        <w:t>Article 12</w:t>
      </w:r>
    </w:p>
    <w:p w14:paraId="054ECCFB" w14:textId="77777777" w:rsidR="00D913B4" w:rsidRPr="00501245" w:rsidRDefault="00D913B4" w:rsidP="00D913B4">
      <w:pPr>
        <w:pStyle w:val="lennaslov"/>
        <w:shd w:val="clear" w:color="auto" w:fill="FFFFFF"/>
        <w:spacing w:before="0" w:beforeAutospacing="0" w:after="0" w:afterAutospacing="0"/>
        <w:jc w:val="center"/>
        <w:rPr>
          <w:rFonts w:ascii="Arial" w:hAnsi="Arial" w:cs="Arial"/>
          <w:b/>
          <w:bCs/>
          <w:sz w:val="20"/>
          <w:szCs w:val="20"/>
        </w:rPr>
      </w:pPr>
      <w:r>
        <w:rPr>
          <w:rFonts w:ascii="Arial" w:hAnsi="Arial" w:cs="Arial"/>
          <w:b/>
          <w:bCs/>
          <w:sz w:val="20"/>
          <w:szCs w:val="20"/>
          <w:lang w:val="en-GB"/>
        </w:rPr>
        <w:t>(Attachment of instructions for use)</w:t>
      </w:r>
    </w:p>
    <w:p w14:paraId="3B1A7C3F" w14:textId="77777777" w:rsidR="00D913B4" w:rsidRPr="00501245" w:rsidRDefault="00D913B4" w:rsidP="00D913B4">
      <w:pPr>
        <w:pStyle w:val="len0"/>
        <w:ind w:firstLine="1021"/>
        <w:jc w:val="both"/>
        <w:rPr>
          <w:sz w:val="20"/>
          <w:szCs w:val="20"/>
        </w:rPr>
      </w:pPr>
      <w:r>
        <w:rPr>
          <w:b w:val="0"/>
          <w:sz w:val="20"/>
          <w:szCs w:val="20"/>
          <w:lang w:val="en-GB"/>
        </w:rPr>
        <w:t xml:space="preserve">For the purposes of the implementation of point 2 of Annex I to Regulation 547/2011/EU, if there is not enough space on the packaging for the instructions for use of a PPP, the instructions shall be provided on a separate leaflet, which shall </w:t>
      </w:r>
      <w:proofErr w:type="gramStart"/>
      <w:r>
        <w:rPr>
          <w:b w:val="0"/>
          <w:sz w:val="20"/>
          <w:szCs w:val="20"/>
          <w:lang w:val="en-GB"/>
        </w:rPr>
        <w:t>accompany the packaging at all times</w:t>
      </w:r>
      <w:proofErr w:type="gramEnd"/>
      <w:r>
        <w:rPr>
          <w:b w:val="0"/>
          <w:sz w:val="20"/>
          <w:szCs w:val="20"/>
          <w:lang w:val="en-GB"/>
        </w:rPr>
        <w:t xml:space="preserve"> for as long as the PPP is on the market. The instructions leaflet can be included as a pull-out leaflet, </w:t>
      </w:r>
      <w:proofErr w:type="gramStart"/>
      <w:r>
        <w:rPr>
          <w:b w:val="0"/>
          <w:sz w:val="20"/>
          <w:szCs w:val="20"/>
          <w:lang w:val="en-GB"/>
        </w:rPr>
        <w:t>wrapped</w:t>
      </w:r>
      <w:proofErr w:type="gramEnd"/>
      <w:r>
        <w:rPr>
          <w:b w:val="0"/>
          <w:sz w:val="20"/>
          <w:szCs w:val="20"/>
          <w:lang w:val="en-GB"/>
        </w:rPr>
        <w:t xml:space="preserve"> and attached to the packaging or put in the box containing the PPP.</w:t>
      </w:r>
    </w:p>
    <w:p w14:paraId="021D462C" w14:textId="77777777" w:rsidR="00D913B4" w:rsidRPr="00501245" w:rsidRDefault="00D913B4" w:rsidP="00D913B4">
      <w:pPr>
        <w:pStyle w:val="len0"/>
        <w:rPr>
          <w:sz w:val="20"/>
          <w:szCs w:val="20"/>
        </w:rPr>
      </w:pPr>
      <w:r>
        <w:rPr>
          <w:bCs/>
          <w:sz w:val="20"/>
          <w:szCs w:val="20"/>
          <w:lang w:val="en-GB"/>
        </w:rPr>
        <w:t>Article 13</w:t>
      </w:r>
    </w:p>
    <w:p w14:paraId="3819ABD3" w14:textId="77777777" w:rsidR="00D913B4" w:rsidRPr="00501245" w:rsidRDefault="00D913B4" w:rsidP="00D913B4">
      <w:pPr>
        <w:pStyle w:val="lennaslov0"/>
        <w:rPr>
          <w:rFonts w:cs="Arial"/>
          <w:sz w:val="20"/>
          <w:szCs w:val="20"/>
        </w:rPr>
      </w:pPr>
      <w:r>
        <w:rPr>
          <w:rFonts w:cs="Arial"/>
          <w:bCs/>
          <w:sz w:val="20"/>
          <w:szCs w:val="20"/>
          <w:lang w:val="en-GB"/>
        </w:rPr>
        <w:t>(Fees and costs)</w:t>
      </w:r>
    </w:p>
    <w:p w14:paraId="4BE18D14" w14:textId="77777777" w:rsidR="00D913B4" w:rsidRPr="00501245" w:rsidRDefault="00D913B4" w:rsidP="00D913B4">
      <w:pPr>
        <w:pStyle w:val="Odstavek"/>
        <w:rPr>
          <w:sz w:val="20"/>
          <w:szCs w:val="20"/>
        </w:rPr>
      </w:pPr>
      <w:bookmarkStart w:id="6" w:name="_Hlk131687478"/>
      <w:r>
        <w:rPr>
          <w:sz w:val="20"/>
          <w:szCs w:val="20"/>
          <w:lang w:val="en-GB"/>
        </w:rPr>
        <w:t>(1) For the purposes of the implementation of Article 74 of Regulation 1107/2009/EC, the applicant shall pay a fee to cover the costs incurred in the Republic of Slovenia in relation to the work and procedures conducted within the scope of Regulation 1107/2009/EC. The fees are set out in Annex 2, which is an integral part of this Decree.</w:t>
      </w:r>
      <w:bookmarkEnd w:id="6"/>
    </w:p>
    <w:p w14:paraId="26EE176D" w14:textId="77777777" w:rsidR="00D913B4" w:rsidRPr="00501245" w:rsidRDefault="00D913B4" w:rsidP="00D913B4">
      <w:pPr>
        <w:pStyle w:val="Odstavek"/>
        <w:rPr>
          <w:sz w:val="20"/>
          <w:szCs w:val="20"/>
        </w:rPr>
      </w:pPr>
      <w:r>
        <w:rPr>
          <w:sz w:val="20"/>
          <w:szCs w:val="20"/>
          <w:lang w:val="en-GB"/>
        </w:rPr>
        <w:t>(2) The fees under this Article shall constitute revenues of the budget of the Republic of Slovenia and shall be paid into the government revenues sub-account, in accordance with the regulation governing the sub-accounts and the manner of payment of compulsory charges and other government revenues.</w:t>
      </w:r>
    </w:p>
    <w:p w14:paraId="17057E4D" w14:textId="77777777" w:rsidR="00D913B4" w:rsidRPr="00501245" w:rsidRDefault="00D913B4" w:rsidP="00D913B4">
      <w:pPr>
        <w:pStyle w:val="Odstavek"/>
        <w:rPr>
          <w:sz w:val="20"/>
          <w:szCs w:val="20"/>
        </w:rPr>
      </w:pPr>
      <w:r>
        <w:rPr>
          <w:sz w:val="20"/>
          <w:szCs w:val="20"/>
          <w:lang w:val="en-GB"/>
        </w:rPr>
        <w:t xml:space="preserve">(3) </w:t>
      </w:r>
      <w:r w:rsidR="00230A81" w:rsidRPr="00230A81">
        <w:rPr>
          <w:sz w:val="20"/>
          <w:szCs w:val="20"/>
          <w:lang w:val="en-GB"/>
        </w:rPr>
        <w:t>AFSVSPP</w:t>
      </w:r>
      <w:r>
        <w:rPr>
          <w:sz w:val="20"/>
          <w:szCs w:val="20"/>
          <w:lang w:val="en-GB"/>
        </w:rPr>
        <w:t xml:space="preserve"> shall inform the applicant of the type and amount of fees applying to their application and set the time limit for the payment thereof.</w:t>
      </w:r>
    </w:p>
    <w:p w14:paraId="48CB114F" w14:textId="77777777" w:rsidR="00D913B4" w:rsidRPr="00501245" w:rsidRDefault="00D913B4" w:rsidP="00D913B4">
      <w:pPr>
        <w:pStyle w:val="Odstavek"/>
        <w:rPr>
          <w:sz w:val="20"/>
          <w:szCs w:val="20"/>
        </w:rPr>
      </w:pPr>
      <w:r>
        <w:rPr>
          <w:sz w:val="20"/>
          <w:szCs w:val="20"/>
          <w:lang w:val="en-GB"/>
        </w:rPr>
        <w:t xml:space="preserve">(4) If the applicant referred to in the preceding paragraph fails to pay the fee in the specified time limit, </w:t>
      </w:r>
      <w:r w:rsidR="00230A81" w:rsidRPr="00230A81">
        <w:rPr>
          <w:sz w:val="20"/>
          <w:szCs w:val="20"/>
          <w:lang w:val="en-GB"/>
        </w:rPr>
        <w:t>AFSVSPP</w:t>
      </w:r>
      <w:r>
        <w:rPr>
          <w:sz w:val="20"/>
          <w:szCs w:val="20"/>
          <w:lang w:val="en-GB"/>
        </w:rPr>
        <w:t xml:space="preserve"> shall request the applicant to pay the fee within 15 days of receiving the request.</w:t>
      </w:r>
    </w:p>
    <w:p w14:paraId="3163EC86" w14:textId="77777777" w:rsidR="00D913B4" w:rsidRPr="00501245" w:rsidRDefault="00D913B4" w:rsidP="00D913B4">
      <w:pPr>
        <w:pStyle w:val="Odstavek"/>
        <w:rPr>
          <w:sz w:val="20"/>
          <w:szCs w:val="20"/>
        </w:rPr>
      </w:pPr>
      <w:r>
        <w:rPr>
          <w:sz w:val="20"/>
          <w:szCs w:val="20"/>
          <w:lang w:val="en-GB"/>
        </w:rPr>
        <w:t xml:space="preserve">(5) If the applicant fails to pay the fee within 15 days of receiving the request referred to in the preceding paragraph, </w:t>
      </w:r>
      <w:r w:rsidR="00230A81" w:rsidRPr="00230A81">
        <w:rPr>
          <w:sz w:val="20"/>
          <w:szCs w:val="20"/>
          <w:lang w:val="en-GB"/>
        </w:rPr>
        <w:t>AFSVSPP</w:t>
      </w:r>
      <w:r>
        <w:rPr>
          <w:sz w:val="20"/>
          <w:szCs w:val="20"/>
          <w:lang w:val="en-GB"/>
        </w:rPr>
        <w:t xml:space="preserve"> shall issue a decision on the staying of proceedings referred to in paragraph one of this Article.</w:t>
      </w:r>
    </w:p>
    <w:p w14:paraId="6175AEF0" w14:textId="77777777" w:rsidR="00D913B4" w:rsidRPr="00501245" w:rsidRDefault="00D913B4" w:rsidP="00D913B4">
      <w:pPr>
        <w:pStyle w:val="Odstavek"/>
        <w:spacing w:before="0"/>
        <w:rPr>
          <w:sz w:val="20"/>
          <w:szCs w:val="20"/>
        </w:rPr>
      </w:pPr>
    </w:p>
    <w:p w14:paraId="7AC51A5B" w14:textId="77777777" w:rsidR="00D913B4" w:rsidRPr="00501245" w:rsidRDefault="00D913B4" w:rsidP="00D913B4">
      <w:pPr>
        <w:pStyle w:val="Odstavek"/>
        <w:spacing w:before="0"/>
        <w:rPr>
          <w:sz w:val="20"/>
          <w:szCs w:val="20"/>
        </w:rPr>
      </w:pPr>
      <w:r>
        <w:rPr>
          <w:sz w:val="20"/>
          <w:szCs w:val="20"/>
          <w:lang w:val="en-GB"/>
        </w:rPr>
        <w:t xml:space="preserve">(6) </w:t>
      </w:r>
      <w:r w:rsidR="00230A81" w:rsidRPr="00230A81">
        <w:rPr>
          <w:sz w:val="20"/>
          <w:szCs w:val="20"/>
          <w:lang w:val="en-GB"/>
        </w:rPr>
        <w:t xml:space="preserve">AFSVSPP </w:t>
      </w:r>
      <w:r>
        <w:rPr>
          <w:sz w:val="20"/>
          <w:szCs w:val="20"/>
          <w:lang w:val="en-GB"/>
        </w:rPr>
        <w:t>shall refund the applicant any overpaid or erroneously paid fee.</w:t>
      </w:r>
    </w:p>
    <w:p w14:paraId="769107D9" w14:textId="77777777" w:rsidR="00D913B4" w:rsidRPr="00501245" w:rsidRDefault="00D913B4" w:rsidP="00D913B4">
      <w:pPr>
        <w:pStyle w:val="Odstavek"/>
        <w:spacing w:before="0"/>
        <w:rPr>
          <w:sz w:val="20"/>
          <w:szCs w:val="20"/>
        </w:rPr>
      </w:pPr>
    </w:p>
    <w:p w14:paraId="34E6F429" w14:textId="77777777" w:rsidR="00D913B4" w:rsidRPr="00501245" w:rsidRDefault="00D913B4" w:rsidP="00D913B4">
      <w:pPr>
        <w:pStyle w:val="Odstavek"/>
        <w:spacing w:before="0"/>
        <w:rPr>
          <w:sz w:val="20"/>
          <w:szCs w:val="20"/>
        </w:rPr>
      </w:pPr>
      <w:r>
        <w:rPr>
          <w:sz w:val="20"/>
          <w:szCs w:val="20"/>
          <w:lang w:val="en-GB"/>
        </w:rPr>
        <w:t>(7) Notwithstanding the provision of paragraph one of this Article, the fee shall not be paid for the following applications, although an administrative charge shall be paid in accordance with the Act governing administrative charges:</w:t>
      </w:r>
    </w:p>
    <w:p w14:paraId="1B31AB21" w14:textId="77777777" w:rsidR="00D913B4" w:rsidRPr="00501245" w:rsidRDefault="00D913B4" w:rsidP="00511F66">
      <w:pPr>
        <w:pStyle w:val="Odstavek"/>
        <w:numPr>
          <w:ilvl w:val="0"/>
          <w:numId w:val="9"/>
        </w:numPr>
        <w:spacing w:before="0"/>
        <w:ind w:left="426" w:hanging="426"/>
        <w:rPr>
          <w:sz w:val="20"/>
          <w:szCs w:val="20"/>
        </w:rPr>
      </w:pPr>
      <w:r>
        <w:rPr>
          <w:sz w:val="20"/>
          <w:szCs w:val="20"/>
          <w:lang w:val="en-GB"/>
        </w:rPr>
        <w:t>for the authorisation of a low-risk PPP referred to in Article 47 of Regulation 1107/2009/EC,</w:t>
      </w:r>
    </w:p>
    <w:p w14:paraId="5B7EC97C" w14:textId="77777777" w:rsidR="00D913B4" w:rsidRPr="00501245" w:rsidRDefault="00D913B4" w:rsidP="00511F66">
      <w:pPr>
        <w:pStyle w:val="Odstavek"/>
        <w:numPr>
          <w:ilvl w:val="0"/>
          <w:numId w:val="9"/>
        </w:numPr>
        <w:spacing w:before="0"/>
        <w:ind w:left="426" w:hanging="426"/>
        <w:rPr>
          <w:sz w:val="20"/>
          <w:szCs w:val="20"/>
        </w:rPr>
      </w:pPr>
      <w:r>
        <w:rPr>
          <w:sz w:val="20"/>
          <w:szCs w:val="20"/>
          <w:lang w:val="en-GB"/>
        </w:rPr>
        <w:t>for a permit for research in and the development of PPPs containing low-risk active substances referred to in Article 22 of Regulation 1107/2009/EC, or</w:t>
      </w:r>
    </w:p>
    <w:p w14:paraId="2A04723D" w14:textId="77777777" w:rsidR="00D913B4" w:rsidRPr="00501245" w:rsidRDefault="00D913B4" w:rsidP="00511F66">
      <w:pPr>
        <w:pStyle w:val="Odstavek"/>
        <w:numPr>
          <w:ilvl w:val="0"/>
          <w:numId w:val="9"/>
        </w:numPr>
        <w:spacing w:before="0"/>
        <w:ind w:left="426" w:hanging="426"/>
        <w:rPr>
          <w:sz w:val="20"/>
          <w:szCs w:val="20"/>
        </w:rPr>
      </w:pPr>
      <w:r>
        <w:rPr>
          <w:sz w:val="20"/>
          <w:szCs w:val="20"/>
          <w:lang w:val="en-GB"/>
        </w:rPr>
        <w:t xml:space="preserve">for the authorisation of PPPs </w:t>
      </w:r>
      <w:r>
        <w:rPr>
          <w:sz w:val="20"/>
          <w:szCs w:val="20"/>
          <w:shd w:val="clear" w:color="auto" w:fill="FFFFFF"/>
          <w:lang w:val="en-GB"/>
        </w:rPr>
        <w:t>containing active substances</w:t>
      </w:r>
      <w:r>
        <w:rPr>
          <w:sz w:val="20"/>
          <w:szCs w:val="20"/>
          <w:lang w:val="en-GB"/>
        </w:rPr>
        <w:t xml:space="preserve"> that are permitted in organic production, except the PPPs </w:t>
      </w:r>
      <w:r>
        <w:rPr>
          <w:sz w:val="20"/>
          <w:szCs w:val="20"/>
          <w:shd w:val="clear" w:color="auto" w:fill="FFFFFF"/>
          <w:lang w:val="en-GB"/>
        </w:rPr>
        <w:t>containing active substances</w:t>
      </w:r>
      <w:r>
        <w:rPr>
          <w:sz w:val="20"/>
          <w:szCs w:val="20"/>
          <w:lang w:val="en-GB"/>
        </w:rPr>
        <w:t xml:space="preserve"> that are candidates for substitution or the </w:t>
      </w:r>
      <w:r>
        <w:rPr>
          <w:sz w:val="20"/>
          <w:szCs w:val="20"/>
          <w:shd w:val="clear" w:color="auto" w:fill="FFFFFF"/>
          <w:lang w:val="en-GB"/>
        </w:rPr>
        <w:t>PPPs referred to</w:t>
      </w:r>
      <w:r>
        <w:rPr>
          <w:sz w:val="20"/>
          <w:szCs w:val="20"/>
          <w:lang w:val="en-GB"/>
        </w:rPr>
        <w:t xml:space="preserve"> in point 5 of Annex II to Regulation 1107/2009/EC.</w:t>
      </w:r>
    </w:p>
    <w:p w14:paraId="079F5FFC" w14:textId="77777777" w:rsidR="00D913B4" w:rsidRPr="00501245" w:rsidRDefault="00D913B4" w:rsidP="00D913B4">
      <w:pPr>
        <w:pStyle w:val="Odstavek"/>
        <w:rPr>
          <w:sz w:val="20"/>
          <w:szCs w:val="20"/>
        </w:rPr>
      </w:pPr>
      <w:r>
        <w:rPr>
          <w:sz w:val="20"/>
          <w:szCs w:val="20"/>
          <w:lang w:val="en-GB"/>
        </w:rPr>
        <w:t>(8) Notwithstanding the preceding paragraph, a fee shall also be paid for applications submitted under Article 33, 43 or 51 of Regulation 1107/2009/EC if the Republic of Slovenia is the Member State examining the application.</w:t>
      </w:r>
    </w:p>
    <w:p w14:paraId="08320783" w14:textId="77777777" w:rsidR="00D913B4" w:rsidRPr="00501245" w:rsidRDefault="00D913B4" w:rsidP="00500334">
      <w:pPr>
        <w:pStyle w:val="Odstavek"/>
        <w:rPr>
          <w:sz w:val="20"/>
          <w:szCs w:val="20"/>
        </w:rPr>
      </w:pPr>
      <w:r>
        <w:rPr>
          <w:sz w:val="20"/>
          <w:szCs w:val="20"/>
          <w:lang w:val="en-GB"/>
        </w:rPr>
        <w:t xml:space="preserve">(9) </w:t>
      </w:r>
      <w:r w:rsidR="00230A81" w:rsidRPr="00230A81">
        <w:rPr>
          <w:sz w:val="20"/>
          <w:szCs w:val="20"/>
          <w:lang w:val="en-GB"/>
        </w:rPr>
        <w:t>AFSVSPP</w:t>
      </w:r>
      <w:r>
        <w:rPr>
          <w:sz w:val="20"/>
          <w:szCs w:val="20"/>
          <w:lang w:val="en-GB"/>
        </w:rPr>
        <w:t xml:space="preserve"> shall, in agreement with other Member States, cover the costs of coordination among the competent Member States related to the authorisation of PPPs under Article 75 of Regulation 1107/2009/EC.</w:t>
      </w:r>
    </w:p>
    <w:p w14:paraId="0256F294" w14:textId="77777777" w:rsidR="00D913B4" w:rsidRPr="00501245" w:rsidRDefault="00D913B4" w:rsidP="00D913B4">
      <w:pPr>
        <w:pStyle w:val="len0"/>
        <w:rPr>
          <w:sz w:val="20"/>
          <w:szCs w:val="20"/>
        </w:rPr>
      </w:pPr>
      <w:r>
        <w:rPr>
          <w:bCs/>
          <w:sz w:val="20"/>
          <w:szCs w:val="20"/>
          <w:lang w:val="en-GB"/>
        </w:rPr>
        <w:t>Article 14</w:t>
      </w:r>
    </w:p>
    <w:p w14:paraId="5CA4BDE7" w14:textId="77777777" w:rsidR="00D913B4" w:rsidRPr="00501245" w:rsidRDefault="00D913B4" w:rsidP="00D913B4">
      <w:pPr>
        <w:pStyle w:val="lennaslov0"/>
        <w:rPr>
          <w:rFonts w:cs="Arial"/>
          <w:sz w:val="20"/>
          <w:szCs w:val="20"/>
        </w:rPr>
      </w:pPr>
      <w:r>
        <w:rPr>
          <w:rFonts w:cs="Arial"/>
          <w:bCs/>
          <w:sz w:val="20"/>
          <w:szCs w:val="20"/>
          <w:lang w:val="en-GB"/>
        </w:rPr>
        <w:t>(Supervision)</w:t>
      </w:r>
    </w:p>
    <w:p w14:paraId="37163238" w14:textId="77777777" w:rsidR="00D913B4" w:rsidRPr="00501245" w:rsidRDefault="00C840D0" w:rsidP="00C840D0">
      <w:pPr>
        <w:pStyle w:val="Odstavek"/>
        <w:rPr>
          <w:sz w:val="20"/>
          <w:szCs w:val="20"/>
        </w:rPr>
      </w:pPr>
      <w:r>
        <w:rPr>
          <w:sz w:val="20"/>
          <w:szCs w:val="20"/>
          <w:lang w:val="en-GB"/>
        </w:rPr>
        <w:t xml:space="preserve">(1) In addition to the authorisations under the general regulations on inspection, </w:t>
      </w:r>
      <w:r w:rsidR="00230A81" w:rsidRPr="00230A81">
        <w:rPr>
          <w:sz w:val="20"/>
          <w:szCs w:val="20"/>
          <w:lang w:val="en-GB"/>
        </w:rPr>
        <w:t>AFSVSPP</w:t>
      </w:r>
      <w:r>
        <w:rPr>
          <w:sz w:val="20"/>
          <w:szCs w:val="20"/>
          <w:lang w:val="en-GB"/>
        </w:rPr>
        <w:t>’s inspectors responsible for PPPs may:</w:t>
      </w:r>
    </w:p>
    <w:p w14:paraId="69915D04" w14:textId="77777777" w:rsidR="00D913B4" w:rsidRPr="00501245" w:rsidRDefault="00D913B4" w:rsidP="00511F66">
      <w:pPr>
        <w:pStyle w:val="Alineazaodstavkom"/>
        <w:numPr>
          <w:ilvl w:val="0"/>
          <w:numId w:val="10"/>
        </w:numPr>
        <w:tabs>
          <w:tab w:val="left" w:pos="425"/>
        </w:tabs>
        <w:overflowPunct/>
        <w:autoSpaceDE/>
        <w:autoSpaceDN/>
        <w:adjustRightInd/>
        <w:spacing w:line="240" w:lineRule="auto"/>
        <w:ind w:left="426"/>
        <w:textAlignment w:val="auto"/>
        <w:rPr>
          <w:sz w:val="20"/>
          <w:szCs w:val="20"/>
        </w:rPr>
      </w:pPr>
      <w:r>
        <w:rPr>
          <w:sz w:val="20"/>
          <w:szCs w:val="20"/>
          <w:lang w:val="en-GB"/>
        </w:rPr>
        <w:t>prohibit the placing on the market and use of PPPs and adjuvants that are not authorised or do not have an appropriate permit issued in accordance with Regulation 1107/2009/EC,</w:t>
      </w:r>
    </w:p>
    <w:p w14:paraId="08AA5805" w14:textId="77777777" w:rsidR="00D913B4" w:rsidRPr="00501245" w:rsidRDefault="00D913B4" w:rsidP="00511F66">
      <w:pPr>
        <w:pStyle w:val="Alineazaodstavkom"/>
        <w:numPr>
          <w:ilvl w:val="0"/>
          <w:numId w:val="10"/>
        </w:numPr>
        <w:tabs>
          <w:tab w:val="left" w:pos="425"/>
        </w:tabs>
        <w:overflowPunct/>
        <w:autoSpaceDE/>
        <w:autoSpaceDN/>
        <w:adjustRightInd/>
        <w:spacing w:line="240" w:lineRule="auto"/>
        <w:ind w:left="426"/>
        <w:textAlignment w:val="auto"/>
        <w:rPr>
          <w:sz w:val="20"/>
          <w:szCs w:val="20"/>
        </w:rPr>
      </w:pPr>
      <w:r>
        <w:rPr>
          <w:sz w:val="20"/>
          <w:szCs w:val="20"/>
          <w:lang w:val="en-GB"/>
        </w:rPr>
        <w:t xml:space="preserve">prohibit the placing on the market and use of PPPs and adjuvants that are not in compliance with the authorisation </w:t>
      </w:r>
      <w:proofErr w:type="gramStart"/>
      <w:r>
        <w:rPr>
          <w:sz w:val="20"/>
          <w:szCs w:val="20"/>
          <w:lang w:val="en-GB"/>
        </w:rPr>
        <w:t>decision</w:t>
      </w:r>
      <w:proofErr w:type="gramEnd"/>
      <w:r>
        <w:rPr>
          <w:sz w:val="20"/>
          <w:szCs w:val="20"/>
          <w:lang w:val="en-GB"/>
        </w:rPr>
        <w:t xml:space="preserve"> or the permit issued in accordance with Regulation 1107/2009/EC,</w:t>
      </w:r>
    </w:p>
    <w:p w14:paraId="09FF6B12" w14:textId="77777777" w:rsidR="00D913B4" w:rsidRPr="00501245" w:rsidRDefault="00D913B4" w:rsidP="00511F66">
      <w:pPr>
        <w:pStyle w:val="Alineazaodstavkom"/>
        <w:numPr>
          <w:ilvl w:val="0"/>
          <w:numId w:val="10"/>
        </w:numPr>
        <w:tabs>
          <w:tab w:val="left" w:pos="425"/>
        </w:tabs>
        <w:overflowPunct/>
        <w:autoSpaceDE/>
        <w:autoSpaceDN/>
        <w:adjustRightInd/>
        <w:spacing w:line="240" w:lineRule="auto"/>
        <w:ind w:left="426"/>
        <w:textAlignment w:val="auto"/>
        <w:rPr>
          <w:sz w:val="20"/>
          <w:szCs w:val="20"/>
        </w:rPr>
      </w:pPr>
      <w:r>
        <w:rPr>
          <w:sz w:val="20"/>
          <w:szCs w:val="20"/>
          <w:lang w:val="en-GB"/>
        </w:rPr>
        <w:t xml:space="preserve">prohibit the placing on the market of PPPs and adjuvants packaged in such a way that they could be mistaken for food, </w:t>
      </w:r>
      <w:proofErr w:type="gramStart"/>
      <w:r>
        <w:rPr>
          <w:sz w:val="20"/>
          <w:szCs w:val="20"/>
          <w:lang w:val="en-GB"/>
        </w:rPr>
        <w:t>drink</w:t>
      </w:r>
      <w:proofErr w:type="gramEnd"/>
      <w:r>
        <w:rPr>
          <w:sz w:val="20"/>
          <w:szCs w:val="20"/>
          <w:lang w:val="en-GB"/>
        </w:rPr>
        <w:t xml:space="preserve"> or animal feed,</w:t>
      </w:r>
    </w:p>
    <w:p w14:paraId="26BB4E4F" w14:textId="77777777" w:rsidR="00D913B4" w:rsidRPr="00501245" w:rsidRDefault="00D913B4" w:rsidP="00511F66">
      <w:pPr>
        <w:pStyle w:val="Alineazaodstavkom"/>
        <w:numPr>
          <w:ilvl w:val="0"/>
          <w:numId w:val="10"/>
        </w:numPr>
        <w:tabs>
          <w:tab w:val="left" w:pos="425"/>
        </w:tabs>
        <w:overflowPunct/>
        <w:autoSpaceDE/>
        <w:autoSpaceDN/>
        <w:adjustRightInd/>
        <w:spacing w:line="240" w:lineRule="auto"/>
        <w:ind w:left="426"/>
        <w:textAlignment w:val="auto"/>
        <w:rPr>
          <w:sz w:val="20"/>
          <w:szCs w:val="20"/>
        </w:rPr>
      </w:pPr>
      <w:r>
        <w:rPr>
          <w:sz w:val="20"/>
          <w:szCs w:val="20"/>
          <w:lang w:val="en-GB"/>
        </w:rPr>
        <w:t xml:space="preserve">prohibit the placing on the market of PPPs and adjuvants that are not labelled, </w:t>
      </w:r>
      <w:proofErr w:type="gramStart"/>
      <w:r>
        <w:rPr>
          <w:sz w:val="20"/>
          <w:szCs w:val="20"/>
          <w:lang w:val="en-GB"/>
        </w:rPr>
        <w:t>packaged</w:t>
      </w:r>
      <w:proofErr w:type="gramEnd"/>
      <w:r>
        <w:rPr>
          <w:sz w:val="20"/>
          <w:szCs w:val="20"/>
          <w:lang w:val="en-GB"/>
        </w:rPr>
        <w:t xml:space="preserve"> or classified in accordance with Article 65(1) or (3) of Regulation 1107/2009/EC,</w:t>
      </w:r>
    </w:p>
    <w:p w14:paraId="7AB7EC16" w14:textId="77777777" w:rsidR="00D913B4" w:rsidRPr="00501245" w:rsidRDefault="00D913B4" w:rsidP="00511F66">
      <w:pPr>
        <w:pStyle w:val="Alineazaodstavkom"/>
        <w:numPr>
          <w:ilvl w:val="0"/>
          <w:numId w:val="10"/>
        </w:numPr>
        <w:tabs>
          <w:tab w:val="left" w:pos="425"/>
        </w:tabs>
        <w:overflowPunct/>
        <w:autoSpaceDE/>
        <w:autoSpaceDN/>
        <w:adjustRightInd/>
        <w:spacing w:line="240" w:lineRule="auto"/>
        <w:ind w:left="426"/>
        <w:textAlignment w:val="auto"/>
        <w:rPr>
          <w:sz w:val="20"/>
          <w:szCs w:val="20"/>
        </w:rPr>
      </w:pPr>
      <w:r>
        <w:rPr>
          <w:sz w:val="20"/>
          <w:szCs w:val="20"/>
          <w:lang w:val="en-GB"/>
        </w:rPr>
        <w:t>prohibit the use of a PPP if they find that it is not used in accordance with Article 55 of Regulation 1107/2009/EC,</w:t>
      </w:r>
    </w:p>
    <w:p w14:paraId="7CE8FB74" w14:textId="77777777" w:rsidR="00D913B4" w:rsidRPr="00501245" w:rsidRDefault="00D913B4" w:rsidP="00511F66">
      <w:pPr>
        <w:pStyle w:val="Alineazaodstavkom"/>
        <w:numPr>
          <w:ilvl w:val="0"/>
          <w:numId w:val="10"/>
        </w:numPr>
        <w:tabs>
          <w:tab w:val="left" w:pos="425"/>
        </w:tabs>
        <w:overflowPunct/>
        <w:autoSpaceDE/>
        <w:autoSpaceDN/>
        <w:adjustRightInd/>
        <w:spacing w:line="240" w:lineRule="auto"/>
        <w:ind w:left="426"/>
        <w:textAlignment w:val="auto"/>
        <w:rPr>
          <w:sz w:val="20"/>
          <w:szCs w:val="20"/>
        </w:rPr>
      </w:pPr>
      <w:r>
        <w:rPr>
          <w:sz w:val="20"/>
          <w:szCs w:val="20"/>
          <w:lang w:val="en-GB"/>
        </w:rPr>
        <w:t>inspect the keeping of records of the placing on the market and use of PPPs,</w:t>
      </w:r>
    </w:p>
    <w:p w14:paraId="11038DE6" w14:textId="77777777" w:rsidR="00D913B4" w:rsidRPr="00501245" w:rsidRDefault="00D913B4" w:rsidP="00511F66">
      <w:pPr>
        <w:pStyle w:val="Alineazaodstavkom"/>
        <w:numPr>
          <w:ilvl w:val="0"/>
          <w:numId w:val="10"/>
        </w:numPr>
        <w:tabs>
          <w:tab w:val="left" w:pos="425"/>
        </w:tabs>
        <w:overflowPunct/>
        <w:autoSpaceDE/>
        <w:autoSpaceDN/>
        <w:adjustRightInd/>
        <w:spacing w:line="240" w:lineRule="auto"/>
        <w:ind w:left="426"/>
        <w:textAlignment w:val="auto"/>
        <w:rPr>
          <w:sz w:val="20"/>
          <w:szCs w:val="20"/>
        </w:rPr>
      </w:pPr>
      <w:r>
        <w:rPr>
          <w:sz w:val="20"/>
          <w:szCs w:val="20"/>
          <w:lang w:val="en-GB"/>
        </w:rPr>
        <w:t>prohibit incorrect advertising of PPPs,</w:t>
      </w:r>
    </w:p>
    <w:p w14:paraId="506774AA" w14:textId="77777777" w:rsidR="00D913B4" w:rsidRPr="00501245" w:rsidRDefault="00D913B4" w:rsidP="00511F66">
      <w:pPr>
        <w:pStyle w:val="Alineazaodstavkom"/>
        <w:numPr>
          <w:ilvl w:val="0"/>
          <w:numId w:val="10"/>
        </w:numPr>
        <w:tabs>
          <w:tab w:val="left" w:pos="425"/>
        </w:tabs>
        <w:overflowPunct/>
        <w:autoSpaceDE/>
        <w:autoSpaceDN/>
        <w:adjustRightInd/>
        <w:spacing w:line="240" w:lineRule="auto"/>
        <w:ind w:left="426"/>
        <w:textAlignment w:val="auto"/>
        <w:rPr>
          <w:sz w:val="20"/>
          <w:szCs w:val="20"/>
        </w:rPr>
      </w:pPr>
      <w:r>
        <w:rPr>
          <w:sz w:val="20"/>
          <w:szCs w:val="20"/>
          <w:lang w:val="en-GB"/>
        </w:rPr>
        <w:t>prohibit the placing on the market of expired PPPs,</w:t>
      </w:r>
    </w:p>
    <w:p w14:paraId="2BF37BDF" w14:textId="77777777" w:rsidR="00D913B4" w:rsidRPr="00501245" w:rsidRDefault="00D913B4" w:rsidP="00511F66">
      <w:pPr>
        <w:pStyle w:val="Alineazaodstavkom"/>
        <w:numPr>
          <w:ilvl w:val="0"/>
          <w:numId w:val="10"/>
        </w:numPr>
        <w:tabs>
          <w:tab w:val="left" w:pos="425"/>
        </w:tabs>
        <w:overflowPunct/>
        <w:autoSpaceDE/>
        <w:autoSpaceDN/>
        <w:adjustRightInd/>
        <w:spacing w:line="240" w:lineRule="auto"/>
        <w:ind w:left="426"/>
        <w:textAlignment w:val="auto"/>
        <w:rPr>
          <w:sz w:val="20"/>
          <w:szCs w:val="20"/>
        </w:rPr>
      </w:pPr>
      <w:r>
        <w:rPr>
          <w:sz w:val="20"/>
          <w:szCs w:val="20"/>
          <w:lang w:val="en-GB"/>
        </w:rPr>
        <w:t>prohibit the placing on the market and use of PPPs containing active substances, safeners, synergists or co-formulants that are not approved or are prohibited under Regulation 1107/2009/EC,</w:t>
      </w:r>
    </w:p>
    <w:p w14:paraId="36E3D2E2" w14:textId="77777777" w:rsidR="00C700C0" w:rsidRPr="00501245" w:rsidRDefault="00B4502D" w:rsidP="00511F66">
      <w:pPr>
        <w:pStyle w:val="Alineazaodstavkom"/>
        <w:numPr>
          <w:ilvl w:val="0"/>
          <w:numId w:val="10"/>
        </w:numPr>
        <w:tabs>
          <w:tab w:val="left" w:pos="425"/>
        </w:tabs>
        <w:overflowPunct/>
        <w:autoSpaceDE/>
        <w:autoSpaceDN/>
        <w:adjustRightInd/>
        <w:spacing w:line="240" w:lineRule="auto"/>
        <w:ind w:left="426"/>
        <w:textAlignment w:val="auto"/>
        <w:rPr>
          <w:sz w:val="20"/>
          <w:szCs w:val="20"/>
        </w:rPr>
      </w:pPr>
      <w:r>
        <w:rPr>
          <w:sz w:val="20"/>
          <w:szCs w:val="20"/>
          <w:lang w:val="en-GB"/>
        </w:rPr>
        <w:t xml:space="preserve">order the destruction of any PPP that, as regards its composition or production or active substances contained, is not in compliance with the authorisation decision or authorisation report or the permit or expert opinion on which the permit is based, </w:t>
      </w:r>
      <w:bookmarkStart w:id="7" w:name="_Hlk129682233"/>
      <w:r>
        <w:rPr>
          <w:sz w:val="20"/>
          <w:szCs w:val="20"/>
          <w:lang w:val="en-GB"/>
        </w:rPr>
        <w:t>at the expense of the legal or natural person responsible for the offence</w:t>
      </w:r>
      <w:bookmarkEnd w:id="7"/>
      <w:r>
        <w:rPr>
          <w:sz w:val="20"/>
          <w:szCs w:val="20"/>
          <w:lang w:val="en-GB"/>
        </w:rPr>
        <w:t>,</w:t>
      </w:r>
    </w:p>
    <w:p w14:paraId="5D1DFCC5" w14:textId="77777777" w:rsidR="00C700C0" w:rsidRPr="00501245" w:rsidRDefault="00C700C0" w:rsidP="00511F66">
      <w:pPr>
        <w:pStyle w:val="Alineazaodstavkom"/>
        <w:numPr>
          <w:ilvl w:val="0"/>
          <w:numId w:val="10"/>
        </w:numPr>
        <w:tabs>
          <w:tab w:val="left" w:pos="425"/>
        </w:tabs>
        <w:overflowPunct/>
        <w:autoSpaceDE/>
        <w:autoSpaceDN/>
        <w:adjustRightInd/>
        <w:spacing w:line="240" w:lineRule="auto"/>
        <w:ind w:left="426"/>
        <w:textAlignment w:val="auto"/>
        <w:rPr>
          <w:sz w:val="20"/>
          <w:szCs w:val="20"/>
        </w:rPr>
      </w:pPr>
      <w:r>
        <w:rPr>
          <w:sz w:val="20"/>
          <w:szCs w:val="20"/>
          <w:lang w:val="en-GB"/>
        </w:rPr>
        <w:t>order the destruction of prohibited PPPs, at the expense of the legal or natural person responsible for the offence,</w:t>
      </w:r>
    </w:p>
    <w:p w14:paraId="6276F525" w14:textId="77777777" w:rsidR="00D913B4" w:rsidRPr="00501245" w:rsidRDefault="00D913B4" w:rsidP="00511F66">
      <w:pPr>
        <w:pStyle w:val="Alineazaodstavkom"/>
        <w:numPr>
          <w:ilvl w:val="0"/>
          <w:numId w:val="10"/>
        </w:numPr>
        <w:tabs>
          <w:tab w:val="left" w:pos="425"/>
        </w:tabs>
        <w:overflowPunct/>
        <w:autoSpaceDE/>
        <w:autoSpaceDN/>
        <w:adjustRightInd/>
        <w:spacing w:line="240" w:lineRule="auto"/>
        <w:ind w:left="426"/>
        <w:textAlignment w:val="auto"/>
        <w:rPr>
          <w:sz w:val="20"/>
          <w:szCs w:val="20"/>
        </w:rPr>
      </w:pPr>
      <w:r>
        <w:rPr>
          <w:sz w:val="20"/>
          <w:szCs w:val="20"/>
          <w:lang w:val="en-GB"/>
        </w:rPr>
        <w:t>carry out other actions and impose other measures as required to implement Regulation 1107/2009/EC and this Decree.</w:t>
      </w:r>
    </w:p>
    <w:p w14:paraId="08A775A5" w14:textId="77777777" w:rsidR="00D57BA6" w:rsidRPr="00501245" w:rsidRDefault="00D57BA6" w:rsidP="00AF5166">
      <w:pPr>
        <w:pStyle w:val="Alineazaodstavkom"/>
        <w:numPr>
          <w:ilvl w:val="0"/>
          <w:numId w:val="0"/>
        </w:numPr>
        <w:overflowPunct/>
        <w:autoSpaceDE/>
        <w:autoSpaceDN/>
        <w:adjustRightInd/>
        <w:spacing w:line="240" w:lineRule="auto"/>
        <w:textAlignment w:val="auto"/>
        <w:rPr>
          <w:sz w:val="20"/>
          <w:szCs w:val="20"/>
        </w:rPr>
      </w:pPr>
    </w:p>
    <w:p w14:paraId="1B58EF52" w14:textId="77777777" w:rsidR="00D57BA6" w:rsidRPr="00501245" w:rsidRDefault="00A676BB" w:rsidP="00A676BB">
      <w:pPr>
        <w:pStyle w:val="Alineazaodstavkom"/>
        <w:numPr>
          <w:ilvl w:val="0"/>
          <w:numId w:val="0"/>
        </w:numPr>
        <w:overflowPunct/>
        <w:autoSpaceDE/>
        <w:autoSpaceDN/>
        <w:adjustRightInd/>
        <w:spacing w:before="240" w:line="240" w:lineRule="auto"/>
        <w:ind w:firstLine="1021"/>
        <w:textAlignment w:val="auto"/>
        <w:rPr>
          <w:sz w:val="20"/>
          <w:szCs w:val="20"/>
        </w:rPr>
      </w:pPr>
      <w:r>
        <w:rPr>
          <w:sz w:val="20"/>
          <w:szCs w:val="20"/>
          <w:lang w:val="en-GB"/>
        </w:rPr>
        <w:t>(2) An inspector shall order the destruction referred to in points 10 and 11 of the preceding paragraph at the expense of the natural or legal person that is responsible for the offence and for the placing on the market in the Republic of Slovenia as a natural person or the authorisation holder with the registered office in the Republic of Slovenia or as the official representative with the registered office in the Republic of Slovenia, distributor with the registered office in the Republic of Slovenia, holder of the permit for parallel trade in the PPP or holder of emergency authorisation concerning plant protection.</w:t>
      </w:r>
    </w:p>
    <w:p w14:paraId="3DE1CEFE" w14:textId="77777777" w:rsidR="004003A0" w:rsidRPr="00501245" w:rsidRDefault="004003A0" w:rsidP="00A676BB">
      <w:pPr>
        <w:pStyle w:val="Alineazaodstavkom"/>
        <w:numPr>
          <w:ilvl w:val="0"/>
          <w:numId w:val="0"/>
        </w:numPr>
        <w:overflowPunct/>
        <w:autoSpaceDE/>
        <w:autoSpaceDN/>
        <w:adjustRightInd/>
        <w:spacing w:before="240" w:line="240" w:lineRule="auto"/>
        <w:ind w:firstLine="1021"/>
        <w:textAlignment w:val="auto"/>
        <w:rPr>
          <w:sz w:val="20"/>
          <w:szCs w:val="20"/>
        </w:rPr>
      </w:pPr>
    </w:p>
    <w:p w14:paraId="1ACEB493" w14:textId="77777777" w:rsidR="00AF5166" w:rsidRPr="00501245" w:rsidRDefault="00AF5166" w:rsidP="00A676BB">
      <w:pPr>
        <w:pStyle w:val="Alineazaodstavkom"/>
        <w:numPr>
          <w:ilvl w:val="0"/>
          <w:numId w:val="0"/>
        </w:numPr>
        <w:overflowPunct/>
        <w:autoSpaceDE/>
        <w:autoSpaceDN/>
        <w:adjustRightInd/>
        <w:spacing w:before="240" w:line="240" w:lineRule="auto"/>
        <w:ind w:firstLine="1021"/>
        <w:textAlignment w:val="auto"/>
        <w:rPr>
          <w:sz w:val="20"/>
          <w:szCs w:val="20"/>
        </w:rPr>
      </w:pPr>
    </w:p>
    <w:p w14:paraId="06F23E21" w14:textId="77777777" w:rsidR="00AF5166" w:rsidRPr="00501245" w:rsidRDefault="00AF5166" w:rsidP="00A676BB">
      <w:pPr>
        <w:pStyle w:val="Alineazaodstavkom"/>
        <w:numPr>
          <w:ilvl w:val="0"/>
          <w:numId w:val="0"/>
        </w:numPr>
        <w:overflowPunct/>
        <w:autoSpaceDE/>
        <w:autoSpaceDN/>
        <w:adjustRightInd/>
        <w:spacing w:before="240" w:line="240" w:lineRule="auto"/>
        <w:ind w:firstLine="1021"/>
        <w:textAlignment w:val="auto"/>
        <w:rPr>
          <w:sz w:val="20"/>
          <w:szCs w:val="20"/>
        </w:rPr>
      </w:pPr>
    </w:p>
    <w:p w14:paraId="1646197C" w14:textId="77777777" w:rsidR="00D913B4" w:rsidRPr="00501245" w:rsidRDefault="00501245" w:rsidP="00D913B4">
      <w:pPr>
        <w:pStyle w:val="len0"/>
        <w:rPr>
          <w:sz w:val="20"/>
          <w:szCs w:val="20"/>
        </w:rPr>
      </w:pPr>
      <w:r>
        <w:rPr>
          <w:bCs/>
          <w:sz w:val="20"/>
          <w:szCs w:val="20"/>
          <w:lang w:val="en-GB"/>
        </w:rPr>
        <w:t>Article 15</w:t>
      </w:r>
    </w:p>
    <w:p w14:paraId="1A4C64F1" w14:textId="77777777" w:rsidR="00D913B4" w:rsidRPr="00501245" w:rsidRDefault="00D913B4" w:rsidP="00D913B4">
      <w:pPr>
        <w:pStyle w:val="lennaslov0"/>
        <w:rPr>
          <w:rFonts w:cs="Arial"/>
          <w:sz w:val="20"/>
          <w:szCs w:val="20"/>
        </w:rPr>
      </w:pPr>
      <w:r>
        <w:rPr>
          <w:rFonts w:cs="Arial"/>
          <w:bCs/>
          <w:sz w:val="20"/>
          <w:szCs w:val="20"/>
          <w:lang w:val="en-GB"/>
        </w:rPr>
        <w:t>(Serious offences)</w:t>
      </w:r>
    </w:p>
    <w:p w14:paraId="7FC9428B" w14:textId="77777777" w:rsidR="00D913B4" w:rsidRPr="00501245" w:rsidRDefault="00C840D0" w:rsidP="00C840D0">
      <w:pPr>
        <w:pStyle w:val="Odstavek"/>
        <w:spacing w:after="240"/>
        <w:ind w:left="1381" w:hanging="360"/>
        <w:rPr>
          <w:sz w:val="20"/>
          <w:szCs w:val="20"/>
        </w:rPr>
      </w:pPr>
      <w:r>
        <w:rPr>
          <w:sz w:val="20"/>
          <w:szCs w:val="20"/>
          <w:lang w:val="en-GB"/>
        </w:rPr>
        <w:t>(1) Legal persons shall be fined from EUR 15,000 to EUR 32,000 for the offences of:</w:t>
      </w:r>
    </w:p>
    <w:p w14:paraId="670ADC42" w14:textId="77777777" w:rsidR="00D913B4" w:rsidRPr="00501245" w:rsidRDefault="00D913B4" w:rsidP="00511F66">
      <w:pPr>
        <w:pStyle w:val="Alineazaodstavkom"/>
        <w:numPr>
          <w:ilvl w:val="0"/>
          <w:numId w:val="9"/>
        </w:numPr>
        <w:tabs>
          <w:tab w:val="left" w:pos="425"/>
        </w:tabs>
        <w:overflowPunct/>
        <w:autoSpaceDE/>
        <w:autoSpaceDN/>
        <w:adjustRightInd/>
        <w:spacing w:line="240" w:lineRule="auto"/>
        <w:ind w:left="426" w:hanging="426"/>
        <w:textAlignment w:val="auto"/>
        <w:rPr>
          <w:sz w:val="20"/>
          <w:szCs w:val="20"/>
        </w:rPr>
      </w:pPr>
      <w:r>
        <w:rPr>
          <w:sz w:val="20"/>
          <w:szCs w:val="20"/>
          <w:lang w:val="en-GB"/>
        </w:rPr>
        <w:t>placing on the market or using a PPP that is not authorised in accordance with Article 28 of Regulation 1107/2009/EC,</w:t>
      </w:r>
    </w:p>
    <w:p w14:paraId="26B0C34B" w14:textId="77777777" w:rsidR="00D913B4" w:rsidRPr="00501245" w:rsidRDefault="00D913B4" w:rsidP="00511F66">
      <w:pPr>
        <w:pStyle w:val="Alineazaodstavkom"/>
        <w:numPr>
          <w:ilvl w:val="0"/>
          <w:numId w:val="9"/>
        </w:numPr>
        <w:tabs>
          <w:tab w:val="left" w:pos="425"/>
        </w:tabs>
        <w:overflowPunct/>
        <w:autoSpaceDE/>
        <w:autoSpaceDN/>
        <w:adjustRightInd/>
        <w:spacing w:line="240" w:lineRule="auto"/>
        <w:ind w:left="426" w:hanging="426"/>
        <w:textAlignment w:val="auto"/>
        <w:rPr>
          <w:sz w:val="20"/>
          <w:szCs w:val="20"/>
        </w:rPr>
      </w:pPr>
      <w:r>
        <w:rPr>
          <w:sz w:val="20"/>
          <w:szCs w:val="20"/>
          <w:lang w:val="en-GB"/>
        </w:rPr>
        <w:t xml:space="preserve">failing to inform </w:t>
      </w:r>
      <w:r w:rsidR="00230A81" w:rsidRPr="00230A81">
        <w:rPr>
          <w:sz w:val="20"/>
          <w:szCs w:val="20"/>
          <w:lang w:val="en-GB"/>
        </w:rPr>
        <w:t>AFSVSPP</w:t>
      </w:r>
      <w:r>
        <w:rPr>
          <w:sz w:val="20"/>
          <w:szCs w:val="20"/>
          <w:lang w:val="en-GB"/>
        </w:rPr>
        <w:t xml:space="preserve"> of potential adverse or unacceptable effects in accordance with Article 56(1) of Regulation 1107/2009/EC.</w:t>
      </w:r>
    </w:p>
    <w:p w14:paraId="6640DCA0" w14:textId="77777777" w:rsidR="00D913B4" w:rsidRPr="00501245" w:rsidRDefault="00D913B4" w:rsidP="00D913B4">
      <w:pPr>
        <w:pStyle w:val="Odstavek"/>
        <w:rPr>
          <w:sz w:val="20"/>
          <w:szCs w:val="20"/>
        </w:rPr>
      </w:pPr>
      <w:r>
        <w:rPr>
          <w:sz w:val="20"/>
          <w:szCs w:val="20"/>
          <w:lang w:val="en-GB"/>
        </w:rPr>
        <w:t>(2) Sole traders or individuals who perform independent activities shall be fined from EUR 5,000 to EUR 15,000 for the offences referred to in the preceding paragraph.</w:t>
      </w:r>
    </w:p>
    <w:p w14:paraId="615CD1CC" w14:textId="77777777" w:rsidR="00D913B4" w:rsidRPr="00501245" w:rsidRDefault="00D913B4" w:rsidP="00D913B4">
      <w:pPr>
        <w:pStyle w:val="Odstavek"/>
        <w:rPr>
          <w:sz w:val="20"/>
          <w:szCs w:val="20"/>
        </w:rPr>
      </w:pPr>
      <w:r>
        <w:rPr>
          <w:sz w:val="20"/>
          <w:szCs w:val="20"/>
          <w:lang w:val="en-GB"/>
        </w:rPr>
        <w:t>(3) The responsible person of the legal person, sole trader or individual who performs independent activities shall also be fined from EUR 2,500 to EUR 5,000 for the offences referred to in paragraph one of this Article.</w:t>
      </w:r>
    </w:p>
    <w:p w14:paraId="40E9599F" w14:textId="77777777" w:rsidR="00D913B4" w:rsidRPr="00501245" w:rsidRDefault="00D913B4" w:rsidP="00D913B4">
      <w:pPr>
        <w:pStyle w:val="Odstavek"/>
        <w:rPr>
          <w:sz w:val="20"/>
          <w:szCs w:val="20"/>
        </w:rPr>
      </w:pPr>
      <w:r>
        <w:rPr>
          <w:sz w:val="20"/>
          <w:szCs w:val="20"/>
          <w:lang w:val="en-GB"/>
        </w:rPr>
        <w:t>(4) An individual shall be fined from EUR 2,000 to EUR 3,000 for the offences referred to in paragraph one of this Article.</w:t>
      </w:r>
    </w:p>
    <w:p w14:paraId="532012C9" w14:textId="77777777" w:rsidR="00500334" w:rsidRPr="00501245" w:rsidRDefault="00500334" w:rsidP="00D913B4">
      <w:pPr>
        <w:pStyle w:val="Odstavek"/>
        <w:rPr>
          <w:sz w:val="20"/>
          <w:szCs w:val="20"/>
        </w:rPr>
      </w:pPr>
    </w:p>
    <w:p w14:paraId="107D83B0" w14:textId="77777777" w:rsidR="00D913B4" w:rsidRPr="00501245" w:rsidRDefault="00D913B4" w:rsidP="00D913B4">
      <w:pPr>
        <w:pStyle w:val="len0"/>
        <w:rPr>
          <w:sz w:val="20"/>
          <w:szCs w:val="20"/>
        </w:rPr>
      </w:pPr>
      <w:r>
        <w:rPr>
          <w:bCs/>
          <w:sz w:val="20"/>
          <w:szCs w:val="20"/>
          <w:lang w:val="en-GB"/>
        </w:rPr>
        <w:t>Article 16</w:t>
      </w:r>
    </w:p>
    <w:p w14:paraId="3A31A22C" w14:textId="77777777" w:rsidR="00D913B4" w:rsidRPr="00501245" w:rsidRDefault="00D913B4" w:rsidP="00D913B4">
      <w:pPr>
        <w:pStyle w:val="lennaslov0"/>
        <w:rPr>
          <w:rFonts w:cs="Arial"/>
          <w:sz w:val="20"/>
          <w:szCs w:val="20"/>
        </w:rPr>
      </w:pPr>
      <w:r>
        <w:rPr>
          <w:rFonts w:cs="Arial"/>
          <w:bCs/>
          <w:sz w:val="20"/>
          <w:szCs w:val="20"/>
          <w:lang w:val="en-GB"/>
        </w:rPr>
        <w:t>(Other offences)</w:t>
      </w:r>
    </w:p>
    <w:p w14:paraId="1D274468" w14:textId="77777777" w:rsidR="002D6007" w:rsidRPr="00501245" w:rsidRDefault="002D6007" w:rsidP="0006790F">
      <w:pPr>
        <w:pStyle w:val="lennaslov0"/>
        <w:jc w:val="left"/>
        <w:rPr>
          <w:rFonts w:cs="Arial"/>
          <w:sz w:val="20"/>
          <w:szCs w:val="20"/>
        </w:rPr>
      </w:pPr>
    </w:p>
    <w:p w14:paraId="06781C22" w14:textId="77777777" w:rsidR="0062279C" w:rsidRPr="00501245" w:rsidRDefault="0062279C" w:rsidP="0062279C">
      <w:pPr>
        <w:pStyle w:val="Odstavek"/>
        <w:rPr>
          <w:sz w:val="20"/>
          <w:szCs w:val="20"/>
        </w:rPr>
      </w:pPr>
      <w:r>
        <w:rPr>
          <w:sz w:val="20"/>
          <w:szCs w:val="20"/>
          <w:lang w:val="en-GB"/>
        </w:rPr>
        <w:t>(1) Legal persons shall be fined from EUR 1,500 to EUR 5,000 for the offences under Regulation 1107/2009/EC of:</w:t>
      </w:r>
    </w:p>
    <w:p w14:paraId="48DBE95E" w14:textId="77777777" w:rsidR="00E05D45" w:rsidRPr="00501245" w:rsidRDefault="00E05D45"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placing on the market a PPP containing active substances, safeners or synergists that are not approved or are prohibited in accordance with Article 4 of Regulation 1107/2009/EC,</w:t>
      </w:r>
    </w:p>
    <w:p w14:paraId="37948AA6" w14:textId="77777777" w:rsidR="00E05D45" w:rsidRPr="00501245" w:rsidRDefault="00E05D45"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placing on the market a PPP containing co-formulants that are not approved or are prohibited in accordance with Article 27 of Regulation 1107/2009/EC,</w:t>
      </w:r>
    </w:p>
    <w:p w14:paraId="5897D16E" w14:textId="77777777" w:rsidR="00E05D45" w:rsidRPr="00501245" w:rsidRDefault="00E05D45"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placing on the market a PPP that, as regards its composition and production and active substances contained, does not meet the conditions for authorisation referred to in Article 29(1) of Regulation 1107/2009/EC,</w:t>
      </w:r>
    </w:p>
    <w:p w14:paraId="534A3B9B" w14:textId="77777777" w:rsidR="0062279C" w:rsidRPr="00501245" w:rsidRDefault="0062279C"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using a PPP contrary to the requirements of the decision on the authorisation of the PPP referred to in Article 31(2) or (3) of Regulation 1107/2009/EC,</w:t>
      </w:r>
    </w:p>
    <w:p w14:paraId="61DD908F" w14:textId="77777777" w:rsidR="0062279C" w:rsidRPr="00501245" w:rsidRDefault="0062279C"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placing on the market or using seeds treated with PPPs contrary to Article 49 of Regulation 1107/2009/EC,</w:t>
      </w:r>
    </w:p>
    <w:p w14:paraId="0BFFA355" w14:textId="77777777" w:rsidR="0062279C" w:rsidRPr="00501245" w:rsidRDefault="0062279C"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placing on the market or using PPPs contrary to the parallel trade permit in accordance with Article 52 of Regulation 1107/2009/EC,</w:t>
      </w:r>
    </w:p>
    <w:p w14:paraId="69299E23" w14:textId="77777777" w:rsidR="0062279C" w:rsidRPr="00501245" w:rsidRDefault="0062279C"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placing on the market or using PPPs contrary to the emergency authorisation in accordance with Article 53 of Regulation 1107/2009/EC,</w:t>
      </w:r>
    </w:p>
    <w:p w14:paraId="7CA48FA2" w14:textId="77777777" w:rsidR="0062279C" w:rsidRPr="00501245" w:rsidRDefault="0062279C"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placing on the market or using PPPs contrary to the research and development permit in accordance with Article 54 of Regulation 1107/2009/EC,</w:t>
      </w:r>
    </w:p>
    <w:p w14:paraId="502741C5" w14:textId="77777777" w:rsidR="0062279C" w:rsidRPr="00501245" w:rsidRDefault="0062279C"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using PPPs contrary to Article 55 of Regulation 1107/2009/EC,</w:t>
      </w:r>
    </w:p>
    <w:p w14:paraId="0D130F97" w14:textId="77777777" w:rsidR="0062279C" w:rsidRPr="00501245" w:rsidRDefault="0062279C"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placing on the market or using adjuvants that are not authorised in accordance with Article 58 of Regulation 1107/2009/EC,</w:t>
      </w:r>
    </w:p>
    <w:p w14:paraId="2F49D259" w14:textId="77777777" w:rsidR="0062279C" w:rsidRPr="00501245" w:rsidRDefault="0062279C"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placing on the market a PPP that is packaged contrary to Article 64(1) of Regulation 1107/2009/EC,</w:t>
      </w:r>
    </w:p>
    <w:p w14:paraId="3E17668A" w14:textId="77777777" w:rsidR="0062279C" w:rsidRPr="00501245" w:rsidRDefault="0062279C"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 xml:space="preserve">placing on the market a PPP that is not labelled, </w:t>
      </w:r>
      <w:proofErr w:type="gramStart"/>
      <w:r>
        <w:rPr>
          <w:sz w:val="20"/>
          <w:szCs w:val="20"/>
          <w:lang w:val="en-GB"/>
        </w:rPr>
        <w:t>packaged</w:t>
      </w:r>
      <w:proofErr w:type="gramEnd"/>
      <w:r>
        <w:rPr>
          <w:sz w:val="20"/>
          <w:szCs w:val="20"/>
          <w:lang w:val="en-GB"/>
        </w:rPr>
        <w:t xml:space="preserve"> and classified in accordance with Article 65(1) or (3) of Regulation 1107/2009/EC,</w:t>
      </w:r>
    </w:p>
    <w:p w14:paraId="22C59D8B" w14:textId="77777777" w:rsidR="0062279C" w:rsidRPr="00501245" w:rsidRDefault="0062279C"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advertising PPPs contrary to Article 66 of Regulation 1107/2009/EC,</w:t>
      </w:r>
    </w:p>
    <w:p w14:paraId="12399612" w14:textId="77777777" w:rsidR="0062279C" w:rsidRPr="00501245" w:rsidRDefault="0062279C"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failing to keep records of the placing on the market and use of PPPs in accordance with Article 67(1) of Regulation 1107/2009/EC,</w:t>
      </w:r>
    </w:p>
    <w:p w14:paraId="463EE956" w14:textId="77777777" w:rsidR="0062279C" w:rsidRPr="00501245" w:rsidRDefault="0062279C" w:rsidP="00511F66">
      <w:pPr>
        <w:pStyle w:val="Alineazaodstavkom"/>
        <w:numPr>
          <w:ilvl w:val="0"/>
          <w:numId w:val="11"/>
        </w:numPr>
        <w:tabs>
          <w:tab w:val="left" w:pos="425"/>
        </w:tabs>
        <w:overflowPunct/>
        <w:autoSpaceDE/>
        <w:autoSpaceDN/>
        <w:adjustRightInd/>
        <w:spacing w:line="240" w:lineRule="auto"/>
        <w:ind w:left="426"/>
        <w:textAlignment w:val="auto"/>
        <w:rPr>
          <w:sz w:val="20"/>
          <w:szCs w:val="20"/>
        </w:rPr>
      </w:pPr>
      <w:r>
        <w:rPr>
          <w:sz w:val="20"/>
          <w:szCs w:val="20"/>
          <w:lang w:val="en-GB"/>
        </w:rPr>
        <w:t>failing to provide data on the volume of sales of PPPs in accordance with Article 67(3) of Regulation 1107/2009/EC.</w:t>
      </w:r>
    </w:p>
    <w:p w14:paraId="768A55F1" w14:textId="77777777" w:rsidR="0062279C" w:rsidRPr="00501245" w:rsidRDefault="00C840D0" w:rsidP="00C840D0">
      <w:pPr>
        <w:pStyle w:val="Odstavek"/>
        <w:ind w:left="1381" w:hanging="360"/>
        <w:rPr>
          <w:sz w:val="20"/>
          <w:szCs w:val="20"/>
        </w:rPr>
      </w:pPr>
      <w:r>
        <w:rPr>
          <w:sz w:val="20"/>
          <w:szCs w:val="20"/>
          <w:lang w:val="en-GB"/>
        </w:rPr>
        <w:t>(2)</w:t>
      </w:r>
      <w:r>
        <w:rPr>
          <w:sz w:val="20"/>
          <w:szCs w:val="20"/>
          <w:lang w:val="en-GB"/>
        </w:rPr>
        <w:tab/>
        <w:t>Legal persons shall be fined from EUR 1,500 to EUR 5,000 for the offences of:</w:t>
      </w:r>
    </w:p>
    <w:p w14:paraId="340FE641" w14:textId="77777777" w:rsidR="0062279C" w:rsidRPr="00501245" w:rsidRDefault="0062279C" w:rsidP="00511F66">
      <w:pPr>
        <w:pStyle w:val="Odstavek"/>
        <w:numPr>
          <w:ilvl w:val="0"/>
          <w:numId w:val="12"/>
        </w:numPr>
        <w:spacing w:before="0"/>
        <w:ind w:left="426"/>
        <w:rPr>
          <w:sz w:val="20"/>
          <w:szCs w:val="20"/>
        </w:rPr>
      </w:pPr>
      <w:r>
        <w:rPr>
          <w:sz w:val="20"/>
          <w:szCs w:val="20"/>
          <w:lang w:val="en-GB"/>
        </w:rPr>
        <w:t>placing on the market seeds treated with PPPs that are not labelled in accordance with Article 10 of this Decree,</w:t>
      </w:r>
    </w:p>
    <w:p w14:paraId="61010E13" w14:textId="77777777" w:rsidR="0062279C" w:rsidRPr="00501245" w:rsidRDefault="0062279C" w:rsidP="00511F66">
      <w:pPr>
        <w:pStyle w:val="Odstavek"/>
        <w:numPr>
          <w:ilvl w:val="0"/>
          <w:numId w:val="12"/>
        </w:numPr>
        <w:spacing w:before="0"/>
        <w:ind w:left="426"/>
        <w:rPr>
          <w:sz w:val="20"/>
          <w:szCs w:val="20"/>
        </w:rPr>
      </w:pPr>
      <w:r>
        <w:rPr>
          <w:sz w:val="20"/>
          <w:szCs w:val="20"/>
          <w:lang w:val="en-GB"/>
        </w:rPr>
        <w:t>placing on the market an expired PPP contrary to paragraph one or five of Article 11 of this Decree,</w:t>
      </w:r>
    </w:p>
    <w:p w14:paraId="0085CD2B" w14:textId="77777777" w:rsidR="0062279C" w:rsidRPr="00501245" w:rsidRDefault="0062279C" w:rsidP="00511F66">
      <w:pPr>
        <w:pStyle w:val="Alineazaodstavkom"/>
        <w:numPr>
          <w:ilvl w:val="0"/>
          <w:numId w:val="12"/>
        </w:numPr>
        <w:overflowPunct/>
        <w:autoSpaceDE/>
        <w:autoSpaceDN/>
        <w:adjustRightInd/>
        <w:spacing w:line="240" w:lineRule="auto"/>
        <w:ind w:left="426"/>
        <w:textAlignment w:val="auto"/>
        <w:rPr>
          <w:sz w:val="20"/>
          <w:szCs w:val="20"/>
        </w:rPr>
      </w:pPr>
      <w:r>
        <w:rPr>
          <w:sz w:val="20"/>
          <w:szCs w:val="20"/>
          <w:lang w:val="en-GB"/>
        </w:rPr>
        <w:t>placing on the market a PPP in a packaging that is not labelled in accordance with paragraph two or three of Article 11 of this Decree,</w:t>
      </w:r>
    </w:p>
    <w:p w14:paraId="281C8B11" w14:textId="77777777" w:rsidR="0062279C" w:rsidRPr="00501245" w:rsidRDefault="0062279C" w:rsidP="00511F66">
      <w:pPr>
        <w:pStyle w:val="Alineazaodstavkom"/>
        <w:numPr>
          <w:ilvl w:val="0"/>
          <w:numId w:val="12"/>
        </w:numPr>
        <w:overflowPunct/>
        <w:autoSpaceDE/>
        <w:autoSpaceDN/>
        <w:adjustRightInd/>
        <w:spacing w:line="240" w:lineRule="auto"/>
        <w:ind w:left="426"/>
        <w:textAlignment w:val="auto"/>
        <w:rPr>
          <w:sz w:val="20"/>
          <w:szCs w:val="20"/>
        </w:rPr>
      </w:pPr>
      <w:r>
        <w:rPr>
          <w:sz w:val="20"/>
          <w:szCs w:val="20"/>
          <w:lang w:val="en-GB"/>
        </w:rPr>
        <w:t>failing to withdraw from the market an expired PPP in accordance with paragraph four of Article 11 of this Decree,</w:t>
      </w:r>
    </w:p>
    <w:p w14:paraId="6A0FD79A" w14:textId="77777777" w:rsidR="0062279C" w:rsidRPr="00501245" w:rsidRDefault="0062279C" w:rsidP="00511F66">
      <w:pPr>
        <w:pStyle w:val="Alineazaodstavkom"/>
        <w:numPr>
          <w:ilvl w:val="0"/>
          <w:numId w:val="12"/>
        </w:numPr>
        <w:overflowPunct/>
        <w:autoSpaceDE/>
        <w:autoSpaceDN/>
        <w:adjustRightInd/>
        <w:spacing w:line="240" w:lineRule="auto"/>
        <w:ind w:left="426"/>
        <w:textAlignment w:val="auto"/>
        <w:rPr>
          <w:sz w:val="20"/>
          <w:szCs w:val="20"/>
        </w:rPr>
      </w:pPr>
      <w:r>
        <w:rPr>
          <w:sz w:val="20"/>
          <w:szCs w:val="20"/>
          <w:lang w:val="en-GB"/>
        </w:rPr>
        <w:t>placing on the market a PPP that is not accompanied by instructions for use in accordance with Article 12 of this Decree.</w:t>
      </w:r>
    </w:p>
    <w:p w14:paraId="7CCF1EC6" w14:textId="77777777" w:rsidR="0062279C" w:rsidRPr="00501245" w:rsidRDefault="00C840D0" w:rsidP="00C840D0">
      <w:pPr>
        <w:pStyle w:val="Odstavek"/>
        <w:rPr>
          <w:sz w:val="20"/>
          <w:szCs w:val="20"/>
        </w:rPr>
      </w:pPr>
      <w:r>
        <w:rPr>
          <w:sz w:val="20"/>
          <w:szCs w:val="20"/>
          <w:lang w:val="en-GB"/>
        </w:rPr>
        <w:t>(3) Sole traders or individuals who perform independent activities shall be fined from EUR 1,000 to EUR 2,500 for the offences referred to in paragraphs one and two of this Article.</w:t>
      </w:r>
    </w:p>
    <w:p w14:paraId="30DC82C6" w14:textId="77777777" w:rsidR="0062279C" w:rsidRPr="00501245" w:rsidRDefault="0062279C" w:rsidP="0062279C">
      <w:pPr>
        <w:pStyle w:val="Odstavek"/>
        <w:rPr>
          <w:sz w:val="20"/>
          <w:szCs w:val="20"/>
        </w:rPr>
      </w:pPr>
      <w:r>
        <w:rPr>
          <w:sz w:val="20"/>
          <w:szCs w:val="20"/>
          <w:lang w:val="en-GB"/>
        </w:rPr>
        <w:t>(4) The responsible person of the legal person, sole trader or individual who performs independent activities shall also be fined from EUR 400 to EUR 1,000 for the offences referred to in paragraphs one and two of this Article.</w:t>
      </w:r>
    </w:p>
    <w:p w14:paraId="1691AEB0" w14:textId="77777777" w:rsidR="0062279C" w:rsidRPr="00501245" w:rsidRDefault="0062279C" w:rsidP="0062279C">
      <w:pPr>
        <w:pStyle w:val="Odstavek"/>
        <w:rPr>
          <w:sz w:val="20"/>
          <w:szCs w:val="20"/>
        </w:rPr>
      </w:pPr>
      <w:r>
        <w:rPr>
          <w:sz w:val="20"/>
          <w:szCs w:val="20"/>
          <w:lang w:val="en-GB"/>
        </w:rPr>
        <w:t>(5) An individual shall be fined from EUR 300 to EUR 500 for the offences referred to in points 1, 2, 3, 4, 6 and 11 of paragraph one of this Article.</w:t>
      </w:r>
    </w:p>
    <w:p w14:paraId="6DE757B9" w14:textId="77777777" w:rsidR="0006790F" w:rsidRPr="00501245" w:rsidRDefault="0006790F" w:rsidP="0062279C">
      <w:pPr>
        <w:pStyle w:val="Odstavek"/>
        <w:rPr>
          <w:sz w:val="20"/>
          <w:szCs w:val="20"/>
        </w:rPr>
      </w:pPr>
    </w:p>
    <w:p w14:paraId="5F1D407A" w14:textId="77777777" w:rsidR="00D913B4" w:rsidRPr="00501245" w:rsidRDefault="00D913B4" w:rsidP="00D913B4">
      <w:pPr>
        <w:pStyle w:val="len"/>
        <w:spacing w:before="0" w:beforeAutospacing="0" w:after="0" w:afterAutospacing="0"/>
        <w:jc w:val="center"/>
        <w:rPr>
          <w:rFonts w:ascii="Arial" w:hAnsi="Arial" w:cs="Arial"/>
          <w:sz w:val="20"/>
          <w:szCs w:val="20"/>
        </w:rPr>
      </w:pPr>
    </w:p>
    <w:p w14:paraId="003F744C" w14:textId="77777777" w:rsidR="00D913B4" w:rsidRPr="00501245" w:rsidRDefault="00D913B4" w:rsidP="00D913B4">
      <w:pPr>
        <w:pStyle w:val="len"/>
        <w:spacing w:before="0" w:beforeAutospacing="0" w:after="0" w:afterAutospacing="0"/>
        <w:jc w:val="center"/>
        <w:rPr>
          <w:rFonts w:ascii="Arial" w:hAnsi="Arial" w:cs="Arial"/>
          <w:b/>
          <w:sz w:val="20"/>
          <w:szCs w:val="20"/>
        </w:rPr>
      </w:pPr>
      <w:r>
        <w:rPr>
          <w:rFonts w:ascii="Arial" w:hAnsi="Arial" w:cs="Arial"/>
          <w:b/>
          <w:bCs/>
          <w:sz w:val="20"/>
          <w:szCs w:val="20"/>
          <w:lang w:val="en-GB"/>
        </w:rPr>
        <w:t>Article 17</w:t>
      </w:r>
    </w:p>
    <w:p w14:paraId="1D5D3146" w14:textId="77777777" w:rsidR="00D913B4" w:rsidRPr="00501245" w:rsidRDefault="00D913B4" w:rsidP="00D913B4">
      <w:pPr>
        <w:pStyle w:val="lennaslov"/>
        <w:spacing w:before="0" w:beforeAutospacing="0" w:after="0" w:afterAutospacing="0"/>
        <w:jc w:val="center"/>
        <w:rPr>
          <w:rFonts w:ascii="Arial" w:hAnsi="Arial" w:cs="Arial"/>
          <w:b/>
          <w:sz w:val="20"/>
          <w:szCs w:val="20"/>
        </w:rPr>
      </w:pPr>
      <w:r>
        <w:rPr>
          <w:rFonts w:ascii="Arial" w:hAnsi="Arial" w:cs="Arial"/>
          <w:b/>
          <w:bCs/>
          <w:sz w:val="20"/>
          <w:szCs w:val="20"/>
          <w:lang w:val="en-GB"/>
        </w:rPr>
        <w:t>(Fines in expedited minor offence proceedings)</w:t>
      </w:r>
    </w:p>
    <w:p w14:paraId="1B37FD9C" w14:textId="77777777" w:rsidR="00500334" w:rsidRPr="00501245" w:rsidRDefault="00D913B4" w:rsidP="00F26B57">
      <w:pPr>
        <w:pStyle w:val="odstavek0"/>
        <w:spacing w:before="240" w:beforeAutospacing="0" w:after="0" w:afterAutospacing="0"/>
        <w:jc w:val="both"/>
      </w:pPr>
      <w:r>
        <w:rPr>
          <w:rFonts w:ascii="Arial" w:hAnsi="Arial" w:cs="Arial"/>
          <w:sz w:val="20"/>
          <w:szCs w:val="20"/>
          <w:lang w:val="en-GB"/>
        </w:rPr>
        <w:t>A fine that is higher than the lowest fine prescribed by this Decree may be imposed in expedited proceedings, except for the offences referred to in point 15 of paragraph one and points 1, 2, 3, 4 and 5 of paragraph two of the preceding Article.</w:t>
      </w:r>
    </w:p>
    <w:p w14:paraId="4E090DDB" w14:textId="77777777" w:rsidR="00D913B4" w:rsidRPr="00501245" w:rsidRDefault="00D913B4" w:rsidP="00D913B4">
      <w:pPr>
        <w:pStyle w:val="Poglavje"/>
        <w:rPr>
          <w:b w:val="0"/>
          <w:sz w:val="20"/>
          <w:szCs w:val="20"/>
        </w:rPr>
      </w:pPr>
      <w:r>
        <w:rPr>
          <w:b w:val="0"/>
          <w:sz w:val="20"/>
          <w:szCs w:val="20"/>
          <w:lang w:val="en-GB"/>
        </w:rPr>
        <w:t>TRANSITIONAL AND FINAL PROVISIONS</w:t>
      </w:r>
    </w:p>
    <w:p w14:paraId="4C656FA3" w14:textId="77777777" w:rsidR="00D913B4" w:rsidRPr="00501245" w:rsidRDefault="00D913B4" w:rsidP="00D913B4">
      <w:pPr>
        <w:pStyle w:val="lennovele"/>
        <w:rPr>
          <w:rFonts w:cs="Arial"/>
          <w:b/>
          <w:sz w:val="20"/>
          <w:szCs w:val="20"/>
        </w:rPr>
      </w:pPr>
      <w:r>
        <w:rPr>
          <w:rFonts w:cs="Arial"/>
          <w:b/>
          <w:bCs/>
          <w:sz w:val="20"/>
          <w:szCs w:val="20"/>
          <w:lang w:val="en-GB"/>
        </w:rPr>
        <w:t>Article 18</w:t>
      </w:r>
    </w:p>
    <w:p w14:paraId="6A789B53" w14:textId="77777777" w:rsidR="00D913B4" w:rsidRPr="00501245" w:rsidRDefault="00D913B4" w:rsidP="00D913B4">
      <w:pPr>
        <w:pStyle w:val="lennaslovnovele"/>
        <w:rPr>
          <w:rFonts w:cs="Arial"/>
          <w:b/>
          <w:sz w:val="20"/>
          <w:szCs w:val="20"/>
        </w:rPr>
      </w:pPr>
      <w:r>
        <w:rPr>
          <w:rFonts w:cs="Arial"/>
          <w:b/>
          <w:bCs/>
          <w:sz w:val="20"/>
          <w:szCs w:val="20"/>
          <w:lang w:val="en-GB"/>
        </w:rPr>
        <w:t>(Initiated procedures)</w:t>
      </w:r>
    </w:p>
    <w:p w14:paraId="2FEBBA8F" w14:textId="77777777" w:rsidR="00D913B4" w:rsidRPr="00501245" w:rsidRDefault="00D913B4" w:rsidP="00D913B4">
      <w:pPr>
        <w:pStyle w:val="Odstavek"/>
        <w:rPr>
          <w:sz w:val="20"/>
          <w:szCs w:val="20"/>
        </w:rPr>
      </w:pPr>
      <w:r>
        <w:rPr>
          <w:sz w:val="20"/>
          <w:szCs w:val="20"/>
          <w:lang w:val="en-GB"/>
        </w:rPr>
        <w:t>Any PPP authorisation procedures initiated before the entry into force of this Decree shall be concluded in accordance with the regulations applicable to date.</w:t>
      </w:r>
    </w:p>
    <w:p w14:paraId="0160E003" w14:textId="77777777" w:rsidR="00D913B4" w:rsidRPr="00501245" w:rsidRDefault="00D913B4" w:rsidP="00D913B4">
      <w:pPr>
        <w:pStyle w:val="Odstavek"/>
        <w:rPr>
          <w:sz w:val="20"/>
          <w:szCs w:val="20"/>
        </w:rPr>
      </w:pPr>
    </w:p>
    <w:p w14:paraId="7C7E8151" w14:textId="77777777" w:rsidR="00D913B4" w:rsidRPr="00501245" w:rsidRDefault="00D913B4" w:rsidP="00D913B4">
      <w:pPr>
        <w:pStyle w:val="lennaslov0"/>
        <w:rPr>
          <w:rFonts w:cs="Arial"/>
          <w:sz w:val="20"/>
          <w:szCs w:val="20"/>
        </w:rPr>
      </w:pPr>
      <w:r>
        <w:rPr>
          <w:rFonts w:cs="Arial"/>
          <w:bCs/>
          <w:sz w:val="20"/>
          <w:szCs w:val="20"/>
          <w:lang w:val="en-GB"/>
        </w:rPr>
        <w:t>Article 19</w:t>
      </w:r>
    </w:p>
    <w:p w14:paraId="1C340367" w14:textId="77777777" w:rsidR="00D913B4" w:rsidRPr="00501245" w:rsidRDefault="00D913B4" w:rsidP="00D913B4">
      <w:pPr>
        <w:pStyle w:val="lennaslov0"/>
        <w:rPr>
          <w:rFonts w:cs="Arial"/>
          <w:sz w:val="20"/>
          <w:szCs w:val="20"/>
        </w:rPr>
      </w:pPr>
      <w:r>
        <w:rPr>
          <w:rFonts w:cs="Arial"/>
          <w:bCs/>
          <w:sz w:val="20"/>
          <w:szCs w:val="20"/>
          <w:lang w:val="en-GB"/>
        </w:rPr>
        <w:t>(PPPs on the market)</w:t>
      </w:r>
    </w:p>
    <w:p w14:paraId="127358EB" w14:textId="77777777" w:rsidR="00D913B4" w:rsidRPr="00501245" w:rsidRDefault="00D913B4" w:rsidP="00D913B4">
      <w:pPr>
        <w:pStyle w:val="Odstavek"/>
        <w:rPr>
          <w:sz w:val="20"/>
          <w:szCs w:val="20"/>
        </w:rPr>
      </w:pPr>
      <w:r>
        <w:rPr>
          <w:sz w:val="20"/>
          <w:szCs w:val="20"/>
          <w:lang w:val="en-GB"/>
        </w:rPr>
        <w:t>Any PPPs on the market or in storage facilities at distributors on the day this Decree enters into force that meet the conditions of the Decree on the implementation of Regulations (EC) and (EU) on placing plant protection products on the market (Official Gazette of the Republic of Slovenia [</w:t>
      </w:r>
      <w:proofErr w:type="spellStart"/>
      <w:r>
        <w:rPr>
          <w:i/>
          <w:iCs/>
          <w:sz w:val="20"/>
          <w:szCs w:val="20"/>
          <w:lang w:val="en-GB"/>
        </w:rPr>
        <w:t>Uradni</w:t>
      </w:r>
      <w:proofErr w:type="spellEnd"/>
      <w:r>
        <w:rPr>
          <w:i/>
          <w:iCs/>
          <w:sz w:val="20"/>
          <w:szCs w:val="20"/>
          <w:lang w:val="en-GB"/>
        </w:rPr>
        <w:t xml:space="preserve"> list RS</w:t>
      </w:r>
      <w:r>
        <w:rPr>
          <w:sz w:val="20"/>
          <w:szCs w:val="20"/>
          <w:lang w:val="en-GB"/>
        </w:rPr>
        <w:t xml:space="preserve">], Nos 5/15, </w:t>
      </w:r>
      <w:r>
        <w:rPr>
          <w:color w:val="000000"/>
          <w:sz w:val="20"/>
          <w:szCs w:val="20"/>
          <w:lang w:val="en-GB"/>
        </w:rPr>
        <w:t>59/19 and 9/20</w:t>
      </w:r>
      <w:r>
        <w:rPr>
          <w:sz w:val="20"/>
          <w:szCs w:val="20"/>
          <w:lang w:val="en-GB"/>
        </w:rPr>
        <w:t>) may stay on the market until 31 March 2024 or until their expiry date, whichever is earlier.</w:t>
      </w:r>
    </w:p>
    <w:p w14:paraId="6E26E252" w14:textId="77777777" w:rsidR="00D913B4" w:rsidRPr="00501245" w:rsidRDefault="00D913B4" w:rsidP="00D913B4">
      <w:pPr>
        <w:pStyle w:val="Odstavek"/>
        <w:rPr>
          <w:sz w:val="20"/>
          <w:szCs w:val="20"/>
        </w:rPr>
      </w:pPr>
    </w:p>
    <w:p w14:paraId="64C55168" w14:textId="77777777" w:rsidR="00D913B4" w:rsidRPr="00501245" w:rsidRDefault="00D913B4" w:rsidP="00D913B4">
      <w:pPr>
        <w:ind w:left="66"/>
        <w:jc w:val="center"/>
        <w:rPr>
          <w:rFonts w:cs="Arial"/>
          <w:b/>
          <w:bCs/>
          <w:color w:val="333333"/>
          <w:szCs w:val="20"/>
        </w:rPr>
      </w:pPr>
      <w:r>
        <w:rPr>
          <w:rFonts w:cs="Arial"/>
          <w:b/>
          <w:bCs/>
          <w:color w:val="333333"/>
          <w:szCs w:val="20"/>
          <w:lang w:val="en-GB"/>
        </w:rPr>
        <w:t>Article 20</w:t>
      </w:r>
    </w:p>
    <w:p w14:paraId="00D0F919" w14:textId="77777777" w:rsidR="00D913B4" w:rsidRPr="00501245" w:rsidRDefault="00D913B4" w:rsidP="00D913B4">
      <w:pPr>
        <w:jc w:val="center"/>
        <w:rPr>
          <w:rFonts w:cs="Arial"/>
          <w:b/>
          <w:szCs w:val="20"/>
        </w:rPr>
      </w:pPr>
      <w:r>
        <w:rPr>
          <w:rFonts w:cs="Arial"/>
          <w:b/>
          <w:bCs/>
          <w:szCs w:val="20"/>
          <w:lang w:val="en-GB"/>
        </w:rPr>
        <w:t>(End of validity)</w:t>
      </w:r>
    </w:p>
    <w:p w14:paraId="6BF0E04A" w14:textId="77777777" w:rsidR="00D913B4" w:rsidRPr="00501245" w:rsidRDefault="00D913B4" w:rsidP="00D913B4">
      <w:pPr>
        <w:rPr>
          <w:rFonts w:cs="Arial"/>
          <w:szCs w:val="20"/>
        </w:rPr>
      </w:pPr>
    </w:p>
    <w:p w14:paraId="12D9572C" w14:textId="77777777" w:rsidR="00D913B4" w:rsidRPr="00501245" w:rsidRDefault="00D913B4" w:rsidP="00D913B4">
      <w:pPr>
        <w:pStyle w:val="Naslovpredpisa"/>
        <w:spacing w:before="240"/>
        <w:ind w:firstLine="1021"/>
        <w:jc w:val="both"/>
        <w:rPr>
          <w:b w:val="0"/>
          <w:sz w:val="20"/>
          <w:szCs w:val="20"/>
        </w:rPr>
      </w:pPr>
      <w:r>
        <w:rPr>
          <w:b w:val="0"/>
          <w:sz w:val="20"/>
          <w:szCs w:val="20"/>
          <w:lang w:val="en-GB"/>
        </w:rPr>
        <w:t>On the day this Decree enters into force, the Decree on the implementation of Regulations (EC) and (EU) on placing plant protection products on the market (Official Gazette of the Republic of Slovenia [</w:t>
      </w:r>
      <w:proofErr w:type="spellStart"/>
      <w:r>
        <w:rPr>
          <w:b w:val="0"/>
          <w:i/>
          <w:iCs/>
          <w:sz w:val="20"/>
          <w:szCs w:val="20"/>
          <w:lang w:val="en-GB"/>
        </w:rPr>
        <w:t>Uradni</w:t>
      </w:r>
      <w:proofErr w:type="spellEnd"/>
      <w:r>
        <w:rPr>
          <w:b w:val="0"/>
          <w:i/>
          <w:iCs/>
          <w:sz w:val="20"/>
          <w:szCs w:val="20"/>
          <w:lang w:val="en-GB"/>
        </w:rPr>
        <w:t xml:space="preserve"> list RS</w:t>
      </w:r>
      <w:r>
        <w:rPr>
          <w:b w:val="0"/>
          <w:sz w:val="20"/>
          <w:szCs w:val="20"/>
          <w:lang w:val="en-GB"/>
        </w:rPr>
        <w:t xml:space="preserve">], </w:t>
      </w:r>
      <w:r>
        <w:rPr>
          <w:b w:val="0"/>
          <w:color w:val="000000"/>
          <w:sz w:val="20"/>
          <w:szCs w:val="20"/>
          <w:lang w:val="en-GB"/>
        </w:rPr>
        <w:t>Nos 5/15, 59/19 and 9/20</w:t>
      </w:r>
      <w:r>
        <w:rPr>
          <w:b w:val="0"/>
          <w:sz w:val="20"/>
          <w:szCs w:val="20"/>
          <w:lang w:val="en-GB"/>
        </w:rPr>
        <w:t>) shall cease to be in force.</w:t>
      </w:r>
    </w:p>
    <w:p w14:paraId="36F1DB5F" w14:textId="77777777" w:rsidR="00791A05" w:rsidRPr="00501245" w:rsidRDefault="00791A05" w:rsidP="00D913B4">
      <w:pPr>
        <w:pStyle w:val="Naslovpredpisa"/>
        <w:spacing w:before="240"/>
        <w:ind w:firstLine="1021"/>
        <w:jc w:val="both"/>
        <w:rPr>
          <w:b w:val="0"/>
          <w:sz w:val="20"/>
          <w:szCs w:val="20"/>
        </w:rPr>
      </w:pPr>
    </w:p>
    <w:p w14:paraId="7779A1AD" w14:textId="77777777" w:rsidR="00791A05" w:rsidRPr="00501245" w:rsidRDefault="00791A05" w:rsidP="00D913B4">
      <w:pPr>
        <w:pStyle w:val="Naslovpredpisa"/>
        <w:spacing w:before="240"/>
        <w:ind w:firstLine="1021"/>
        <w:jc w:val="both"/>
        <w:rPr>
          <w:b w:val="0"/>
          <w:sz w:val="20"/>
          <w:szCs w:val="20"/>
        </w:rPr>
      </w:pPr>
    </w:p>
    <w:p w14:paraId="103C65B5" w14:textId="77777777" w:rsidR="00D913B4" w:rsidRPr="00501245" w:rsidRDefault="00D913B4" w:rsidP="00D913B4">
      <w:pPr>
        <w:pStyle w:val="len0"/>
        <w:rPr>
          <w:sz w:val="20"/>
          <w:szCs w:val="20"/>
        </w:rPr>
      </w:pPr>
      <w:r>
        <w:rPr>
          <w:bCs/>
          <w:sz w:val="20"/>
          <w:szCs w:val="20"/>
          <w:lang w:val="en-GB"/>
        </w:rPr>
        <w:t>Article 21</w:t>
      </w:r>
    </w:p>
    <w:p w14:paraId="78168DF8" w14:textId="77777777" w:rsidR="00D913B4" w:rsidRPr="00501245" w:rsidRDefault="00D913B4" w:rsidP="00D913B4">
      <w:pPr>
        <w:pStyle w:val="lennaslov0"/>
        <w:rPr>
          <w:rFonts w:cs="Arial"/>
          <w:sz w:val="20"/>
          <w:szCs w:val="20"/>
        </w:rPr>
      </w:pPr>
      <w:r>
        <w:rPr>
          <w:rFonts w:cs="Arial"/>
          <w:bCs/>
          <w:sz w:val="20"/>
          <w:szCs w:val="20"/>
          <w:lang w:val="en-GB"/>
        </w:rPr>
        <w:t>(Entry into force)</w:t>
      </w:r>
    </w:p>
    <w:p w14:paraId="14514C4C" w14:textId="77777777" w:rsidR="00D913B4" w:rsidRPr="00501245" w:rsidRDefault="00D913B4" w:rsidP="00D913B4">
      <w:pPr>
        <w:pStyle w:val="Odstavek"/>
        <w:rPr>
          <w:sz w:val="20"/>
          <w:szCs w:val="20"/>
        </w:rPr>
      </w:pPr>
      <w:r>
        <w:rPr>
          <w:sz w:val="20"/>
          <w:szCs w:val="20"/>
          <w:lang w:val="en-GB"/>
        </w:rPr>
        <w:t>This Decree shall enter into force on the fifteenth day following its publication in the Official Gazette of the Republic of Slovenia.</w:t>
      </w:r>
    </w:p>
    <w:p w14:paraId="0DE8B3FD" w14:textId="77777777" w:rsidR="00D913B4" w:rsidRPr="00501245" w:rsidRDefault="00D913B4" w:rsidP="00D913B4">
      <w:pPr>
        <w:pStyle w:val="Odstavek"/>
        <w:rPr>
          <w:sz w:val="20"/>
          <w:szCs w:val="20"/>
        </w:rPr>
      </w:pPr>
    </w:p>
    <w:p w14:paraId="334DA31D" w14:textId="77777777" w:rsidR="00D913B4" w:rsidRPr="00501245" w:rsidRDefault="00D913B4" w:rsidP="00D913B4">
      <w:pPr>
        <w:pStyle w:val="rta"/>
        <w:rPr>
          <w:rFonts w:cs="Arial"/>
          <w:sz w:val="20"/>
          <w:szCs w:val="20"/>
        </w:rPr>
      </w:pPr>
    </w:p>
    <w:p w14:paraId="44775DD6" w14:textId="77777777" w:rsidR="00D913B4" w:rsidRPr="00501245" w:rsidRDefault="00D913B4" w:rsidP="00D913B4">
      <w:pPr>
        <w:pStyle w:val="Priloga"/>
        <w:rPr>
          <w:rFonts w:cs="Arial"/>
          <w:b/>
          <w:sz w:val="20"/>
          <w:szCs w:val="20"/>
        </w:rPr>
      </w:pPr>
    </w:p>
    <w:p w14:paraId="3257AD77" w14:textId="77777777" w:rsidR="00D913B4" w:rsidRPr="00501245" w:rsidRDefault="00D913B4" w:rsidP="00D913B4">
      <w:pPr>
        <w:rPr>
          <w:rFonts w:cs="Arial"/>
          <w:szCs w:val="20"/>
        </w:rPr>
      </w:pPr>
      <w:r>
        <w:rPr>
          <w:rFonts w:cs="Arial"/>
          <w:szCs w:val="20"/>
          <w:lang w:val="en-GB"/>
        </w:rPr>
        <w:t xml:space="preserve">No </w:t>
      </w:r>
      <w:r>
        <w:rPr>
          <w:rFonts w:cs="Arial"/>
          <w:color w:val="000000"/>
          <w:szCs w:val="20"/>
          <w:lang w:val="en-GB"/>
        </w:rPr>
        <w:t>007-287/2022</w:t>
      </w:r>
    </w:p>
    <w:p w14:paraId="68A67616" w14:textId="77777777" w:rsidR="00D913B4" w:rsidRPr="00501245" w:rsidRDefault="00D913B4" w:rsidP="00D913B4">
      <w:pPr>
        <w:rPr>
          <w:rFonts w:cs="Arial"/>
          <w:szCs w:val="20"/>
        </w:rPr>
      </w:pPr>
      <w:r>
        <w:rPr>
          <w:rFonts w:cs="Arial"/>
          <w:szCs w:val="20"/>
          <w:lang w:val="en-GB"/>
        </w:rPr>
        <w:t>Ljubljana, 21 September 2023</w:t>
      </w:r>
    </w:p>
    <w:p w14:paraId="550D0B40" w14:textId="77777777" w:rsidR="00D913B4" w:rsidRPr="00501245" w:rsidRDefault="00D913B4" w:rsidP="00D913B4">
      <w:pPr>
        <w:rPr>
          <w:rFonts w:cs="Arial"/>
          <w:szCs w:val="20"/>
        </w:rPr>
      </w:pPr>
      <w:r>
        <w:rPr>
          <w:rFonts w:cs="Arial"/>
          <w:szCs w:val="20"/>
          <w:lang w:val="en-GB"/>
        </w:rPr>
        <w:t>EVA 2022-2330-0057</w:t>
      </w:r>
    </w:p>
    <w:p w14:paraId="7075673F" w14:textId="77777777" w:rsidR="00D913B4" w:rsidRPr="00501245" w:rsidRDefault="00C840D0" w:rsidP="00C840D0">
      <w:pPr>
        <w:pStyle w:val="EVA"/>
        <w:tabs>
          <w:tab w:val="clear" w:pos="567"/>
          <w:tab w:val="clear" w:pos="900"/>
          <w:tab w:val="center" w:pos="6521"/>
        </w:tabs>
        <w:spacing w:before="60" w:after="60"/>
        <w:jc w:val="left"/>
        <w:rPr>
          <w:sz w:val="20"/>
          <w:szCs w:val="20"/>
        </w:rPr>
      </w:pPr>
      <w:r>
        <w:rPr>
          <w:sz w:val="20"/>
          <w:szCs w:val="20"/>
          <w:lang w:val="en-GB"/>
        </w:rPr>
        <w:tab/>
        <w:t>Government of the Republic of Slovenia</w:t>
      </w:r>
    </w:p>
    <w:p w14:paraId="6306C349" w14:textId="77777777" w:rsidR="00D913B4" w:rsidRPr="00501245" w:rsidRDefault="00C840D0" w:rsidP="00C840D0">
      <w:pPr>
        <w:pStyle w:val="EVA"/>
        <w:tabs>
          <w:tab w:val="clear" w:pos="567"/>
          <w:tab w:val="clear" w:pos="900"/>
          <w:tab w:val="center" w:pos="6521"/>
        </w:tabs>
        <w:spacing w:before="60" w:after="60"/>
        <w:jc w:val="left"/>
        <w:rPr>
          <w:sz w:val="20"/>
          <w:szCs w:val="20"/>
        </w:rPr>
      </w:pPr>
      <w:r>
        <w:rPr>
          <w:sz w:val="20"/>
          <w:szCs w:val="20"/>
          <w:lang w:val="en-GB"/>
        </w:rPr>
        <w:tab/>
        <w:t>Robert Golob</w:t>
      </w:r>
    </w:p>
    <w:p w14:paraId="157EBAD6" w14:textId="77777777" w:rsidR="00D913B4" w:rsidRPr="00501245" w:rsidRDefault="00C840D0" w:rsidP="00C840D0">
      <w:pPr>
        <w:pStyle w:val="EVA"/>
        <w:tabs>
          <w:tab w:val="clear" w:pos="567"/>
          <w:tab w:val="clear" w:pos="900"/>
          <w:tab w:val="center" w:pos="6521"/>
        </w:tabs>
        <w:spacing w:before="60" w:after="60"/>
        <w:jc w:val="left"/>
        <w:rPr>
          <w:sz w:val="20"/>
          <w:szCs w:val="20"/>
        </w:rPr>
      </w:pPr>
      <w:r>
        <w:rPr>
          <w:sz w:val="20"/>
          <w:szCs w:val="20"/>
          <w:lang w:val="en-GB"/>
        </w:rPr>
        <w:tab/>
        <w:t>Prime Minister</w:t>
      </w:r>
    </w:p>
    <w:p w14:paraId="39D26C20" w14:textId="77777777" w:rsidR="00D913B4" w:rsidRDefault="00C840D0" w:rsidP="00D913B4">
      <w:pPr>
        <w:pStyle w:val="Priloga"/>
        <w:rPr>
          <w:b/>
          <w:bCs/>
          <w:lang w:val="en-GB"/>
        </w:rPr>
      </w:pPr>
      <w:r>
        <w:rPr>
          <w:sz w:val="20"/>
          <w:szCs w:val="20"/>
          <w:lang w:val="en-GB"/>
        </w:rPr>
        <w:br w:type="page"/>
      </w:r>
      <w:r>
        <w:rPr>
          <w:b/>
          <w:bCs/>
          <w:lang w:val="en-GB"/>
        </w:rPr>
        <w:t>Annex 1</w:t>
      </w:r>
    </w:p>
    <w:p w14:paraId="588ACCEF" w14:textId="77777777" w:rsidR="004D55D4" w:rsidRDefault="004D55D4" w:rsidP="004D55D4">
      <w:pPr>
        <w:pStyle w:val="Priloga"/>
        <w:spacing w:before="0" w:after="0" w:line="240" w:lineRule="auto"/>
        <w:rPr>
          <w:b/>
          <w:bCs/>
          <w:lang w:val="en-GB"/>
        </w:rPr>
      </w:pPr>
    </w:p>
    <w:p w14:paraId="5FE4C756" w14:textId="77777777" w:rsidR="004D55D4" w:rsidRDefault="004D55D4" w:rsidP="004D55D4">
      <w:pPr>
        <w:pStyle w:val="Priloga"/>
        <w:spacing w:before="0" w:after="0" w:line="240" w:lineRule="auto"/>
        <w:rPr>
          <w:b/>
          <w:bCs/>
          <w:lang w:val="en-GB"/>
        </w:rPr>
      </w:pPr>
    </w:p>
    <w:p w14:paraId="66C01844" w14:textId="77777777" w:rsidR="004D55D4" w:rsidRPr="004D55D4" w:rsidRDefault="004D55D4" w:rsidP="004D55D4">
      <w:pPr>
        <w:pStyle w:val="Priloga"/>
        <w:spacing w:before="0" w:after="0" w:line="240" w:lineRule="auto"/>
        <w:rPr>
          <w:bCs/>
          <w:lang w:val="en-GB"/>
        </w:rPr>
      </w:pPr>
      <w:r w:rsidRPr="004D55D4">
        <w:rPr>
          <w:bCs/>
          <w:lang w:val="en-GB"/>
        </w:rPr>
        <w:t>Graphic symbol</w:t>
      </w:r>
    </w:p>
    <w:p w14:paraId="726FC35D" w14:textId="77777777" w:rsidR="004D55D4" w:rsidRDefault="004D55D4" w:rsidP="004D55D4">
      <w:pPr>
        <w:pStyle w:val="Priloga"/>
        <w:spacing w:before="0" w:after="0" w:line="240" w:lineRule="auto"/>
        <w:rPr>
          <w:b/>
          <w:bCs/>
          <w:lang w:val="en-GB"/>
        </w:rPr>
      </w:pPr>
      <w:r>
        <w:rPr>
          <w:noProof/>
          <w:lang w:eastAsia="sl-SI"/>
        </w:rPr>
        <w:drawing>
          <wp:inline distT="0" distB="0" distL="0" distR="0" wp14:anchorId="0C9BF789" wp14:editId="01D44508">
            <wp:extent cx="1352550" cy="1228725"/>
            <wp:effectExtent l="0" t="0" r="0" b="9525"/>
            <wp:docPr id="6" name="Slika 6" descr="Graphic symbol with bee in red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Graphic symbol with bee in red square"/>
                    <pic:cNvPicPr/>
                  </pic:nvPicPr>
                  <pic:blipFill>
                    <a:blip r:embed="rId11"/>
                    <a:stretch>
                      <a:fillRect/>
                    </a:stretch>
                  </pic:blipFill>
                  <pic:spPr>
                    <a:xfrm>
                      <a:off x="0" y="0"/>
                      <a:ext cx="1352550" cy="1228725"/>
                    </a:xfrm>
                    <a:prstGeom prst="rect">
                      <a:avLst/>
                    </a:prstGeom>
                  </pic:spPr>
                </pic:pic>
              </a:graphicData>
            </a:graphic>
          </wp:inline>
        </w:drawing>
      </w:r>
    </w:p>
    <w:p w14:paraId="44A6BEBF" w14:textId="77777777" w:rsidR="004D55D4" w:rsidRDefault="004D55D4" w:rsidP="004D55D4">
      <w:pPr>
        <w:pStyle w:val="Priloga"/>
        <w:spacing w:before="0" w:after="0" w:line="240" w:lineRule="auto"/>
        <w:rPr>
          <w:b/>
          <w:bCs/>
          <w:lang w:val="en-GB"/>
        </w:rPr>
      </w:pPr>
    </w:p>
    <w:p w14:paraId="4BF077E2" w14:textId="77777777" w:rsidR="004D55D4" w:rsidRPr="00501245" w:rsidRDefault="004D55D4" w:rsidP="004D55D4">
      <w:pPr>
        <w:pStyle w:val="Priloga"/>
        <w:spacing w:before="0" w:after="0" w:line="240" w:lineRule="auto"/>
        <w:rPr>
          <w:b/>
        </w:rPr>
      </w:pPr>
    </w:p>
    <w:p w14:paraId="6333F26A" w14:textId="77777777" w:rsidR="00D913B4" w:rsidRPr="00501245" w:rsidRDefault="00D913B4" w:rsidP="004D55D4">
      <w:pPr>
        <w:pStyle w:val="Priloga"/>
        <w:spacing w:before="0" w:after="0" w:line="240" w:lineRule="auto"/>
        <w:rPr>
          <w:b/>
        </w:rPr>
      </w:pPr>
    </w:p>
    <w:p w14:paraId="5AE7BA20" w14:textId="77777777" w:rsidR="00D913B4" w:rsidRPr="00501245" w:rsidRDefault="00D913B4" w:rsidP="004D55D4">
      <w:pPr>
        <w:pStyle w:val="Priloga"/>
        <w:spacing w:before="0" w:after="0" w:line="240" w:lineRule="auto"/>
        <w:rPr>
          <w:b/>
        </w:rPr>
      </w:pPr>
    </w:p>
    <w:p w14:paraId="06DC53DE" w14:textId="77777777" w:rsidR="00D913B4" w:rsidRPr="00501245" w:rsidRDefault="00D913B4" w:rsidP="004D55D4">
      <w:pPr>
        <w:pStyle w:val="Priloga"/>
        <w:spacing w:before="0" w:after="0" w:line="240" w:lineRule="auto"/>
        <w:rPr>
          <w:b/>
        </w:rPr>
      </w:pPr>
    </w:p>
    <w:p w14:paraId="4D8A10E3" w14:textId="77777777" w:rsidR="00D913B4" w:rsidRPr="00501245" w:rsidRDefault="00D913B4" w:rsidP="004D55D4">
      <w:pPr>
        <w:pStyle w:val="Priloga"/>
        <w:spacing w:before="0" w:after="0" w:line="240" w:lineRule="auto"/>
        <w:rPr>
          <w:b/>
        </w:rPr>
      </w:pPr>
    </w:p>
    <w:p w14:paraId="44B6B8DE" w14:textId="77777777" w:rsidR="00D913B4" w:rsidRPr="00501245" w:rsidRDefault="00D913B4" w:rsidP="004D55D4">
      <w:pPr>
        <w:pStyle w:val="Priloga"/>
        <w:spacing w:before="0" w:after="0" w:line="240" w:lineRule="auto"/>
        <w:rPr>
          <w:b/>
        </w:rPr>
      </w:pPr>
    </w:p>
    <w:p w14:paraId="30DF05C6" w14:textId="77777777" w:rsidR="004D55D4" w:rsidRDefault="004D55D4">
      <w:pPr>
        <w:spacing w:line="240" w:lineRule="auto"/>
        <w:rPr>
          <w:b/>
          <w:sz w:val="22"/>
          <w:szCs w:val="17"/>
          <w:lang w:val="x-none" w:eastAsia="x-none"/>
        </w:rPr>
      </w:pPr>
      <w:r>
        <w:rPr>
          <w:b/>
        </w:rPr>
        <w:br w:type="page"/>
      </w:r>
    </w:p>
    <w:p w14:paraId="76ED50B2" w14:textId="77777777" w:rsidR="00D913B4" w:rsidRPr="00501245" w:rsidRDefault="00D913B4" w:rsidP="00D913B4">
      <w:pPr>
        <w:pStyle w:val="Priloga"/>
        <w:rPr>
          <w:b/>
        </w:rPr>
      </w:pPr>
      <w:r>
        <w:rPr>
          <w:b/>
          <w:bCs/>
          <w:lang w:val="en-GB"/>
        </w:rPr>
        <w:t>Annex 2</w:t>
      </w:r>
    </w:p>
    <w:p w14:paraId="093DBFB8" w14:textId="77777777" w:rsidR="00D913B4" w:rsidRPr="00501245" w:rsidRDefault="00D913B4" w:rsidP="00D913B4">
      <w:pPr>
        <w:rPr>
          <w:rFonts w:cs="Arial"/>
          <w:b/>
          <w:szCs w:val="22"/>
        </w:rPr>
      </w:pPr>
    </w:p>
    <w:p w14:paraId="20F09D7C" w14:textId="77777777" w:rsidR="00D913B4" w:rsidRPr="00501245" w:rsidRDefault="00D913B4" w:rsidP="00D913B4">
      <w:pPr>
        <w:rPr>
          <w:rFonts w:cs="Arial"/>
          <w:szCs w:val="22"/>
        </w:rPr>
      </w:pPr>
      <w:r>
        <w:rPr>
          <w:rFonts w:cs="Arial"/>
          <w:b/>
          <w:bCs/>
          <w:szCs w:val="22"/>
          <w:lang w:val="en-GB"/>
        </w:rPr>
        <w:t xml:space="preserve">Fees </w:t>
      </w:r>
      <w:r>
        <w:rPr>
          <w:rFonts w:cs="Arial"/>
          <w:szCs w:val="22"/>
          <w:lang w:val="en-GB"/>
        </w:rPr>
        <w:br/>
      </w:r>
    </w:p>
    <w:p w14:paraId="49D654E5" w14:textId="77777777" w:rsidR="00D913B4" w:rsidRPr="00501245" w:rsidRDefault="00D913B4" w:rsidP="00500334">
      <w:pPr>
        <w:jc w:val="both"/>
        <w:rPr>
          <w:rFonts w:cs="Arial"/>
          <w:szCs w:val="22"/>
        </w:rPr>
      </w:pPr>
      <w:r>
        <w:rPr>
          <w:rFonts w:cs="Arial"/>
          <w:szCs w:val="22"/>
          <w:lang w:val="en-GB"/>
        </w:rPr>
        <w:t>I. Costs related to the inclusion or the renewal of inclusion of an active substance in the list of approved active substances if the Republic of Slovenia is the rapporteur Member State (if the Republic of Slovenia is a co-rapporteur Member State, the costs of the work performed shall be up to 30% of the relevant value)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2364"/>
      </w:tblGrid>
      <w:tr w:rsidR="00D913B4" w:rsidRPr="00501245" w14:paraId="44E99C58" w14:textId="77777777" w:rsidTr="00500334">
        <w:tc>
          <w:tcPr>
            <w:tcW w:w="6958" w:type="dxa"/>
            <w:shd w:val="clear" w:color="auto" w:fill="F2F2F2"/>
          </w:tcPr>
          <w:p w14:paraId="3E83AD88" w14:textId="77777777" w:rsidR="00D913B4" w:rsidRPr="00501245" w:rsidRDefault="00D913B4" w:rsidP="000C24C3">
            <w:pPr>
              <w:rPr>
                <w:rFonts w:cs="Arial"/>
                <w:szCs w:val="22"/>
              </w:rPr>
            </w:pPr>
            <w:r>
              <w:rPr>
                <w:rFonts w:cs="Arial"/>
                <w:szCs w:val="22"/>
                <w:lang w:val="en-GB"/>
              </w:rPr>
              <w:t>1. Procedures related to the evaluation of active substances pursuant to Articles 7 to 27, 38 and 56 of Regulation 1107/2009/EC</w:t>
            </w:r>
            <w:r>
              <w:rPr>
                <w:rFonts w:cs="Arial"/>
                <w:szCs w:val="22"/>
                <w:vertAlign w:val="superscript"/>
                <w:lang w:val="en-GB"/>
              </w:rPr>
              <w:t>1</w:t>
            </w:r>
          </w:p>
        </w:tc>
        <w:tc>
          <w:tcPr>
            <w:tcW w:w="2364" w:type="dxa"/>
            <w:shd w:val="clear" w:color="auto" w:fill="F2F2F2"/>
          </w:tcPr>
          <w:p w14:paraId="5CA51A2A" w14:textId="77777777" w:rsidR="00D913B4" w:rsidRPr="00501245" w:rsidRDefault="00D913B4" w:rsidP="000C24C3">
            <w:pPr>
              <w:jc w:val="right"/>
              <w:rPr>
                <w:rFonts w:cs="Arial"/>
                <w:szCs w:val="22"/>
              </w:rPr>
            </w:pPr>
            <w:r>
              <w:rPr>
                <w:rFonts w:cs="Arial"/>
                <w:szCs w:val="22"/>
                <w:lang w:val="en-GB"/>
              </w:rPr>
              <w:t>EUR</w:t>
            </w:r>
          </w:p>
        </w:tc>
      </w:tr>
      <w:tr w:rsidR="00D913B4" w:rsidRPr="00501245" w14:paraId="4941A548" w14:textId="77777777" w:rsidTr="00500334">
        <w:tc>
          <w:tcPr>
            <w:tcW w:w="6958" w:type="dxa"/>
            <w:shd w:val="clear" w:color="auto" w:fill="auto"/>
          </w:tcPr>
          <w:p w14:paraId="511FA2B3" w14:textId="77777777" w:rsidR="00D913B4" w:rsidRPr="00501245" w:rsidRDefault="00D913B4" w:rsidP="000C24C3">
            <w:pPr>
              <w:rPr>
                <w:rFonts w:cs="Arial"/>
                <w:szCs w:val="22"/>
              </w:rPr>
            </w:pPr>
            <w:r>
              <w:rPr>
                <w:rFonts w:cs="Arial"/>
                <w:szCs w:val="22"/>
                <w:lang w:val="en-GB"/>
              </w:rPr>
              <w:t xml:space="preserve">Conduct of the procedure (meetings and additional communication with the applicant) </w:t>
            </w:r>
          </w:p>
        </w:tc>
        <w:tc>
          <w:tcPr>
            <w:tcW w:w="2364" w:type="dxa"/>
            <w:shd w:val="clear" w:color="auto" w:fill="auto"/>
          </w:tcPr>
          <w:p w14:paraId="45B198D9" w14:textId="77777777" w:rsidR="00D913B4" w:rsidRPr="00501245" w:rsidRDefault="00D913B4" w:rsidP="000C24C3">
            <w:pPr>
              <w:jc w:val="right"/>
              <w:rPr>
                <w:rFonts w:cs="Arial"/>
                <w:szCs w:val="22"/>
              </w:rPr>
            </w:pPr>
            <w:r>
              <w:rPr>
                <w:rFonts w:cs="Arial"/>
                <w:szCs w:val="22"/>
                <w:lang w:val="en-GB"/>
              </w:rPr>
              <w:t>up to 6,000.00</w:t>
            </w:r>
          </w:p>
        </w:tc>
      </w:tr>
      <w:tr w:rsidR="00D913B4" w:rsidRPr="00501245" w14:paraId="4510A480" w14:textId="77777777" w:rsidTr="00500334">
        <w:tc>
          <w:tcPr>
            <w:tcW w:w="6958" w:type="dxa"/>
            <w:shd w:val="clear" w:color="auto" w:fill="auto"/>
          </w:tcPr>
          <w:p w14:paraId="766E9CEF" w14:textId="77777777" w:rsidR="00D913B4" w:rsidRPr="00501245" w:rsidRDefault="00D913B4" w:rsidP="000C24C3">
            <w:pPr>
              <w:rPr>
                <w:rFonts w:cs="Arial"/>
                <w:szCs w:val="22"/>
              </w:rPr>
            </w:pPr>
            <w:r>
              <w:rPr>
                <w:rFonts w:cs="Arial"/>
                <w:szCs w:val="22"/>
                <w:lang w:val="en-GB"/>
              </w:rPr>
              <w:t>Dossier completeness check</w:t>
            </w:r>
          </w:p>
        </w:tc>
        <w:tc>
          <w:tcPr>
            <w:tcW w:w="2364" w:type="dxa"/>
            <w:shd w:val="clear" w:color="auto" w:fill="auto"/>
          </w:tcPr>
          <w:p w14:paraId="0C877E9A" w14:textId="77777777" w:rsidR="00D913B4" w:rsidRPr="00501245" w:rsidRDefault="00D913B4" w:rsidP="000C24C3">
            <w:pPr>
              <w:jc w:val="right"/>
              <w:rPr>
                <w:rFonts w:cs="Arial"/>
                <w:szCs w:val="22"/>
              </w:rPr>
            </w:pPr>
            <w:r>
              <w:rPr>
                <w:rFonts w:cs="Arial"/>
                <w:szCs w:val="22"/>
                <w:lang w:val="en-GB"/>
              </w:rPr>
              <w:t>6,000.00</w:t>
            </w:r>
          </w:p>
        </w:tc>
      </w:tr>
      <w:tr w:rsidR="00D913B4" w:rsidRPr="00501245" w14:paraId="35D0DD2A" w14:textId="77777777" w:rsidTr="00500334">
        <w:tc>
          <w:tcPr>
            <w:tcW w:w="6958" w:type="dxa"/>
            <w:shd w:val="clear" w:color="auto" w:fill="auto"/>
          </w:tcPr>
          <w:p w14:paraId="2A839213" w14:textId="77777777" w:rsidR="00D913B4" w:rsidRPr="00501245" w:rsidRDefault="00D913B4" w:rsidP="000C24C3">
            <w:pPr>
              <w:rPr>
                <w:rFonts w:cs="Arial"/>
                <w:szCs w:val="22"/>
              </w:rPr>
            </w:pPr>
            <w:r>
              <w:rPr>
                <w:rFonts w:cs="Arial"/>
                <w:szCs w:val="22"/>
                <w:lang w:val="en-GB"/>
              </w:rPr>
              <w:t>Equivalence assessment within active substance evaluation</w:t>
            </w:r>
            <w:r>
              <w:rPr>
                <w:rFonts w:cs="Arial"/>
                <w:szCs w:val="22"/>
                <w:shd w:val="clear" w:color="auto" w:fill="FFFF00"/>
                <w:lang w:val="en-GB"/>
              </w:rPr>
              <w:t xml:space="preserve"> </w:t>
            </w:r>
          </w:p>
        </w:tc>
        <w:tc>
          <w:tcPr>
            <w:tcW w:w="2364" w:type="dxa"/>
            <w:shd w:val="clear" w:color="auto" w:fill="auto"/>
          </w:tcPr>
          <w:p w14:paraId="1487B8FF" w14:textId="77777777" w:rsidR="00D913B4" w:rsidRPr="00501245" w:rsidRDefault="00D913B4" w:rsidP="000C24C3">
            <w:pPr>
              <w:jc w:val="right"/>
              <w:rPr>
                <w:rFonts w:cs="Arial"/>
                <w:szCs w:val="22"/>
              </w:rPr>
            </w:pPr>
            <w:r>
              <w:rPr>
                <w:rFonts w:cs="Arial"/>
                <w:szCs w:val="22"/>
                <w:lang w:val="en-GB"/>
              </w:rPr>
              <w:t>8,000.00</w:t>
            </w:r>
          </w:p>
        </w:tc>
      </w:tr>
      <w:tr w:rsidR="00D913B4" w:rsidRPr="00501245" w14:paraId="7B6BC75D" w14:textId="77777777" w:rsidTr="00500334">
        <w:tc>
          <w:tcPr>
            <w:tcW w:w="6958" w:type="dxa"/>
            <w:shd w:val="clear" w:color="auto" w:fill="auto"/>
          </w:tcPr>
          <w:p w14:paraId="28C15586" w14:textId="77777777" w:rsidR="00D913B4" w:rsidRPr="00501245" w:rsidRDefault="00D913B4" w:rsidP="000C24C3">
            <w:pPr>
              <w:rPr>
                <w:rFonts w:cs="Arial"/>
                <w:szCs w:val="22"/>
              </w:rPr>
            </w:pPr>
            <w:r>
              <w:rPr>
                <w:rFonts w:cs="Arial"/>
                <w:szCs w:val="22"/>
                <w:lang w:val="en-GB"/>
              </w:rPr>
              <w:t xml:space="preserve">Assessment of physical and chemical properties and analytical methods </w:t>
            </w:r>
          </w:p>
        </w:tc>
        <w:tc>
          <w:tcPr>
            <w:tcW w:w="2364" w:type="dxa"/>
          </w:tcPr>
          <w:p w14:paraId="1BFAB12D" w14:textId="77777777" w:rsidR="00D913B4" w:rsidRPr="00501245" w:rsidRDefault="00D913B4" w:rsidP="000C24C3">
            <w:pPr>
              <w:jc w:val="right"/>
              <w:rPr>
                <w:rFonts w:cs="Arial"/>
                <w:szCs w:val="22"/>
              </w:rPr>
            </w:pPr>
            <w:r>
              <w:rPr>
                <w:rFonts w:cs="Arial"/>
                <w:szCs w:val="22"/>
                <w:lang w:val="en-GB"/>
              </w:rPr>
              <w:t>14,863.00</w:t>
            </w:r>
          </w:p>
        </w:tc>
      </w:tr>
      <w:tr w:rsidR="00D913B4" w:rsidRPr="00501245" w14:paraId="104184EA" w14:textId="77777777" w:rsidTr="00500334">
        <w:tc>
          <w:tcPr>
            <w:tcW w:w="6958" w:type="dxa"/>
            <w:shd w:val="clear" w:color="auto" w:fill="auto"/>
          </w:tcPr>
          <w:p w14:paraId="70CC2794" w14:textId="77777777" w:rsidR="00D913B4" w:rsidRPr="00501245" w:rsidRDefault="00D913B4" w:rsidP="000C24C3">
            <w:pPr>
              <w:rPr>
                <w:rFonts w:cs="Arial"/>
                <w:szCs w:val="22"/>
              </w:rPr>
            </w:pPr>
            <w:r>
              <w:rPr>
                <w:rFonts w:cs="Arial"/>
                <w:szCs w:val="22"/>
                <w:lang w:val="en-GB"/>
              </w:rPr>
              <w:t xml:space="preserve">Assessment of toxicological and metabolism studies </w:t>
            </w:r>
          </w:p>
        </w:tc>
        <w:tc>
          <w:tcPr>
            <w:tcW w:w="2364" w:type="dxa"/>
          </w:tcPr>
          <w:p w14:paraId="63174F13" w14:textId="77777777" w:rsidR="00D913B4" w:rsidRPr="00501245" w:rsidRDefault="00D913B4" w:rsidP="000C24C3">
            <w:pPr>
              <w:jc w:val="right"/>
              <w:rPr>
                <w:rFonts w:cs="Arial"/>
                <w:szCs w:val="22"/>
              </w:rPr>
            </w:pPr>
            <w:r>
              <w:rPr>
                <w:rFonts w:cs="Arial"/>
                <w:szCs w:val="22"/>
                <w:lang w:val="en-GB"/>
              </w:rPr>
              <w:t>35,434.00</w:t>
            </w:r>
          </w:p>
        </w:tc>
      </w:tr>
      <w:tr w:rsidR="00D913B4" w:rsidRPr="00501245" w14:paraId="5E8CFCA9" w14:textId="77777777" w:rsidTr="00500334">
        <w:tc>
          <w:tcPr>
            <w:tcW w:w="6958" w:type="dxa"/>
            <w:shd w:val="clear" w:color="auto" w:fill="auto"/>
          </w:tcPr>
          <w:p w14:paraId="3C94C5E5" w14:textId="77777777" w:rsidR="00D913B4" w:rsidRPr="00501245" w:rsidRDefault="00D913B4" w:rsidP="000C24C3">
            <w:pPr>
              <w:rPr>
                <w:rFonts w:cs="Arial"/>
                <w:szCs w:val="22"/>
              </w:rPr>
            </w:pPr>
            <w:r>
              <w:rPr>
                <w:rFonts w:cs="Arial"/>
                <w:szCs w:val="22"/>
                <w:lang w:val="en-GB"/>
              </w:rPr>
              <w:t xml:space="preserve">Assessment of residues in or on food and feed </w:t>
            </w:r>
          </w:p>
        </w:tc>
        <w:tc>
          <w:tcPr>
            <w:tcW w:w="2364" w:type="dxa"/>
          </w:tcPr>
          <w:p w14:paraId="3278C792" w14:textId="77777777" w:rsidR="00D913B4" w:rsidRPr="00501245" w:rsidRDefault="00D913B4" w:rsidP="000C24C3">
            <w:pPr>
              <w:jc w:val="right"/>
              <w:rPr>
                <w:rFonts w:cs="Arial"/>
                <w:szCs w:val="22"/>
              </w:rPr>
            </w:pPr>
            <w:r>
              <w:rPr>
                <w:rFonts w:cs="Arial"/>
                <w:szCs w:val="22"/>
                <w:lang w:val="en-GB"/>
              </w:rPr>
              <w:t>17,934.00</w:t>
            </w:r>
          </w:p>
        </w:tc>
      </w:tr>
      <w:tr w:rsidR="00D913B4" w:rsidRPr="00501245" w14:paraId="2A4E980E" w14:textId="77777777" w:rsidTr="00500334">
        <w:tc>
          <w:tcPr>
            <w:tcW w:w="6958" w:type="dxa"/>
            <w:shd w:val="clear" w:color="auto" w:fill="auto"/>
          </w:tcPr>
          <w:p w14:paraId="61C5CA51" w14:textId="77777777" w:rsidR="00D913B4" w:rsidRPr="00501245" w:rsidRDefault="00D913B4" w:rsidP="000C24C3">
            <w:pPr>
              <w:rPr>
                <w:rFonts w:cs="Arial"/>
                <w:szCs w:val="22"/>
              </w:rPr>
            </w:pPr>
            <w:r>
              <w:rPr>
                <w:rFonts w:cs="Arial"/>
                <w:szCs w:val="22"/>
                <w:lang w:val="en-GB"/>
              </w:rPr>
              <w:t xml:space="preserve">Assessment of behaviour in the environment </w:t>
            </w:r>
          </w:p>
        </w:tc>
        <w:tc>
          <w:tcPr>
            <w:tcW w:w="2364" w:type="dxa"/>
          </w:tcPr>
          <w:p w14:paraId="7BEF66FB" w14:textId="77777777" w:rsidR="00D913B4" w:rsidRPr="00501245" w:rsidRDefault="00D913B4" w:rsidP="000C24C3">
            <w:pPr>
              <w:jc w:val="right"/>
              <w:rPr>
                <w:rFonts w:cs="Arial"/>
                <w:szCs w:val="22"/>
              </w:rPr>
            </w:pPr>
            <w:r>
              <w:rPr>
                <w:rFonts w:cs="Arial"/>
                <w:szCs w:val="22"/>
                <w:lang w:val="en-GB"/>
              </w:rPr>
              <w:t>23,512.00</w:t>
            </w:r>
          </w:p>
        </w:tc>
      </w:tr>
      <w:tr w:rsidR="00D913B4" w:rsidRPr="00501245" w14:paraId="2192821D" w14:textId="77777777" w:rsidTr="00500334">
        <w:tc>
          <w:tcPr>
            <w:tcW w:w="6958" w:type="dxa"/>
            <w:shd w:val="clear" w:color="auto" w:fill="auto"/>
          </w:tcPr>
          <w:p w14:paraId="242C2814" w14:textId="77777777" w:rsidR="00D913B4" w:rsidRPr="00501245" w:rsidRDefault="00D913B4" w:rsidP="000C24C3">
            <w:pPr>
              <w:rPr>
                <w:rFonts w:cs="Arial"/>
                <w:szCs w:val="22"/>
              </w:rPr>
            </w:pPr>
            <w:r>
              <w:rPr>
                <w:rFonts w:cs="Arial"/>
                <w:szCs w:val="22"/>
                <w:lang w:val="en-GB"/>
              </w:rPr>
              <w:t xml:space="preserve">Assessment of ecotoxicological studies </w:t>
            </w:r>
          </w:p>
        </w:tc>
        <w:tc>
          <w:tcPr>
            <w:tcW w:w="2364" w:type="dxa"/>
          </w:tcPr>
          <w:p w14:paraId="4D0A5CAF" w14:textId="77777777" w:rsidR="00D913B4" w:rsidRPr="00501245" w:rsidRDefault="00D913B4" w:rsidP="000C24C3">
            <w:pPr>
              <w:jc w:val="right"/>
              <w:rPr>
                <w:rFonts w:cs="Arial"/>
                <w:szCs w:val="22"/>
              </w:rPr>
            </w:pPr>
            <w:r>
              <w:rPr>
                <w:rFonts w:cs="Arial"/>
                <w:szCs w:val="22"/>
                <w:lang w:val="en-GB"/>
              </w:rPr>
              <w:t>32,024.00</w:t>
            </w:r>
          </w:p>
        </w:tc>
      </w:tr>
      <w:tr w:rsidR="00D913B4" w:rsidRPr="00501245" w14:paraId="64ADCFF8" w14:textId="77777777" w:rsidTr="00500334">
        <w:tc>
          <w:tcPr>
            <w:tcW w:w="6958" w:type="dxa"/>
            <w:shd w:val="clear" w:color="auto" w:fill="auto"/>
          </w:tcPr>
          <w:p w14:paraId="0C965287" w14:textId="77777777" w:rsidR="00D913B4" w:rsidRPr="00501245" w:rsidRDefault="00D913B4" w:rsidP="000C24C3">
            <w:pPr>
              <w:rPr>
                <w:rFonts w:cs="Arial"/>
                <w:szCs w:val="22"/>
              </w:rPr>
            </w:pPr>
            <w:r>
              <w:rPr>
                <w:rFonts w:cs="Arial"/>
                <w:szCs w:val="22"/>
                <w:lang w:val="en-GB"/>
              </w:rPr>
              <w:t xml:space="preserve">Assessment of data on efficacy </w:t>
            </w:r>
          </w:p>
        </w:tc>
        <w:tc>
          <w:tcPr>
            <w:tcW w:w="2364" w:type="dxa"/>
          </w:tcPr>
          <w:p w14:paraId="7DE8BD29" w14:textId="77777777" w:rsidR="00D913B4" w:rsidRPr="00501245" w:rsidRDefault="00D913B4" w:rsidP="000C24C3">
            <w:pPr>
              <w:jc w:val="right"/>
              <w:rPr>
                <w:rFonts w:cs="Arial"/>
                <w:szCs w:val="22"/>
              </w:rPr>
            </w:pPr>
            <w:r>
              <w:rPr>
                <w:rFonts w:cs="Arial"/>
                <w:szCs w:val="22"/>
                <w:lang w:val="en-GB"/>
              </w:rPr>
              <w:t>4,054.00</w:t>
            </w:r>
          </w:p>
        </w:tc>
      </w:tr>
      <w:tr w:rsidR="00D913B4" w:rsidRPr="00501245" w14:paraId="73A49F4E" w14:textId="77777777" w:rsidTr="00500334">
        <w:tc>
          <w:tcPr>
            <w:tcW w:w="6958" w:type="dxa"/>
            <w:shd w:val="clear" w:color="auto" w:fill="auto"/>
          </w:tcPr>
          <w:p w14:paraId="7B104384" w14:textId="77777777" w:rsidR="00D913B4" w:rsidRPr="00501245" w:rsidRDefault="00D913B4" w:rsidP="000C24C3">
            <w:pPr>
              <w:rPr>
                <w:rFonts w:cs="Arial"/>
                <w:szCs w:val="22"/>
              </w:rPr>
            </w:pPr>
            <w:r>
              <w:rPr>
                <w:rFonts w:cs="Arial"/>
                <w:szCs w:val="22"/>
                <w:lang w:val="en-GB"/>
              </w:rPr>
              <w:t xml:space="preserve">Draft assessment report </w:t>
            </w:r>
          </w:p>
        </w:tc>
        <w:tc>
          <w:tcPr>
            <w:tcW w:w="2364" w:type="dxa"/>
          </w:tcPr>
          <w:p w14:paraId="39FB2AC5" w14:textId="77777777" w:rsidR="00D913B4" w:rsidRPr="00501245" w:rsidRDefault="00D913B4" w:rsidP="000C24C3">
            <w:pPr>
              <w:jc w:val="right"/>
              <w:rPr>
                <w:rFonts w:cs="Arial"/>
                <w:szCs w:val="22"/>
              </w:rPr>
            </w:pPr>
            <w:r>
              <w:rPr>
                <w:rFonts w:cs="Arial"/>
                <w:szCs w:val="22"/>
                <w:lang w:val="en-GB"/>
              </w:rPr>
              <w:t>5,000.00</w:t>
            </w:r>
          </w:p>
        </w:tc>
      </w:tr>
      <w:tr w:rsidR="00D913B4" w:rsidRPr="00501245" w14:paraId="42E29CB2" w14:textId="77777777" w:rsidTr="00500334">
        <w:tc>
          <w:tcPr>
            <w:tcW w:w="6958" w:type="dxa"/>
            <w:shd w:val="clear" w:color="auto" w:fill="auto"/>
          </w:tcPr>
          <w:p w14:paraId="0D806814" w14:textId="77777777" w:rsidR="00D913B4" w:rsidRPr="00501245" w:rsidRDefault="00D913B4" w:rsidP="000C24C3">
            <w:pPr>
              <w:rPr>
                <w:rFonts w:cs="Arial"/>
                <w:szCs w:val="22"/>
              </w:rPr>
            </w:pPr>
            <w:r>
              <w:rPr>
                <w:rFonts w:cs="Arial"/>
                <w:szCs w:val="22"/>
                <w:lang w:val="en-GB"/>
              </w:rPr>
              <w:t xml:space="preserve">TOTAL </w:t>
            </w:r>
          </w:p>
        </w:tc>
        <w:tc>
          <w:tcPr>
            <w:tcW w:w="2364" w:type="dxa"/>
          </w:tcPr>
          <w:p w14:paraId="12257ABF" w14:textId="77777777" w:rsidR="00D913B4" w:rsidRPr="00501245" w:rsidRDefault="00D913B4" w:rsidP="000C24C3">
            <w:pPr>
              <w:jc w:val="right"/>
              <w:rPr>
                <w:rFonts w:cs="Arial"/>
                <w:szCs w:val="22"/>
              </w:rPr>
            </w:pPr>
            <w:r>
              <w:rPr>
                <w:rFonts w:cs="Arial"/>
                <w:szCs w:val="22"/>
                <w:lang w:val="en-GB"/>
              </w:rPr>
              <w:t>152,821.00</w:t>
            </w:r>
          </w:p>
        </w:tc>
      </w:tr>
      <w:tr w:rsidR="00D913B4" w:rsidRPr="00501245" w14:paraId="0C0FF5D2" w14:textId="77777777" w:rsidTr="00500334">
        <w:tc>
          <w:tcPr>
            <w:tcW w:w="6958" w:type="dxa"/>
            <w:shd w:val="clear" w:color="auto" w:fill="auto"/>
          </w:tcPr>
          <w:p w14:paraId="0AA2320F" w14:textId="77777777" w:rsidR="00D913B4" w:rsidRPr="00501245" w:rsidRDefault="00D913B4" w:rsidP="000C24C3">
            <w:pPr>
              <w:rPr>
                <w:rFonts w:cs="Arial"/>
                <w:szCs w:val="22"/>
              </w:rPr>
            </w:pPr>
            <w:r>
              <w:rPr>
                <w:rFonts w:cs="Arial"/>
                <w:szCs w:val="22"/>
                <w:lang w:val="en-GB"/>
              </w:rPr>
              <w:t>Assessment of additional studies requested by EFSA in the procedure for evaluating an active substance</w:t>
            </w:r>
          </w:p>
        </w:tc>
        <w:tc>
          <w:tcPr>
            <w:tcW w:w="2364" w:type="dxa"/>
          </w:tcPr>
          <w:p w14:paraId="0B671151" w14:textId="77777777" w:rsidR="00D913B4" w:rsidRPr="00501245" w:rsidRDefault="00D913B4" w:rsidP="000C24C3">
            <w:pPr>
              <w:jc w:val="right"/>
              <w:rPr>
                <w:rFonts w:cs="Arial"/>
                <w:szCs w:val="22"/>
              </w:rPr>
            </w:pPr>
            <w:r>
              <w:rPr>
                <w:rFonts w:cs="Arial"/>
                <w:szCs w:val="22"/>
                <w:lang w:val="en-GB"/>
              </w:rPr>
              <w:t>up to 3,000.00</w:t>
            </w:r>
          </w:p>
        </w:tc>
      </w:tr>
      <w:tr w:rsidR="00D913B4" w:rsidRPr="00501245" w14:paraId="34E3E0FE" w14:textId="77777777" w:rsidTr="00500334">
        <w:tc>
          <w:tcPr>
            <w:tcW w:w="6958" w:type="dxa"/>
            <w:shd w:val="clear" w:color="auto" w:fill="auto"/>
          </w:tcPr>
          <w:p w14:paraId="5B561EE7" w14:textId="77777777" w:rsidR="00D913B4" w:rsidRPr="00501245" w:rsidRDefault="00D913B4" w:rsidP="000C24C3">
            <w:pPr>
              <w:rPr>
                <w:rFonts w:cs="Arial"/>
                <w:szCs w:val="22"/>
              </w:rPr>
            </w:pPr>
            <w:r>
              <w:rPr>
                <w:rFonts w:cs="Arial"/>
                <w:szCs w:val="22"/>
                <w:lang w:val="en-GB"/>
              </w:rPr>
              <w:t>Assessment of confirmatory data</w:t>
            </w:r>
          </w:p>
        </w:tc>
        <w:tc>
          <w:tcPr>
            <w:tcW w:w="2364" w:type="dxa"/>
          </w:tcPr>
          <w:p w14:paraId="11EC64CE" w14:textId="77777777" w:rsidR="00D913B4" w:rsidRPr="00501245" w:rsidRDefault="00D913B4" w:rsidP="000C24C3">
            <w:pPr>
              <w:jc w:val="right"/>
              <w:rPr>
                <w:rFonts w:cs="Arial"/>
                <w:szCs w:val="22"/>
              </w:rPr>
            </w:pPr>
            <w:r>
              <w:rPr>
                <w:rFonts w:cs="Arial"/>
                <w:szCs w:val="22"/>
                <w:lang w:val="en-GB"/>
              </w:rPr>
              <w:t>up to 8,000.00</w:t>
            </w:r>
          </w:p>
        </w:tc>
      </w:tr>
    </w:tbl>
    <w:p w14:paraId="253B45EB" w14:textId="77777777" w:rsidR="00D913B4" w:rsidRPr="00501245" w:rsidRDefault="00D913B4" w:rsidP="00D913B4">
      <w:pPr>
        <w:rPr>
          <w:rFonts w:cs="Arial"/>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410"/>
      </w:tblGrid>
      <w:tr w:rsidR="00D913B4" w:rsidRPr="00501245" w14:paraId="1B71CAE4" w14:textId="77777777" w:rsidTr="00500334">
        <w:tc>
          <w:tcPr>
            <w:tcW w:w="6912" w:type="dxa"/>
            <w:shd w:val="clear" w:color="auto" w:fill="F2F2F2"/>
          </w:tcPr>
          <w:p w14:paraId="6DF61372" w14:textId="77777777" w:rsidR="00D913B4" w:rsidRPr="00501245" w:rsidRDefault="00D913B4" w:rsidP="000C24C3">
            <w:pPr>
              <w:rPr>
                <w:rFonts w:cs="Arial"/>
                <w:szCs w:val="22"/>
              </w:rPr>
            </w:pPr>
            <w:r>
              <w:rPr>
                <w:rFonts w:cs="Arial"/>
                <w:szCs w:val="22"/>
                <w:lang w:val="en-GB"/>
              </w:rPr>
              <w:t>2. Equivalence assessment procedures pursuant to Article 38 of Regulation 1107/2009/EC</w:t>
            </w:r>
          </w:p>
        </w:tc>
        <w:tc>
          <w:tcPr>
            <w:tcW w:w="2410" w:type="dxa"/>
            <w:shd w:val="clear" w:color="auto" w:fill="F2F2F2"/>
          </w:tcPr>
          <w:p w14:paraId="1454FCC5" w14:textId="77777777" w:rsidR="00D913B4" w:rsidRPr="00501245" w:rsidRDefault="00D913B4" w:rsidP="000C24C3">
            <w:pPr>
              <w:jc w:val="right"/>
              <w:rPr>
                <w:rFonts w:cs="Arial"/>
                <w:szCs w:val="22"/>
              </w:rPr>
            </w:pPr>
            <w:r>
              <w:rPr>
                <w:rFonts w:cs="Arial"/>
                <w:szCs w:val="22"/>
                <w:lang w:val="en-GB"/>
              </w:rPr>
              <w:t>EUR</w:t>
            </w:r>
          </w:p>
        </w:tc>
      </w:tr>
      <w:tr w:rsidR="00D913B4" w:rsidRPr="00501245" w14:paraId="2EA81CB5" w14:textId="77777777" w:rsidTr="00500334">
        <w:tc>
          <w:tcPr>
            <w:tcW w:w="6912" w:type="dxa"/>
            <w:shd w:val="clear" w:color="auto" w:fill="auto"/>
          </w:tcPr>
          <w:p w14:paraId="77813E94" w14:textId="77777777" w:rsidR="00D913B4" w:rsidRPr="00501245" w:rsidRDefault="00D913B4" w:rsidP="000C24C3">
            <w:pPr>
              <w:rPr>
                <w:rFonts w:cs="Arial"/>
                <w:szCs w:val="22"/>
              </w:rPr>
            </w:pPr>
            <w:r>
              <w:rPr>
                <w:rFonts w:cs="Arial"/>
                <w:szCs w:val="22"/>
                <w:lang w:val="en-GB"/>
              </w:rPr>
              <w:t xml:space="preserve">Equivalence assessment (Tier I, Tier II) </w:t>
            </w:r>
          </w:p>
        </w:tc>
        <w:tc>
          <w:tcPr>
            <w:tcW w:w="2410" w:type="dxa"/>
            <w:shd w:val="clear" w:color="auto" w:fill="auto"/>
          </w:tcPr>
          <w:p w14:paraId="344AA4FC" w14:textId="77777777" w:rsidR="00D913B4" w:rsidRPr="00501245" w:rsidRDefault="00D913B4" w:rsidP="000C24C3">
            <w:pPr>
              <w:jc w:val="right"/>
              <w:rPr>
                <w:rFonts w:cs="Arial"/>
                <w:szCs w:val="22"/>
              </w:rPr>
            </w:pPr>
            <w:r>
              <w:rPr>
                <w:rFonts w:cs="Arial"/>
                <w:szCs w:val="22"/>
                <w:lang w:val="en-GB"/>
              </w:rPr>
              <w:t>up to 6,500.00</w:t>
            </w:r>
          </w:p>
        </w:tc>
      </w:tr>
    </w:tbl>
    <w:p w14:paraId="02621856" w14:textId="77777777" w:rsidR="00D913B4" w:rsidRPr="00501245" w:rsidRDefault="00D913B4" w:rsidP="00D913B4">
      <w:pPr>
        <w:rPr>
          <w:rFonts w:cs="Arial"/>
          <w:szCs w:val="22"/>
        </w:rPr>
      </w:pPr>
    </w:p>
    <w:p w14:paraId="084C40C9" w14:textId="77777777" w:rsidR="00D913B4" w:rsidRPr="00501245" w:rsidRDefault="00D913B4" w:rsidP="00D913B4">
      <w:pPr>
        <w:rPr>
          <w:rFonts w:cs="Arial"/>
          <w:szCs w:val="22"/>
        </w:rPr>
      </w:pPr>
    </w:p>
    <w:p w14:paraId="705E1292" w14:textId="77777777" w:rsidR="00D913B4" w:rsidRPr="00501245" w:rsidRDefault="00D913B4" w:rsidP="00D913B4">
      <w:pPr>
        <w:rPr>
          <w:rFonts w:cs="Arial"/>
          <w:szCs w:val="22"/>
        </w:rPr>
      </w:pPr>
      <w:r>
        <w:rPr>
          <w:rFonts w:cs="Arial"/>
          <w:szCs w:val="22"/>
          <w:lang w:val="en-GB"/>
        </w:rPr>
        <w:t xml:space="preserve">II. Costs related to a zonal PPP authorisation if the Republic of Slovenia is the Member State examining the </w:t>
      </w:r>
      <w:proofErr w:type="gramStart"/>
      <w:r>
        <w:rPr>
          <w:rFonts w:cs="Arial"/>
          <w:szCs w:val="22"/>
          <w:lang w:val="en-GB"/>
        </w:rPr>
        <w:t>application</w:t>
      </w:r>
      <w:proofErr w:type="gram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D913B4" w:rsidRPr="00501245" w14:paraId="6D1CFB45" w14:textId="77777777" w:rsidTr="000C24C3">
        <w:tc>
          <w:tcPr>
            <w:tcW w:w="7479" w:type="dxa"/>
            <w:shd w:val="clear" w:color="auto" w:fill="F2F2F2"/>
          </w:tcPr>
          <w:p w14:paraId="63FB5AAC" w14:textId="77777777" w:rsidR="00D913B4" w:rsidRPr="00501245" w:rsidRDefault="00D913B4" w:rsidP="000C24C3">
            <w:pPr>
              <w:rPr>
                <w:rFonts w:cs="Arial"/>
                <w:szCs w:val="22"/>
              </w:rPr>
            </w:pPr>
            <w:r>
              <w:rPr>
                <w:rFonts w:cs="Arial"/>
                <w:szCs w:val="22"/>
                <w:lang w:val="en-GB"/>
              </w:rPr>
              <w:t>1. Authorisation and extension and amendment of authorisation of a PPP with one active substance based on an application submitted under Articles 33, 43, 48 and 56 of Regulation 1107/2009/EC if the application is examined by the Republic of Slovenia</w:t>
            </w:r>
            <w:r>
              <w:rPr>
                <w:rFonts w:cs="Arial"/>
                <w:szCs w:val="22"/>
                <w:vertAlign w:val="superscript"/>
                <w:lang w:val="en-GB"/>
              </w:rPr>
              <w:t>2,3,4</w:t>
            </w:r>
          </w:p>
        </w:tc>
        <w:tc>
          <w:tcPr>
            <w:tcW w:w="1843" w:type="dxa"/>
            <w:shd w:val="clear" w:color="auto" w:fill="F2F2F2"/>
          </w:tcPr>
          <w:p w14:paraId="3CD25BEA" w14:textId="77777777" w:rsidR="00D913B4" w:rsidRPr="00501245" w:rsidRDefault="00D913B4" w:rsidP="000C24C3">
            <w:pPr>
              <w:jc w:val="right"/>
              <w:rPr>
                <w:rFonts w:cs="Arial"/>
                <w:szCs w:val="22"/>
              </w:rPr>
            </w:pPr>
            <w:r>
              <w:rPr>
                <w:rFonts w:cs="Arial"/>
                <w:szCs w:val="22"/>
                <w:lang w:val="en-GB"/>
              </w:rPr>
              <w:t>EUR</w:t>
            </w:r>
          </w:p>
        </w:tc>
      </w:tr>
      <w:tr w:rsidR="00D913B4" w:rsidRPr="00501245" w14:paraId="7377788F" w14:textId="77777777" w:rsidTr="000C24C3">
        <w:tc>
          <w:tcPr>
            <w:tcW w:w="7479" w:type="dxa"/>
            <w:shd w:val="clear" w:color="auto" w:fill="auto"/>
          </w:tcPr>
          <w:p w14:paraId="0BE0690D" w14:textId="77777777" w:rsidR="00D913B4" w:rsidRPr="00501245" w:rsidRDefault="00D913B4" w:rsidP="000C24C3">
            <w:pPr>
              <w:rPr>
                <w:rFonts w:cs="Arial"/>
                <w:szCs w:val="22"/>
              </w:rPr>
            </w:pPr>
            <w:r>
              <w:rPr>
                <w:rFonts w:cs="Arial"/>
                <w:szCs w:val="22"/>
                <w:lang w:val="en-GB"/>
              </w:rPr>
              <w:t xml:space="preserve">Conduct of the procedure (meetings and additional communication with the applicant) </w:t>
            </w:r>
          </w:p>
        </w:tc>
        <w:tc>
          <w:tcPr>
            <w:tcW w:w="1843" w:type="dxa"/>
          </w:tcPr>
          <w:p w14:paraId="3B2AC940" w14:textId="77777777" w:rsidR="00D913B4" w:rsidRPr="00501245" w:rsidRDefault="00D913B4" w:rsidP="000C24C3">
            <w:pPr>
              <w:jc w:val="right"/>
              <w:rPr>
                <w:rFonts w:cs="Arial"/>
                <w:szCs w:val="22"/>
              </w:rPr>
            </w:pPr>
            <w:r>
              <w:rPr>
                <w:rFonts w:cs="Arial"/>
                <w:szCs w:val="22"/>
                <w:lang w:val="en-GB"/>
              </w:rPr>
              <w:t>up to 3,000.00</w:t>
            </w:r>
          </w:p>
        </w:tc>
      </w:tr>
      <w:tr w:rsidR="00D913B4" w:rsidRPr="00501245" w14:paraId="4192B89D" w14:textId="77777777" w:rsidTr="000C24C3">
        <w:tc>
          <w:tcPr>
            <w:tcW w:w="7479" w:type="dxa"/>
            <w:shd w:val="clear" w:color="auto" w:fill="auto"/>
          </w:tcPr>
          <w:p w14:paraId="4958FDC2" w14:textId="77777777" w:rsidR="00D913B4" w:rsidRPr="00501245" w:rsidRDefault="00D913B4" w:rsidP="000C24C3">
            <w:pPr>
              <w:rPr>
                <w:rFonts w:cs="Arial"/>
                <w:szCs w:val="22"/>
              </w:rPr>
            </w:pPr>
            <w:r>
              <w:rPr>
                <w:rFonts w:cs="Arial"/>
                <w:szCs w:val="22"/>
                <w:lang w:val="en-GB"/>
              </w:rPr>
              <w:t xml:space="preserve">Dossier completeness check </w:t>
            </w:r>
          </w:p>
        </w:tc>
        <w:tc>
          <w:tcPr>
            <w:tcW w:w="1843" w:type="dxa"/>
          </w:tcPr>
          <w:p w14:paraId="760BE665" w14:textId="77777777" w:rsidR="00D913B4" w:rsidRPr="00501245" w:rsidRDefault="00D913B4" w:rsidP="000C24C3">
            <w:pPr>
              <w:jc w:val="right"/>
              <w:rPr>
                <w:rFonts w:cs="Arial"/>
                <w:szCs w:val="22"/>
              </w:rPr>
            </w:pPr>
            <w:r>
              <w:rPr>
                <w:rFonts w:cs="Arial"/>
                <w:szCs w:val="22"/>
                <w:lang w:val="en-GB"/>
              </w:rPr>
              <w:t>up to 4,200.00</w:t>
            </w:r>
          </w:p>
        </w:tc>
      </w:tr>
      <w:tr w:rsidR="00D913B4" w:rsidRPr="00501245" w14:paraId="713DB0BD" w14:textId="77777777" w:rsidTr="000C24C3">
        <w:tc>
          <w:tcPr>
            <w:tcW w:w="7479" w:type="dxa"/>
            <w:shd w:val="clear" w:color="auto" w:fill="auto"/>
          </w:tcPr>
          <w:p w14:paraId="34C125B2" w14:textId="77777777" w:rsidR="00D913B4" w:rsidRPr="00501245" w:rsidRDefault="00D913B4" w:rsidP="000C24C3">
            <w:pPr>
              <w:rPr>
                <w:rFonts w:cs="Arial"/>
                <w:szCs w:val="22"/>
              </w:rPr>
            </w:pPr>
            <w:r>
              <w:rPr>
                <w:rFonts w:cs="Arial"/>
                <w:szCs w:val="22"/>
                <w:lang w:val="en-GB"/>
              </w:rPr>
              <w:t xml:space="preserve">Assessment of physical and chemical properties and analytical methods </w:t>
            </w:r>
          </w:p>
        </w:tc>
        <w:tc>
          <w:tcPr>
            <w:tcW w:w="1843" w:type="dxa"/>
          </w:tcPr>
          <w:p w14:paraId="70CFDC27" w14:textId="77777777" w:rsidR="00D913B4" w:rsidRPr="00501245" w:rsidRDefault="00D913B4" w:rsidP="000C24C3">
            <w:pPr>
              <w:jc w:val="right"/>
              <w:rPr>
                <w:rFonts w:cs="Arial"/>
                <w:szCs w:val="22"/>
              </w:rPr>
            </w:pPr>
            <w:r>
              <w:rPr>
                <w:rFonts w:cs="Arial"/>
                <w:szCs w:val="22"/>
                <w:lang w:val="en-GB"/>
              </w:rPr>
              <w:t>2,500.00</w:t>
            </w:r>
          </w:p>
        </w:tc>
      </w:tr>
      <w:tr w:rsidR="00D913B4" w:rsidRPr="00501245" w14:paraId="2A487E18" w14:textId="77777777" w:rsidTr="000C24C3">
        <w:tc>
          <w:tcPr>
            <w:tcW w:w="7479" w:type="dxa"/>
            <w:shd w:val="clear" w:color="auto" w:fill="auto"/>
          </w:tcPr>
          <w:p w14:paraId="66B22424" w14:textId="77777777" w:rsidR="00D913B4" w:rsidRPr="00501245" w:rsidRDefault="00D913B4" w:rsidP="000C24C3">
            <w:pPr>
              <w:rPr>
                <w:rFonts w:cs="Arial"/>
                <w:szCs w:val="22"/>
              </w:rPr>
            </w:pPr>
            <w:r>
              <w:rPr>
                <w:rFonts w:cs="Arial"/>
                <w:szCs w:val="22"/>
                <w:lang w:val="en-GB"/>
              </w:rPr>
              <w:t xml:space="preserve">Assessment of toxicological and metabolism studies </w:t>
            </w:r>
          </w:p>
        </w:tc>
        <w:tc>
          <w:tcPr>
            <w:tcW w:w="1843" w:type="dxa"/>
          </w:tcPr>
          <w:p w14:paraId="5B215F0E" w14:textId="77777777" w:rsidR="00D913B4" w:rsidRPr="00501245" w:rsidRDefault="00D913B4" w:rsidP="000C24C3">
            <w:pPr>
              <w:jc w:val="right"/>
              <w:rPr>
                <w:rFonts w:cs="Arial"/>
                <w:szCs w:val="22"/>
              </w:rPr>
            </w:pPr>
            <w:r>
              <w:rPr>
                <w:rFonts w:cs="Arial"/>
                <w:szCs w:val="22"/>
                <w:lang w:val="en-GB"/>
              </w:rPr>
              <w:t>3,950.00</w:t>
            </w:r>
          </w:p>
        </w:tc>
      </w:tr>
      <w:tr w:rsidR="00D913B4" w:rsidRPr="00501245" w14:paraId="7B8DD754" w14:textId="77777777" w:rsidTr="000C24C3">
        <w:tc>
          <w:tcPr>
            <w:tcW w:w="7479" w:type="dxa"/>
            <w:shd w:val="clear" w:color="auto" w:fill="auto"/>
          </w:tcPr>
          <w:p w14:paraId="3A1A28AC" w14:textId="77777777" w:rsidR="00D913B4" w:rsidRPr="00501245" w:rsidRDefault="00D913B4" w:rsidP="000C24C3">
            <w:pPr>
              <w:rPr>
                <w:rFonts w:cs="Arial"/>
                <w:szCs w:val="22"/>
              </w:rPr>
            </w:pPr>
            <w:r>
              <w:rPr>
                <w:rFonts w:cs="Arial"/>
                <w:szCs w:val="22"/>
                <w:lang w:val="en-GB"/>
              </w:rPr>
              <w:t xml:space="preserve">Assessment of residues in or on food and feed </w:t>
            </w:r>
          </w:p>
        </w:tc>
        <w:tc>
          <w:tcPr>
            <w:tcW w:w="1843" w:type="dxa"/>
          </w:tcPr>
          <w:p w14:paraId="1897330A" w14:textId="77777777" w:rsidR="00D913B4" w:rsidRPr="00501245" w:rsidRDefault="00D913B4" w:rsidP="000C24C3">
            <w:pPr>
              <w:jc w:val="right"/>
              <w:rPr>
                <w:rFonts w:cs="Arial"/>
                <w:szCs w:val="22"/>
              </w:rPr>
            </w:pPr>
            <w:r>
              <w:rPr>
                <w:rFonts w:cs="Arial"/>
                <w:szCs w:val="22"/>
                <w:lang w:val="en-GB"/>
              </w:rPr>
              <w:t>3,292.00</w:t>
            </w:r>
          </w:p>
        </w:tc>
      </w:tr>
      <w:tr w:rsidR="00D913B4" w:rsidRPr="00501245" w14:paraId="34ADED3A" w14:textId="77777777" w:rsidTr="000C24C3">
        <w:tc>
          <w:tcPr>
            <w:tcW w:w="7479" w:type="dxa"/>
            <w:shd w:val="clear" w:color="auto" w:fill="auto"/>
          </w:tcPr>
          <w:p w14:paraId="0B8AA369" w14:textId="77777777" w:rsidR="00D913B4" w:rsidRPr="00501245" w:rsidRDefault="00D913B4" w:rsidP="000C24C3">
            <w:pPr>
              <w:rPr>
                <w:rFonts w:cs="Arial"/>
                <w:szCs w:val="22"/>
              </w:rPr>
            </w:pPr>
            <w:r>
              <w:rPr>
                <w:rFonts w:cs="Arial"/>
                <w:szCs w:val="22"/>
                <w:lang w:val="en-GB"/>
              </w:rPr>
              <w:t xml:space="preserve">Assessment of behaviour in the environment </w:t>
            </w:r>
          </w:p>
        </w:tc>
        <w:tc>
          <w:tcPr>
            <w:tcW w:w="1843" w:type="dxa"/>
          </w:tcPr>
          <w:p w14:paraId="60ABAA37" w14:textId="77777777" w:rsidR="00D913B4" w:rsidRPr="00501245" w:rsidRDefault="00D913B4" w:rsidP="000C24C3">
            <w:pPr>
              <w:jc w:val="right"/>
              <w:rPr>
                <w:rFonts w:cs="Arial"/>
                <w:szCs w:val="22"/>
              </w:rPr>
            </w:pPr>
            <w:r>
              <w:rPr>
                <w:rFonts w:cs="Arial"/>
                <w:szCs w:val="22"/>
                <w:lang w:val="en-GB"/>
              </w:rPr>
              <w:t>3,048.00</w:t>
            </w:r>
          </w:p>
        </w:tc>
      </w:tr>
      <w:tr w:rsidR="00D913B4" w:rsidRPr="00501245" w14:paraId="6609B137" w14:textId="77777777" w:rsidTr="000C24C3">
        <w:tc>
          <w:tcPr>
            <w:tcW w:w="7479" w:type="dxa"/>
            <w:shd w:val="clear" w:color="auto" w:fill="auto"/>
          </w:tcPr>
          <w:p w14:paraId="0F729D78" w14:textId="77777777" w:rsidR="00D913B4" w:rsidRPr="00501245" w:rsidRDefault="00D913B4" w:rsidP="000C24C3">
            <w:pPr>
              <w:rPr>
                <w:rFonts w:cs="Arial"/>
                <w:szCs w:val="22"/>
              </w:rPr>
            </w:pPr>
            <w:r>
              <w:rPr>
                <w:rFonts w:cs="Arial"/>
                <w:szCs w:val="22"/>
                <w:lang w:val="en-GB"/>
              </w:rPr>
              <w:t xml:space="preserve">Assessment of ecotoxicological studies </w:t>
            </w:r>
          </w:p>
        </w:tc>
        <w:tc>
          <w:tcPr>
            <w:tcW w:w="1843" w:type="dxa"/>
          </w:tcPr>
          <w:p w14:paraId="3B0FBE70" w14:textId="77777777" w:rsidR="00D913B4" w:rsidRPr="00501245" w:rsidRDefault="00D913B4" w:rsidP="000C24C3">
            <w:pPr>
              <w:jc w:val="right"/>
              <w:rPr>
                <w:rFonts w:cs="Arial"/>
                <w:szCs w:val="22"/>
              </w:rPr>
            </w:pPr>
            <w:r>
              <w:rPr>
                <w:rFonts w:cs="Arial"/>
                <w:szCs w:val="22"/>
                <w:lang w:val="en-GB"/>
              </w:rPr>
              <w:t>4,044.00</w:t>
            </w:r>
          </w:p>
        </w:tc>
      </w:tr>
      <w:tr w:rsidR="00D913B4" w:rsidRPr="00501245" w14:paraId="19E055C3" w14:textId="77777777" w:rsidTr="000C24C3">
        <w:tc>
          <w:tcPr>
            <w:tcW w:w="7479" w:type="dxa"/>
            <w:shd w:val="clear" w:color="auto" w:fill="auto"/>
          </w:tcPr>
          <w:p w14:paraId="1CE085B7" w14:textId="77777777" w:rsidR="00D913B4" w:rsidRPr="00501245" w:rsidRDefault="00D913B4" w:rsidP="000C24C3">
            <w:pPr>
              <w:rPr>
                <w:rFonts w:cs="Arial"/>
                <w:szCs w:val="22"/>
              </w:rPr>
            </w:pPr>
            <w:r>
              <w:rPr>
                <w:rFonts w:cs="Arial"/>
                <w:szCs w:val="22"/>
                <w:lang w:val="en-GB"/>
              </w:rPr>
              <w:t xml:space="preserve">Assessment of data on efficacy </w:t>
            </w:r>
          </w:p>
        </w:tc>
        <w:tc>
          <w:tcPr>
            <w:tcW w:w="1843" w:type="dxa"/>
          </w:tcPr>
          <w:p w14:paraId="6C76852F" w14:textId="77777777" w:rsidR="00D913B4" w:rsidRPr="00501245" w:rsidRDefault="00D913B4" w:rsidP="000C24C3">
            <w:pPr>
              <w:jc w:val="right"/>
              <w:rPr>
                <w:rFonts w:cs="Arial"/>
                <w:szCs w:val="22"/>
              </w:rPr>
            </w:pPr>
            <w:r>
              <w:rPr>
                <w:rFonts w:cs="Arial"/>
                <w:szCs w:val="22"/>
                <w:lang w:val="en-GB"/>
              </w:rPr>
              <w:t>3,048.00</w:t>
            </w:r>
          </w:p>
        </w:tc>
      </w:tr>
      <w:tr w:rsidR="00D913B4" w:rsidRPr="00501245" w14:paraId="633C3F58" w14:textId="77777777" w:rsidTr="000C24C3">
        <w:tc>
          <w:tcPr>
            <w:tcW w:w="7479" w:type="dxa"/>
            <w:shd w:val="clear" w:color="auto" w:fill="auto"/>
          </w:tcPr>
          <w:p w14:paraId="4E46CCB7" w14:textId="77777777" w:rsidR="00D913B4" w:rsidRPr="00501245" w:rsidRDefault="00D913B4" w:rsidP="000C24C3">
            <w:pPr>
              <w:rPr>
                <w:rFonts w:cs="Arial"/>
                <w:szCs w:val="22"/>
              </w:rPr>
            </w:pPr>
            <w:r>
              <w:rPr>
                <w:rFonts w:cs="Arial"/>
                <w:szCs w:val="22"/>
                <w:lang w:val="en-GB"/>
              </w:rPr>
              <w:t xml:space="preserve">Draft assessment report </w:t>
            </w:r>
          </w:p>
        </w:tc>
        <w:tc>
          <w:tcPr>
            <w:tcW w:w="1843" w:type="dxa"/>
          </w:tcPr>
          <w:p w14:paraId="0D286F23" w14:textId="77777777" w:rsidR="00D913B4" w:rsidRPr="00501245" w:rsidRDefault="00D913B4" w:rsidP="000C24C3">
            <w:pPr>
              <w:jc w:val="right"/>
              <w:rPr>
                <w:rFonts w:cs="Arial"/>
                <w:szCs w:val="22"/>
              </w:rPr>
            </w:pPr>
            <w:r>
              <w:rPr>
                <w:rFonts w:cs="Arial"/>
                <w:szCs w:val="22"/>
                <w:lang w:val="en-GB"/>
              </w:rPr>
              <w:t>2,500.00</w:t>
            </w:r>
          </w:p>
        </w:tc>
      </w:tr>
      <w:tr w:rsidR="00D913B4" w:rsidRPr="00501245" w14:paraId="2E8B6DBE" w14:textId="77777777" w:rsidTr="000C24C3">
        <w:tc>
          <w:tcPr>
            <w:tcW w:w="7479" w:type="dxa"/>
            <w:shd w:val="clear" w:color="auto" w:fill="auto"/>
          </w:tcPr>
          <w:p w14:paraId="19570490" w14:textId="77777777" w:rsidR="00D913B4" w:rsidRPr="00501245" w:rsidRDefault="00D913B4" w:rsidP="000C24C3">
            <w:pPr>
              <w:rPr>
                <w:rFonts w:cs="Arial"/>
                <w:szCs w:val="22"/>
              </w:rPr>
            </w:pPr>
            <w:r>
              <w:rPr>
                <w:rFonts w:cs="Arial"/>
                <w:szCs w:val="22"/>
                <w:lang w:val="en-GB"/>
              </w:rPr>
              <w:t xml:space="preserve">Harmonisation of draft label with instructions for use </w:t>
            </w:r>
          </w:p>
        </w:tc>
        <w:tc>
          <w:tcPr>
            <w:tcW w:w="1843" w:type="dxa"/>
          </w:tcPr>
          <w:p w14:paraId="3A56C9E0" w14:textId="77777777" w:rsidR="00D913B4" w:rsidRPr="00501245" w:rsidRDefault="00D913B4" w:rsidP="000C24C3">
            <w:pPr>
              <w:jc w:val="right"/>
              <w:rPr>
                <w:rFonts w:cs="Arial"/>
                <w:szCs w:val="22"/>
              </w:rPr>
            </w:pPr>
            <w:r>
              <w:rPr>
                <w:rFonts w:cs="Arial"/>
                <w:szCs w:val="22"/>
                <w:lang w:val="en-GB"/>
              </w:rPr>
              <w:t>360.00</w:t>
            </w:r>
          </w:p>
        </w:tc>
      </w:tr>
      <w:tr w:rsidR="00D913B4" w:rsidRPr="00501245" w14:paraId="53100DFB" w14:textId="77777777" w:rsidTr="000C24C3">
        <w:tc>
          <w:tcPr>
            <w:tcW w:w="7479" w:type="dxa"/>
            <w:shd w:val="clear" w:color="auto" w:fill="auto"/>
          </w:tcPr>
          <w:p w14:paraId="35FDE3EC" w14:textId="77777777" w:rsidR="00D913B4" w:rsidRPr="00501245" w:rsidRDefault="00D913B4" w:rsidP="000C24C3">
            <w:pPr>
              <w:rPr>
                <w:rFonts w:cs="Arial"/>
                <w:szCs w:val="22"/>
              </w:rPr>
            </w:pPr>
            <w:r>
              <w:rPr>
                <w:rFonts w:cs="Arial"/>
                <w:szCs w:val="22"/>
                <w:lang w:val="en-GB"/>
              </w:rPr>
              <w:t>TOTAL</w:t>
            </w:r>
          </w:p>
        </w:tc>
        <w:tc>
          <w:tcPr>
            <w:tcW w:w="1843" w:type="dxa"/>
          </w:tcPr>
          <w:p w14:paraId="681D9CAA" w14:textId="77777777" w:rsidR="00D913B4" w:rsidRPr="00501245" w:rsidRDefault="00D913B4" w:rsidP="000C24C3">
            <w:pPr>
              <w:jc w:val="right"/>
              <w:rPr>
                <w:rFonts w:cs="Arial"/>
                <w:szCs w:val="22"/>
              </w:rPr>
            </w:pPr>
            <w:r>
              <w:rPr>
                <w:rFonts w:cs="Arial"/>
                <w:szCs w:val="22"/>
                <w:lang w:val="en-GB"/>
              </w:rPr>
              <w:t>29,942.00</w:t>
            </w:r>
          </w:p>
        </w:tc>
      </w:tr>
      <w:tr w:rsidR="00D913B4" w:rsidRPr="00501245" w14:paraId="4583E885" w14:textId="77777777" w:rsidTr="000C24C3">
        <w:tc>
          <w:tcPr>
            <w:tcW w:w="7479" w:type="dxa"/>
            <w:shd w:val="clear" w:color="auto" w:fill="auto"/>
          </w:tcPr>
          <w:p w14:paraId="29F5496D" w14:textId="77777777" w:rsidR="00D913B4" w:rsidRPr="00501245" w:rsidRDefault="00D913B4" w:rsidP="000C24C3">
            <w:pPr>
              <w:rPr>
                <w:rFonts w:cs="Arial"/>
                <w:szCs w:val="22"/>
              </w:rPr>
            </w:pPr>
            <w:r>
              <w:rPr>
                <w:rFonts w:cs="Arial"/>
                <w:szCs w:val="22"/>
                <w:lang w:val="en-GB"/>
              </w:rPr>
              <w:t xml:space="preserve">Assessment of each additional study </w:t>
            </w:r>
          </w:p>
        </w:tc>
        <w:tc>
          <w:tcPr>
            <w:tcW w:w="1843" w:type="dxa"/>
          </w:tcPr>
          <w:p w14:paraId="420E9C03" w14:textId="77777777" w:rsidR="00D913B4" w:rsidRPr="00501245" w:rsidRDefault="00D913B4" w:rsidP="000C24C3">
            <w:pPr>
              <w:jc w:val="right"/>
              <w:rPr>
                <w:rFonts w:cs="Arial"/>
                <w:szCs w:val="22"/>
              </w:rPr>
            </w:pPr>
            <w:r>
              <w:rPr>
                <w:rFonts w:cs="Arial"/>
                <w:szCs w:val="22"/>
                <w:lang w:val="en-GB"/>
              </w:rPr>
              <w:t>up to 300.00</w:t>
            </w:r>
          </w:p>
        </w:tc>
      </w:tr>
    </w:tbl>
    <w:p w14:paraId="707C1074" w14:textId="77777777" w:rsidR="00D913B4" w:rsidRPr="00501245" w:rsidRDefault="00D913B4" w:rsidP="00D913B4">
      <w:pPr>
        <w:rPr>
          <w:rFonts w:cs="Arial"/>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D913B4" w:rsidRPr="00501245" w14:paraId="3367CCEF" w14:textId="77777777" w:rsidTr="000C24C3">
        <w:tc>
          <w:tcPr>
            <w:tcW w:w="7479" w:type="dxa"/>
            <w:shd w:val="clear" w:color="auto" w:fill="F2F2F2"/>
          </w:tcPr>
          <w:p w14:paraId="62901FAF" w14:textId="77777777" w:rsidR="00D913B4" w:rsidRPr="00501245" w:rsidRDefault="00D913B4" w:rsidP="000C24C3">
            <w:pPr>
              <w:rPr>
                <w:rFonts w:cs="Arial"/>
                <w:szCs w:val="22"/>
              </w:rPr>
            </w:pPr>
            <w:r>
              <w:rPr>
                <w:rFonts w:cs="Arial"/>
                <w:szCs w:val="22"/>
                <w:lang w:val="en-GB"/>
              </w:rPr>
              <w:t>2. Dossier compliance check against the requirements of Article 59 of Regulation 1107/2009/EC for the purposes of data protection</w:t>
            </w:r>
          </w:p>
        </w:tc>
        <w:tc>
          <w:tcPr>
            <w:tcW w:w="1843" w:type="dxa"/>
            <w:shd w:val="clear" w:color="auto" w:fill="F2F2F2"/>
          </w:tcPr>
          <w:p w14:paraId="4E1C6BFE" w14:textId="77777777" w:rsidR="00D913B4" w:rsidRPr="00501245" w:rsidRDefault="00D913B4" w:rsidP="000C24C3">
            <w:pPr>
              <w:jc w:val="right"/>
              <w:rPr>
                <w:rFonts w:cs="Arial"/>
                <w:szCs w:val="22"/>
              </w:rPr>
            </w:pPr>
            <w:r>
              <w:rPr>
                <w:rFonts w:cs="Arial"/>
                <w:szCs w:val="22"/>
                <w:lang w:val="en-GB"/>
              </w:rPr>
              <w:t>EUR</w:t>
            </w:r>
          </w:p>
        </w:tc>
      </w:tr>
      <w:tr w:rsidR="00D913B4" w:rsidRPr="00501245" w14:paraId="336DCB82" w14:textId="77777777" w:rsidTr="000C24C3">
        <w:tc>
          <w:tcPr>
            <w:tcW w:w="7479" w:type="dxa"/>
            <w:shd w:val="clear" w:color="auto" w:fill="auto"/>
          </w:tcPr>
          <w:p w14:paraId="302DC89D" w14:textId="77777777" w:rsidR="00D913B4" w:rsidRPr="00501245" w:rsidRDefault="00D913B4" w:rsidP="000C24C3">
            <w:pPr>
              <w:rPr>
                <w:rFonts w:cs="Arial"/>
                <w:szCs w:val="22"/>
              </w:rPr>
            </w:pPr>
            <w:r>
              <w:rPr>
                <w:rFonts w:cs="Arial"/>
                <w:szCs w:val="22"/>
                <w:lang w:val="en-GB"/>
              </w:rPr>
              <w:t xml:space="preserve">Dossier compliance check </w:t>
            </w:r>
          </w:p>
        </w:tc>
        <w:tc>
          <w:tcPr>
            <w:tcW w:w="1843" w:type="dxa"/>
            <w:shd w:val="clear" w:color="auto" w:fill="auto"/>
          </w:tcPr>
          <w:p w14:paraId="6775F611" w14:textId="77777777" w:rsidR="00D913B4" w:rsidRPr="00501245" w:rsidRDefault="00D913B4" w:rsidP="000C24C3">
            <w:pPr>
              <w:jc w:val="right"/>
              <w:rPr>
                <w:rFonts w:cs="Arial"/>
                <w:szCs w:val="22"/>
              </w:rPr>
            </w:pPr>
            <w:r>
              <w:rPr>
                <w:rFonts w:cs="Arial"/>
                <w:szCs w:val="22"/>
                <w:lang w:val="en-GB"/>
              </w:rPr>
              <w:t>up to 5,000.00</w:t>
            </w:r>
          </w:p>
        </w:tc>
      </w:tr>
      <w:tr w:rsidR="00D913B4" w:rsidRPr="00501245" w14:paraId="219083F5" w14:textId="77777777" w:rsidTr="000C24C3">
        <w:tc>
          <w:tcPr>
            <w:tcW w:w="7479" w:type="dxa"/>
            <w:shd w:val="clear" w:color="auto" w:fill="auto"/>
          </w:tcPr>
          <w:p w14:paraId="16251232" w14:textId="77777777" w:rsidR="00D913B4" w:rsidRPr="00501245" w:rsidRDefault="00D913B4" w:rsidP="000C24C3">
            <w:pPr>
              <w:rPr>
                <w:rFonts w:cs="Arial"/>
                <w:szCs w:val="22"/>
              </w:rPr>
            </w:pPr>
            <w:r>
              <w:rPr>
                <w:rFonts w:cs="Arial"/>
                <w:szCs w:val="22"/>
                <w:lang w:val="en-GB"/>
              </w:rPr>
              <w:t xml:space="preserve">Comparison of each additional study </w:t>
            </w:r>
          </w:p>
        </w:tc>
        <w:tc>
          <w:tcPr>
            <w:tcW w:w="1843" w:type="dxa"/>
            <w:shd w:val="clear" w:color="auto" w:fill="auto"/>
          </w:tcPr>
          <w:p w14:paraId="2737C515" w14:textId="77777777" w:rsidR="00D913B4" w:rsidRPr="00501245" w:rsidRDefault="00D913B4" w:rsidP="000C24C3">
            <w:pPr>
              <w:jc w:val="right"/>
              <w:rPr>
                <w:rFonts w:cs="Arial"/>
                <w:szCs w:val="22"/>
              </w:rPr>
            </w:pPr>
            <w:r>
              <w:rPr>
                <w:rFonts w:cs="Arial"/>
                <w:szCs w:val="22"/>
                <w:lang w:val="en-GB"/>
              </w:rPr>
              <w:t>300.00</w:t>
            </w:r>
          </w:p>
        </w:tc>
      </w:tr>
    </w:tbl>
    <w:p w14:paraId="402312DD" w14:textId="77777777" w:rsidR="00D913B4" w:rsidRPr="00501245" w:rsidRDefault="00D913B4" w:rsidP="00D913B4">
      <w:pPr>
        <w:rPr>
          <w:rFonts w:cs="Arial"/>
          <w:szCs w:val="22"/>
        </w:rPr>
      </w:pPr>
    </w:p>
    <w:p w14:paraId="1C977F5B" w14:textId="77777777" w:rsidR="00D913B4" w:rsidRPr="00501245" w:rsidRDefault="00D913B4" w:rsidP="00500334">
      <w:pPr>
        <w:jc w:val="both"/>
        <w:rPr>
          <w:rFonts w:cs="Arial"/>
          <w:szCs w:val="22"/>
        </w:rPr>
      </w:pPr>
      <w:r>
        <w:rPr>
          <w:rFonts w:cs="Arial"/>
          <w:szCs w:val="22"/>
          <w:lang w:val="en-GB"/>
        </w:rPr>
        <w:t xml:space="preserve">III. Costs related to the authorisation and the renewal of authorisation of a PPP where the Republic of Slovenia is the Member State concerned </w:t>
      </w:r>
      <w:proofErr w:type="gramStart"/>
      <w:r>
        <w:rPr>
          <w:rFonts w:cs="Arial"/>
          <w:szCs w:val="22"/>
          <w:lang w:val="en-GB"/>
        </w:rPr>
        <w:t>with regard to</w:t>
      </w:r>
      <w:proofErr w:type="gramEnd"/>
      <w:r>
        <w:rPr>
          <w:rFonts w:cs="Arial"/>
          <w:szCs w:val="22"/>
          <w:lang w:val="en-GB"/>
        </w:rPr>
        <w:t xml:space="preserve"> the mutual recognition of PPP authorisation and the amendment of PPP authorisation in the Republic of Slovenia (except for the procedures referred to in paragraph seven of Article 13 of this Decree, for which no fee is charged)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701"/>
      </w:tblGrid>
      <w:tr w:rsidR="00D913B4" w:rsidRPr="00501245" w14:paraId="09242EBA" w14:textId="77777777" w:rsidTr="000C24C3">
        <w:tc>
          <w:tcPr>
            <w:tcW w:w="7621" w:type="dxa"/>
            <w:shd w:val="clear" w:color="auto" w:fill="F2F2F2"/>
          </w:tcPr>
          <w:p w14:paraId="7AFD7C14" w14:textId="77777777" w:rsidR="00D913B4" w:rsidRPr="00501245" w:rsidRDefault="00D913B4" w:rsidP="000C24C3">
            <w:pPr>
              <w:rPr>
                <w:rFonts w:cs="Arial"/>
                <w:szCs w:val="22"/>
              </w:rPr>
            </w:pPr>
            <w:r>
              <w:rPr>
                <w:rFonts w:cs="Arial"/>
                <w:szCs w:val="22"/>
                <w:lang w:val="en-GB"/>
              </w:rPr>
              <w:t>1. Authorisation and extension of authorisation where the Republic of Slovenia is the Member State concerned and the mutual recognition of a PPP authorisation based on an application submitted under Articles 33, 40 and 43 of Regulation 1107/2009/EC</w:t>
            </w:r>
            <w:r>
              <w:rPr>
                <w:rFonts w:cs="Arial"/>
                <w:szCs w:val="22"/>
                <w:vertAlign w:val="superscript"/>
                <w:lang w:val="en-GB"/>
              </w:rPr>
              <w:t xml:space="preserve">2,3 </w:t>
            </w:r>
          </w:p>
        </w:tc>
        <w:tc>
          <w:tcPr>
            <w:tcW w:w="1701" w:type="dxa"/>
            <w:shd w:val="clear" w:color="auto" w:fill="F2F2F2"/>
          </w:tcPr>
          <w:p w14:paraId="698E0A0B" w14:textId="77777777" w:rsidR="00D913B4" w:rsidRPr="00501245" w:rsidRDefault="00D913B4" w:rsidP="000C24C3">
            <w:pPr>
              <w:jc w:val="right"/>
              <w:rPr>
                <w:rFonts w:cs="Arial"/>
                <w:szCs w:val="22"/>
              </w:rPr>
            </w:pPr>
            <w:r>
              <w:rPr>
                <w:rFonts w:cs="Arial"/>
                <w:szCs w:val="22"/>
                <w:lang w:val="en-GB"/>
              </w:rPr>
              <w:t>EUR</w:t>
            </w:r>
          </w:p>
        </w:tc>
      </w:tr>
      <w:tr w:rsidR="00D913B4" w:rsidRPr="00501245" w14:paraId="60F8F7A7" w14:textId="77777777" w:rsidTr="000C24C3">
        <w:tc>
          <w:tcPr>
            <w:tcW w:w="7621" w:type="dxa"/>
            <w:shd w:val="clear" w:color="auto" w:fill="auto"/>
          </w:tcPr>
          <w:p w14:paraId="4C214A2B" w14:textId="77777777" w:rsidR="00D913B4" w:rsidRPr="00501245" w:rsidRDefault="00D913B4" w:rsidP="000C24C3">
            <w:pPr>
              <w:rPr>
                <w:rFonts w:cs="Arial"/>
                <w:szCs w:val="22"/>
              </w:rPr>
            </w:pPr>
            <w:r>
              <w:rPr>
                <w:rFonts w:cs="Arial"/>
                <w:szCs w:val="22"/>
                <w:lang w:val="en-GB"/>
              </w:rPr>
              <w:t xml:space="preserve">Dossier completeness check </w:t>
            </w:r>
          </w:p>
        </w:tc>
        <w:tc>
          <w:tcPr>
            <w:tcW w:w="1701" w:type="dxa"/>
          </w:tcPr>
          <w:p w14:paraId="34274118" w14:textId="77777777" w:rsidR="00D913B4" w:rsidRPr="00501245" w:rsidRDefault="00D913B4" w:rsidP="000C24C3">
            <w:pPr>
              <w:jc w:val="right"/>
              <w:rPr>
                <w:rFonts w:cs="Arial"/>
                <w:szCs w:val="22"/>
              </w:rPr>
            </w:pPr>
            <w:r>
              <w:rPr>
                <w:rFonts w:cs="Arial"/>
                <w:szCs w:val="22"/>
                <w:lang w:val="en-GB"/>
              </w:rPr>
              <w:t>375.00</w:t>
            </w:r>
          </w:p>
        </w:tc>
      </w:tr>
      <w:tr w:rsidR="00D913B4" w:rsidRPr="00501245" w14:paraId="39F750B6" w14:textId="77777777" w:rsidTr="000C24C3">
        <w:tc>
          <w:tcPr>
            <w:tcW w:w="7621" w:type="dxa"/>
            <w:shd w:val="clear" w:color="auto" w:fill="auto"/>
          </w:tcPr>
          <w:p w14:paraId="4A41BBE0" w14:textId="77777777" w:rsidR="00D913B4" w:rsidRPr="00501245" w:rsidRDefault="00D913B4" w:rsidP="000C24C3">
            <w:pPr>
              <w:rPr>
                <w:rFonts w:cs="Arial"/>
                <w:szCs w:val="22"/>
              </w:rPr>
            </w:pPr>
            <w:r>
              <w:rPr>
                <w:rFonts w:cs="Arial"/>
                <w:szCs w:val="22"/>
                <w:lang w:val="en-GB"/>
              </w:rPr>
              <w:t xml:space="preserve">Assessment of physical and chemical properties and analytical methods </w:t>
            </w:r>
          </w:p>
        </w:tc>
        <w:tc>
          <w:tcPr>
            <w:tcW w:w="1701" w:type="dxa"/>
          </w:tcPr>
          <w:p w14:paraId="56D16407" w14:textId="77777777" w:rsidR="00D913B4" w:rsidRPr="00501245" w:rsidRDefault="00D913B4" w:rsidP="000C24C3">
            <w:pPr>
              <w:jc w:val="right"/>
              <w:rPr>
                <w:rFonts w:cs="Arial"/>
                <w:szCs w:val="22"/>
              </w:rPr>
            </w:pPr>
            <w:r>
              <w:rPr>
                <w:rFonts w:cs="Arial"/>
                <w:szCs w:val="22"/>
                <w:lang w:val="en-GB"/>
              </w:rPr>
              <w:t>437.50</w:t>
            </w:r>
          </w:p>
        </w:tc>
      </w:tr>
      <w:tr w:rsidR="00D913B4" w:rsidRPr="00501245" w14:paraId="2B394BF1" w14:textId="77777777" w:rsidTr="000C24C3">
        <w:tc>
          <w:tcPr>
            <w:tcW w:w="7621" w:type="dxa"/>
            <w:shd w:val="clear" w:color="auto" w:fill="auto"/>
          </w:tcPr>
          <w:p w14:paraId="5FE02CBC" w14:textId="77777777" w:rsidR="00D913B4" w:rsidRPr="00501245" w:rsidRDefault="00D913B4" w:rsidP="000C24C3">
            <w:pPr>
              <w:rPr>
                <w:rFonts w:cs="Arial"/>
                <w:szCs w:val="22"/>
              </w:rPr>
            </w:pPr>
            <w:r>
              <w:rPr>
                <w:rFonts w:cs="Arial"/>
                <w:szCs w:val="22"/>
                <w:lang w:val="en-GB"/>
              </w:rPr>
              <w:t xml:space="preserve">Assessment of toxicological and metabolism studies </w:t>
            </w:r>
          </w:p>
        </w:tc>
        <w:tc>
          <w:tcPr>
            <w:tcW w:w="1701" w:type="dxa"/>
          </w:tcPr>
          <w:p w14:paraId="3621013D" w14:textId="77777777" w:rsidR="00D913B4" w:rsidRPr="00501245" w:rsidRDefault="00D913B4" w:rsidP="000C24C3">
            <w:pPr>
              <w:jc w:val="right"/>
              <w:rPr>
                <w:rFonts w:cs="Arial"/>
                <w:szCs w:val="22"/>
              </w:rPr>
            </w:pPr>
            <w:r>
              <w:rPr>
                <w:rFonts w:cs="Arial"/>
                <w:szCs w:val="22"/>
                <w:lang w:val="en-GB"/>
              </w:rPr>
              <w:t>562.50</w:t>
            </w:r>
          </w:p>
        </w:tc>
      </w:tr>
      <w:tr w:rsidR="00D913B4" w:rsidRPr="00501245" w14:paraId="677909D8" w14:textId="77777777" w:rsidTr="000C24C3">
        <w:tc>
          <w:tcPr>
            <w:tcW w:w="7621" w:type="dxa"/>
            <w:shd w:val="clear" w:color="auto" w:fill="auto"/>
          </w:tcPr>
          <w:p w14:paraId="50231AAA" w14:textId="77777777" w:rsidR="00D913B4" w:rsidRPr="00501245" w:rsidRDefault="00D913B4" w:rsidP="000C24C3">
            <w:pPr>
              <w:rPr>
                <w:rFonts w:cs="Arial"/>
                <w:szCs w:val="22"/>
              </w:rPr>
            </w:pPr>
            <w:r>
              <w:rPr>
                <w:rFonts w:cs="Arial"/>
                <w:szCs w:val="22"/>
                <w:lang w:val="en-GB"/>
              </w:rPr>
              <w:t xml:space="preserve">Assessment of residues in or on food and feed </w:t>
            </w:r>
          </w:p>
        </w:tc>
        <w:tc>
          <w:tcPr>
            <w:tcW w:w="1701" w:type="dxa"/>
          </w:tcPr>
          <w:p w14:paraId="6DC2DBD9" w14:textId="77777777" w:rsidR="00D913B4" w:rsidRPr="00501245" w:rsidRDefault="00D913B4" w:rsidP="000C24C3">
            <w:pPr>
              <w:jc w:val="right"/>
              <w:rPr>
                <w:rFonts w:cs="Arial"/>
                <w:szCs w:val="22"/>
              </w:rPr>
            </w:pPr>
            <w:r>
              <w:rPr>
                <w:rFonts w:cs="Arial"/>
                <w:szCs w:val="22"/>
                <w:lang w:val="en-GB"/>
              </w:rPr>
              <w:t>437.50</w:t>
            </w:r>
          </w:p>
        </w:tc>
      </w:tr>
      <w:tr w:rsidR="00D913B4" w:rsidRPr="00501245" w14:paraId="10587618" w14:textId="77777777" w:rsidTr="000C24C3">
        <w:tc>
          <w:tcPr>
            <w:tcW w:w="7621" w:type="dxa"/>
            <w:shd w:val="clear" w:color="auto" w:fill="auto"/>
          </w:tcPr>
          <w:p w14:paraId="297B809B" w14:textId="77777777" w:rsidR="00D913B4" w:rsidRPr="00501245" w:rsidRDefault="00D913B4" w:rsidP="000C24C3">
            <w:pPr>
              <w:rPr>
                <w:rFonts w:cs="Arial"/>
                <w:szCs w:val="22"/>
              </w:rPr>
            </w:pPr>
            <w:r>
              <w:rPr>
                <w:rFonts w:cs="Arial"/>
                <w:szCs w:val="22"/>
                <w:lang w:val="en-GB"/>
              </w:rPr>
              <w:t xml:space="preserve">Assessment of behaviour in the environment </w:t>
            </w:r>
          </w:p>
        </w:tc>
        <w:tc>
          <w:tcPr>
            <w:tcW w:w="1701" w:type="dxa"/>
          </w:tcPr>
          <w:p w14:paraId="02018BAF" w14:textId="77777777" w:rsidR="00D913B4" w:rsidRPr="00501245" w:rsidRDefault="00D913B4" w:rsidP="000C24C3">
            <w:pPr>
              <w:jc w:val="right"/>
              <w:rPr>
                <w:rFonts w:cs="Arial"/>
                <w:szCs w:val="22"/>
              </w:rPr>
            </w:pPr>
            <w:r>
              <w:rPr>
                <w:rFonts w:cs="Arial"/>
                <w:szCs w:val="22"/>
                <w:lang w:val="en-GB"/>
              </w:rPr>
              <w:t>652.50</w:t>
            </w:r>
          </w:p>
        </w:tc>
      </w:tr>
      <w:tr w:rsidR="00D913B4" w:rsidRPr="00501245" w14:paraId="246CF353" w14:textId="77777777" w:rsidTr="000C24C3">
        <w:tc>
          <w:tcPr>
            <w:tcW w:w="7621" w:type="dxa"/>
            <w:shd w:val="clear" w:color="auto" w:fill="auto"/>
          </w:tcPr>
          <w:p w14:paraId="2CB72F12" w14:textId="77777777" w:rsidR="00D913B4" w:rsidRPr="00501245" w:rsidRDefault="00D913B4" w:rsidP="000C24C3">
            <w:pPr>
              <w:rPr>
                <w:rFonts w:cs="Arial"/>
                <w:szCs w:val="22"/>
              </w:rPr>
            </w:pPr>
            <w:r>
              <w:rPr>
                <w:rFonts w:cs="Arial"/>
                <w:szCs w:val="22"/>
                <w:lang w:val="en-GB"/>
              </w:rPr>
              <w:t xml:space="preserve">Assessment of ecotoxicological studies </w:t>
            </w:r>
          </w:p>
        </w:tc>
        <w:tc>
          <w:tcPr>
            <w:tcW w:w="1701" w:type="dxa"/>
          </w:tcPr>
          <w:p w14:paraId="0A958070" w14:textId="77777777" w:rsidR="00D913B4" w:rsidRPr="00501245" w:rsidRDefault="00D913B4" w:rsidP="000C24C3">
            <w:pPr>
              <w:jc w:val="right"/>
              <w:rPr>
                <w:rFonts w:cs="Arial"/>
                <w:szCs w:val="22"/>
              </w:rPr>
            </w:pPr>
            <w:r>
              <w:rPr>
                <w:rFonts w:cs="Arial"/>
                <w:szCs w:val="22"/>
                <w:lang w:val="en-GB"/>
              </w:rPr>
              <w:t>750.00</w:t>
            </w:r>
          </w:p>
        </w:tc>
      </w:tr>
      <w:tr w:rsidR="00D913B4" w:rsidRPr="00501245" w14:paraId="7AC0007E" w14:textId="77777777" w:rsidTr="000C24C3">
        <w:tc>
          <w:tcPr>
            <w:tcW w:w="7621" w:type="dxa"/>
            <w:shd w:val="clear" w:color="auto" w:fill="auto"/>
          </w:tcPr>
          <w:p w14:paraId="02BF7832" w14:textId="77777777" w:rsidR="00D913B4" w:rsidRPr="00501245" w:rsidRDefault="00D913B4" w:rsidP="000C24C3">
            <w:pPr>
              <w:rPr>
                <w:rFonts w:cs="Arial"/>
                <w:szCs w:val="22"/>
              </w:rPr>
            </w:pPr>
            <w:r>
              <w:rPr>
                <w:rFonts w:cs="Arial"/>
                <w:szCs w:val="22"/>
                <w:lang w:val="en-GB"/>
              </w:rPr>
              <w:t xml:space="preserve">Assessment of data on efficacy </w:t>
            </w:r>
          </w:p>
        </w:tc>
        <w:tc>
          <w:tcPr>
            <w:tcW w:w="1701" w:type="dxa"/>
          </w:tcPr>
          <w:p w14:paraId="0672BCC2" w14:textId="77777777" w:rsidR="00D913B4" w:rsidRPr="00501245" w:rsidRDefault="00D913B4" w:rsidP="000C24C3">
            <w:pPr>
              <w:jc w:val="right"/>
              <w:rPr>
                <w:rFonts w:cs="Arial"/>
                <w:szCs w:val="22"/>
              </w:rPr>
            </w:pPr>
            <w:r>
              <w:rPr>
                <w:rFonts w:cs="Arial"/>
                <w:szCs w:val="22"/>
                <w:lang w:val="en-GB"/>
              </w:rPr>
              <w:t>750.00</w:t>
            </w:r>
          </w:p>
        </w:tc>
      </w:tr>
      <w:tr w:rsidR="00D913B4" w:rsidRPr="00501245" w14:paraId="3648111C" w14:textId="77777777" w:rsidTr="000C24C3">
        <w:tc>
          <w:tcPr>
            <w:tcW w:w="7621" w:type="dxa"/>
            <w:shd w:val="clear" w:color="auto" w:fill="auto"/>
          </w:tcPr>
          <w:p w14:paraId="32DFE471" w14:textId="77777777" w:rsidR="00D913B4" w:rsidRPr="00501245" w:rsidRDefault="00D913B4" w:rsidP="000C24C3">
            <w:pPr>
              <w:rPr>
                <w:rFonts w:cs="Arial"/>
                <w:szCs w:val="22"/>
              </w:rPr>
            </w:pPr>
            <w:r>
              <w:rPr>
                <w:rFonts w:cs="Arial"/>
                <w:szCs w:val="22"/>
                <w:lang w:val="en-GB"/>
              </w:rPr>
              <w:t xml:space="preserve">Harmonisation of draft label with instructions for use </w:t>
            </w:r>
          </w:p>
        </w:tc>
        <w:tc>
          <w:tcPr>
            <w:tcW w:w="1701" w:type="dxa"/>
          </w:tcPr>
          <w:p w14:paraId="524B855D" w14:textId="77777777" w:rsidR="00D913B4" w:rsidRPr="00501245" w:rsidRDefault="00D913B4" w:rsidP="000C24C3">
            <w:pPr>
              <w:jc w:val="right"/>
              <w:rPr>
                <w:rFonts w:cs="Arial"/>
                <w:szCs w:val="22"/>
              </w:rPr>
            </w:pPr>
            <w:r>
              <w:rPr>
                <w:rFonts w:cs="Arial"/>
                <w:szCs w:val="22"/>
                <w:lang w:val="en-GB"/>
              </w:rPr>
              <w:t>375.00</w:t>
            </w:r>
          </w:p>
        </w:tc>
      </w:tr>
      <w:tr w:rsidR="00D913B4" w:rsidRPr="00501245" w14:paraId="0966F6FA" w14:textId="77777777" w:rsidTr="000C24C3">
        <w:tc>
          <w:tcPr>
            <w:tcW w:w="7621" w:type="dxa"/>
            <w:shd w:val="clear" w:color="auto" w:fill="auto"/>
          </w:tcPr>
          <w:p w14:paraId="05C52E3A" w14:textId="77777777" w:rsidR="00D913B4" w:rsidRPr="00501245" w:rsidRDefault="00D913B4" w:rsidP="000C24C3">
            <w:pPr>
              <w:rPr>
                <w:rFonts w:cs="Arial"/>
                <w:szCs w:val="22"/>
              </w:rPr>
            </w:pPr>
            <w:r>
              <w:rPr>
                <w:rFonts w:cs="Arial"/>
                <w:szCs w:val="22"/>
                <w:lang w:val="en-GB"/>
              </w:rPr>
              <w:t xml:space="preserve">TOTAL </w:t>
            </w:r>
          </w:p>
        </w:tc>
        <w:tc>
          <w:tcPr>
            <w:tcW w:w="1701" w:type="dxa"/>
          </w:tcPr>
          <w:p w14:paraId="788B0C62" w14:textId="77777777" w:rsidR="00D913B4" w:rsidRPr="00501245" w:rsidRDefault="00D913B4" w:rsidP="000C24C3">
            <w:pPr>
              <w:jc w:val="right"/>
              <w:rPr>
                <w:rFonts w:cs="Arial"/>
                <w:szCs w:val="22"/>
              </w:rPr>
            </w:pPr>
            <w:r>
              <w:rPr>
                <w:rFonts w:cs="Arial"/>
                <w:szCs w:val="22"/>
                <w:lang w:val="en-GB"/>
              </w:rPr>
              <w:t>4,250.00</w:t>
            </w:r>
          </w:p>
        </w:tc>
      </w:tr>
    </w:tbl>
    <w:p w14:paraId="4E1D9389" w14:textId="77777777" w:rsidR="00D913B4" w:rsidRPr="00501245" w:rsidRDefault="00D913B4" w:rsidP="00D913B4">
      <w:pPr>
        <w:rPr>
          <w:rFonts w:cs="Arial"/>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701"/>
      </w:tblGrid>
      <w:tr w:rsidR="00D913B4" w:rsidRPr="00501245" w14:paraId="44974380" w14:textId="77777777" w:rsidTr="00500334">
        <w:tc>
          <w:tcPr>
            <w:tcW w:w="7621" w:type="dxa"/>
            <w:shd w:val="clear" w:color="auto" w:fill="F2F2F2"/>
          </w:tcPr>
          <w:p w14:paraId="5FB1C9E1" w14:textId="77777777" w:rsidR="00D913B4" w:rsidRPr="00501245" w:rsidRDefault="00D913B4" w:rsidP="000C24C3">
            <w:pPr>
              <w:rPr>
                <w:rFonts w:cs="Arial"/>
                <w:szCs w:val="22"/>
              </w:rPr>
            </w:pPr>
            <w:r>
              <w:rPr>
                <w:rFonts w:cs="Arial"/>
                <w:szCs w:val="22"/>
                <w:lang w:val="en-GB"/>
              </w:rPr>
              <w:t>2. Minor amendments to a PPP authorisation in accordance with Articles 33, 40 and 45 of Regulation 1107/2009/EC that do not require any additional assessment</w:t>
            </w:r>
          </w:p>
        </w:tc>
        <w:tc>
          <w:tcPr>
            <w:tcW w:w="1701" w:type="dxa"/>
            <w:shd w:val="clear" w:color="auto" w:fill="F2F2F2"/>
          </w:tcPr>
          <w:p w14:paraId="429AB825" w14:textId="77777777" w:rsidR="00D913B4" w:rsidRPr="00501245" w:rsidRDefault="00D913B4" w:rsidP="000C24C3">
            <w:pPr>
              <w:jc w:val="right"/>
              <w:rPr>
                <w:rFonts w:cs="Arial"/>
                <w:szCs w:val="22"/>
              </w:rPr>
            </w:pPr>
            <w:r>
              <w:rPr>
                <w:rFonts w:cs="Arial"/>
                <w:szCs w:val="22"/>
                <w:lang w:val="en-GB"/>
              </w:rPr>
              <w:t>EUR</w:t>
            </w:r>
          </w:p>
        </w:tc>
      </w:tr>
      <w:tr w:rsidR="00D913B4" w:rsidRPr="00501245" w14:paraId="4917AED6" w14:textId="77777777" w:rsidTr="00500334">
        <w:tc>
          <w:tcPr>
            <w:tcW w:w="7621" w:type="dxa"/>
            <w:shd w:val="clear" w:color="auto" w:fill="auto"/>
          </w:tcPr>
          <w:p w14:paraId="7A055A17" w14:textId="77777777" w:rsidR="00D913B4" w:rsidRPr="00501245" w:rsidRDefault="00D913B4" w:rsidP="000C24C3">
            <w:pPr>
              <w:rPr>
                <w:rFonts w:cs="Arial"/>
                <w:szCs w:val="22"/>
              </w:rPr>
            </w:pPr>
            <w:r>
              <w:rPr>
                <w:rFonts w:cs="Arial"/>
                <w:szCs w:val="22"/>
                <w:lang w:val="en-GB"/>
              </w:rPr>
              <w:t xml:space="preserve">Examination of application </w:t>
            </w:r>
          </w:p>
        </w:tc>
        <w:tc>
          <w:tcPr>
            <w:tcW w:w="1701" w:type="dxa"/>
            <w:shd w:val="clear" w:color="auto" w:fill="auto"/>
          </w:tcPr>
          <w:p w14:paraId="3A5E2755" w14:textId="77777777" w:rsidR="00D913B4" w:rsidRPr="00501245" w:rsidRDefault="00D913B4" w:rsidP="000C24C3">
            <w:pPr>
              <w:jc w:val="right"/>
              <w:rPr>
                <w:rFonts w:cs="Arial"/>
                <w:szCs w:val="22"/>
              </w:rPr>
            </w:pPr>
            <w:r>
              <w:rPr>
                <w:rFonts w:cs="Arial"/>
                <w:szCs w:val="22"/>
                <w:lang w:val="en-GB"/>
              </w:rPr>
              <w:t>up to 100.00</w:t>
            </w:r>
          </w:p>
        </w:tc>
      </w:tr>
    </w:tbl>
    <w:p w14:paraId="2C9B221B" w14:textId="77777777" w:rsidR="00D913B4" w:rsidRPr="00501245" w:rsidRDefault="00D913B4" w:rsidP="00D913B4">
      <w:pPr>
        <w:rPr>
          <w:rFonts w:cs="Arial"/>
          <w:szCs w:val="22"/>
        </w:rPr>
      </w:pPr>
    </w:p>
    <w:p w14:paraId="567841E5" w14:textId="77777777" w:rsidR="00D913B4" w:rsidRPr="00501245" w:rsidRDefault="00D913B4" w:rsidP="00D913B4">
      <w:pPr>
        <w:rPr>
          <w:rFonts w:cs="Arial"/>
          <w:szCs w:val="22"/>
        </w:rPr>
      </w:pPr>
      <w:r>
        <w:rPr>
          <w:rFonts w:cs="Arial"/>
          <w:szCs w:val="22"/>
          <w:lang w:val="en-GB"/>
        </w:rPr>
        <w:t>IV. Costs of the assessment of PPP comparability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701"/>
      </w:tblGrid>
      <w:tr w:rsidR="00D913B4" w:rsidRPr="00501245" w14:paraId="19038FEE" w14:textId="77777777" w:rsidTr="000C24C3">
        <w:tc>
          <w:tcPr>
            <w:tcW w:w="7621" w:type="dxa"/>
            <w:shd w:val="clear" w:color="auto" w:fill="auto"/>
          </w:tcPr>
          <w:p w14:paraId="5E84D118" w14:textId="77777777" w:rsidR="00D913B4" w:rsidRPr="00501245" w:rsidRDefault="00D913B4" w:rsidP="000C24C3">
            <w:pPr>
              <w:rPr>
                <w:rFonts w:cs="Arial"/>
                <w:szCs w:val="22"/>
              </w:rPr>
            </w:pPr>
            <w:r>
              <w:rPr>
                <w:rFonts w:cs="Arial"/>
                <w:szCs w:val="22"/>
                <w:lang w:val="en-GB"/>
              </w:rPr>
              <w:t>Costs of PPP comparability assessment where exemption from the submission of studies is invoked in accordance with Article 34 of Regulation 1107/2009/EC</w:t>
            </w:r>
          </w:p>
        </w:tc>
        <w:tc>
          <w:tcPr>
            <w:tcW w:w="1701" w:type="dxa"/>
          </w:tcPr>
          <w:p w14:paraId="28567CEE" w14:textId="77777777" w:rsidR="00D913B4" w:rsidRPr="00501245" w:rsidRDefault="00D913B4" w:rsidP="000C24C3">
            <w:pPr>
              <w:jc w:val="right"/>
              <w:rPr>
                <w:rFonts w:cs="Arial"/>
                <w:szCs w:val="22"/>
              </w:rPr>
            </w:pPr>
            <w:r>
              <w:rPr>
                <w:rFonts w:cs="Arial"/>
                <w:szCs w:val="22"/>
                <w:lang w:val="en-GB"/>
              </w:rPr>
              <w:t>EUR</w:t>
            </w:r>
          </w:p>
        </w:tc>
      </w:tr>
      <w:tr w:rsidR="00D913B4" w:rsidRPr="00501245" w14:paraId="16F4A418" w14:textId="77777777" w:rsidTr="000C24C3">
        <w:tc>
          <w:tcPr>
            <w:tcW w:w="7621" w:type="dxa"/>
            <w:shd w:val="clear" w:color="auto" w:fill="auto"/>
          </w:tcPr>
          <w:p w14:paraId="38B54C4B" w14:textId="77777777" w:rsidR="00D913B4" w:rsidRPr="00501245" w:rsidRDefault="00D913B4" w:rsidP="000C24C3">
            <w:pPr>
              <w:rPr>
                <w:rFonts w:cs="Arial"/>
                <w:szCs w:val="22"/>
              </w:rPr>
            </w:pPr>
            <w:r>
              <w:rPr>
                <w:rFonts w:cs="Arial"/>
                <w:szCs w:val="22"/>
                <w:lang w:val="en-GB"/>
              </w:rPr>
              <w:t xml:space="preserve">Comparability assessment </w:t>
            </w:r>
          </w:p>
        </w:tc>
        <w:tc>
          <w:tcPr>
            <w:tcW w:w="1701" w:type="dxa"/>
          </w:tcPr>
          <w:p w14:paraId="1E3CA0E1" w14:textId="77777777" w:rsidR="00D913B4" w:rsidRPr="00501245" w:rsidRDefault="00D913B4" w:rsidP="000C24C3">
            <w:pPr>
              <w:jc w:val="right"/>
              <w:rPr>
                <w:rFonts w:cs="Arial"/>
                <w:szCs w:val="22"/>
              </w:rPr>
            </w:pPr>
            <w:r>
              <w:rPr>
                <w:rFonts w:cs="Arial"/>
                <w:szCs w:val="22"/>
                <w:lang w:val="en-GB"/>
              </w:rPr>
              <w:t>up to 1,000.00</w:t>
            </w:r>
          </w:p>
        </w:tc>
      </w:tr>
    </w:tbl>
    <w:p w14:paraId="4247E3B7" w14:textId="77777777" w:rsidR="00D913B4" w:rsidRPr="00501245" w:rsidRDefault="00D913B4" w:rsidP="00D913B4">
      <w:pPr>
        <w:rPr>
          <w:rFonts w:cs="Arial"/>
          <w:szCs w:val="22"/>
        </w:rPr>
      </w:pPr>
    </w:p>
    <w:p w14:paraId="5AF7C9C2" w14:textId="77777777" w:rsidR="00D913B4" w:rsidRPr="00501245" w:rsidRDefault="00D913B4" w:rsidP="00D913B4">
      <w:pPr>
        <w:rPr>
          <w:rFonts w:cs="Arial"/>
          <w:szCs w:val="22"/>
        </w:rPr>
      </w:pPr>
      <w:r>
        <w:rPr>
          <w:rFonts w:cs="Arial"/>
          <w:szCs w:val="22"/>
          <w:lang w:val="en-GB"/>
        </w:rPr>
        <w:t>V. Costs of a comparative assessment of PPPs containing candidates for substitution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701"/>
      </w:tblGrid>
      <w:tr w:rsidR="00D913B4" w:rsidRPr="00501245" w14:paraId="2EFDFFF0" w14:textId="77777777" w:rsidTr="00500334">
        <w:tc>
          <w:tcPr>
            <w:tcW w:w="7621" w:type="dxa"/>
            <w:shd w:val="clear" w:color="auto" w:fill="F2F2F2"/>
          </w:tcPr>
          <w:p w14:paraId="6F03EEFE" w14:textId="77777777" w:rsidR="00D913B4" w:rsidRPr="00501245" w:rsidRDefault="00D913B4" w:rsidP="000C24C3">
            <w:pPr>
              <w:rPr>
                <w:rFonts w:cs="Arial"/>
                <w:szCs w:val="22"/>
              </w:rPr>
            </w:pPr>
            <w:r>
              <w:rPr>
                <w:rFonts w:cs="Arial"/>
                <w:szCs w:val="22"/>
                <w:lang w:val="en-GB"/>
              </w:rPr>
              <w:t>Costs of comparative assessment of PPPs containing candidates for substitution in accordance with Article 50 of Regulation 1107/2009/EC</w:t>
            </w:r>
            <w:r>
              <w:rPr>
                <w:rFonts w:cs="Arial"/>
                <w:szCs w:val="22"/>
                <w:vertAlign w:val="superscript"/>
                <w:lang w:val="en-GB"/>
              </w:rPr>
              <w:t>3</w:t>
            </w:r>
          </w:p>
        </w:tc>
        <w:tc>
          <w:tcPr>
            <w:tcW w:w="1701" w:type="dxa"/>
            <w:shd w:val="clear" w:color="auto" w:fill="F2F2F2"/>
          </w:tcPr>
          <w:p w14:paraId="04F4661C" w14:textId="77777777" w:rsidR="00D913B4" w:rsidRPr="00501245" w:rsidRDefault="00D913B4" w:rsidP="000C24C3">
            <w:pPr>
              <w:jc w:val="right"/>
              <w:rPr>
                <w:rFonts w:cs="Arial"/>
                <w:szCs w:val="22"/>
              </w:rPr>
            </w:pPr>
            <w:r>
              <w:rPr>
                <w:rFonts w:cs="Arial"/>
                <w:szCs w:val="22"/>
                <w:lang w:val="en-GB"/>
              </w:rPr>
              <w:t>EUR</w:t>
            </w:r>
          </w:p>
        </w:tc>
      </w:tr>
      <w:tr w:rsidR="00D913B4" w:rsidRPr="00501245" w14:paraId="5E320F18" w14:textId="77777777" w:rsidTr="00500334">
        <w:tc>
          <w:tcPr>
            <w:tcW w:w="7621" w:type="dxa"/>
            <w:shd w:val="clear" w:color="auto" w:fill="auto"/>
          </w:tcPr>
          <w:p w14:paraId="615063C4" w14:textId="77777777" w:rsidR="00D913B4" w:rsidRPr="00501245" w:rsidRDefault="00D913B4" w:rsidP="000C24C3">
            <w:pPr>
              <w:rPr>
                <w:rFonts w:cs="Arial"/>
                <w:szCs w:val="22"/>
              </w:rPr>
            </w:pPr>
            <w:r>
              <w:rPr>
                <w:rFonts w:cs="Arial"/>
                <w:szCs w:val="22"/>
                <w:lang w:val="en-GB"/>
              </w:rPr>
              <w:t xml:space="preserve">Comparative assessment </w:t>
            </w:r>
          </w:p>
        </w:tc>
        <w:tc>
          <w:tcPr>
            <w:tcW w:w="1701" w:type="dxa"/>
            <w:shd w:val="clear" w:color="auto" w:fill="auto"/>
          </w:tcPr>
          <w:p w14:paraId="64103E47" w14:textId="77777777" w:rsidR="00D913B4" w:rsidRPr="00501245" w:rsidRDefault="00D913B4" w:rsidP="000C24C3">
            <w:pPr>
              <w:jc w:val="right"/>
              <w:rPr>
                <w:rFonts w:cs="Arial"/>
                <w:szCs w:val="22"/>
              </w:rPr>
            </w:pPr>
            <w:r>
              <w:rPr>
                <w:rFonts w:cs="Arial"/>
                <w:szCs w:val="22"/>
                <w:lang w:val="en-GB"/>
              </w:rPr>
              <w:t>up to 3,000.00</w:t>
            </w:r>
          </w:p>
        </w:tc>
      </w:tr>
    </w:tbl>
    <w:p w14:paraId="4179FBBD" w14:textId="77777777" w:rsidR="00D913B4" w:rsidRPr="00501245" w:rsidRDefault="00D913B4" w:rsidP="00D913B4">
      <w:pPr>
        <w:rPr>
          <w:rFonts w:cs="Arial"/>
          <w:szCs w:val="22"/>
        </w:rPr>
      </w:pPr>
    </w:p>
    <w:p w14:paraId="7FBB4A56" w14:textId="77777777" w:rsidR="00D913B4" w:rsidRPr="00501245" w:rsidRDefault="00D913B4" w:rsidP="00D913B4">
      <w:pPr>
        <w:rPr>
          <w:rFonts w:cs="Arial"/>
          <w:szCs w:val="22"/>
        </w:rPr>
      </w:pPr>
      <w:r>
        <w:rPr>
          <w:rFonts w:cs="Arial"/>
          <w:szCs w:val="22"/>
          <w:lang w:val="en-GB"/>
        </w:rPr>
        <w:t xml:space="preserve">VI. Costs related to the extension of a PPP authorisation for minor </w:t>
      </w:r>
      <w:proofErr w:type="gramStart"/>
      <w:r>
        <w:rPr>
          <w:rFonts w:cs="Arial"/>
          <w:szCs w:val="22"/>
          <w:lang w:val="en-GB"/>
        </w:rPr>
        <w:t>uses</w:t>
      </w:r>
      <w:proofErr w:type="gram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701"/>
      </w:tblGrid>
      <w:tr w:rsidR="00D913B4" w:rsidRPr="00501245" w14:paraId="2B91268A" w14:textId="77777777" w:rsidTr="000C24C3">
        <w:tc>
          <w:tcPr>
            <w:tcW w:w="7621" w:type="dxa"/>
            <w:shd w:val="clear" w:color="auto" w:fill="F2F2F2"/>
          </w:tcPr>
          <w:p w14:paraId="4F1FCCC9" w14:textId="77777777" w:rsidR="00D913B4" w:rsidRPr="00501245" w:rsidRDefault="00D913B4" w:rsidP="000C24C3">
            <w:pPr>
              <w:rPr>
                <w:rFonts w:cs="Arial"/>
                <w:szCs w:val="22"/>
              </w:rPr>
            </w:pPr>
            <w:r>
              <w:rPr>
                <w:rFonts w:cs="Arial"/>
                <w:szCs w:val="22"/>
                <w:lang w:val="en-GB"/>
              </w:rPr>
              <w:t>Extension of PPP authorisation for minor uses in accordance with Article 51 of Regulation 1107/2009/EC</w:t>
            </w:r>
          </w:p>
        </w:tc>
        <w:tc>
          <w:tcPr>
            <w:tcW w:w="1701" w:type="dxa"/>
            <w:shd w:val="clear" w:color="auto" w:fill="F2F2F2"/>
          </w:tcPr>
          <w:p w14:paraId="12002B7D" w14:textId="77777777" w:rsidR="00D913B4" w:rsidRPr="00501245" w:rsidRDefault="00D913B4" w:rsidP="000C24C3">
            <w:pPr>
              <w:jc w:val="right"/>
              <w:rPr>
                <w:rFonts w:cs="Arial"/>
                <w:szCs w:val="22"/>
              </w:rPr>
            </w:pPr>
            <w:r>
              <w:rPr>
                <w:rFonts w:cs="Arial"/>
                <w:szCs w:val="22"/>
                <w:lang w:val="en-GB"/>
              </w:rPr>
              <w:t>EUR</w:t>
            </w:r>
          </w:p>
        </w:tc>
      </w:tr>
      <w:tr w:rsidR="00D913B4" w:rsidRPr="00501245" w14:paraId="5607EBE5" w14:textId="77777777" w:rsidTr="000C24C3">
        <w:tc>
          <w:tcPr>
            <w:tcW w:w="7621" w:type="dxa"/>
            <w:shd w:val="clear" w:color="auto" w:fill="auto"/>
          </w:tcPr>
          <w:p w14:paraId="7A804496" w14:textId="77777777" w:rsidR="00D913B4" w:rsidRPr="00501245" w:rsidRDefault="00D913B4" w:rsidP="000C24C3">
            <w:pPr>
              <w:rPr>
                <w:rFonts w:cs="Arial"/>
                <w:szCs w:val="22"/>
              </w:rPr>
            </w:pPr>
            <w:r>
              <w:rPr>
                <w:rFonts w:cs="Arial"/>
                <w:szCs w:val="22"/>
                <w:lang w:val="en-GB"/>
              </w:rPr>
              <w:t>Dossier completeness check</w:t>
            </w:r>
          </w:p>
        </w:tc>
        <w:tc>
          <w:tcPr>
            <w:tcW w:w="1701" w:type="dxa"/>
          </w:tcPr>
          <w:p w14:paraId="25D42122" w14:textId="77777777" w:rsidR="00D913B4" w:rsidRPr="00501245" w:rsidRDefault="00D913B4" w:rsidP="000C24C3">
            <w:pPr>
              <w:jc w:val="right"/>
              <w:rPr>
                <w:rFonts w:cs="Arial"/>
                <w:szCs w:val="22"/>
              </w:rPr>
            </w:pPr>
            <w:r>
              <w:rPr>
                <w:rFonts w:cs="Arial"/>
                <w:szCs w:val="22"/>
                <w:lang w:val="en-GB"/>
              </w:rPr>
              <w:t>100.00</w:t>
            </w:r>
          </w:p>
        </w:tc>
      </w:tr>
      <w:tr w:rsidR="00D913B4" w:rsidRPr="00501245" w14:paraId="177866A3" w14:textId="77777777" w:rsidTr="000C24C3">
        <w:tc>
          <w:tcPr>
            <w:tcW w:w="7621" w:type="dxa"/>
            <w:shd w:val="clear" w:color="auto" w:fill="auto"/>
          </w:tcPr>
          <w:p w14:paraId="08F1822B" w14:textId="77777777" w:rsidR="00D913B4" w:rsidRPr="00501245" w:rsidRDefault="00D913B4" w:rsidP="000C24C3">
            <w:pPr>
              <w:rPr>
                <w:rFonts w:cs="Arial"/>
                <w:szCs w:val="22"/>
              </w:rPr>
            </w:pPr>
            <w:r>
              <w:rPr>
                <w:rFonts w:cs="Arial"/>
                <w:szCs w:val="22"/>
                <w:lang w:val="en-GB"/>
              </w:rPr>
              <w:t xml:space="preserve">Assessment of toxicological and metabolism studies </w:t>
            </w:r>
          </w:p>
        </w:tc>
        <w:tc>
          <w:tcPr>
            <w:tcW w:w="1701" w:type="dxa"/>
          </w:tcPr>
          <w:p w14:paraId="341B5429" w14:textId="77777777" w:rsidR="00D913B4" w:rsidRPr="00501245" w:rsidRDefault="00D913B4" w:rsidP="000C24C3">
            <w:pPr>
              <w:jc w:val="right"/>
              <w:rPr>
                <w:rFonts w:cs="Arial"/>
                <w:szCs w:val="22"/>
              </w:rPr>
            </w:pPr>
            <w:r>
              <w:rPr>
                <w:rFonts w:cs="Arial"/>
                <w:szCs w:val="22"/>
                <w:lang w:val="en-GB"/>
              </w:rPr>
              <w:t>150.00</w:t>
            </w:r>
          </w:p>
        </w:tc>
      </w:tr>
      <w:tr w:rsidR="00D913B4" w:rsidRPr="00501245" w14:paraId="2DD52D3D" w14:textId="77777777" w:rsidTr="000C24C3">
        <w:tc>
          <w:tcPr>
            <w:tcW w:w="7621" w:type="dxa"/>
            <w:shd w:val="clear" w:color="auto" w:fill="auto"/>
          </w:tcPr>
          <w:p w14:paraId="01064878" w14:textId="77777777" w:rsidR="00D913B4" w:rsidRPr="00501245" w:rsidRDefault="00D913B4" w:rsidP="000C24C3">
            <w:pPr>
              <w:rPr>
                <w:rFonts w:cs="Arial"/>
                <w:szCs w:val="22"/>
              </w:rPr>
            </w:pPr>
            <w:r>
              <w:rPr>
                <w:rFonts w:cs="Arial"/>
                <w:szCs w:val="22"/>
                <w:lang w:val="en-GB"/>
              </w:rPr>
              <w:t xml:space="preserve">Assessment of residues in or on food and feed </w:t>
            </w:r>
          </w:p>
        </w:tc>
        <w:tc>
          <w:tcPr>
            <w:tcW w:w="1701" w:type="dxa"/>
          </w:tcPr>
          <w:p w14:paraId="6916E17B" w14:textId="77777777" w:rsidR="00D913B4" w:rsidRPr="00501245" w:rsidRDefault="00D913B4" w:rsidP="000C24C3">
            <w:pPr>
              <w:jc w:val="right"/>
              <w:rPr>
                <w:rFonts w:cs="Arial"/>
                <w:szCs w:val="22"/>
              </w:rPr>
            </w:pPr>
            <w:r>
              <w:rPr>
                <w:rFonts w:cs="Arial"/>
                <w:szCs w:val="22"/>
                <w:lang w:val="en-GB"/>
              </w:rPr>
              <w:t>250.00</w:t>
            </w:r>
          </w:p>
        </w:tc>
      </w:tr>
      <w:tr w:rsidR="00D913B4" w:rsidRPr="00501245" w14:paraId="392C5BF5" w14:textId="77777777" w:rsidTr="000C24C3">
        <w:tc>
          <w:tcPr>
            <w:tcW w:w="7621" w:type="dxa"/>
            <w:shd w:val="clear" w:color="auto" w:fill="auto"/>
          </w:tcPr>
          <w:p w14:paraId="66353E45" w14:textId="77777777" w:rsidR="00D913B4" w:rsidRPr="00501245" w:rsidRDefault="00D913B4" w:rsidP="000C24C3">
            <w:pPr>
              <w:rPr>
                <w:rFonts w:cs="Arial"/>
                <w:szCs w:val="22"/>
              </w:rPr>
            </w:pPr>
            <w:r>
              <w:rPr>
                <w:rFonts w:cs="Arial"/>
                <w:szCs w:val="22"/>
                <w:lang w:val="en-GB"/>
              </w:rPr>
              <w:t xml:space="preserve">Assessment of behaviour in the environment </w:t>
            </w:r>
          </w:p>
        </w:tc>
        <w:tc>
          <w:tcPr>
            <w:tcW w:w="1701" w:type="dxa"/>
          </w:tcPr>
          <w:p w14:paraId="23A2D75A" w14:textId="77777777" w:rsidR="00D913B4" w:rsidRPr="00501245" w:rsidRDefault="00D913B4" w:rsidP="000C24C3">
            <w:pPr>
              <w:jc w:val="right"/>
              <w:rPr>
                <w:rFonts w:cs="Arial"/>
                <w:szCs w:val="22"/>
              </w:rPr>
            </w:pPr>
            <w:r>
              <w:rPr>
                <w:rFonts w:cs="Arial"/>
                <w:szCs w:val="22"/>
                <w:lang w:val="en-GB"/>
              </w:rPr>
              <w:t>100.00</w:t>
            </w:r>
          </w:p>
        </w:tc>
      </w:tr>
      <w:tr w:rsidR="00D913B4" w:rsidRPr="00501245" w14:paraId="76CF40F3" w14:textId="77777777" w:rsidTr="000C24C3">
        <w:tc>
          <w:tcPr>
            <w:tcW w:w="7621" w:type="dxa"/>
            <w:shd w:val="clear" w:color="auto" w:fill="auto"/>
          </w:tcPr>
          <w:p w14:paraId="75D08BAF" w14:textId="77777777" w:rsidR="00D913B4" w:rsidRPr="00501245" w:rsidRDefault="00D913B4" w:rsidP="000C24C3">
            <w:pPr>
              <w:rPr>
                <w:rFonts w:cs="Arial"/>
                <w:szCs w:val="22"/>
              </w:rPr>
            </w:pPr>
            <w:r>
              <w:rPr>
                <w:rFonts w:cs="Arial"/>
                <w:szCs w:val="22"/>
                <w:lang w:val="en-GB"/>
              </w:rPr>
              <w:t xml:space="preserve">Assessment of ecotoxicological studies </w:t>
            </w:r>
          </w:p>
        </w:tc>
        <w:tc>
          <w:tcPr>
            <w:tcW w:w="1701" w:type="dxa"/>
          </w:tcPr>
          <w:p w14:paraId="5C8BB5EE" w14:textId="77777777" w:rsidR="00D913B4" w:rsidRPr="00501245" w:rsidRDefault="00D913B4" w:rsidP="000C24C3">
            <w:pPr>
              <w:jc w:val="right"/>
              <w:rPr>
                <w:rFonts w:cs="Arial"/>
                <w:szCs w:val="22"/>
              </w:rPr>
            </w:pPr>
            <w:r>
              <w:rPr>
                <w:rFonts w:cs="Arial"/>
                <w:szCs w:val="22"/>
                <w:lang w:val="en-GB"/>
              </w:rPr>
              <w:t>100.00</w:t>
            </w:r>
          </w:p>
        </w:tc>
      </w:tr>
      <w:tr w:rsidR="00D913B4" w:rsidRPr="00501245" w14:paraId="118A9259" w14:textId="77777777" w:rsidTr="000C24C3">
        <w:tc>
          <w:tcPr>
            <w:tcW w:w="7621" w:type="dxa"/>
            <w:shd w:val="clear" w:color="auto" w:fill="auto"/>
          </w:tcPr>
          <w:p w14:paraId="07FBB426" w14:textId="77777777" w:rsidR="00D913B4" w:rsidRPr="00501245" w:rsidRDefault="00D913B4" w:rsidP="000C24C3">
            <w:pPr>
              <w:rPr>
                <w:rFonts w:cs="Arial"/>
                <w:szCs w:val="22"/>
              </w:rPr>
            </w:pPr>
            <w:r>
              <w:rPr>
                <w:rFonts w:cs="Arial"/>
                <w:szCs w:val="22"/>
                <w:lang w:val="en-GB"/>
              </w:rPr>
              <w:t>Harmonisation of draft label with instructions for use</w:t>
            </w:r>
            <w:r>
              <w:rPr>
                <w:rFonts w:cs="Arial"/>
                <w:szCs w:val="22"/>
                <w:vertAlign w:val="superscript"/>
                <w:lang w:val="en-GB"/>
              </w:rPr>
              <w:t>3</w:t>
            </w:r>
            <w:r>
              <w:rPr>
                <w:rFonts w:cs="Arial"/>
                <w:szCs w:val="22"/>
                <w:lang w:val="en-GB"/>
              </w:rPr>
              <w:t xml:space="preserve"> </w:t>
            </w:r>
          </w:p>
        </w:tc>
        <w:tc>
          <w:tcPr>
            <w:tcW w:w="1701" w:type="dxa"/>
          </w:tcPr>
          <w:p w14:paraId="5E3AD1AC" w14:textId="77777777" w:rsidR="00D913B4" w:rsidRPr="00501245" w:rsidRDefault="00D913B4" w:rsidP="000C24C3">
            <w:pPr>
              <w:jc w:val="right"/>
              <w:rPr>
                <w:rFonts w:cs="Arial"/>
                <w:szCs w:val="22"/>
              </w:rPr>
            </w:pPr>
            <w:r>
              <w:rPr>
                <w:rFonts w:cs="Arial"/>
                <w:szCs w:val="22"/>
                <w:lang w:val="en-GB"/>
              </w:rPr>
              <w:t>100.00</w:t>
            </w:r>
          </w:p>
        </w:tc>
      </w:tr>
      <w:tr w:rsidR="00D913B4" w:rsidRPr="00501245" w14:paraId="28ACD3CF" w14:textId="77777777" w:rsidTr="000C24C3">
        <w:tc>
          <w:tcPr>
            <w:tcW w:w="7621" w:type="dxa"/>
            <w:shd w:val="clear" w:color="auto" w:fill="auto"/>
          </w:tcPr>
          <w:p w14:paraId="0C1D122A" w14:textId="77777777" w:rsidR="00D913B4" w:rsidRPr="00501245" w:rsidRDefault="00D913B4" w:rsidP="000C24C3">
            <w:pPr>
              <w:rPr>
                <w:rFonts w:cs="Arial"/>
                <w:szCs w:val="22"/>
              </w:rPr>
            </w:pPr>
            <w:r>
              <w:rPr>
                <w:rFonts w:cs="Arial"/>
                <w:szCs w:val="22"/>
                <w:lang w:val="en-GB"/>
              </w:rPr>
              <w:t xml:space="preserve">TOTAL </w:t>
            </w:r>
          </w:p>
        </w:tc>
        <w:tc>
          <w:tcPr>
            <w:tcW w:w="1701" w:type="dxa"/>
          </w:tcPr>
          <w:p w14:paraId="524E80B7" w14:textId="77777777" w:rsidR="00D913B4" w:rsidRPr="00501245" w:rsidRDefault="00D913B4" w:rsidP="000C24C3">
            <w:pPr>
              <w:jc w:val="right"/>
              <w:rPr>
                <w:rFonts w:cs="Arial"/>
                <w:szCs w:val="22"/>
              </w:rPr>
            </w:pPr>
            <w:r>
              <w:rPr>
                <w:rFonts w:cs="Arial"/>
                <w:szCs w:val="22"/>
                <w:lang w:val="en-GB"/>
              </w:rPr>
              <w:t>800.00</w:t>
            </w:r>
          </w:p>
        </w:tc>
      </w:tr>
    </w:tbl>
    <w:p w14:paraId="09467230" w14:textId="77777777" w:rsidR="00D913B4" w:rsidRPr="00501245" w:rsidRDefault="00D913B4" w:rsidP="00D913B4">
      <w:pPr>
        <w:rPr>
          <w:rFonts w:cs="Arial"/>
          <w:szCs w:val="22"/>
        </w:rPr>
      </w:pPr>
    </w:p>
    <w:p w14:paraId="6E974193" w14:textId="77777777" w:rsidR="00D913B4" w:rsidRPr="00501245" w:rsidRDefault="00D913B4" w:rsidP="00D913B4">
      <w:pPr>
        <w:rPr>
          <w:rFonts w:cs="Arial"/>
          <w:szCs w:val="22"/>
        </w:rPr>
      </w:pPr>
      <w:r>
        <w:rPr>
          <w:rFonts w:cs="Arial"/>
          <w:szCs w:val="22"/>
          <w:lang w:val="en-GB"/>
        </w:rPr>
        <w:t xml:space="preserve">VII. The costs related to PPP </w:t>
      </w:r>
      <w:proofErr w:type="gramStart"/>
      <w:r>
        <w:rPr>
          <w:rFonts w:cs="Arial"/>
          <w:szCs w:val="22"/>
          <w:lang w:val="en-GB"/>
        </w:rPr>
        <w:t>permits</w:t>
      </w:r>
      <w:proofErr w:type="gram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701"/>
      </w:tblGrid>
      <w:tr w:rsidR="00D913B4" w:rsidRPr="00501245" w14:paraId="6C96D213" w14:textId="77777777" w:rsidTr="000C24C3">
        <w:tc>
          <w:tcPr>
            <w:tcW w:w="7621" w:type="dxa"/>
            <w:shd w:val="clear" w:color="auto" w:fill="F2F2F2"/>
          </w:tcPr>
          <w:p w14:paraId="3BBB8FB3" w14:textId="77777777" w:rsidR="00D913B4" w:rsidRPr="00501245" w:rsidRDefault="00D913B4" w:rsidP="000C24C3">
            <w:pPr>
              <w:rPr>
                <w:rFonts w:cs="Arial"/>
                <w:szCs w:val="22"/>
              </w:rPr>
            </w:pPr>
            <w:r>
              <w:rPr>
                <w:rFonts w:cs="Arial"/>
                <w:szCs w:val="22"/>
                <w:lang w:val="en-GB"/>
              </w:rPr>
              <w:t xml:space="preserve">1. Parallel trade permit in accordance with Article 52 of Regulation 1107/2009/EC </w:t>
            </w:r>
          </w:p>
        </w:tc>
        <w:tc>
          <w:tcPr>
            <w:tcW w:w="1701" w:type="dxa"/>
            <w:shd w:val="clear" w:color="auto" w:fill="F2F2F2"/>
          </w:tcPr>
          <w:p w14:paraId="2584A410" w14:textId="77777777" w:rsidR="00D913B4" w:rsidRPr="00501245" w:rsidRDefault="00D913B4" w:rsidP="000C24C3">
            <w:pPr>
              <w:jc w:val="right"/>
              <w:rPr>
                <w:rFonts w:cs="Arial"/>
                <w:szCs w:val="22"/>
              </w:rPr>
            </w:pPr>
            <w:r>
              <w:rPr>
                <w:rFonts w:cs="Arial"/>
                <w:szCs w:val="22"/>
                <w:lang w:val="en-GB"/>
              </w:rPr>
              <w:t>EUR</w:t>
            </w:r>
          </w:p>
        </w:tc>
      </w:tr>
      <w:tr w:rsidR="00D913B4" w:rsidRPr="00501245" w14:paraId="4BDF218D" w14:textId="77777777" w:rsidTr="000C24C3">
        <w:tc>
          <w:tcPr>
            <w:tcW w:w="7621" w:type="dxa"/>
            <w:shd w:val="clear" w:color="auto" w:fill="auto"/>
          </w:tcPr>
          <w:p w14:paraId="7106220E" w14:textId="77777777" w:rsidR="00D913B4" w:rsidRPr="00501245" w:rsidRDefault="00D913B4" w:rsidP="000C24C3">
            <w:pPr>
              <w:rPr>
                <w:rFonts w:cs="Arial"/>
                <w:szCs w:val="22"/>
              </w:rPr>
            </w:pPr>
            <w:r>
              <w:rPr>
                <w:rFonts w:cs="Arial"/>
                <w:szCs w:val="22"/>
                <w:lang w:val="en-GB"/>
              </w:rPr>
              <w:t xml:space="preserve">Examination of application and assessment of whether PPPs are identical </w:t>
            </w:r>
          </w:p>
        </w:tc>
        <w:tc>
          <w:tcPr>
            <w:tcW w:w="1701" w:type="dxa"/>
          </w:tcPr>
          <w:p w14:paraId="1355565E" w14:textId="77777777" w:rsidR="00D913B4" w:rsidRPr="00501245" w:rsidRDefault="00D913B4" w:rsidP="000C24C3">
            <w:pPr>
              <w:jc w:val="right"/>
              <w:rPr>
                <w:rFonts w:cs="Arial"/>
                <w:szCs w:val="22"/>
              </w:rPr>
            </w:pPr>
            <w:r>
              <w:rPr>
                <w:rFonts w:cs="Arial"/>
                <w:szCs w:val="22"/>
                <w:lang w:val="en-GB"/>
              </w:rPr>
              <w:t>200.00</w:t>
            </w:r>
          </w:p>
        </w:tc>
      </w:tr>
      <w:tr w:rsidR="00D913B4" w:rsidRPr="00501245" w14:paraId="4D81C7E2" w14:textId="77777777" w:rsidTr="000C24C3">
        <w:tc>
          <w:tcPr>
            <w:tcW w:w="7621" w:type="dxa"/>
            <w:shd w:val="clear" w:color="auto" w:fill="F2F2F2"/>
          </w:tcPr>
          <w:p w14:paraId="4A16EA0D" w14:textId="77777777" w:rsidR="00D913B4" w:rsidRPr="00501245" w:rsidRDefault="00D913B4" w:rsidP="000C24C3">
            <w:pPr>
              <w:rPr>
                <w:rFonts w:cs="Arial"/>
                <w:szCs w:val="22"/>
              </w:rPr>
            </w:pPr>
            <w:r>
              <w:rPr>
                <w:rFonts w:cs="Arial"/>
                <w:szCs w:val="22"/>
                <w:lang w:val="en-GB"/>
              </w:rPr>
              <w:t xml:space="preserve">2. Emergency authorisation in accordance with Article 53 of Regulation 1107/2009/EC </w:t>
            </w:r>
          </w:p>
        </w:tc>
        <w:tc>
          <w:tcPr>
            <w:tcW w:w="1701" w:type="dxa"/>
            <w:shd w:val="clear" w:color="auto" w:fill="F2F2F2"/>
          </w:tcPr>
          <w:p w14:paraId="6C1DC7AA" w14:textId="77777777" w:rsidR="00D913B4" w:rsidRPr="00501245" w:rsidRDefault="00D913B4" w:rsidP="000C24C3">
            <w:pPr>
              <w:jc w:val="right"/>
              <w:rPr>
                <w:rFonts w:cs="Arial"/>
                <w:szCs w:val="22"/>
              </w:rPr>
            </w:pPr>
            <w:r>
              <w:rPr>
                <w:rFonts w:cs="Arial"/>
                <w:szCs w:val="22"/>
                <w:lang w:val="en-GB"/>
              </w:rPr>
              <w:t>EUR</w:t>
            </w:r>
          </w:p>
        </w:tc>
      </w:tr>
      <w:tr w:rsidR="00D913B4" w:rsidRPr="00501245" w14:paraId="77855017" w14:textId="77777777" w:rsidTr="000C24C3">
        <w:tc>
          <w:tcPr>
            <w:tcW w:w="7621" w:type="dxa"/>
            <w:shd w:val="clear" w:color="auto" w:fill="auto"/>
          </w:tcPr>
          <w:p w14:paraId="06DDFE26" w14:textId="77777777" w:rsidR="00D913B4" w:rsidRPr="00501245" w:rsidRDefault="00D913B4" w:rsidP="000C24C3">
            <w:pPr>
              <w:rPr>
                <w:rFonts w:cs="Arial"/>
                <w:szCs w:val="22"/>
              </w:rPr>
            </w:pPr>
            <w:r>
              <w:rPr>
                <w:rFonts w:cs="Arial"/>
                <w:szCs w:val="22"/>
                <w:lang w:val="en-GB"/>
              </w:rPr>
              <w:t xml:space="preserve">Review and examination of application </w:t>
            </w:r>
          </w:p>
        </w:tc>
        <w:tc>
          <w:tcPr>
            <w:tcW w:w="1701" w:type="dxa"/>
          </w:tcPr>
          <w:p w14:paraId="0D6BB181" w14:textId="77777777" w:rsidR="00D913B4" w:rsidRPr="00501245" w:rsidRDefault="00D913B4" w:rsidP="000C24C3">
            <w:pPr>
              <w:jc w:val="right"/>
              <w:rPr>
                <w:rFonts w:cs="Arial"/>
                <w:szCs w:val="22"/>
              </w:rPr>
            </w:pPr>
            <w:r>
              <w:rPr>
                <w:rFonts w:cs="Arial"/>
                <w:szCs w:val="22"/>
                <w:lang w:val="en-GB"/>
              </w:rPr>
              <w:t>875.00</w:t>
            </w:r>
          </w:p>
        </w:tc>
      </w:tr>
      <w:tr w:rsidR="00D913B4" w:rsidRPr="00501245" w14:paraId="5A4AF01B" w14:textId="77777777" w:rsidTr="000C24C3">
        <w:tc>
          <w:tcPr>
            <w:tcW w:w="7621" w:type="dxa"/>
            <w:shd w:val="clear" w:color="auto" w:fill="F2F2F2"/>
          </w:tcPr>
          <w:p w14:paraId="505E8554" w14:textId="77777777" w:rsidR="00D913B4" w:rsidRPr="00501245" w:rsidRDefault="00D913B4" w:rsidP="000C24C3">
            <w:pPr>
              <w:rPr>
                <w:rFonts w:cs="Arial"/>
                <w:szCs w:val="22"/>
              </w:rPr>
            </w:pPr>
            <w:r>
              <w:rPr>
                <w:rFonts w:cs="Arial"/>
                <w:szCs w:val="22"/>
                <w:lang w:val="en-GB"/>
              </w:rPr>
              <w:t>3. Research and development permit in accordance with Article 54 of Regulation 1107/2009/EC</w:t>
            </w:r>
          </w:p>
        </w:tc>
        <w:tc>
          <w:tcPr>
            <w:tcW w:w="1701" w:type="dxa"/>
            <w:shd w:val="clear" w:color="auto" w:fill="F2F2F2"/>
          </w:tcPr>
          <w:p w14:paraId="552DD4D6" w14:textId="77777777" w:rsidR="00D913B4" w:rsidRPr="00501245" w:rsidRDefault="00D913B4" w:rsidP="000C24C3">
            <w:pPr>
              <w:jc w:val="right"/>
              <w:rPr>
                <w:rFonts w:cs="Arial"/>
                <w:szCs w:val="22"/>
              </w:rPr>
            </w:pPr>
            <w:r>
              <w:rPr>
                <w:rFonts w:cs="Arial"/>
                <w:szCs w:val="22"/>
                <w:lang w:val="en-GB"/>
              </w:rPr>
              <w:t>EUR</w:t>
            </w:r>
          </w:p>
        </w:tc>
      </w:tr>
      <w:tr w:rsidR="00D913B4" w:rsidRPr="00501245" w14:paraId="2FB582EE" w14:textId="77777777" w:rsidTr="000C24C3">
        <w:trPr>
          <w:trHeight w:val="70"/>
        </w:trPr>
        <w:tc>
          <w:tcPr>
            <w:tcW w:w="7621" w:type="dxa"/>
            <w:shd w:val="clear" w:color="auto" w:fill="auto"/>
          </w:tcPr>
          <w:p w14:paraId="07EA17E6" w14:textId="77777777" w:rsidR="00D913B4" w:rsidRPr="00501245" w:rsidRDefault="00D913B4" w:rsidP="000C24C3">
            <w:pPr>
              <w:rPr>
                <w:rFonts w:cs="Arial"/>
                <w:szCs w:val="22"/>
              </w:rPr>
            </w:pPr>
            <w:r>
              <w:rPr>
                <w:rFonts w:cs="Arial"/>
                <w:szCs w:val="22"/>
                <w:lang w:val="en-GB"/>
              </w:rPr>
              <w:t xml:space="preserve">Examination of application </w:t>
            </w:r>
          </w:p>
        </w:tc>
        <w:tc>
          <w:tcPr>
            <w:tcW w:w="1701" w:type="dxa"/>
          </w:tcPr>
          <w:p w14:paraId="3AA38F19" w14:textId="77777777" w:rsidR="00D913B4" w:rsidRPr="00501245" w:rsidRDefault="00D913B4" w:rsidP="000C24C3">
            <w:pPr>
              <w:jc w:val="right"/>
              <w:rPr>
                <w:rFonts w:cs="Arial"/>
                <w:szCs w:val="22"/>
              </w:rPr>
            </w:pPr>
            <w:r>
              <w:rPr>
                <w:rFonts w:cs="Arial"/>
                <w:szCs w:val="22"/>
                <w:lang w:val="en-GB"/>
              </w:rPr>
              <w:t>100.00</w:t>
            </w:r>
          </w:p>
        </w:tc>
      </w:tr>
    </w:tbl>
    <w:p w14:paraId="616CBDEC" w14:textId="77777777" w:rsidR="00D913B4" w:rsidRPr="00501245" w:rsidRDefault="00D913B4" w:rsidP="00D913B4">
      <w:pPr>
        <w:rPr>
          <w:rFonts w:cs="Arial"/>
          <w:szCs w:val="22"/>
        </w:rPr>
      </w:pPr>
    </w:p>
    <w:p w14:paraId="23BF024B" w14:textId="77777777" w:rsidR="00500334" w:rsidRPr="00501245" w:rsidRDefault="00500334" w:rsidP="00D913B4">
      <w:pPr>
        <w:rPr>
          <w:rFonts w:cs="Arial"/>
          <w:szCs w:val="22"/>
        </w:rPr>
      </w:pPr>
    </w:p>
    <w:p w14:paraId="71C7BEE0" w14:textId="77777777" w:rsidR="00D913B4" w:rsidRPr="00501245" w:rsidRDefault="00D913B4" w:rsidP="00500334">
      <w:pPr>
        <w:jc w:val="both"/>
        <w:rPr>
          <w:rFonts w:cs="Arial"/>
          <w:szCs w:val="22"/>
        </w:rPr>
      </w:pPr>
      <w:r>
        <w:rPr>
          <w:rFonts w:cs="Arial"/>
          <w:szCs w:val="22"/>
          <w:lang w:val="en-GB"/>
        </w:rPr>
        <w:t xml:space="preserve">VIII. Costs of determining limit values for PPP residues if based on the applicant’s application for an assessment of residues that is separate from the evaluation of active </w:t>
      </w:r>
      <w:proofErr w:type="gramStart"/>
      <w:r>
        <w:rPr>
          <w:rFonts w:cs="Arial"/>
          <w:szCs w:val="22"/>
          <w:lang w:val="en-GB"/>
        </w:rPr>
        <w:t>substances</w:t>
      </w:r>
      <w:proofErr w:type="gramEnd"/>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559"/>
      </w:tblGrid>
      <w:tr w:rsidR="00D913B4" w:rsidRPr="00501245" w14:paraId="66223FA0" w14:textId="77777777" w:rsidTr="00500334">
        <w:tc>
          <w:tcPr>
            <w:tcW w:w="7338" w:type="dxa"/>
            <w:shd w:val="clear" w:color="auto" w:fill="F2F2F2"/>
          </w:tcPr>
          <w:p w14:paraId="16F28A18" w14:textId="77777777" w:rsidR="00D913B4" w:rsidRPr="00501245" w:rsidRDefault="00D913B4" w:rsidP="000C24C3">
            <w:pPr>
              <w:rPr>
                <w:rFonts w:cs="Arial"/>
                <w:szCs w:val="22"/>
              </w:rPr>
            </w:pPr>
            <w:r>
              <w:rPr>
                <w:rFonts w:cs="Arial"/>
                <w:szCs w:val="22"/>
                <w:lang w:val="en-GB"/>
              </w:rPr>
              <w:t>Determination of limit values of PPP residues if carried out in procedures not included in the procedure for the evaluation of active substances in accordance with Article 4 of Regulation 1107/2009/EC</w:t>
            </w:r>
            <w:r>
              <w:rPr>
                <w:rFonts w:cs="Arial"/>
                <w:szCs w:val="22"/>
                <w:vertAlign w:val="superscript"/>
                <w:lang w:val="en-GB"/>
              </w:rPr>
              <w:t>3</w:t>
            </w:r>
            <w:r>
              <w:rPr>
                <w:rFonts w:cs="Arial"/>
                <w:szCs w:val="22"/>
                <w:lang w:val="en-GB"/>
              </w:rPr>
              <w:t xml:space="preserve"> </w:t>
            </w:r>
          </w:p>
        </w:tc>
        <w:tc>
          <w:tcPr>
            <w:tcW w:w="1559" w:type="dxa"/>
            <w:shd w:val="clear" w:color="auto" w:fill="F2F2F2"/>
          </w:tcPr>
          <w:p w14:paraId="71A871CA" w14:textId="77777777" w:rsidR="00D913B4" w:rsidRPr="00501245" w:rsidRDefault="00D913B4" w:rsidP="000C24C3">
            <w:pPr>
              <w:jc w:val="right"/>
              <w:rPr>
                <w:rFonts w:cs="Arial"/>
                <w:szCs w:val="22"/>
              </w:rPr>
            </w:pPr>
            <w:r>
              <w:rPr>
                <w:rFonts w:cs="Arial"/>
                <w:szCs w:val="22"/>
                <w:lang w:val="en-GB"/>
              </w:rPr>
              <w:t>EUR</w:t>
            </w:r>
          </w:p>
        </w:tc>
      </w:tr>
      <w:tr w:rsidR="00D913B4" w:rsidRPr="00501245" w14:paraId="59219903" w14:textId="77777777" w:rsidTr="00500334">
        <w:tc>
          <w:tcPr>
            <w:tcW w:w="7338" w:type="dxa"/>
            <w:shd w:val="clear" w:color="auto" w:fill="auto"/>
          </w:tcPr>
          <w:p w14:paraId="4AEFD708" w14:textId="77777777" w:rsidR="00D913B4" w:rsidRPr="00501245" w:rsidRDefault="00D913B4" w:rsidP="000C24C3">
            <w:pPr>
              <w:rPr>
                <w:rFonts w:cs="Arial"/>
                <w:szCs w:val="22"/>
              </w:rPr>
            </w:pPr>
            <w:r>
              <w:rPr>
                <w:rFonts w:cs="Arial"/>
                <w:szCs w:val="22"/>
                <w:lang w:val="en-GB"/>
              </w:rPr>
              <w:t xml:space="preserve">Dossier completeness check </w:t>
            </w:r>
          </w:p>
        </w:tc>
        <w:tc>
          <w:tcPr>
            <w:tcW w:w="1559" w:type="dxa"/>
          </w:tcPr>
          <w:p w14:paraId="6E193C0C" w14:textId="77777777" w:rsidR="00D913B4" w:rsidRPr="00501245" w:rsidRDefault="00D913B4" w:rsidP="000C24C3">
            <w:pPr>
              <w:jc w:val="right"/>
              <w:rPr>
                <w:rFonts w:cs="Arial"/>
                <w:szCs w:val="22"/>
              </w:rPr>
            </w:pPr>
            <w:r>
              <w:rPr>
                <w:rFonts w:cs="Arial"/>
                <w:szCs w:val="22"/>
                <w:lang w:val="en-GB"/>
              </w:rPr>
              <w:t>up to 700.00</w:t>
            </w:r>
          </w:p>
        </w:tc>
      </w:tr>
      <w:tr w:rsidR="00D913B4" w:rsidRPr="00501245" w14:paraId="53C60185" w14:textId="77777777" w:rsidTr="00500334">
        <w:tc>
          <w:tcPr>
            <w:tcW w:w="7338" w:type="dxa"/>
            <w:shd w:val="clear" w:color="auto" w:fill="auto"/>
          </w:tcPr>
          <w:p w14:paraId="78F7DD48" w14:textId="77777777" w:rsidR="00D913B4" w:rsidRPr="00501245" w:rsidRDefault="00D913B4" w:rsidP="000C24C3">
            <w:pPr>
              <w:rPr>
                <w:rFonts w:cs="Arial"/>
                <w:szCs w:val="22"/>
              </w:rPr>
            </w:pPr>
            <w:r>
              <w:rPr>
                <w:rFonts w:cs="Arial"/>
                <w:szCs w:val="22"/>
                <w:lang w:val="en-GB"/>
              </w:rPr>
              <w:t>Assessment of residues for substances or uses not approved in the EU or assessment of residues for new uses</w:t>
            </w:r>
          </w:p>
        </w:tc>
        <w:tc>
          <w:tcPr>
            <w:tcW w:w="1559" w:type="dxa"/>
          </w:tcPr>
          <w:p w14:paraId="57F10126" w14:textId="77777777" w:rsidR="00D913B4" w:rsidRPr="00501245" w:rsidRDefault="00D913B4" w:rsidP="000C24C3">
            <w:pPr>
              <w:jc w:val="right"/>
              <w:rPr>
                <w:rFonts w:cs="Arial"/>
                <w:szCs w:val="22"/>
              </w:rPr>
            </w:pPr>
            <w:r>
              <w:rPr>
                <w:rFonts w:cs="Arial"/>
                <w:szCs w:val="22"/>
                <w:lang w:val="en-GB"/>
              </w:rPr>
              <w:t>up to 16,012.00</w:t>
            </w:r>
          </w:p>
        </w:tc>
      </w:tr>
      <w:tr w:rsidR="00D913B4" w:rsidRPr="00501245" w14:paraId="59C2B237" w14:textId="77777777" w:rsidTr="00500334">
        <w:tc>
          <w:tcPr>
            <w:tcW w:w="7338" w:type="dxa"/>
            <w:shd w:val="clear" w:color="auto" w:fill="auto"/>
          </w:tcPr>
          <w:p w14:paraId="6E3528AD" w14:textId="77777777" w:rsidR="00D913B4" w:rsidRPr="00501245" w:rsidRDefault="00D913B4" w:rsidP="000C24C3">
            <w:pPr>
              <w:rPr>
                <w:rFonts w:cs="Arial"/>
                <w:szCs w:val="22"/>
              </w:rPr>
            </w:pPr>
            <w:r>
              <w:rPr>
                <w:rFonts w:cs="Arial"/>
                <w:szCs w:val="22"/>
                <w:lang w:val="en-GB"/>
              </w:rPr>
              <w:t>Proposal for residues of a particular product and consumer risk assessment</w:t>
            </w:r>
          </w:p>
        </w:tc>
        <w:tc>
          <w:tcPr>
            <w:tcW w:w="1559" w:type="dxa"/>
          </w:tcPr>
          <w:p w14:paraId="08665B21" w14:textId="77777777" w:rsidR="00D913B4" w:rsidRPr="00501245" w:rsidRDefault="00D913B4" w:rsidP="000C24C3">
            <w:pPr>
              <w:jc w:val="right"/>
              <w:rPr>
                <w:rFonts w:cs="Arial"/>
                <w:szCs w:val="22"/>
              </w:rPr>
            </w:pPr>
            <w:r>
              <w:rPr>
                <w:rFonts w:cs="Arial"/>
                <w:szCs w:val="22"/>
                <w:lang w:val="en-GB"/>
              </w:rPr>
              <w:t>up to 1,250.00</w:t>
            </w:r>
          </w:p>
        </w:tc>
      </w:tr>
      <w:tr w:rsidR="00D913B4" w:rsidRPr="00501245" w14:paraId="231B53D8" w14:textId="77777777" w:rsidTr="00500334">
        <w:tc>
          <w:tcPr>
            <w:tcW w:w="7338" w:type="dxa"/>
            <w:shd w:val="clear" w:color="auto" w:fill="auto"/>
          </w:tcPr>
          <w:p w14:paraId="1D3BCEC9" w14:textId="77777777" w:rsidR="00D913B4" w:rsidRPr="00501245" w:rsidRDefault="00D913B4" w:rsidP="000C24C3">
            <w:pPr>
              <w:rPr>
                <w:rFonts w:cs="Arial"/>
                <w:szCs w:val="22"/>
              </w:rPr>
            </w:pPr>
            <w:r>
              <w:rPr>
                <w:rFonts w:cs="Arial"/>
                <w:szCs w:val="22"/>
                <w:lang w:val="en-GB"/>
              </w:rPr>
              <w:t xml:space="preserve">TOTAL </w:t>
            </w:r>
          </w:p>
        </w:tc>
        <w:tc>
          <w:tcPr>
            <w:tcW w:w="1559" w:type="dxa"/>
          </w:tcPr>
          <w:p w14:paraId="1A78B097" w14:textId="77777777" w:rsidR="00D913B4" w:rsidRPr="00501245" w:rsidRDefault="00D913B4" w:rsidP="000C24C3">
            <w:pPr>
              <w:jc w:val="right"/>
              <w:rPr>
                <w:rFonts w:cs="Arial"/>
                <w:szCs w:val="22"/>
              </w:rPr>
            </w:pPr>
            <w:r>
              <w:rPr>
                <w:rFonts w:cs="Arial"/>
                <w:szCs w:val="22"/>
                <w:lang w:val="en-GB"/>
              </w:rPr>
              <w:t>up to 17,962.00</w:t>
            </w:r>
          </w:p>
        </w:tc>
      </w:tr>
      <w:tr w:rsidR="00D913B4" w:rsidRPr="00501245" w14:paraId="4BDBD33C" w14:textId="77777777" w:rsidTr="00500334">
        <w:tc>
          <w:tcPr>
            <w:tcW w:w="7338" w:type="dxa"/>
            <w:shd w:val="clear" w:color="auto" w:fill="auto"/>
          </w:tcPr>
          <w:p w14:paraId="6A6C47C7" w14:textId="77777777" w:rsidR="00D913B4" w:rsidRPr="00501245" w:rsidRDefault="00D913B4" w:rsidP="000C24C3">
            <w:pPr>
              <w:rPr>
                <w:rFonts w:cs="Arial"/>
                <w:szCs w:val="22"/>
              </w:rPr>
            </w:pPr>
            <w:r>
              <w:rPr>
                <w:rFonts w:cs="Arial"/>
                <w:szCs w:val="22"/>
                <w:lang w:val="en-GB"/>
              </w:rPr>
              <w:t>Assessment of confirmatory data</w:t>
            </w:r>
          </w:p>
        </w:tc>
        <w:tc>
          <w:tcPr>
            <w:tcW w:w="1559" w:type="dxa"/>
          </w:tcPr>
          <w:p w14:paraId="570A93FA" w14:textId="77777777" w:rsidR="00D913B4" w:rsidRPr="00501245" w:rsidRDefault="00D913B4" w:rsidP="000C24C3">
            <w:pPr>
              <w:jc w:val="right"/>
              <w:rPr>
                <w:rFonts w:cs="Arial"/>
                <w:szCs w:val="22"/>
              </w:rPr>
            </w:pPr>
            <w:r>
              <w:rPr>
                <w:rFonts w:cs="Arial"/>
                <w:szCs w:val="22"/>
                <w:lang w:val="en-GB"/>
              </w:rPr>
              <w:t>up to 8,000.00</w:t>
            </w:r>
          </w:p>
        </w:tc>
      </w:tr>
    </w:tbl>
    <w:p w14:paraId="4B437079" w14:textId="77777777" w:rsidR="00D913B4" w:rsidRPr="00501245" w:rsidRDefault="00D913B4" w:rsidP="00D913B4">
      <w:pPr>
        <w:rPr>
          <w:rFonts w:cs="Arial"/>
          <w:szCs w:val="22"/>
        </w:rPr>
      </w:pPr>
    </w:p>
    <w:p w14:paraId="753EBD54" w14:textId="77777777" w:rsidR="00D913B4" w:rsidRPr="00501245" w:rsidRDefault="00D913B4" w:rsidP="00500334">
      <w:pPr>
        <w:jc w:val="both"/>
        <w:rPr>
          <w:rFonts w:cs="Arial"/>
          <w:sz w:val="18"/>
          <w:szCs w:val="18"/>
        </w:rPr>
      </w:pPr>
      <w:r>
        <w:rPr>
          <w:rFonts w:cs="Arial"/>
          <w:sz w:val="18"/>
          <w:szCs w:val="18"/>
          <w:vertAlign w:val="superscript"/>
          <w:lang w:val="en-GB"/>
        </w:rPr>
        <w:t>1</w:t>
      </w:r>
      <w:r>
        <w:rPr>
          <w:rFonts w:cs="Arial"/>
          <w:sz w:val="18"/>
          <w:szCs w:val="18"/>
          <w:lang w:val="en-GB"/>
        </w:rPr>
        <w:t xml:space="preserve"> The costs related to the renewal of an active substance inclusion in the list of approved active substances may vary, in accordance with the difference in the amount of work required, by no more than 30% of the basic price. The assessment of a larger number of representative products and more than three different uses shall be considered as a difference in the amount of work required. If a joint application is submitted by more than one applicant (task force), which includes one joint representative product, the costs shall be divided among all applicants, while the costs of equivalence assessment shall be charged for each active substance source to the holder of the source. If several applicants submit separate dossiers for the same substance, the costs of the full assessment of each dossier will be charged.</w:t>
      </w:r>
    </w:p>
    <w:p w14:paraId="02F22486" w14:textId="77777777" w:rsidR="00D913B4" w:rsidRPr="00501245" w:rsidRDefault="00D913B4" w:rsidP="00500334">
      <w:pPr>
        <w:jc w:val="both"/>
        <w:rPr>
          <w:rFonts w:cs="Arial"/>
          <w:sz w:val="18"/>
          <w:szCs w:val="18"/>
        </w:rPr>
      </w:pPr>
      <w:r>
        <w:rPr>
          <w:sz w:val="18"/>
          <w:szCs w:val="18"/>
          <w:lang w:val="en-GB"/>
        </w:rPr>
        <w:br/>
      </w:r>
      <w:r>
        <w:rPr>
          <w:sz w:val="18"/>
          <w:szCs w:val="18"/>
          <w:vertAlign w:val="superscript"/>
          <w:lang w:val="en-GB"/>
        </w:rPr>
        <w:t>2</w:t>
      </w:r>
      <w:r>
        <w:rPr>
          <w:sz w:val="18"/>
          <w:szCs w:val="18"/>
          <w:lang w:val="en-GB"/>
        </w:rPr>
        <w:t xml:space="preserve"> In the case of an authorisation of a PPP with more than one active substance, the costs may increase in proportion to the increase in the amount of work; however, the cost increase may not exceed 50% of the basic price for a PPP with two active substances or 75% of the basic price for a PPP with three or more active substances.</w:t>
      </w:r>
    </w:p>
    <w:p w14:paraId="1E6FD677" w14:textId="77777777" w:rsidR="00D913B4" w:rsidRPr="00501245" w:rsidRDefault="00D913B4" w:rsidP="00500334">
      <w:pPr>
        <w:jc w:val="both"/>
        <w:rPr>
          <w:rFonts w:cs="Arial"/>
          <w:sz w:val="18"/>
          <w:szCs w:val="18"/>
        </w:rPr>
      </w:pPr>
    </w:p>
    <w:p w14:paraId="43834609" w14:textId="77777777" w:rsidR="00D913B4" w:rsidRPr="00501245" w:rsidRDefault="00D913B4" w:rsidP="00500334">
      <w:pPr>
        <w:jc w:val="both"/>
        <w:rPr>
          <w:rFonts w:cs="Arial"/>
          <w:sz w:val="18"/>
          <w:szCs w:val="18"/>
        </w:rPr>
      </w:pPr>
      <w:r>
        <w:rPr>
          <w:sz w:val="18"/>
          <w:szCs w:val="18"/>
          <w:vertAlign w:val="superscript"/>
          <w:lang w:val="en-GB"/>
        </w:rPr>
        <w:t>3</w:t>
      </w:r>
      <w:r>
        <w:rPr>
          <w:sz w:val="18"/>
          <w:szCs w:val="18"/>
          <w:lang w:val="en-GB"/>
        </w:rPr>
        <w:t xml:space="preserve"> In the case of an authorisation of a PPP with five or more uses, the costs may increase in proportion to the increase in the amount of work; however, the cost increase may not exceed 50% of the basic price for a PPP with 5 to 10 uses or 75% of the basic price for a PPP with more than 10 uses.</w:t>
      </w:r>
    </w:p>
    <w:p w14:paraId="1E229798" w14:textId="77777777" w:rsidR="00D913B4" w:rsidRPr="00501245" w:rsidRDefault="00D913B4" w:rsidP="00500334">
      <w:pPr>
        <w:jc w:val="both"/>
        <w:rPr>
          <w:rFonts w:cs="Arial"/>
          <w:sz w:val="18"/>
          <w:szCs w:val="18"/>
        </w:rPr>
      </w:pPr>
    </w:p>
    <w:p w14:paraId="301E7145" w14:textId="77777777" w:rsidR="00D913B4" w:rsidRPr="00501245" w:rsidRDefault="00D913B4" w:rsidP="00500334">
      <w:pPr>
        <w:jc w:val="both"/>
        <w:rPr>
          <w:rFonts w:cs="Arial"/>
          <w:sz w:val="18"/>
          <w:szCs w:val="18"/>
        </w:rPr>
      </w:pPr>
      <w:r>
        <w:rPr>
          <w:rFonts w:cs="Arial"/>
          <w:sz w:val="18"/>
          <w:szCs w:val="18"/>
          <w:vertAlign w:val="superscript"/>
          <w:lang w:val="en-GB"/>
        </w:rPr>
        <w:t>4</w:t>
      </w:r>
      <w:r>
        <w:rPr>
          <w:rFonts w:cs="Arial"/>
          <w:sz w:val="18"/>
          <w:szCs w:val="18"/>
          <w:lang w:val="en-GB"/>
        </w:rPr>
        <w:t xml:space="preserve"> The costs related to the authorisation or the extension or amendment of authorisation of a PPP may vary, in accordance with the difference in the amount of work required, by no more than 30% of the basic price.</w:t>
      </w:r>
      <w:r>
        <w:rPr>
          <w:rFonts w:cs="Arial"/>
          <w:sz w:val="18"/>
          <w:szCs w:val="18"/>
          <w:lang w:val="en-GB"/>
        </w:rPr>
        <w:br/>
        <w:t xml:space="preserve"> The assessment of additional data required due to new or changed instructions and guidelines or other requirements for PPP assessment shall be considered as a difference in the amount of work required.</w:t>
      </w:r>
    </w:p>
    <w:p w14:paraId="1AEC2FBF" w14:textId="77777777" w:rsidR="00D913B4" w:rsidRPr="00501245" w:rsidRDefault="00D913B4" w:rsidP="00500334">
      <w:pPr>
        <w:jc w:val="both"/>
        <w:rPr>
          <w:rFonts w:cs="Arial"/>
          <w:szCs w:val="22"/>
        </w:rPr>
      </w:pPr>
    </w:p>
    <w:p w14:paraId="71F07765" w14:textId="77777777" w:rsidR="00D913B4" w:rsidRPr="00501245" w:rsidRDefault="00D913B4" w:rsidP="00D913B4">
      <w:pPr>
        <w:pStyle w:val="Priloga"/>
      </w:pPr>
    </w:p>
    <w:p w14:paraId="312142B2" w14:textId="77777777" w:rsidR="00D913B4" w:rsidRPr="00501245" w:rsidRDefault="00000000" w:rsidP="00D913B4">
      <w:pPr>
        <w:pStyle w:val="rta"/>
      </w:pPr>
      <w:r>
        <w:rPr>
          <w:lang w:val="en-GB"/>
        </w:rPr>
        <w:pict w14:anchorId="3C21C4E2">
          <v:rect id="_x0000_i1025" style="width:57pt;height:1.8pt" o:hrpct="0" o:hralign="center" o:hrstd="t" o:hrnoshade="t" o:hr="t" fillcolor="#404040" stroked="f"/>
        </w:pict>
      </w:r>
    </w:p>
    <w:p w14:paraId="64087ACF" w14:textId="77777777" w:rsidR="00D913B4" w:rsidRPr="00501245" w:rsidRDefault="00D913B4" w:rsidP="00D913B4">
      <w:pPr>
        <w:pStyle w:val="rta"/>
      </w:pPr>
    </w:p>
    <w:p w14:paraId="345C305D" w14:textId="77777777" w:rsidR="00D913B4" w:rsidRPr="00501245" w:rsidRDefault="00D913B4" w:rsidP="00D913B4">
      <w:pPr>
        <w:pStyle w:val="rta"/>
      </w:pPr>
    </w:p>
    <w:p w14:paraId="4FB83F78" w14:textId="77777777" w:rsidR="00D913B4" w:rsidRPr="00501245" w:rsidRDefault="00D913B4" w:rsidP="00D913B4">
      <w:pPr>
        <w:pStyle w:val="rta"/>
      </w:pPr>
    </w:p>
    <w:p w14:paraId="6A67B6B5" w14:textId="77777777" w:rsidR="00D913B4" w:rsidRPr="00501245" w:rsidRDefault="00D913B4" w:rsidP="00D913B4">
      <w:pPr>
        <w:pStyle w:val="rta"/>
      </w:pPr>
    </w:p>
    <w:p w14:paraId="27D92EF9" w14:textId="77777777" w:rsidR="00D913B4" w:rsidRPr="00501245" w:rsidRDefault="00D913B4" w:rsidP="00D913B4">
      <w:pPr>
        <w:pStyle w:val="rta"/>
      </w:pPr>
    </w:p>
    <w:p w14:paraId="51EBCB8A" w14:textId="77777777" w:rsidR="00D913B4" w:rsidRPr="00501245" w:rsidRDefault="00D913B4" w:rsidP="00D913B4">
      <w:pPr>
        <w:pStyle w:val="rta"/>
      </w:pPr>
    </w:p>
    <w:p w14:paraId="5DEC591A" w14:textId="77777777" w:rsidR="00500334" w:rsidRPr="00501245" w:rsidRDefault="00500334" w:rsidP="00F8260C">
      <w:pPr>
        <w:spacing w:line="240" w:lineRule="auto"/>
        <w:rPr>
          <w:rFonts w:cs="Arial"/>
          <w:b/>
          <w:szCs w:val="20"/>
        </w:rPr>
      </w:pPr>
    </w:p>
    <w:p w14:paraId="4F2330D5" w14:textId="77777777" w:rsidR="00500334" w:rsidRPr="00501245" w:rsidRDefault="00500334" w:rsidP="00F8260C">
      <w:pPr>
        <w:spacing w:line="240" w:lineRule="auto"/>
        <w:rPr>
          <w:rFonts w:cs="Arial"/>
          <w:b/>
          <w:szCs w:val="20"/>
        </w:rPr>
      </w:pPr>
    </w:p>
    <w:p w14:paraId="141534EC" w14:textId="77777777" w:rsidR="00500334" w:rsidRPr="00501245" w:rsidRDefault="00500334" w:rsidP="00F8260C">
      <w:pPr>
        <w:spacing w:line="240" w:lineRule="auto"/>
        <w:rPr>
          <w:rFonts w:cs="Arial"/>
          <w:b/>
          <w:szCs w:val="20"/>
        </w:rPr>
      </w:pPr>
    </w:p>
    <w:sectPr w:rsidR="00500334" w:rsidRPr="00501245" w:rsidSect="00BA1A8E">
      <w:headerReference w:type="first" r:id="rId12"/>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D5FA" w14:textId="77777777" w:rsidR="00EA1C04" w:rsidRDefault="00EA1C04">
      <w:r>
        <w:separator/>
      </w:r>
    </w:p>
  </w:endnote>
  <w:endnote w:type="continuationSeparator" w:id="0">
    <w:p w14:paraId="76AF591F" w14:textId="77777777" w:rsidR="00EA1C04" w:rsidRDefault="00EA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Albertin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8DE0" w14:textId="77777777" w:rsidR="00EA1C04" w:rsidRDefault="00EA1C04">
      <w:r>
        <w:separator/>
      </w:r>
    </w:p>
  </w:footnote>
  <w:footnote w:type="continuationSeparator" w:id="0">
    <w:p w14:paraId="084A4A66" w14:textId="77777777" w:rsidR="00EA1C04" w:rsidRDefault="00EA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4F80" w14:textId="77777777" w:rsidR="00D04C51" w:rsidRDefault="00D04C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228E5753"/>
    <w:multiLevelType w:val="hybridMultilevel"/>
    <w:tmpl w:val="450EAA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6" w15:restartNumberingAfterBreak="0">
    <w:nsid w:val="45E23907"/>
    <w:multiLevelType w:val="hybridMultilevel"/>
    <w:tmpl w:val="4F921D82"/>
    <w:lvl w:ilvl="0" w:tplc="07E42EC8">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8" w15:restartNumberingAfterBreak="0">
    <w:nsid w:val="52E43BD4"/>
    <w:multiLevelType w:val="hybridMultilevel"/>
    <w:tmpl w:val="384E5FA8"/>
    <w:lvl w:ilvl="0" w:tplc="0A163694">
      <w:start w:val="1"/>
      <w:numFmt w:val="bullet"/>
      <w:pStyle w:val="Alineja"/>
      <w:lvlText w:val="-"/>
      <w:lvlJc w:val="left"/>
      <w:pPr>
        <w:ind w:left="1440" w:hanging="360"/>
      </w:pPr>
      <w:rPr>
        <w:rFonts w:ascii="Arial" w:eastAsia="Times New Roman" w:hAnsi="Arial" w:cs="Arial" w:hint="default"/>
      </w:rPr>
    </w:lvl>
    <w:lvl w:ilvl="1" w:tplc="04240019" w:tentative="1">
      <w:start w:val="1"/>
      <w:numFmt w:val="bullet"/>
      <w:lvlText w:val="o"/>
      <w:lvlJc w:val="left"/>
      <w:pPr>
        <w:ind w:left="2160" w:hanging="360"/>
      </w:pPr>
      <w:rPr>
        <w:rFonts w:ascii="Courier New" w:hAnsi="Courier New" w:cs="Courier New" w:hint="default"/>
      </w:rPr>
    </w:lvl>
    <w:lvl w:ilvl="2" w:tplc="0424001B" w:tentative="1">
      <w:start w:val="1"/>
      <w:numFmt w:val="bullet"/>
      <w:lvlText w:val=""/>
      <w:lvlJc w:val="left"/>
      <w:pPr>
        <w:ind w:left="2880" w:hanging="360"/>
      </w:pPr>
      <w:rPr>
        <w:rFonts w:ascii="Wingdings" w:hAnsi="Wingdings" w:hint="default"/>
      </w:rPr>
    </w:lvl>
    <w:lvl w:ilvl="3" w:tplc="0424000F" w:tentative="1">
      <w:start w:val="1"/>
      <w:numFmt w:val="bullet"/>
      <w:lvlText w:val=""/>
      <w:lvlJc w:val="left"/>
      <w:pPr>
        <w:ind w:left="3600" w:hanging="360"/>
      </w:pPr>
      <w:rPr>
        <w:rFonts w:ascii="Symbol" w:hAnsi="Symbol" w:hint="default"/>
      </w:rPr>
    </w:lvl>
    <w:lvl w:ilvl="4" w:tplc="04240019" w:tentative="1">
      <w:start w:val="1"/>
      <w:numFmt w:val="bullet"/>
      <w:lvlText w:val="o"/>
      <w:lvlJc w:val="left"/>
      <w:pPr>
        <w:ind w:left="4320" w:hanging="360"/>
      </w:pPr>
      <w:rPr>
        <w:rFonts w:ascii="Courier New" w:hAnsi="Courier New" w:cs="Courier New" w:hint="default"/>
      </w:rPr>
    </w:lvl>
    <w:lvl w:ilvl="5" w:tplc="0424001B" w:tentative="1">
      <w:start w:val="1"/>
      <w:numFmt w:val="bullet"/>
      <w:lvlText w:val=""/>
      <w:lvlJc w:val="left"/>
      <w:pPr>
        <w:ind w:left="5040" w:hanging="360"/>
      </w:pPr>
      <w:rPr>
        <w:rFonts w:ascii="Wingdings" w:hAnsi="Wingdings" w:hint="default"/>
      </w:rPr>
    </w:lvl>
    <w:lvl w:ilvl="6" w:tplc="0424000F" w:tentative="1">
      <w:start w:val="1"/>
      <w:numFmt w:val="bullet"/>
      <w:lvlText w:val=""/>
      <w:lvlJc w:val="left"/>
      <w:pPr>
        <w:ind w:left="5760" w:hanging="360"/>
      </w:pPr>
      <w:rPr>
        <w:rFonts w:ascii="Symbol" w:hAnsi="Symbol" w:hint="default"/>
      </w:rPr>
    </w:lvl>
    <w:lvl w:ilvl="7" w:tplc="04240019" w:tentative="1">
      <w:start w:val="1"/>
      <w:numFmt w:val="bullet"/>
      <w:lvlText w:val="o"/>
      <w:lvlJc w:val="left"/>
      <w:pPr>
        <w:ind w:left="6480" w:hanging="360"/>
      </w:pPr>
      <w:rPr>
        <w:rFonts w:ascii="Courier New" w:hAnsi="Courier New" w:cs="Courier New" w:hint="default"/>
      </w:rPr>
    </w:lvl>
    <w:lvl w:ilvl="8" w:tplc="0424001B" w:tentative="1">
      <w:start w:val="1"/>
      <w:numFmt w:val="bullet"/>
      <w:lvlText w:val=""/>
      <w:lvlJc w:val="left"/>
      <w:pPr>
        <w:ind w:left="7200" w:hanging="360"/>
      </w:pPr>
      <w:rPr>
        <w:rFonts w:ascii="Wingdings" w:hAnsi="Wingdings" w:hint="default"/>
      </w:rPr>
    </w:lvl>
  </w:abstractNum>
  <w:abstractNum w:abstractNumId="9"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73F6B0E"/>
    <w:multiLevelType w:val="hybridMultilevel"/>
    <w:tmpl w:val="27EE5C6C"/>
    <w:lvl w:ilvl="0" w:tplc="1ED2B63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2A2340"/>
    <w:multiLevelType w:val="hybridMultilevel"/>
    <w:tmpl w:val="0F92982A"/>
    <w:lvl w:ilvl="0" w:tplc="07E42EC8">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45325074">
    <w:abstractNumId w:val="2"/>
  </w:num>
  <w:num w:numId="2" w16cid:durableId="146363037">
    <w:abstractNumId w:val="4"/>
  </w:num>
  <w:num w:numId="3" w16cid:durableId="791746714">
    <w:abstractNumId w:val="5"/>
    <w:lvlOverride w:ilvl="0">
      <w:startOverride w:val="1"/>
    </w:lvlOverride>
  </w:num>
  <w:num w:numId="4" w16cid:durableId="337732868">
    <w:abstractNumId w:val="7"/>
  </w:num>
  <w:num w:numId="5" w16cid:durableId="1113943283">
    <w:abstractNumId w:val="0"/>
  </w:num>
  <w:num w:numId="6" w16cid:durableId="2112160393">
    <w:abstractNumId w:val="9"/>
  </w:num>
  <w:num w:numId="7" w16cid:durableId="1471708279">
    <w:abstractNumId w:val="3"/>
  </w:num>
  <w:num w:numId="8" w16cid:durableId="560872786">
    <w:abstractNumId w:val="8"/>
  </w:num>
  <w:num w:numId="9" w16cid:durableId="919145913">
    <w:abstractNumId w:val="10"/>
  </w:num>
  <w:num w:numId="10" w16cid:durableId="337342963">
    <w:abstractNumId w:val="11"/>
  </w:num>
  <w:num w:numId="11" w16cid:durableId="1047342691">
    <w:abstractNumId w:val="6"/>
  </w:num>
  <w:num w:numId="12" w16cid:durableId="158534052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6D6"/>
    <w:rsid w:val="00004AC2"/>
    <w:rsid w:val="00004E52"/>
    <w:rsid w:val="00007078"/>
    <w:rsid w:val="0001341A"/>
    <w:rsid w:val="00014B69"/>
    <w:rsid w:val="00014FA6"/>
    <w:rsid w:val="0001582C"/>
    <w:rsid w:val="00017082"/>
    <w:rsid w:val="00021985"/>
    <w:rsid w:val="00022CEA"/>
    <w:rsid w:val="00023A88"/>
    <w:rsid w:val="00024352"/>
    <w:rsid w:val="00025B7D"/>
    <w:rsid w:val="00027075"/>
    <w:rsid w:val="000333DA"/>
    <w:rsid w:val="00033468"/>
    <w:rsid w:val="00035136"/>
    <w:rsid w:val="0003518D"/>
    <w:rsid w:val="00035A22"/>
    <w:rsid w:val="00036742"/>
    <w:rsid w:val="00036D5D"/>
    <w:rsid w:val="000426D2"/>
    <w:rsid w:val="00042F4A"/>
    <w:rsid w:val="00043926"/>
    <w:rsid w:val="00043AD0"/>
    <w:rsid w:val="00047FCC"/>
    <w:rsid w:val="00054378"/>
    <w:rsid w:val="00055361"/>
    <w:rsid w:val="00055E98"/>
    <w:rsid w:val="00056164"/>
    <w:rsid w:val="00056247"/>
    <w:rsid w:val="00056977"/>
    <w:rsid w:val="000569BC"/>
    <w:rsid w:val="0006442E"/>
    <w:rsid w:val="00065971"/>
    <w:rsid w:val="00067441"/>
    <w:rsid w:val="0006790F"/>
    <w:rsid w:val="00070650"/>
    <w:rsid w:val="00071F08"/>
    <w:rsid w:val="000808D8"/>
    <w:rsid w:val="0008387A"/>
    <w:rsid w:val="00084DCE"/>
    <w:rsid w:val="0009085D"/>
    <w:rsid w:val="00091326"/>
    <w:rsid w:val="00091EA7"/>
    <w:rsid w:val="000923BF"/>
    <w:rsid w:val="0009245A"/>
    <w:rsid w:val="00094174"/>
    <w:rsid w:val="00097192"/>
    <w:rsid w:val="00097DFD"/>
    <w:rsid w:val="000A14DF"/>
    <w:rsid w:val="000A15F8"/>
    <w:rsid w:val="000A264B"/>
    <w:rsid w:val="000A3BB0"/>
    <w:rsid w:val="000A7238"/>
    <w:rsid w:val="000A7395"/>
    <w:rsid w:val="000B4E84"/>
    <w:rsid w:val="000B6BB0"/>
    <w:rsid w:val="000B7C3D"/>
    <w:rsid w:val="000C24C3"/>
    <w:rsid w:val="000C2C40"/>
    <w:rsid w:val="000C3E10"/>
    <w:rsid w:val="000C6525"/>
    <w:rsid w:val="000C6F46"/>
    <w:rsid w:val="000D1328"/>
    <w:rsid w:val="000D4477"/>
    <w:rsid w:val="000D60B2"/>
    <w:rsid w:val="000E0FFB"/>
    <w:rsid w:val="000E2A5F"/>
    <w:rsid w:val="000E2D54"/>
    <w:rsid w:val="000E4C6F"/>
    <w:rsid w:val="000E7C27"/>
    <w:rsid w:val="000F0B8E"/>
    <w:rsid w:val="000F17AE"/>
    <w:rsid w:val="000F1D7F"/>
    <w:rsid w:val="000F2E84"/>
    <w:rsid w:val="000F3329"/>
    <w:rsid w:val="000F4C3C"/>
    <w:rsid w:val="000F6FCD"/>
    <w:rsid w:val="001012F1"/>
    <w:rsid w:val="00104727"/>
    <w:rsid w:val="00105C6C"/>
    <w:rsid w:val="00106128"/>
    <w:rsid w:val="00107555"/>
    <w:rsid w:val="00107DC2"/>
    <w:rsid w:val="00112EA0"/>
    <w:rsid w:val="0011396C"/>
    <w:rsid w:val="001179AC"/>
    <w:rsid w:val="00123D6F"/>
    <w:rsid w:val="001242B9"/>
    <w:rsid w:val="00124F21"/>
    <w:rsid w:val="001252E3"/>
    <w:rsid w:val="00125C05"/>
    <w:rsid w:val="001303F9"/>
    <w:rsid w:val="001311A3"/>
    <w:rsid w:val="0013350F"/>
    <w:rsid w:val="001340D2"/>
    <w:rsid w:val="001345E8"/>
    <w:rsid w:val="001357B2"/>
    <w:rsid w:val="00136768"/>
    <w:rsid w:val="00136F22"/>
    <w:rsid w:val="00137307"/>
    <w:rsid w:val="00140CBA"/>
    <w:rsid w:val="0014114E"/>
    <w:rsid w:val="00144024"/>
    <w:rsid w:val="001441D9"/>
    <w:rsid w:val="00146CDD"/>
    <w:rsid w:val="00147005"/>
    <w:rsid w:val="00150835"/>
    <w:rsid w:val="00150F90"/>
    <w:rsid w:val="00151F3D"/>
    <w:rsid w:val="001529BD"/>
    <w:rsid w:val="00152F53"/>
    <w:rsid w:val="0015323B"/>
    <w:rsid w:val="00154055"/>
    <w:rsid w:val="0015535B"/>
    <w:rsid w:val="0016029C"/>
    <w:rsid w:val="001631C3"/>
    <w:rsid w:val="001634FC"/>
    <w:rsid w:val="00165DE1"/>
    <w:rsid w:val="001677EB"/>
    <w:rsid w:val="0017039B"/>
    <w:rsid w:val="001710A0"/>
    <w:rsid w:val="0017477B"/>
    <w:rsid w:val="0017478F"/>
    <w:rsid w:val="0017619A"/>
    <w:rsid w:val="00176DF7"/>
    <w:rsid w:val="00177A3F"/>
    <w:rsid w:val="001832C2"/>
    <w:rsid w:val="00183FFB"/>
    <w:rsid w:val="00187435"/>
    <w:rsid w:val="00190B60"/>
    <w:rsid w:val="00191CC6"/>
    <w:rsid w:val="001A1FD7"/>
    <w:rsid w:val="001A27E8"/>
    <w:rsid w:val="001A3297"/>
    <w:rsid w:val="001A4A3D"/>
    <w:rsid w:val="001A6C65"/>
    <w:rsid w:val="001B03C8"/>
    <w:rsid w:val="001B4780"/>
    <w:rsid w:val="001C1962"/>
    <w:rsid w:val="001C1BDB"/>
    <w:rsid w:val="001C593E"/>
    <w:rsid w:val="001C7C25"/>
    <w:rsid w:val="001D2971"/>
    <w:rsid w:val="001D2D87"/>
    <w:rsid w:val="001D59F0"/>
    <w:rsid w:val="001D62CA"/>
    <w:rsid w:val="001D7E7F"/>
    <w:rsid w:val="001E026D"/>
    <w:rsid w:val="001E1A53"/>
    <w:rsid w:val="001E1B4F"/>
    <w:rsid w:val="001E4436"/>
    <w:rsid w:val="001E45F4"/>
    <w:rsid w:val="001E5467"/>
    <w:rsid w:val="001E5470"/>
    <w:rsid w:val="001E6DB2"/>
    <w:rsid w:val="001E73B6"/>
    <w:rsid w:val="001E7DF4"/>
    <w:rsid w:val="001F190D"/>
    <w:rsid w:val="001F378C"/>
    <w:rsid w:val="001F3DEE"/>
    <w:rsid w:val="001F49BC"/>
    <w:rsid w:val="001F77D5"/>
    <w:rsid w:val="00200A32"/>
    <w:rsid w:val="00202A77"/>
    <w:rsid w:val="0020318D"/>
    <w:rsid w:val="00203FC9"/>
    <w:rsid w:val="002045E3"/>
    <w:rsid w:val="00204C69"/>
    <w:rsid w:val="00205276"/>
    <w:rsid w:val="00205D7C"/>
    <w:rsid w:val="002066AA"/>
    <w:rsid w:val="00207323"/>
    <w:rsid w:val="002078A8"/>
    <w:rsid w:val="0021117C"/>
    <w:rsid w:val="002117BB"/>
    <w:rsid w:val="00212444"/>
    <w:rsid w:val="00215152"/>
    <w:rsid w:val="0021517A"/>
    <w:rsid w:val="00216291"/>
    <w:rsid w:val="00216F1E"/>
    <w:rsid w:val="002217E1"/>
    <w:rsid w:val="00221A1F"/>
    <w:rsid w:val="00222C20"/>
    <w:rsid w:val="00225E41"/>
    <w:rsid w:val="00226E3A"/>
    <w:rsid w:val="00230A81"/>
    <w:rsid w:val="002310EC"/>
    <w:rsid w:val="0023289B"/>
    <w:rsid w:val="00232935"/>
    <w:rsid w:val="00233BCD"/>
    <w:rsid w:val="002370EA"/>
    <w:rsid w:val="00240AEF"/>
    <w:rsid w:val="00250563"/>
    <w:rsid w:val="002526C0"/>
    <w:rsid w:val="002529DF"/>
    <w:rsid w:val="002530C0"/>
    <w:rsid w:val="002545E7"/>
    <w:rsid w:val="002549E5"/>
    <w:rsid w:val="0025560E"/>
    <w:rsid w:val="002572AF"/>
    <w:rsid w:val="0025783A"/>
    <w:rsid w:val="002578C3"/>
    <w:rsid w:val="00257BCF"/>
    <w:rsid w:val="00260750"/>
    <w:rsid w:val="00261F4C"/>
    <w:rsid w:val="00262864"/>
    <w:rsid w:val="002638C9"/>
    <w:rsid w:val="00264577"/>
    <w:rsid w:val="002654DD"/>
    <w:rsid w:val="00266062"/>
    <w:rsid w:val="00267000"/>
    <w:rsid w:val="00270A16"/>
    <w:rsid w:val="00270DA3"/>
    <w:rsid w:val="0027117B"/>
    <w:rsid w:val="002717E6"/>
    <w:rsid w:val="00271CE5"/>
    <w:rsid w:val="002772C4"/>
    <w:rsid w:val="00280413"/>
    <w:rsid w:val="00281B44"/>
    <w:rsid w:val="00282020"/>
    <w:rsid w:val="00284DDB"/>
    <w:rsid w:val="0028723A"/>
    <w:rsid w:val="0028781E"/>
    <w:rsid w:val="002905E6"/>
    <w:rsid w:val="00292143"/>
    <w:rsid w:val="002936C3"/>
    <w:rsid w:val="00293C6F"/>
    <w:rsid w:val="00295268"/>
    <w:rsid w:val="00295A8A"/>
    <w:rsid w:val="00295B35"/>
    <w:rsid w:val="0029602A"/>
    <w:rsid w:val="002973F1"/>
    <w:rsid w:val="002979D5"/>
    <w:rsid w:val="002A0472"/>
    <w:rsid w:val="002A2949"/>
    <w:rsid w:val="002A2B69"/>
    <w:rsid w:val="002A4DAA"/>
    <w:rsid w:val="002A65F6"/>
    <w:rsid w:val="002A7033"/>
    <w:rsid w:val="002B3286"/>
    <w:rsid w:val="002B3697"/>
    <w:rsid w:val="002B5226"/>
    <w:rsid w:val="002B6B6D"/>
    <w:rsid w:val="002B6D3E"/>
    <w:rsid w:val="002B6DB2"/>
    <w:rsid w:val="002C0239"/>
    <w:rsid w:val="002C1B9C"/>
    <w:rsid w:val="002C3A5E"/>
    <w:rsid w:val="002C75F1"/>
    <w:rsid w:val="002D2B98"/>
    <w:rsid w:val="002D3493"/>
    <w:rsid w:val="002D42F0"/>
    <w:rsid w:val="002D5176"/>
    <w:rsid w:val="002D6007"/>
    <w:rsid w:val="002D6D29"/>
    <w:rsid w:val="002D7C7E"/>
    <w:rsid w:val="002D7FC9"/>
    <w:rsid w:val="002E0C5C"/>
    <w:rsid w:val="002E1344"/>
    <w:rsid w:val="002E172C"/>
    <w:rsid w:val="002E1CB1"/>
    <w:rsid w:val="002E5EBC"/>
    <w:rsid w:val="002F25AE"/>
    <w:rsid w:val="002F25F1"/>
    <w:rsid w:val="002F2742"/>
    <w:rsid w:val="002F28C0"/>
    <w:rsid w:val="002F375B"/>
    <w:rsid w:val="002F416D"/>
    <w:rsid w:val="002F4300"/>
    <w:rsid w:val="002F7BE4"/>
    <w:rsid w:val="00301FD5"/>
    <w:rsid w:val="003031E7"/>
    <w:rsid w:val="00304106"/>
    <w:rsid w:val="00311C70"/>
    <w:rsid w:val="0031360B"/>
    <w:rsid w:val="0031464F"/>
    <w:rsid w:val="00314768"/>
    <w:rsid w:val="00315B72"/>
    <w:rsid w:val="00316AF9"/>
    <w:rsid w:val="00321A4C"/>
    <w:rsid w:val="00323233"/>
    <w:rsid w:val="00324D97"/>
    <w:rsid w:val="00324DF6"/>
    <w:rsid w:val="0032565B"/>
    <w:rsid w:val="003276AE"/>
    <w:rsid w:val="00330B72"/>
    <w:rsid w:val="00330F0F"/>
    <w:rsid w:val="00331042"/>
    <w:rsid w:val="00332C09"/>
    <w:rsid w:val="00333363"/>
    <w:rsid w:val="00335950"/>
    <w:rsid w:val="0033675E"/>
    <w:rsid w:val="003367E5"/>
    <w:rsid w:val="003405D1"/>
    <w:rsid w:val="00341558"/>
    <w:rsid w:val="00341AC8"/>
    <w:rsid w:val="00342B1F"/>
    <w:rsid w:val="003459F9"/>
    <w:rsid w:val="003466CB"/>
    <w:rsid w:val="00356380"/>
    <w:rsid w:val="00357C90"/>
    <w:rsid w:val="00357FAC"/>
    <w:rsid w:val="00360819"/>
    <w:rsid w:val="003614D7"/>
    <w:rsid w:val="00362005"/>
    <w:rsid w:val="0036299A"/>
    <w:rsid w:val="00362A59"/>
    <w:rsid w:val="00362D2C"/>
    <w:rsid w:val="003636BF"/>
    <w:rsid w:val="003644C3"/>
    <w:rsid w:val="00366B26"/>
    <w:rsid w:val="003674F0"/>
    <w:rsid w:val="00370E1C"/>
    <w:rsid w:val="00371442"/>
    <w:rsid w:val="00373CEE"/>
    <w:rsid w:val="003746E8"/>
    <w:rsid w:val="0037562A"/>
    <w:rsid w:val="0037674B"/>
    <w:rsid w:val="00380B6A"/>
    <w:rsid w:val="00381432"/>
    <w:rsid w:val="003845B4"/>
    <w:rsid w:val="00384E4D"/>
    <w:rsid w:val="00386214"/>
    <w:rsid w:val="00386C1D"/>
    <w:rsid w:val="00386C4B"/>
    <w:rsid w:val="00387B1A"/>
    <w:rsid w:val="00395B73"/>
    <w:rsid w:val="003A00F3"/>
    <w:rsid w:val="003A0384"/>
    <w:rsid w:val="003A16ED"/>
    <w:rsid w:val="003A355F"/>
    <w:rsid w:val="003A35F7"/>
    <w:rsid w:val="003A5299"/>
    <w:rsid w:val="003A6D39"/>
    <w:rsid w:val="003A7877"/>
    <w:rsid w:val="003B0925"/>
    <w:rsid w:val="003B356C"/>
    <w:rsid w:val="003B371A"/>
    <w:rsid w:val="003B3F8B"/>
    <w:rsid w:val="003B689D"/>
    <w:rsid w:val="003B6B5B"/>
    <w:rsid w:val="003C36BA"/>
    <w:rsid w:val="003C50E1"/>
    <w:rsid w:val="003C5145"/>
    <w:rsid w:val="003C5836"/>
    <w:rsid w:val="003C5EE5"/>
    <w:rsid w:val="003D0965"/>
    <w:rsid w:val="003D096A"/>
    <w:rsid w:val="003D166A"/>
    <w:rsid w:val="003D31D4"/>
    <w:rsid w:val="003D5B02"/>
    <w:rsid w:val="003D62D8"/>
    <w:rsid w:val="003E00C4"/>
    <w:rsid w:val="003E0ADD"/>
    <w:rsid w:val="003E0D5E"/>
    <w:rsid w:val="003E0E26"/>
    <w:rsid w:val="003E1C74"/>
    <w:rsid w:val="003E26C4"/>
    <w:rsid w:val="003E2B73"/>
    <w:rsid w:val="003E4134"/>
    <w:rsid w:val="003E561B"/>
    <w:rsid w:val="003F185F"/>
    <w:rsid w:val="003F245C"/>
    <w:rsid w:val="003F296D"/>
    <w:rsid w:val="003F3D26"/>
    <w:rsid w:val="003F53F8"/>
    <w:rsid w:val="003F54A7"/>
    <w:rsid w:val="003F5F1A"/>
    <w:rsid w:val="003F5F4A"/>
    <w:rsid w:val="003F73FC"/>
    <w:rsid w:val="004003A0"/>
    <w:rsid w:val="004006EF"/>
    <w:rsid w:val="00400983"/>
    <w:rsid w:val="00401586"/>
    <w:rsid w:val="00402B1D"/>
    <w:rsid w:val="00402BD2"/>
    <w:rsid w:val="00404072"/>
    <w:rsid w:val="00406E68"/>
    <w:rsid w:val="00414253"/>
    <w:rsid w:val="004148E7"/>
    <w:rsid w:val="004155FE"/>
    <w:rsid w:val="00415CEE"/>
    <w:rsid w:val="00416BA6"/>
    <w:rsid w:val="00416CD0"/>
    <w:rsid w:val="0041709E"/>
    <w:rsid w:val="004174E4"/>
    <w:rsid w:val="00421DF7"/>
    <w:rsid w:val="00423AE5"/>
    <w:rsid w:val="00425789"/>
    <w:rsid w:val="00427A45"/>
    <w:rsid w:val="00430C0F"/>
    <w:rsid w:val="004329FC"/>
    <w:rsid w:val="00436E04"/>
    <w:rsid w:val="004431C3"/>
    <w:rsid w:val="00445BBB"/>
    <w:rsid w:val="00446EC3"/>
    <w:rsid w:val="00447708"/>
    <w:rsid w:val="00454846"/>
    <w:rsid w:val="00456296"/>
    <w:rsid w:val="00457A8A"/>
    <w:rsid w:val="0046004A"/>
    <w:rsid w:val="0046039D"/>
    <w:rsid w:val="0046043C"/>
    <w:rsid w:val="004613F1"/>
    <w:rsid w:val="00462897"/>
    <w:rsid w:val="00462F42"/>
    <w:rsid w:val="0046559D"/>
    <w:rsid w:val="004657EE"/>
    <w:rsid w:val="004670F0"/>
    <w:rsid w:val="00467233"/>
    <w:rsid w:val="004679B6"/>
    <w:rsid w:val="004706A4"/>
    <w:rsid w:val="0047174F"/>
    <w:rsid w:val="004721C8"/>
    <w:rsid w:val="00473ED5"/>
    <w:rsid w:val="00474CFC"/>
    <w:rsid w:val="00474D48"/>
    <w:rsid w:val="004766CA"/>
    <w:rsid w:val="0048072B"/>
    <w:rsid w:val="00481063"/>
    <w:rsid w:val="004817AF"/>
    <w:rsid w:val="004825C4"/>
    <w:rsid w:val="0048296C"/>
    <w:rsid w:val="004829B1"/>
    <w:rsid w:val="0048427A"/>
    <w:rsid w:val="004842B2"/>
    <w:rsid w:val="00486C5B"/>
    <w:rsid w:val="004872C0"/>
    <w:rsid w:val="004877D3"/>
    <w:rsid w:val="0049375C"/>
    <w:rsid w:val="004946FF"/>
    <w:rsid w:val="004A03D2"/>
    <w:rsid w:val="004A0628"/>
    <w:rsid w:val="004A12E7"/>
    <w:rsid w:val="004A150C"/>
    <w:rsid w:val="004A15B9"/>
    <w:rsid w:val="004A3403"/>
    <w:rsid w:val="004A3DA6"/>
    <w:rsid w:val="004A3F55"/>
    <w:rsid w:val="004A532B"/>
    <w:rsid w:val="004A60A1"/>
    <w:rsid w:val="004B03C6"/>
    <w:rsid w:val="004B11CD"/>
    <w:rsid w:val="004B1897"/>
    <w:rsid w:val="004B296E"/>
    <w:rsid w:val="004B3129"/>
    <w:rsid w:val="004B4756"/>
    <w:rsid w:val="004B58C2"/>
    <w:rsid w:val="004B7DA1"/>
    <w:rsid w:val="004C0C66"/>
    <w:rsid w:val="004C0D48"/>
    <w:rsid w:val="004C1B0C"/>
    <w:rsid w:val="004C311F"/>
    <w:rsid w:val="004C537C"/>
    <w:rsid w:val="004C6245"/>
    <w:rsid w:val="004C66B4"/>
    <w:rsid w:val="004D10CD"/>
    <w:rsid w:val="004D1515"/>
    <w:rsid w:val="004D55D4"/>
    <w:rsid w:val="004D705F"/>
    <w:rsid w:val="004D736B"/>
    <w:rsid w:val="004E0217"/>
    <w:rsid w:val="004E1647"/>
    <w:rsid w:val="004E1CA1"/>
    <w:rsid w:val="004E2A5D"/>
    <w:rsid w:val="004E3253"/>
    <w:rsid w:val="004E37D3"/>
    <w:rsid w:val="004E3F67"/>
    <w:rsid w:val="004E5291"/>
    <w:rsid w:val="004E5BDE"/>
    <w:rsid w:val="004F6240"/>
    <w:rsid w:val="00500147"/>
    <w:rsid w:val="00500334"/>
    <w:rsid w:val="00501245"/>
    <w:rsid w:val="0050528F"/>
    <w:rsid w:val="00511F66"/>
    <w:rsid w:val="005122E7"/>
    <w:rsid w:val="005125AF"/>
    <w:rsid w:val="00513051"/>
    <w:rsid w:val="00515C79"/>
    <w:rsid w:val="005161D5"/>
    <w:rsid w:val="00517095"/>
    <w:rsid w:val="00517A7B"/>
    <w:rsid w:val="00521ABD"/>
    <w:rsid w:val="00522E1B"/>
    <w:rsid w:val="0052337D"/>
    <w:rsid w:val="00524F20"/>
    <w:rsid w:val="005254FF"/>
    <w:rsid w:val="00525A4D"/>
    <w:rsid w:val="00526246"/>
    <w:rsid w:val="005279A2"/>
    <w:rsid w:val="00534197"/>
    <w:rsid w:val="005357B9"/>
    <w:rsid w:val="00535A1A"/>
    <w:rsid w:val="00536F4F"/>
    <w:rsid w:val="00537AD6"/>
    <w:rsid w:val="00540099"/>
    <w:rsid w:val="00542297"/>
    <w:rsid w:val="00542700"/>
    <w:rsid w:val="0054379E"/>
    <w:rsid w:val="005439F1"/>
    <w:rsid w:val="0054423F"/>
    <w:rsid w:val="00546418"/>
    <w:rsid w:val="00550A7F"/>
    <w:rsid w:val="00551D2C"/>
    <w:rsid w:val="00552EDD"/>
    <w:rsid w:val="005531DA"/>
    <w:rsid w:val="00556858"/>
    <w:rsid w:val="005617EA"/>
    <w:rsid w:val="00562C9E"/>
    <w:rsid w:val="00564C19"/>
    <w:rsid w:val="00566AF4"/>
    <w:rsid w:val="00566FC1"/>
    <w:rsid w:val="00567106"/>
    <w:rsid w:val="00570A6D"/>
    <w:rsid w:val="00571A35"/>
    <w:rsid w:val="00571B17"/>
    <w:rsid w:val="00571BE5"/>
    <w:rsid w:val="00571F17"/>
    <w:rsid w:val="00573E98"/>
    <w:rsid w:val="00575343"/>
    <w:rsid w:val="0057727B"/>
    <w:rsid w:val="00586B1F"/>
    <w:rsid w:val="00590D3F"/>
    <w:rsid w:val="005933D7"/>
    <w:rsid w:val="00593667"/>
    <w:rsid w:val="00594BDE"/>
    <w:rsid w:val="005A17BF"/>
    <w:rsid w:val="005A193B"/>
    <w:rsid w:val="005A3552"/>
    <w:rsid w:val="005A5BF0"/>
    <w:rsid w:val="005A7575"/>
    <w:rsid w:val="005B0EA3"/>
    <w:rsid w:val="005B10D8"/>
    <w:rsid w:val="005B11B6"/>
    <w:rsid w:val="005B1C9C"/>
    <w:rsid w:val="005B5F0B"/>
    <w:rsid w:val="005C2059"/>
    <w:rsid w:val="005C65DD"/>
    <w:rsid w:val="005C6606"/>
    <w:rsid w:val="005C7134"/>
    <w:rsid w:val="005D052C"/>
    <w:rsid w:val="005D0D05"/>
    <w:rsid w:val="005D1741"/>
    <w:rsid w:val="005D4971"/>
    <w:rsid w:val="005D6B62"/>
    <w:rsid w:val="005D76E3"/>
    <w:rsid w:val="005E1B3D"/>
    <w:rsid w:val="005E1D3C"/>
    <w:rsid w:val="005E39AF"/>
    <w:rsid w:val="005E445A"/>
    <w:rsid w:val="005E5BAD"/>
    <w:rsid w:val="005E5F6B"/>
    <w:rsid w:val="005F21A6"/>
    <w:rsid w:val="005F2213"/>
    <w:rsid w:val="005F2A6F"/>
    <w:rsid w:val="00600FAA"/>
    <w:rsid w:val="00601B4C"/>
    <w:rsid w:val="00604E2F"/>
    <w:rsid w:val="00607B6B"/>
    <w:rsid w:val="00613842"/>
    <w:rsid w:val="00614455"/>
    <w:rsid w:val="00614922"/>
    <w:rsid w:val="00615130"/>
    <w:rsid w:val="006161EF"/>
    <w:rsid w:val="00616499"/>
    <w:rsid w:val="0061695B"/>
    <w:rsid w:val="00616C23"/>
    <w:rsid w:val="006204BB"/>
    <w:rsid w:val="00620E03"/>
    <w:rsid w:val="00621099"/>
    <w:rsid w:val="00621BB8"/>
    <w:rsid w:val="00621C51"/>
    <w:rsid w:val="0062279C"/>
    <w:rsid w:val="00624834"/>
    <w:rsid w:val="006249C6"/>
    <w:rsid w:val="00624E02"/>
    <w:rsid w:val="00625AE6"/>
    <w:rsid w:val="00627F5B"/>
    <w:rsid w:val="00632253"/>
    <w:rsid w:val="0063354B"/>
    <w:rsid w:val="006348FE"/>
    <w:rsid w:val="006367F0"/>
    <w:rsid w:val="00637E8D"/>
    <w:rsid w:val="00640644"/>
    <w:rsid w:val="00640720"/>
    <w:rsid w:val="00640EA7"/>
    <w:rsid w:val="00641991"/>
    <w:rsid w:val="00642242"/>
    <w:rsid w:val="006426FE"/>
    <w:rsid w:val="00642714"/>
    <w:rsid w:val="00643BFB"/>
    <w:rsid w:val="006455CE"/>
    <w:rsid w:val="00647FEE"/>
    <w:rsid w:val="00652FA1"/>
    <w:rsid w:val="0065338A"/>
    <w:rsid w:val="00654D43"/>
    <w:rsid w:val="00655841"/>
    <w:rsid w:val="006560D6"/>
    <w:rsid w:val="006562E4"/>
    <w:rsid w:val="0065661D"/>
    <w:rsid w:val="006578CD"/>
    <w:rsid w:val="006603C4"/>
    <w:rsid w:val="006644E0"/>
    <w:rsid w:val="006663D7"/>
    <w:rsid w:val="00667981"/>
    <w:rsid w:val="00667988"/>
    <w:rsid w:val="00670D9A"/>
    <w:rsid w:val="00672B97"/>
    <w:rsid w:val="00673690"/>
    <w:rsid w:val="006738D6"/>
    <w:rsid w:val="0067419F"/>
    <w:rsid w:val="00674542"/>
    <w:rsid w:val="0067568E"/>
    <w:rsid w:val="00675D6E"/>
    <w:rsid w:val="00676520"/>
    <w:rsid w:val="006772B8"/>
    <w:rsid w:val="006829C8"/>
    <w:rsid w:val="00682EF8"/>
    <w:rsid w:val="00683CB2"/>
    <w:rsid w:val="00684BB2"/>
    <w:rsid w:val="00687385"/>
    <w:rsid w:val="00690113"/>
    <w:rsid w:val="006959B3"/>
    <w:rsid w:val="006A0C27"/>
    <w:rsid w:val="006A2035"/>
    <w:rsid w:val="006A2297"/>
    <w:rsid w:val="006A4DF0"/>
    <w:rsid w:val="006A554A"/>
    <w:rsid w:val="006A6405"/>
    <w:rsid w:val="006A71F0"/>
    <w:rsid w:val="006B1C2B"/>
    <w:rsid w:val="006B3295"/>
    <w:rsid w:val="006B3C7B"/>
    <w:rsid w:val="006B3D8B"/>
    <w:rsid w:val="006B3F9B"/>
    <w:rsid w:val="006B402F"/>
    <w:rsid w:val="006B61BC"/>
    <w:rsid w:val="006C11FF"/>
    <w:rsid w:val="006C1C49"/>
    <w:rsid w:val="006C238D"/>
    <w:rsid w:val="006C3561"/>
    <w:rsid w:val="006C4207"/>
    <w:rsid w:val="006C4FF2"/>
    <w:rsid w:val="006C7DBA"/>
    <w:rsid w:val="006D0861"/>
    <w:rsid w:val="006D1F44"/>
    <w:rsid w:val="006D3FDB"/>
    <w:rsid w:val="006D62F9"/>
    <w:rsid w:val="006D6B2D"/>
    <w:rsid w:val="006E4456"/>
    <w:rsid w:val="006E53D5"/>
    <w:rsid w:val="006F0A43"/>
    <w:rsid w:val="006F1AAA"/>
    <w:rsid w:val="006F38D6"/>
    <w:rsid w:val="006F46DC"/>
    <w:rsid w:val="006F5E75"/>
    <w:rsid w:val="006F7CF2"/>
    <w:rsid w:val="0070118B"/>
    <w:rsid w:val="00702BCC"/>
    <w:rsid w:val="00704E17"/>
    <w:rsid w:val="007069D2"/>
    <w:rsid w:val="00706E13"/>
    <w:rsid w:val="0070767C"/>
    <w:rsid w:val="00707791"/>
    <w:rsid w:val="00707963"/>
    <w:rsid w:val="0070799F"/>
    <w:rsid w:val="0071454F"/>
    <w:rsid w:val="00716F0B"/>
    <w:rsid w:val="00720208"/>
    <w:rsid w:val="0072158B"/>
    <w:rsid w:val="00723299"/>
    <w:rsid w:val="00726CBB"/>
    <w:rsid w:val="007276BB"/>
    <w:rsid w:val="0072786F"/>
    <w:rsid w:val="00730AE6"/>
    <w:rsid w:val="007320A2"/>
    <w:rsid w:val="0073266D"/>
    <w:rsid w:val="00733017"/>
    <w:rsid w:val="007377A2"/>
    <w:rsid w:val="00740C4C"/>
    <w:rsid w:val="00742755"/>
    <w:rsid w:val="0074389B"/>
    <w:rsid w:val="00743C1C"/>
    <w:rsid w:val="00744D73"/>
    <w:rsid w:val="00745411"/>
    <w:rsid w:val="0074549E"/>
    <w:rsid w:val="00747879"/>
    <w:rsid w:val="00750B35"/>
    <w:rsid w:val="007566E7"/>
    <w:rsid w:val="00757714"/>
    <w:rsid w:val="007648AE"/>
    <w:rsid w:val="0076627C"/>
    <w:rsid w:val="00766BE7"/>
    <w:rsid w:val="0077062A"/>
    <w:rsid w:val="007716B0"/>
    <w:rsid w:val="00772240"/>
    <w:rsid w:val="0077648D"/>
    <w:rsid w:val="00776C20"/>
    <w:rsid w:val="00780ABF"/>
    <w:rsid w:val="00780FA6"/>
    <w:rsid w:val="00781815"/>
    <w:rsid w:val="00781D46"/>
    <w:rsid w:val="00782477"/>
    <w:rsid w:val="00782543"/>
    <w:rsid w:val="00782A69"/>
    <w:rsid w:val="00783310"/>
    <w:rsid w:val="00783B84"/>
    <w:rsid w:val="00785386"/>
    <w:rsid w:val="0078686C"/>
    <w:rsid w:val="00790852"/>
    <w:rsid w:val="00791A05"/>
    <w:rsid w:val="00791FE7"/>
    <w:rsid w:val="00792584"/>
    <w:rsid w:val="0079325A"/>
    <w:rsid w:val="00794409"/>
    <w:rsid w:val="0079769F"/>
    <w:rsid w:val="00797733"/>
    <w:rsid w:val="00797CB4"/>
    <w:rsid w:val="007A0AFD"/>
    <w:rsid w:val="007A0E52"/>
    <w:rsid w:val="007A283C"/>
    <w:rsid w:val="007A4A6D"/>
    <w:rsid w:val="007A6BDD"/>
    <w:rsid w:val="007A7279"/>
    <w:rsid w:val="007A7A28"/>
    <w:rsid w:val="007B21D5"/>
    <w:rsid w:val="007B2BE9"/>
    <w:rsid w:val="007B40C9"/>
    <w:rsid w:val="007B549B"/>
    <w:rsid w:val="007C06FA"/>
    <w:rsid w:val="007C14A1"/>
    <w:rsid w:val="007D119E"/>
    <w:rsid w:val="007D12A0"/>
    <w:rsid w:val="007D1323"/>
    <w:rsid w:val="007D1BCF"/>
    <w:rsid w:val="007D36C1"/>
    <w:rsid w:val="007D75CF"/>
    <w:rsid w:val="007D7BDC"/>
    <w:rsid w:val="007D7E3C"/>
    <w:rsid w:val="007E0440"/>
    <w:rsid w:val="007E05E1"/>
    <w:rsid w:val="007E1B8C"/>
    <w:rsid w:val="007E1F83"/>
    <w:rsid w:val="007E3E67"/>
    <w:rsid w:val="007E4FBB"/>
    <w:rsid w:val="007E6DC5"/>
    <w:rsid w:val="007E7AE8"/>
    <w:rsid w:val="007E7CC9"/>
    <w:rsid w:val="007E7D48"/>
    <w:rsid w:val="007F004B"/>
    <w:rsid w:val="007F08AC"/>
    <w:rsid w:val="007F1A6F"/>
    <w:rsid w:val="007F3B16"/>
    <w:rsid w:val="007F3FF7"/>
    <w:rsid w:val="007F56E5"/>
    <w:rsid w:val="007F62C6"/>
    <w:rsid w:val="00800B92"/>
    <w:rsid w:val="00801F92"/>
    <w:rsid w:val="0080293E"/>
    <w:rsid w:val="0080613A"/>
    <w:rsid w:val="008071D6"/>
    <w:rsid w:val="008107F2"/>
    <w:rsid w:val="00810CF9"/>
    <w:rsid w:val="0081459F"/>
    <w:rsid w:val="00814D1A"/>
    <w:rsid w:val="008158DB"/>
    <w:rsid w:val="00815A40"/>
    <w:rsid w:val="00821B02"/>
    <w:rsid w:val="00822CD5"/>
    <w:rsid w:val="00823F60"/>
    <w:rsid w:val="0082426B"/>
    <w:rsid w:val="00824C7F"/>
    <w:rsid w:val="0082529E"/>
    <w:rsid w:val="0082571C"/>
    <w:rsid w:val="00825D26"/>
    <w:rsid w:val="008265FC"/>
    <w:rsid w:val="00827578"/>
    <w:rsid w:val="00827977"/>
    <w:rsid w:val="00830C8D"/>
    <w:rsid w:val="008334B3"/>
    <w:rsid w:val="008404B0"/>
    <w:rsid w:val="00843626"/>
    <w:rsid w:val="008470D5"/>
    <w:rsid w:val="008506C0"/>
    <w:rsid w:val="0085531E"/>
    <w:rsid w:val="00855803"/>
    <w:rsid w:val="0086115D"/>
    <w:rsid w:val="00866F83"/>
    <w:rsid w:val="0086720D"/>
    <w:rsid w:val="008703A6"/>
    <w:rsid w:val="008717C3"/>
    <w:rsid w:val="0087232A"/>
    <w:rsid w:val="008771F6"/>
    <w:rsid w:val="0088043C"/>
    <w:rsid w:val="0088079A"/>
    <w:rsid w:val="00880DFB"/>
    <w:rsid w:val="00884889"/>
    <w:rsid w:val="00885484"/>
    <w:rsid w:val="00885F55"/>
    <w:rsid w:val="00887DBF"/>
    <w:rsid w:val="008903C0"/>
    <w:rsid w:val="008906C9"/>
    <w:rsid w:val="00892448"/>
    <w:rsid w:val="008A05EF"/>
    <w:rsid w:val="008A15D2"/>
    <w:rsid w:val="008A58A5"/>
    <w:rsid w:val="008A7089"/>
    <w:rsid w:val="008A7B3D"/>
    <w:rsid w:val="008B092D"/>
    <w:rsid w:val="008B21D5"/>
    <w:rsid w:val="008B4022"/>
    <w:rsid w:val="008B611A"/>
    <w:rsid w:val="008B6916"/>
    <w:rsid w:val="008B7D8E"/>
    <w:rsid w:val="008B7F61"/>
    <w:rsid w:val="008C03F5"/>
    <w:rsid w:val="008C2F1E"/>
    <w:rsid w:val="008C5022"/>
    <w:rsid w:val="008C5738"/>
    <w:rsid w:val="008C6222"/>
    <w:rsid w:val="008C6A06"/>
    <w:rsid w:val="008C711F"/>
    <w:rsid w:val="008D04F0"/>
    <w:rsid w:val="008D0AAE"/>
    <w:rsid w:val="008D1F61"/>
    <w:rsid w:val="008D3148"/>
    <w:rsid w:val="008D7A35"/>
    <w:rsid w:val="008E10AD"/>
    <w:rsid w:val="008E1553"/>
    <w:rsid w:val="008E26E7"/>
    <w:rsid w:val="008E3802"/>
    <w:rsid w:val="008E411E"/>
    <w:rsid w:val="008E43E6"/>
    <w:rsid w:val="008E5FE2"/>
    <w:rsid w:val="008E7017"/>
    <w:rsid w:val="008E75EA"/>
    <w:rsid w:val="008F012F"/>
    <w:rsid w:val="008F0334"/>
    <w:rsid w:val="008F0888"/>
    <w:rsid w:val="008F10D4"/>
    <w:rsid w:val="008F3500"/>
    <w:rsid w:val="008F4739"/>
    <w:rsid w:val="008F6236"/>
    <w:rsid w:val="00902EBC"/>
    <w:rsid w:val="009048D0"/>
    <w:rsid w:val="009055D9"/>
    <w:rsid w:val="00910297"/>
    <w:rsid w:val="00910BC4"/>
    <w:rsid w:val="00911A6B"/>
    <w:rsid w:val="00914BAE"/>
    <w:rsid w:val="009155F8"/>
    <w:rsid w:val="009179F0"/>
    <w:rsid w:val="00920669"/>
    <w:rsid w:val="00922189"/>
    <w:rsid w:val="009225F2"/>
    <w:rsid w:val="00922B5C"/>
    <w:rsid w:val="009240C8"/>
    <w:rsid w:val="0092480A"/>
    <w:rsid w:val="00924E3C"/>
    <w:rsid w:val="00924E76"/>
    <w:rsid w:val="009256AC"/>
    <w:rsid w:val="00926C2A"/>
    <w:rsid w:val="0092739F"/>
    <w:rsid w:val="0093044D"/>
    <w:rsid w:val="009312A6"/>
    <w:rsid w:val="009327A7"/>
    <w:rsid w:val="00933E47"/>
    <w:rsid w:val="0093470B"/>
    <w:rsid w:val="00936626"/>
    <w:rsid w:val="0093771A"/>
    <w:rsid w:val="00941735"/>
    <w:rsid w:val="00941D3C"/>
    <w:rsid w:val="009444D4"/>
    <w:rsid w:val="00944BDA"/>
    <w:rsid w:val="00944EAF"/>
    <w:rsid w:val="00945083"/>
    <w:rsid w:val="009453E3"/>
    <w:rsid w:val="00953534"/>
    <w:rsid w:val="009555EA"/>
    <w:rsid w:val="009612BB"/>
    <w:rsid w:val="00963707"/>
    <w:rsid w:val="00963E67"/>
    <w:rsid w:val="00964801"/>
    <w:rsid w:val="00964A60"/>
    <w:rsid w:val="00964FFF"/>
    <w:rsid w:val="009662BC"/>
    <w:rsid w:val="00966941"/>
    <w:rsid w:val="00966CBA"/>
    <w:rsid w:val="00975378"/>
    <w:rsid w:val="00975A8F"/>
    <w:rsid w:val="00977D51"/>
    <w:rsid w:val="009801D7"/>
    <w:rsid w:val="00980459"/>
    <w:rsid w:val="009818D3"/>
    <w:rsid w:val="00982AD4"/>
    <w:rsid w:val="00987D93"/>
    <w:rsid w:val="00990D2C"/>
    <w:rsid w:val="00992D78"/>
    <w:rsid w:val="00995522"/>
    <w:rsid w:val="0099697B"/>
    <w:rsid w:val="009A0478"/>
    <w:rsid w:val="009A0D1D"/>
    <w:rsid w:val="009A123F"/>
    <w:rsid w:val="009A1B0F"/>
    <w:rsid w:val="009A3A26"/>
    <w:rsid w:val="009A401A"/>
    <w:rsid w:val="009A55F2"/>
    <w:rsid w:val="009A5F34"/>
    <w:rsid w:val="009A61E9"/>
    <w:rsid w:val="009A69B7"/>
    <w:rsid w:val="009A728D"/>
    <w:rsid w:val="009B368D"/>
    <w:rsid w:val="009B574A"/>
    <w:rsid w:val="009B65AE"/>
    <w:rsid w:val="009B7D0F"/>
    <w:rsid w:val="009C49A3"/>
    <w:rsid w:val="009C4A3E"/>
    <w:rsid w:val="009C740A"/>
    <w:rsid w:val="009D025A"/>
    <w:rsid w:val="009D2064"/>
    <w:rsid w:val="009D2485"/>
    <w:rsid w:val="009D34A9"/>
    <w:rsid w:val="009D4D32"/>
    <w:rsid w:val="009D529B"/>
    <w:rsid w:val="009D593E"/>
    <w:rsid w:val="009D6BA3"/>
    <w:rsid w:val="009D7303"/>
    <w:rsid w:val="009E12C4"/>
    <w:rsid w:val="009E2FFB"/>
    <w:rsid w:val="009E474D"/>
    <w:rsid w:val="009E5A40"/>
    <w:rsid w:val="009E5DDF"/>
    <w:rsid w:val="009E714D"/>
    <w:rsid w:val="009F5CD5"/>
    <w:rsid w:val="009F75D4"/>
    <w:rsid w:val="009F7A07"/>
    <w:rsid w:val="00A00250"/>
    <w:rsid w:val="00A0764C"/>
    <w:rsid w:val="00A0779A"/>
    <w:rsid w:val="00A125C5"/>
    <w:rsid w:val="00A12C29"/>
    <w:rsid w:val="00A13FC8"/>
    <w:rsid w:val="00A1584B"/>
    <w:rsid w:val="00A17656"/>
    <w:rsid w:val="00A17E21"/>
    <w:rsid w:val="00A22622"/>
    <w:rsid w:val="00A2451C"/>
    <w:rsid w:val="00A24FC6"/>
    <w:rsid w:val="00A26C90"/>
    <w:rsid w:val="00A30AB5"/>
    <w:rsid w:val="00A35C22"/>
    <w:rsid w:val="00A37122"/>
    <w:rsid w:val="00A411D9"/>
    <w:rsid w:val="00A418BE"/>
    <w:rsid w:val="00A45AC7"/>
    <w:rsid w:val="00A47CC4"/>
    <w:rsid w:val="00A47F26"/>
    <w:rsid w:val="00A50524"/>
    <w:rsid w:val="00A5352D"/>
    <w:rsid w:val="00A54438"/>
    <w:rsid w:val="00A57E59"/>
    <w:rsid w:val="00A60428"/>
    <w:rsid w:val="00A62E2A"/>
    <w:rsid w:val="00A636C6"/>
    <w:rsid w:val="00A63EBA"/>
    <w:rsid w:val="00A640F5"/>
    <w:rsid w:val="00A64AE7"/>
    <w:rsid w:val="00A64C0D"/>
    <w:rsid w:val="00A65EE7"/>
    <w:rsid w:val="00A660B6"/>
    <w:rsid w:val="00A676BB"/>
    <w:rsid w:val="00A70133"/>
    <w:rsid w:val="00A71396"/>
    <w:rsid w:val="00A72584"/>
    <w:rsid w:val="00A746B2"/>
    <w:rsid w:val="00A75A19"/>
    <w:rsid w:val="00A770A6"/>
    <w:rsid w:val="00A800C2"/>
    <w:rsid w:val="00A8032F"/>
    <w:rsid w:val="00A813B1"/>
    <w:rsid w:val="00A82351"/>
    <w:rsid w:val="00A827A1"/>
    <w:rsid w:val="00A8333D"/>
    <w:rsid w:val="00A84857"/>
    <w:rsid w:val="00A95025"/>
    <w:rsid w:val="00A95AEA"/>
    <w:rsid w:val="00A96AC3"/>
    <w:rsid w:val="00AA2340"/>
    <w:rsid w:val="00AA2819"/>
    <w:rsid w:val="00AA3212"/>
    <w:rsid w:val="00AA53C0"/>
    <w:rsid w:val="00AA5656"/>
    <w:rsid w:val="00AA7CB0"/>
    <w:rsid w:val="00AB1EFF"/>
    <w:rsid w:val="00AB36C4"/>
    <w:rsid w:val="00AB4470"/>
    <w:rsid w:val="00AB57B8"/>
    <w:rsid w:val="00AB7887"/>
    <w:rsid w:val="00AC2363"/>
    <w:rsid w:val="00AC25F8"/>
    <w:rsid w:val="00AC32B2"/>
    <w:rsid w:val="00AC32C2"/>
    <w:rsid w:val="00AC55FD"/>
    <w:rsid w:val="00AC58D0"/>
    <w:rsid w:val="00AC62BB"/>
    <w:rsid w:val="00AC6CFD"/>
    <w:rsid w:val="00AC711E"/>
    <w:rsid w:val="00AD01BB"/>
    <w:rsid w:val="00AD1D51"/>
    <w:rsid w:val="00AD2A59"/>
    <w:rsid w:val="00AD7385"/>
    <w:rsid w:val="00AE0F19"/>
    <w:rsid w:val="00AE6E07"/>
    <w:rsid w:val="00AE6F9A"/>
    <w:rsid w:val="00AE7516"/>
    <w:rsid w:val="00AE7B15"/>
    <w:rsid w:val="00AE7F55"/>
    <w:rsid w:val="00AF06ED"/>
    <w:rsid w:val="00AF36C9"/>
    <w:rsid w:val="00AF5166"/>
    <w:rsid w:val="00B014D4"/>
    <w:rsid w:val="00B02EDD"/>
    <w:rsid w:val="00B04591"/>
    <w:rsid w:val="00B05866"/>
    <w:rsid w:val="00B069C1"/>
    <w:rsid w:val="00B10085"/>
    <w:rsid w:val="00B129AF"/>
    <w:rsid w:val="00B16FA4"/>
    <w:rsid w:val="00B17141"/>
    <w:rsid w:val="00B1725A"/>
    <w:rsid w:val="00B20824"/>
    <w:rsid w:val="00B20B54"/>
    <w:rsid w:val="00B20FAD"/>
    <w:rsid w:val="00B23712"/>
    <w:rsid w:val="00B250A2"/>
    <w:rsid w:val="00B266F0"/>
    <w:rsid w:val="00B26EC4"/>
    <w:rsid w:val="00B30CAD"/>
    <w:rsid w:val="00B314C3"/>
    <w:rsid w:val="00B31575"/>
    <w:rsid w:val="00B31F55"/>
    <w:rsid w:val="00B329EA"/>
    <w:rsid w:val="00B3394A"/>
    <w:rsid w:val="00B35936"/>
    <w:rsid w:val="00B37D88"/>
    <w:rsid w:val="00B415FB"/>
    <w:rsid w:val="00B428A6"/>
    <w:rsid w:val="00B443F7"/>
    <w:rsid w:val="00B4502D"/>
    <w:rsid w:val="00B453CA"/>
    <w:rsid w:val="00B4731A"/>
    <w:rsid w:val="00B510EA"/>
    <w:rsid w:val="00B52104"/>
    <w:rsid w:val="00B523CF"/>
    <w:rsid w:val="00B54827"/>
    <w:rsid w:val="00B54FA0"/>
    <w:rsid w:val="00B558F8"/>
    <w:rsid w:val="00B568D9"/>
    <w:rsid w:val="00B56DD6"/>
    <w:rsid w:val="00B574B8"/>
    <w:rsid w:val="00B605C3"/>
    <w:rsid w:val="00B608FD"/>
    <w:rsid w:val="00B6134D"/>
    <w:rsid w:val="00B628AD"/>
    <w:rsid w:val="00B62C8B"/>
    <w:rsid w:val="00B63F10"/>
    <w:rsid w:val="00B700CB"/>
    <w:rsid w:val="00B76446"/>
    <w:rsid w:val="00B82B4B"/>
    <w:rsid w:val="00B8547D"/>
    <w:rsid w:val="00B8551C"/>
    <w:rsid w:val="00B85F04"/>
    <w:rsid w:val="00B862DC"/>
    <w:rsid w:val="00B86989"/>
    <w:rsid w:val="00B87F2C"/>
    <w:rsid w:val="00B92F78"/>
    <w:rsid w:val="00B938A3"/>
    <w:rsid w:val="00B93A74"/>
    <w:rsid w:val="00B96046"/>
    <w:rsid w:val="00B96646"/>
    <w:rsid w:val="00B97870"/>
    <w:rsid w:val="00B97D3E"/>
    <w:rsid w:val="00B97DB1"/>
    <w:rsid w:val="00BA0828"/>
    <w:rsid w:val="00BA1A8E"/>
    <w:rsid w:val="00BA1B0D"/>
    <w:rsid w:val="00BA635D"/>
    <w:rsid w:val="00BA64CD"/>
    <w:rsid w:val="00BA6F6A"/>
    <w:rsid w:val="00BA7302"/>
    <w:rsid w:val="00BB00A6"/>
    <w:rsid w:val="00BB137A"/>
    <w:rsid w:val="00BB2B01"/>
    <w:rsid w:val="00BB2B10"/>
    <w:rsid w:val="00BB2FDD"/>
    <w:rsid w:val="00BB6634"/>
    <w:rsid w:val="00BC11AF"/>
    <w:rsid w:val="00BC2806"/>
    <w:rsid w:val="00BC34C0"/>
    <w:rsid w:val="00BC3509"/>
    <w:rsid w:val="00BC47DA"/>
    <w:rsid w:val="00BC5559"/>
    <w:rsid w:val="00BC6553"/>
    <w:rsid w:val="00BC75FC"/>
    <w:rsid w:val="00BD07A5"/>
    <w:rsid w:val="00BD0DC7"/>
    <w:rsid w:val="00BD2498"/>
    <w:rsid w:val="00BD57FA"/>
    <w:rsid w:val="00BD5FEC"/>
    <w:rsid w:val="00BE01B8"/>
    <w:rsid w:val="00BE1063"/>
    <w:rsid w:val="00BE11B7"/>
    <w:rsid w:val="00BE22F4"/>
    <w:rsid w:val="00BE25CD"/>
    <w:rsid w:val="00BE2D02"/>
    <w:rsid w:val="00BE2E66"/>
    <w:rsid w:val="00BE531E"/>
    <w:rsid w:val="00BE70C4"/>
    <w:rsid w:val="00BF0A1B"/>
    <w:rsid w:val="00BF118C"/>
    <w:rsid w:val="00BF2DD8"/>
    <w:rsid w:val="00BF36BA"/>
    <w:rsid w:val="00BF4755"/>
    <w:rsid w:val="00BF4FBF"/>
    <w:rsid w:val="00BF7002"/>
    <w:rsid w:val="00C012D2"/>
    <w:rsid w:val="00C01748"/>
    <w:rsid w:val="00C053A2"/>
    <w:rsid w:val="00C0648A"/>
    <w:rsid w:val="00C078A2"/>
    <w:rsid w:val="00C123F3"/>
    <w:rsid w:val="00C151D3"/>
    <w:rsid w:val="00C16544"/>
    <w:rsid w:val="00C17714"/>
    <w:rsid w:val="00C20528"/>
    <w:rsid w:val="00C21A8A"/>
    <w:rsid w:val="00C2296D"/>
    <w:rsid w:val="00C250D5"/>
    <w:rsid w:val="00C32E40"/>
    <w:rsid w:val="00C33E4F"/>
    <w:rsid w:val="00C35666"/>
    <w:rsid w:val="00C362E4"/>
    <w:rsid w:val="00C36848"/>
    <w:rsid w:val="00C368B9"/>
    <w:rsid w:val="00C414AA"/>
    <w:rsid w:val="00C41E70"/>
    <w:rsid w:val="00C430D9"/>
    <w:rsid w:val="00C43BCB"/>
    <w:rsid w:val="00C45C5C"/>
    <w:rsid w:val="00C4629D"/>
    <w:rsid w:val="00C50741"/>
    <w:rsid w:val="00C51534"/>
    <w:rsid w:val="00C51870"/>
    <w:rsid w:val="00C54515"/>
    <w:rsid w:val="00C57EF0"/>
    <w:rsid w:val="00C6088F"/>
    <w:rsid w:val="00C6270E"/>
    <w:rsid w:val="00C62DB5"/>
    <w:rsid w:val="00C630FB"/>
    <w:rsid w:val="00C700C0"/>
    <w:rsid w:val="00C70349"/>
    <w:rsid w:val="00C708A2"/>
    <w:rsid w:val="00C74005"/>
    <w:rsid w:val="00C7784C"/>
    <w:rsid w:val="00C840D0"/>
    <w:rsid w:val="00C85516"/>
    <w:rsid w:val="00C8629F"/>
    <w:rsid w:val="00C878DC"/>
    <w:rsid w:val="00C87AE3"/>
    <w:rsid w:val="00C87E40"/>
    <w:rsid w:val="00C87F78"/>
    <w:rsid w:val="00C902C0"/>
    <w:rsid w:val="00C90C6E"/>
    <w:rsid w:val="00C90FF7"/>
    <w:rsid w:val="00C916A7"/>
    <w:rsid w:val="00C92898"/>
    <w:rsid w:val="00C93D8D"/>
    <w:rsid w:val="00C94116"/>
    <w:rsid w:val="00C97E49"/>
    <w:rsid w:val="00CA4340"/>
    <w:rsid w:val="00CA4646"/>
    <w:rsid w:val="00CA4725"/>
    <w:rsid w:val="00CA652B"/>
    <w:rsid w:val="00CA7098"/>
    <w:rsid w:val="00CA715F"/>
    <w:rsid w:val="00CB2158"/>
    <w:rsid w:val="00CB2640"/>
    <w:rsid w:val="00CB33B2"/>
    <w:rsid w:val="00CB340C"/>
    <w:rsid w:val="00CB3DC8"/>
    <w:rsid w:val="00CB63B2"/>
    <w:rsid w:val="00CB7A82"/>
    <w:rsid w:val="00CC0E55"/>
    <w:rsid w:val="00CC1EA1"/>
    <w:rsid w:val="00CC2517"/>
    <w:rsid w:val="00CC607B"/>
    <w:rsid w:val="00CC6B6B"/>
    <w:rsid w:val="00CC6C97"/>
    <w:rsid w:val="00CD0209"/>
    <w:rsid w:val="00CD188E"/>
    <w:rsid w:val="00CD2657"/>
    <w:rsid w:val="00CD2CA4"/>
    <w:rsid w:val="00CD3016"/>
    <w:rsid w:val="00CD36B6"/>
    <w:rsid w:val="00CD6432"/>
    <w:rsid w:val="00CE24DA"/>
    <w:rsid w:val="00CE34E3"/>
    <w:rsid w:val="00CE3E37"/>
    <w:rsid w:val="00CE5238"/>
    <w:rsid w:val="00CE5379"/>
    <w:rsid w:val="00CE7514"/>
    <w:rsid w:val="00CE7B56"/>
    <w:rsid w:val="00CF2014"/>
    <w:rsid w:val="00CF26D0"/>
    <w:rsid w:val="00CF3B2D"/>
    <w:rsid w:val="00CF4558"/>
    <w:rsid w:val="00CF51A1"/>
    <w:rsid w:val="00CF6F56"/>
    <w:rsid w:val="00D0022E"/>
    <w:rsid w:val="00D01658"/>
    <w:rsid w:val="00D01CBE"/>
    <w:rsid w:val="00D023F2"/>
    <w:rsid w:val="00D04605"/>
    <w:rsid w:val="00D04C51"/>
    <w:rsid w:val="00D051DE"/>
    <w:rsid w:val="00D06027"/>
    <w:rsid w:val="00D109F9"/>
    <w:rsid w:val="00D10F78"/>
    <w:rsid w:val="00D11D73"/>
    <w:rsid w:val="00D11F08"/>
    <w:rsid w:val="00D20971"/>
    <w:rsid w:val="00D21C6E"/>
    <w:rsid w:val="00D23207"/>
    <w:rsid w:val="00D24738"/>
    <w:rsid w:val="00D248DE"/>
    <w:rsid w:val="00D30368"/>
    <w:rsid w:val="00D32EED"/>
    <w:rsid w:val="00D3306A"/>
    <w:rsid w:val="00D3607A"/>
    <w:rsid w:val="00D362BD"/>
    <w:rsid w:val="00D36923"/>
    <w:rsid w:val="00D37014"/>
    <w:rsid w:val="00D374D5"/>
    <w:rsid w:val="00D43A4F"/>
    <w:rsid w:val="00D44ECD"/>
    <w:rsid w:val="00D47099"/>
    <w:rsid w:val="00D47472"/>
    <w:rsid w:val="00D509E1"/>
    <w:rsid w:val="00D5214F"/>
    <w:rsid w:val="00D530A5"/>
    <w:rsid w:val="00D539B0"/>
    <w:rsid w:val="00D57BA6"/>
    <w:rsid w:val="00D600F9"/>
    <w:rsid w:val="00D61163"/>
    <w:rsid w:val="00D640CE"/>
    <w:rsid w:val="00D660AE"/>
    <w:rsid w:val="00D67686"/>
    <w:rsid w:val="00D67F61"/>
    <w:rsid w:val="00D73EB0"/>
    <w:rsid w:val="00D748FD"/>
    <w:rsid w:val="00D75D44"/>
    <w:rsid w:val="00D774F7"/>
    <w:rsid w:val="00D776CE"/>
    <w:rsid w:val="00D819CA"/>
    <w:rsid w:val="00D81BB1"/>
    <w:rsid w:val="00D83EA8"/>
    <w:rsid w:val="00D841E3"/>
    <w:rsid w:val="00D8542D"/>
    <w:rsid w:val="00D86711"/>
    <w:rsid w:val="00D913B4"/>
    <w:rsid w:val="00D93957"/>
    <w:rsid w:val="00D951AE"/>
    <w:rsid w:val="00D96582"/>
    <w:rsid w:val="00D9704C"/>
    <w:rsid w:val="00DA0789"/>
    <w:rsid w:val="00DA0CB6"/>
    <w:rsid w:val="00DA13EA"/>
    <w:rsid w:val="00DA182A"/>
    <w:rsid w:val="00DA38EB"/>
    <w:rsid w:val="00DA393F"/>
    <w:rsid w:val="00DA4341"/>
    <w:rsid w:val="00DA754A"/>
    <w:rsid w:val="00DA7B1A"/>
    <w:rsid w:val="00DB0D55"/>
    <w:rsid w:val="00DB1B4C"/>
    <w:rsid w:val="00DB3B69"/>
    <w:rsid w:val="00DB3EA3"/>
    <w:rsid w:val="00DB5811"/>
    <w:rsid w:val="00DB6A88"/>
    <w:rsid w:val="00DB6ECB"/>
    <w:rsid w:val="00DC12E0"/>
    <w:rsid w:val="00DC2353"/>
    <w:rsid w:val="00DC3DD5"/>
    <w:rsid w:val="00DC484D"/>
    <w:rsid w:val="00DC4C2F"/>
    <w:rsid w:val="00DC6A71"/>
    <w:rsid w:val="00DC7B9B"/>
    <w:rsid w:val="00DD00A5"/>
    <w:rsid w:val="00DD036F"/>
    <w:rsid w:val="00DD28D0"/>
    <w:rsid w:val="00DD2C3B"/>
    <w:rsid w:val="00DD31B4"/>
    <w:rsid w:val="00DD3360"/>
    <w:rsid w:val="00DD392D"/>
    <w:rsid w:val="00DD4EA8"/>
    <w:rsid w:val="00DD5BA0"/>
    <w:rsid w:val="00DD6502"/>
    <w:rsid w:val="00DD7375"/>
    <w:rsid w:val="00DE1560"/>
    <w:rsid w:val="00DE1EE7"/>
    <w:rsid w:val="00DE2419"/>
    <w:rsid w:val="00DE31C8"/>
    <w:rsid w:val="00DE427B"/>
    <w:rsid w:val="00DE4A20"/>
    <w:rsid w:val="00DF330E"/>
    <w:rsid w:val="00DF5A1B"/>
    <w:rsid w:val="00DF5EC0"/>
    <w:rsid w:val="00DF64F9"/>
    <w:rsid w:val="00E003CD"/>
    <w:rsid w:val="00E004D8"/>
    <w:rsid w:val="00E027CB"/>
    <w:rsid w:val="00E0357D"/>
    <w:rsid w:val="00E0463E"/>
    <w:rsid w:val="00E0526D"/>
    <w:rsid w:val="00E05D45"/>
    <w:rsid w:val="00E06489"/>
    <w:rsid w:val="00E1166C"/>
    <w:rsid w:val="00E128DC"/>
    <w:rsid w:val="00E129E9"/>
    <w:rsid w:val="00E1379B"/>
    <w:rsid w:val="00E148FB"/>
    <w:rsid w:val="00E15802"/>
    <w:rsid w:val="00E165C6"/>
    <w:rsid w:val="00E17AA1"/>
    <w:rsid w:val="00E201CD"/>
    <w:rsid w:val="00E218CE"/>
    <w:rsid w:val="00E22682"/>
    <w:rsid w:val="00E241A7"/>
    <w:rsid w:val="00E255EE"/>
    <w:rsid w:val="00E25BAC"/>
    <w:rsid w:val="00E263E5"/>
    <w:rsid w:val="00E2666E"/>
    <w:rsid w:val="00E3015B"/>
    <w:rsid w:val="00E31341"/>
    <w:rsid w:val="00E32330"/>
    <w:rsid w:val="00E33495"/>
    <w:rsid w:val="00E36295"/>
    <w:rsid w:val="00E36468"/>
    <w:rsid w:val="00E4270F"/>
    <w:rsid w:val="00E43999"/>
    <w:rsid w:val="00E43C4B"/>
    <w:rsid w:val="00E47B6A"/>
    <w:rsid w:val="00E47CC7"/>
    <w:rsid w:val="00E5091E"/>
    <w:rsid w:val="00E510DC"/>
    <w:rsid w:val="00E512AB"/>
    <w:rsid w:val="00E54E28"/>
    <w:rsid w:val="00E56BF8"/>
    <w:rsid w:val="00E63CBE"/>
    <w:rsid w:val="00E64413"/>
    <w:rsid w:val="00E65FD9"/>
    <w:rsid w:val="00E70112"/>
    <w:rsid w:val="00E712E3"/>
    <w:rsid w:val="00E724D0"/>
    <w:rsid w:val="00E76139"/>
    <w:rsid w:val="00E77701"/>
    <w:rsid w:val="00E802BC"/>
    <w:rsid w:val="00E80CDA"/>
    <w:rsid w:val="00E83BA0"/>
    <w:rsid w:val="00E84738"/>
    <w:rsid w:val="00E900BE"/>
    <w:rsid w:val="00E9066E"/>
    <w:rsid w:val="00E92CDC"/>
    <w:rsid w:val="00E95987"/>
    <w:rsid w:val="00E97462"/>
    <w:rsid w:val="00EA1C04"/>
    <w:rsid w:val="00EA64A7"/>
    <w:rsid w:val="00EA67EB"/>
    <w:rsid w:val="00EA6CED"/>
    <w:rsid w:val="00EA7FBE"/>
    <w:rsid w:val="00EB066D"/>
    <w:rsid w:val="00EB0906"/>
    <w:rsid w:val="00EB1E3C"/>
    <w:rsid w:val="00EB7E75"/>
    <w:rsid w:val="00EC1B03"/>
    <w:rsid w:val="00EC22D8"/>
    <w:rsid w:val="00EC27F4"/>
    <w:rsid w:val="00EC2A8E"/>
    <w:rsid w:val="00EC3106"/>
    <w:rsid w:val="00EC3F78"/>
    <w:rsid w:val="00EC59A0"/>
    <w:rsid w:val="00EC7A0A"/>
    <w:rsid w:val="00EC7A6D"/>
    <w:rsid w:val="00ED1C3E"/>
    <w:rsid w:val="00ED260B"/>
    <w:rsid w:val="00ED2CD5"/>
    <w:rsid w:val="00ED3D4B"/>
    <w:rsid w:val="00EE0675"/>
    <w:rsid w:val="00EE1831"/>
    <w:rsid w:val="00EE2244"/>
    <w:rsid w:val="00EE4C1F"/>
    <w:rsid w:val="00EE5330"/>
    <w:rsid w:val="00EE6D4D"/>
    <w:rsid w:val="00EF1C2C"/>
    <w:rsid w:val="00EF5164"/>
    <w:rsid w:val="00EF7091"/>
    <w:rsid w:val="00F01218"/>
    <w:rsid w:val="00F05935"/>
    <w:rsid w:val="00F1054A"/>
    <w:rsid w:val="00F11500"/>
    <w:rsid w:val="00F118B2"/>
    <w:rsid w:val="00F126F8"/>
    <w:rsid w:val="00F13C4C"/>
    <w:rsid w:val="00F15ACA"/>
    <w:rsid w:val="00F17C6D"/>
    <w:rsid w:val="00F235FC"/>
    <w:rsid w:val="00F240BB"/>
    <w:rsid w:val="00F24AF2"/>
    <w:rsid w:val="00F26B57"/>
    <w:rsid w:val="00F315C1"/>
    <w:rsid w:val="00F32A86"/>
    <w:rsid w:val="00F37DC6"/>
    <w:rsid w:val="00F438E7"/>
    <w:rsid w:val="00F44AEA"/>
    <w:rsid w:val="00F4754C"/>
    <w:rsid w:val="00F47F41"/>
    <w:rsid w:val="00F511A3"/>
    <w:rsid w:val="00F54154"/>
    <w:rsid w:val="00F57FED"/>
    <w:rsid w:val="00F63A9C"/>
    <w:rsid w:val="00F65D20"/>
    <w:rsid w:val="00F671B7"/>
    <w:rsid w:val="00F675BF"/>
    <w:rsid w:val="00F67BB0"/>
    <w:rsid w:val="00F7085B"/>
    <w:rsid w:val="00F72D15"/>
    <w:rsid w:val="00F72FF2"/>
    <w:rsid w:val="00F732FD"/>
    <w:rsid w:val="00F75CA6"/>
    <w:rsid w:val="00F8234C"/>
    <w:rsid w:val="00F8260C"/>
    <w:rsid w:val="00F83AB5"/>
    <w:rsid w:val="00F83C9D"/>
    <w:rsid w:val="00F8668E"/>
    <w:rsid w:val="00F8708F"/>
    <w:rsid w:val="00F9057B"/>
    <w:rsid w:val="00F957B7"/>
    <w:rsid w:val="00F9771C"/>
    <w:rsid w:val="00F979DE"/>
    <w:rsid w:val="00FA0D88"/>
    <w:rsid w:val="00FA17EA"/>
    <w:rsid w:val="00FA25CA"/>
    <w:rsid w:val="00FA3108"/>
    <w:rsid w:val="00FA3AE3"/>
    <w:rsid w:val="00FA5433"/>
    <w:rsid w:val="00FA6625"/>
    <w:rsid w:val="00FB0270"/>
    <w:rsid w:val="00FB0E87"/>
    <w:rsid w:val="00FB226F"/>
    <w:rsid w:val="00FB6FFE"/>
    <w:rsid w:val="00FB792A"/>
    <w:rsid w:val="00FC013C"/>
    <w:rsid w:val="00FC2A07"/>
    <w:rsid w:val="00FC774A"/>
    <w:rsid w:val="00FC788F"/>
    <w:rsid w:val="00FC7F3A"/>
    <w:rsid w:val="00FD00D7"/>
    <w:rsid w:val="00FD04AD"/>
    <w:rsid w:val="00FD0D91"/>
    <w:rsid w:val="00FD1174"/>
    <w:rsid w:val="00FD229B"/>
    <w:rsid w:val="00FD27C3"/>
    <w:rsid w:val="00FD3CFA"/>
    <w:rsid w:val="00FD4B79"/>
    <w:rsid w:val="00FD5450"/>
    <w:rsid w:val="00FD5D19"/>
    <w:rsid w:val="00FE0694"/>
    <w:rsid w:val="00FE081A"/>
    <w:rsid w:val="00FE1D95"/>
    <w:rsid w:val="00FE40AC"/>
    <w:rsid w:val="00FE476F"/>
    <w:rsid w:val="00FE54F4"/>
    <w:rsid w:val="00FE54FD"/>
    <w:rsid w:val="00FE557E"/>
    <w:rsid w:val="00FE5C35"/>
    <w:rsid w:val="00FF1DF8"/>
    <w:rsid w:val="00FF3530"/>
    <w:rsid w:val="00FF4ED5"/>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B94F798"/>
  <w15:chartTrackingRefBased/>
  <w15:docId w15:val="{A6B424FA-53BA-4FF6-A3CF-81637989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E39AF"/>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1677EB"/>
    <w:pPr>
      <w:keepNext/>
      <w:spacing w:before="60" w:after="60"/>
      <w:outlineLvl w:val="0"/>
    </w:pPr>
    <w:rPr>
      <w:b/>
      <w:szCs w:val="20"/>
      <w:lang w:val="x-none" w:eastAsia="x-none"/>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lang w:val="en-US"/>
    </w:rPr>
  </w:style>
  <w:style w:type="paragraph" w:styleId="Naslov9">
    <w:name w:val="heading 9"/>
    <w:basedOn w:val="Navaden"/>
    <w:next w:val="Navaden"/>
    <w:link w:val="Naslov9Znak"/>
    <w:qFormat/>
    <w:rsid w:val="006C1C49"/>
    <w:pPr>
      <w:spacing w:before="240" w:after="60"/>
      <w:outlineLvl w:val="8"/>
    </w:pPr>
    <w:rPr>
      <w:rFonts w:cs="Arial"/>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1677EB"/>
    <w:rPr>
      <w:rFonts w:ascii="Arial" w:hAnsi="Arial"/>
      <w:b/>
      <w:lang w:val="x-none" w:eastAsia="x-none"/>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rPr>
      <w:lang w:val="en-US"/>
    </w:r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semiHidden/>
    <w:rsid w:val="00AD2B87"/>
    <w:pPr>
      <w:tabs>
        <w:tab w:val="center" w:pos="4320"/>
        <w:tab w:val="right" w:pos="8640"/>
      </w:tabs>
    </w:pPr>
    <w:rPr>
      <w:lang w:val="en-US"/>
    </w:rPr>
  </w:style>
  <w:style w:type="character" w:customStyle="1" w:styleId="NogaZnak">
    <w:name w:val="Noga Znak"/>
    <w:link w:val="Noga"/>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DC4C2F"/>
    <w:rPr>
      <w:rFonts w:ascii="Arial" w:hAnsi="Arial"/>
      <w:b/>
      <w:sz w:val="22"/>
      <w:szCs w:val="22"/>
      <w:lang w:val="x-none" w:eastAsia="x-none"/>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DC4C2F"/>
    <w:rPr>
      <w:rFonts w:ascii="Arial" w:hAnsi="Arial"/>
      <w:sz w:val="22"/>
      <w:szCs w:val="22"/>
      <w:lang w:val="x-none" w:eastAsia="x-none"/>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lang w:val="en-US"/>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rPr>
      <w:lang w:val="en-US"/>
    </w:r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lang w:val="x-none" w:eastAsia="x-none"/>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semiHidden/>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semiHidden/>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szCs w:val="20"/>
      <w:lang w:val="x-none" w:eastAsia="x-none"/>
    </w:rPr>
  </w:style>
  <w:style w:type="character" w:styleId="Pripombasklic">
    <w:name w:val="annotation reference"/>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vanish/>
      <w:sz w:val="16"/>
      <w:szCs w:val="16"/>
      <w:lang w:val="x-none" w:eastAsia="x-none"/>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vanish/>
      <w:sz w:val="16"/>
      <w:szCs w:val="16"/>
      <w:lang w:val="x-none" w:eastAsia="x-none"/>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191CC6"/>
    <w:rPr>
      <w:rFonts w:ascii="Arial" w:hAnsi="Arial" w:cs="Arial"/>
      <w:sz w:val="22"/>
      <w:szCs w:val="22"/>
    </w:rPr>
  </w:style>
  <w:style w:type="paragraph" w:customStyle="1" w:styleId="len">
    <w:name w:val="len"/>
    <w:basedOn w:val="Navaden"/>
    <w:rsid w:val="00DF64F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DF64F9"/>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DF64F9"/>
    <w:pPr>
      <w:spacing w:before="100" w:beforeAutospacing="1" w:after="100" w:afterAutospacing="1" w:line="240" w:lineRule="auto"/>
    </w:pPr>
    <w:rPr>
      <w:rFonts w:ascii="Times New Roman" w:hAnsi="Times New Roman"/>
      <w:sz w:val="24"/>
      <w:lang w:eastAsia="sl-SI"/>
    </w:rPr>
  </w:style>
  <w:style w:type="paragraph" w:customStyle="1" w:styleId="esegmentc1">
    <w:name w:val="esegment_c1"/>
    <w:basedOn w:val="Navaden"/>
    <w:rsid w:val="00CA715F"/>
    <w:pPr>
      <w:spacing w:after="210" w:line="240" w:lineRule="auto"/>
    </w:pPr>
    <w:rPr>
      <w:rFonts w:ascii="Times New Roman" w:hAnsi="Times New Roman"/>
      <w:color w:val="333333"/>
      <w:sz w:val="18"/>
      <w:szCs w:val="18"/>
      <w:lang w:val="en-GB" w:eastAsia="en-GB"/>
    </w:rPr>
  </w:style>
  <w:style w:type="paragraph" w:customStyle="1" w:styleId="doc-ti">
    <w:name w:val="doc-ti"/>
    <w:basedOn w:val="Navaden"/>
    <w:rsid w:val="00CA715F"/>
    <w:pPr>
      <w:spacing w:before="100" w:beforeAutospacing="1" w:after="100" w:afterAutospacing="1" w:line="240" w:lineRule="auto"/>
    </w:pPr>
    <w:rPr>
      <w:rFonts w:ascii="Times New Roman" w:hAnsi="Times New Roman"/>
      <w:sz w:val="24"/>
      <w:lang w:eastAsia="sl-SI"/>
    </w:rPr>
  </w:style>
  <w:style w:type="paragraph" w:customStyle="1" w:styleId="len0">
    <w:name w:val="Člen"/>
    <w:basedOn w:val="Navaden"/>
    <w:link w:val="lenZnak"/>
    <w:qFormat/>
    <w:rsid w:val="00D20971"/>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0"/>
    <w:rsid w:val="00D20971"/>
    <w:rPr>
      <w:rFonts w:ascii="Arial" w:hAnsi="Arial" w:cs="Arial"/>
      <w:b/>
      <w:sz w:val="22"/>
      <w:szCs w:val="22"/>
    </w:rPr>
  </w:style>
  <w:style w:type="paragraph" w:customStyle="1" w:styleId="tevilkanakoncupredpisa">
    <w:name w:val="Številka na koncu predpisa"/>
    <w:basedOn w:val="Datumsprejetja"/>
    <w:link w:val="tevilkanakoncupredpisaZnak"/>
    <w:qFormat/>
    <w:rsid w:val="00D20971"/>
    <w:pPr>
      <w:spacing w:before="480"/>
    </w:pPr>
  </w:style>
  <w:style w:type="paragraph" w:customStyle="1" w:styleId="Datumsprejetja">
    <w:name w:val="Datum sprejetja"/>
    <w:basedOn w:val="Navaden"/>
    <w:link w:val="DatumsprejetjaZnak"/>
    <w:qFormat/>
    <w:rsid w:val="00D20971"/>
    <w:pPr>
      <w:tabs>
        <w:tab w:val="left" w:pos="567"/>
        <w:tab w:val="left" w:pos="900"/>
        <w:tab w:val="left" w:pos="1440"/>
        <w:tab w:val="left" w:pos="1872"/>
        <w:tab w:val="left" w:pos="2880"/>
        <w:tab w:val="left" w:pos="5760"/>
      </w:tabs>
      <w:overflowPunct w:val="0"/>
      <w:autoSpaceDE w:val="0"/>
      <w:autoSpaceDN w:val="0"/>
      <w:adjustRightInd w:val="0"/>
      <w:spacing w:line="240" w:lineRule="auto"/>
      <w:jc w:val="both"/>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D20971"/>
    <w:rPr>
      <w:rFonts w:ascii="Arial" w:hAnsi="Arial" w:cs="Arial"/>
      <w:snapToGrid w:val="0"/>
      <w:color w:val="000000"/>
      <w:sz w:val="22"/>
      <w:szCs w:val="22"/>
    </w:rPr>
  </w:style>
  <w:style w:type="character" w:customStyle="1" w:styleId="DatumsprejetjaZnak">
    <w:name w:val="Datum sprejetja Znak"/>
    <w:link w:val="Datumsprejetja"/>
    <w:rsid w:val="00D20971"/>
    <w:rPr>
      <w:rFonts w:ascii="Arial" w:hAnsi="Arial" w:cs="Arial"/>
      <w:snapToGrid w:val="0"/>
      <w:color w:val="000000"/>
      <w:sz w:val="22"/>
      <w:szCs w:val="22"/>
    </w:rPr>
  </w:style>
  <w:style w:type="paragraph" w:customStyle="1" w:styleId="EVA">
    <w:name w:val="EVA"/>
    <w:basedOn w:val="Navaden"/>
    <w:link w:val="EVAZnak"/>
    <w:qFormat/>
    <w:rsid w:val="00D20971"/>
    <w:pPr>
      <w:tabs>
        <w:tab w:val="left" w:pos="567"/>
        <w:tab w:val="left" w:pos="900"/>
      </w:tabs>
      <w:overflowPunct w:val="0"/>
      <w:autoSpaceDE w:val="0"/>
      <w:autoSpaceDN w:val="0"/>
      <w:adjustRightInd w:val="0"/>
      <w:spacing w:line="240" w:lineRule="auto"/>
      <w:jc w:val="both"/>
      <w:textAlignment w:val="baseline"/>
    </w:pPr>
    <w:rPr>
      <w:sz w:val="22"/>
      <w:szCs w:val="22"/>
      <w:lang w:val="x-none" w:eastAsia="x-none"/>
    </w:rPr>
  </w:style>
  <w:style w:type="character" w:customStyle="1" w:styleId="EVAZnak">
    <w:name w:val="EVA Znak"/>
    <w:link w:val="EVA"/>
    <w:rsid w:val="00D20971"/>
    <w:rPr>
      <w:rFonts w:ascii="Arial" w:hAnsi="Arial" w:cs="Arial"/>
      <w:sz w:val="22"/>
      <w:szCs w:val="22"/>
    </w:rPr>
  </w:style>
  <w:style w:type="paragraph" w:customStyle="1" w:styleId="Alineja">
    <w:name w:val="Alineja"/>
    <w:basedOn w:val="Navaden"/>
    <w:locked/>
    <w:rsid w:val="00D20971"/>
    <w:pPr>
      <w:numPr>
        <w:numId w:val="8"/>
      </w:numPr>
      <w:overflowPunct w:val="0"/>
      <w:autoSpaceDE w:val="0"/>
      <w:autoSpaceDN w:val="0"/>
      <w:adjustRightInd w:val="0"/>
      <w:spacing w:line="200" w:lineRule="exact"/>
      <w:jc w:val="both"/>
      <w:textAlignment w:val="baseline"/>
    </w:pPr>
    <w:rPr>
      <w:rFonts w:cs="Arial"/>
      <w:sz w:val="17"/>
      <w:szCs w:val="17"/>
      <w:lang w:eastAsia="sl-SI"/>
    </w:rPr>
  </w:style>
  <w:style w:type="paragraph" w:customStyle="1" w:styleId="a">
    <w:basedOn w:val="Navaden"/>
    <w:next w:val="Pripombabesedilo"/>
    <w:link w:val="Komentar-besediloZnak"/>
    <w:rsid w:val="00EC27F4"/>
    <w:pPr>
      <w:spacing w:line="240" w:lineRule="auto"/>
      <w:jc w:val="both"/>
    </w:pPr>
    <w:rPr>
      <w:szCs w:val="20"/>
      <w:lang w:val="x-none"/>
    </w:rPr>
  </w:style>
  <w:style w:type="character" w:customStyle="1" w:styleId="Komentar-besediloZnak">
    <w:name w:val="Komentar - besedilo Znak"/>
    <w:link w:val="a"/>
    <w:rsid w:val="00EC27F4"/>
    <w:rPr>
      <w:rFonts w:ascii="Arial" w:hAnsi="Arial"/>
      <w:lang w:eastAsia="en-US"/>
    </w:rPr>
  </w:style>
  <w:style w:type="paragraph" w:customStyle="1" w:styleId="Pravnapodlaga">
    <w:name w:val="Pravna podlaga"/>
    <w:basedOn w:val="Odstavek"/>
    <w:link w:val="PravnapodlagaZnak"/>
    <w:qFormat/>
    <w:rsid w:val="00D913B4"/>
    <w:pPr>
      <w:spacing w:before="480"/>
    </w:pPr>
  </w:style>
  <w:style w:type="paragraph" w:customStyle="1" w:styleId="lennaslov0">
    <w:name w:val="Člen_naslov"/>
    <w:basedOn w:val="len0"/>
    <w:qFormat/>
    <w:rsid w:val="00D913B4"/>
    <w:pPr>
      <w:spacing w:before="0"/>
    </w:pPr>
  </w:style>
  <w:style w:type="character" w:customStyle="1" w:styleId="PravnapodlagaZnak">
    <w:name w:val="Pravna podlaga Znak"/>
    <w:link w:val="Pravnapodlaga"/>
    <w:rsid w:val="00D913B4"/>
    <w:rPr>
      <w:rFonts w:ascii="Arial" w:hAnsi="Arial"/>
      <w:sz w:val="22"/>
      <w:szCs w:val="22"/>
      <w:lang w:val="x-none" w:eastAsia="x-none"/>
    </w:rPr>
  </w:style>
  <w:style w:type="paragraph" w:customStyle="1" w:styleId="lennovele">
    <w:name w:val="Člen_novele"/>
    <w:basedOn w:val="len0"/>
    <w:link w:val="lennoveleZnak"/>
    <w:qFormat/>
    <w:rsid w:val="00D913B4"/>
    <w:rPr>
      <w:b w:val="0"/>
    </w:rPr>
  </w:style>
  <w:style w:type="paragraph" w:customStyle="1" w:styleId="Priloga">
    <w:name w:val="Priloga"/>
    <w:basedOn w:val="Navaden"/>
    <w:link w:val="PrilogaZnak"/>
    <w:qFormat/>
    <w:rsid w:val="00D913B4"/>
    <w:pPr>
      <w:overflowPunct w:val="0"/>
      <w:autoSpaceDE w:val="0"/>
      <w:autoSpaceDN w:val="0"/>
      <w:adjustRightInd w:val="0"/>
      <w:spacing w:before="380" w:after="60" w:line="200" w:lineRule="exact"/>
      <w:jc w:val="both"/>
      <w:textAlignment w:val="baseline"/>
    </w:pPr>
    <w:rPr>
      <w:sz w:val="22"/>
      <w:szCs w:val="17"/>
      <w:lang w:val="x-none" w:eastAsia="x-none"/>
    </w:rPr>
  </w:style>
  <w:style w:type="character" w:customStyle="1" w:styleId="lennoveleZnak">
    <w:name w:val="Člen_novele Znak"/>
    <w:link w:val="lennovele"/>
    <w:rsid w:val="00D913B4"/>
    <w:rPr>
      <w:rFonts w:ascii="Arial" w:hAnsi="Arial"/>
      <w:sz w:val="22"/>
      <w:szCs w:val="22"/>
      <w:lang w:val="x-none" w:eastAsia="x-none"/>
    </w:rPr>
  </w:style>
  <w:style w:type="character" w:customStyle="1" w:styleId="PrilogaZnak">
    <w:name w:val="Priloga Znak"/>
    <w:link w:val="Priloga"/>
    <w:rsid w:val="00D913B4"/>
    <w:rPr>
      <w:rFonts w:ascii="Arial" w:hAnsi="Arial"/>
      <w:sz w:val="22"/>
      <w:szCs w:val="17"/>
      <w:lang w:val="x-none" w:eastAsia="x-none"/>
    </w:rPr>
  </w:style>
  <w:style w:type="paragraph" w:customStyle="1" w:styleId="rta">
    <w:name w:val="Črta"/>
    <w:basedOn w:val="Navaden"/>
    <w:link w:val="rtaZnak"/>
    <w:qFormat/>
    <w:rsid w:val="00D913B4"/>
    <w:pPr>
      <w:overflowPunct w:val="0"/>
      <w:autoSpaceDE w:val="0"/>
      <w:autoSpaceDN w:val="0"/>
      <w:adjustRightInd w:val="0"/>
      <w:spacing w:before="360" w:line="240" w:lineRule="auto"/>
      <w:jc w:val="center"/>
      <w:textAlignment w:val="baseline"/>
    </w:pPr>
    <w:rPr>
      <w:sz w:val="22"/>
      <w:szCs w:val="22"/>
      <w:lang w:val="x-none" w:eastAsia="x-none"/>
    </w:rPr>
  </w:style>
  <w:style w:type="character" w:customStyle="1" w:styleId="rtaZnak">
    <w:name w:val="Črta Znak"/>
    <w:link w:val="rta"/>
    <w:rsid w:val="00D913B4"/>
    <w:rPr>
      <w:rFonts w:ascii="Arial" w:hAnsi="Arial"/>
      <w:sz w:val="22"/>
      <w:szCs w:val="22"/>
      <w:lang w:val="x-none" w:eastAsia="x-none"/>
    </w:rPr>
  </w:style>
  <w:style w:type="paragraph" w:customStyle="1" w:styleId="lennaslovnovele">
    <w:name w:val="Člen naslov novele"/>
    <w:basedOn w:val="lennaslov0"/>
    <w:rsid w:val="00D913B4"/>
    <w:rPr>
      <w:b w:val="0"/>
    </w:rPr>
  </w:style>
  <w:style w:type="paragraph" w:styleId="Revizija">
    <w:name w:val="Revision"/>
    <w:hidden/>
    <w:uiPriority w:val="99"/>
    <w:semiHidden/>
    <w:rsid w:val="00B37D8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9305">
      <w:bodyDiv w:val="1"/>
      <w:marLeft w:val="0"/>
      <w:marRight w:val="0"/>
      <w:marTop w:val="0"/>
      <w:marBottom w:val="0"/>
      <w:divBdr>
        <w:top w:val="none" w:sz="0" w:space="0" w:color="auto"/>
        <w:left w:val="none" w:sz="0" w:space="0" w:color="auto"/>
        <w:bottom w:val="none" w:sz="0" w:space="0" w:color="auto"/>
        <w:right w:val="none" w:sz="0" w:space="0" w:color="auto"/>
      </w:divBdr>
    </w:div>
    <w:div w:id="193277194">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23911938">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88007482">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167747527">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31786828">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87309">
      <w:bodyDiv w:val="1"/>
      <w:marLeft w:val="0"/>
      <w:marRight w:val="0"/>
      <w:marTop w:val="0"/>
      <w:marBottom w:val="0"/>
      <w:divBdr>
        <w:top w:val="none" w:sz="0" w:space="0" w:color="auto"/>
        <w:left w:val="none" w:sz="0" w:space="0" w:color="auto"/>
        <w:bottom w:val="none" w:sz="0" w:space="0" w:color="auto"/>
        <w:right w:val="none" w:sz="0" w:space="0" w:color="auto"/>
      </w:divBdr>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1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eur-lex.europa.eu/legal-content/SL/AUTO/?uri=uriserv:OJ.L_.2022.129.01.0001.01.SLV&amp;toc=OJ:L:2022:129:TOC" TargetMode="External"/><Relationship Id="rId4" Type="http://schemas.openxmlformats.org/officeDocument/2006/relationships/settings" Target="settings.xml"/><Relationship Id="rId9" Type="http://schemas.openxmlformats.org/officeDocument/2006/relationships/hyperlink" Target="https://eur-lex.europa.eu/legal-content/SL/AUTO/?uri=uriserv:OJ.L_.2022.227.01.0002.01.SLV&amp;toc=OJ:L:2022:227:TOC"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74E6-838A-4142-B3EC-482C1EDB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5406</Words>
  <Characters>30818</Characters>
  <Application>Microsoft Office Word</Application>
  <DocSecurity>0</DocSecurity>
  <Lines>256</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36152</CharactersWithSpaces>
  <SharedDoc>false</SharedDoc>
  <HLinks>
    <vt:vector size="18" baseType="variant">
      <vt:variant>
        <vt:i4>6750235</vt:i4>
      </vt:variant>
      <vt:variant>
        <vt:i4>6</vt:i4>
      </vt:variant>
      <vt:variant>
        <vt:i4>0</vt:i4>
      </vt:variant>
      <vt:variant>
        <vt:i4>5</vt:i4>
      </vt:variant>
      <vt:variant>
        <vt:lpwstr>https://eur-lex.europa.eu/legal-content/SL/AUTO/?uri=uriserv:OJ.L_.2022.129.01.0001.01.SLV&amp;toc=OJ:L:2022:129:TOC</vt:lpwstr>
      </vt:variant>
      <vt:variant>
        <vt:lpwstr/>
      </vt:variant>
      <vt:variant>
        <vt:i4>6946837</vt:i4>
      </vt:variant>
      <vt:variant>
        <vt:i4>3</vt:i4>
      </vt:variant>
      <vt:variant>
        <vt:i4>0</vt:i4>
      </vt:variant>
      <vt:variant>
        <vt:i4>5</vt:i4>
      </vt:variant>
      <vt:variant>
        <vt:lpwstr>https://eur-lex.europa.eu/legal-content/SL/AUTO/?uri=uriserv:OJ.L_.2022.227.01.0002.01.SLV&amp;toc=OJ:L:2022:227:TOC</vt:lpwstr>
      </vt:variant>
      <vt:variant>
        <vt:lpwstr/>
      </vt:variant>
      <vt:variant>
        <vt:i4>7667755</vt:i4>
      </vt:variant>
      <vt:variant>
        <vt:i4>0</vt:i4>
      </vt:variant>
      <vt:variant>
        <vt:i4>0</vt:i4>
      </vt:variant>
      <vt:variant>
        <vt:i4>5</vt:i4>
      </vt:variant>
      <vt:variant>
        <vt:lpwstr>http://www.uradni-list.si/1/objava.jsp?sop=2023-01-1019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Nina Pezdirec</cp:lastModifiedBy>
  <cp:revision>2</cp:revision>
  <cp:lastPrinted>2018-02-12T13:40:00Z</cp:lastPrinted>
  <dcterms:created xsi:type="dcterms:W3CDTF">2025-01-09T08:32:00Z</dcterms:created>
  <dcterms:modified xsi:type="dcterms:W3CDTF">2025-01-09T08:33:00Z</dcterms:modified>
</cp:coreProperties>
</file>