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8"/>
          <w:headerReference w:type="first" r:id="rId9"/>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580927C8" w:rsidR="0073796B" w:rsidRPr="0039662C" w:rsidRDefault="00A60A37" w:rsidP="0039662C">
      <w:pPr>
        <w:pStyle w:val="Naslov1"/>
      </w:pPr>
      <w:r>
        <w:t>12</w:t>
      </w:r>
      <w:r w:rsidR="007B0ADD">
        <w:t>6</w:t>
      </w:r>
      <w:r w:rsidR="0073796B" w:rsidRPr="0039662C">
        <w:t>. redna seja Vlade Republike Slovenije</w:t>
      </w:r>
    </w:p>
    <w:p w14:paraId="27F30B92" w14:textId="5DE2E920" w:rsidR="0073796B" w:rsidRDefault="0073796B" w:rsidP="008B7AF2">
      <w:pPr>
        <w:pStyle w:val="DatumSZJ"/>
      </w:pPr>
      <w:r w:rsidRPr="008B7AF2">
        <w:t>2</w:t>
      </w:r>
      <w:r w:rsidR="007B0ADD">
        <w:t>4</w:t>
      </w:r>
      <w:r w:rsidRPr="008B7AF2">
        <w:t xml:space="preserve">. </w:t>
      </w:r>
      <w:r w:rsidR="007B0ADD">
        <w:t>okto</w:t>
      </w:r>
      <w:r w:rsidRPr="008B7AF2">
        <w:t>ber 202</w:t>
      </w:r>
      <w:r w:rsidR="00A60A37">
        <w:t>4</w:t>
      </w:r>
    </w:p>
    <w:p w14:paraId="333F5706" w14:textId="59CADEFC" w:rsidR="005900BD" w:rsidRDefault="005900BD" w:rsidP="005900BD">
      <w:pPr>
        <w:pStyle w:val="Naslov2"/>
      </w:pPr>
      <w:r>
        <w:t>Uredb</w:t>
      </w:r>
      <w:r w:rsidR="00B12C9D">
        <w:t>a</w:t>
      </w:r>
      <w:r>
        <w:t xml:space="preserve"> o spremembah in dopolnitvah Uredbe o izvajanju intervencij v sektorju čebelarskih proizvodov iz strateškega načrta skupne kmetijske politike 2023–2027 </w:t>
      </w:r>
    </w:p>
    <w:p w14:paraId="3AE45B3F" w14:textId="77777777" w:rsidR="005900BD" w:rsidRDefault="005900BD" w:rsidP="005900BD">
      <w:r>
        <w:t xml:space="preserve">Vlada je izdala Uredbo o spremembah in dopolnitvah Uredbe o izvajanju intervencij v sektorju čebelarskih proizvodov iz strateškega načrta skupne kmetijske politike 2023–2027 in jo objavi v Uradnem listu Republike Slovenije. </w:t>
      </w:r>
    </w:p>
    <w:p w14:paraId="658D54C7" w14:textId="77777777" w:rsidR="005900BD" w:rsidRDefault="005900BD" w:rsidP="005900BD"/>
    <w:p w14:paraId="79FA4EC6" w14:textId="5FF3325B" w:rsidR="005900BD" w:rsidRDefault="007F57FD" w:rsidP="005900BD">
      <w:r>
        <w:t>Novela U</w:t>
      </w:r>
      <w:r w:rsidR="005900BD">
        <w:t xml:space="preserve">redbe uvaja obveznost upravičencev, ki so pravne osebe ali fizične osebe, ki opravljajo dejavnost in vodijo poslovne knjige za davčne namene, da za prejeto podporo vodijo ločeno računovodstvo. S spremembo se jasneje urejajo nekatere določbe, odpravljajo nekatere zaznane ovire oziroma omejitve z namenom lažjega črpanja sredstev ter uvajajo poenostavitve, ki bodo upravičencem olajšale izvajanje </w:t>
      </w:r>
      <w:proofErr w:type="spellStart"/>
      <w:r w:rsidR="005900BD">
        <w:t>podintervencij</w:t>
      </w:r>
      <w:proofErr w:type="spellEnd"/>
      <w:r w:rsidR="005900BD">
        <w:t xml:space="preserve"> v sektorju čebelarskih proizvodov, kar bo prispevalo k uspešnejšemu črpanju sredstev EU.</w:t>
      </w:r>
    </w:p>
    <w:p w14:paraId="3E3DB6FE" w14:textId="12AD0522" w:rsidR="00DB409F" w:rsidRDefault="005900BD" w:rsidP="005900BD">
      <w:pPr>
        <w:pStyle w:val="Vir"/>
      </w:pPr>
      <w:r>
        <w:t>Vir: Ministrstvo za kmetijstvo, gozdarstvo in prehrano</w:t>
      </w:r>
    </w:p>
    <w:p w14:paraId="3BF38140" w14:textId="1FDCC6CD" w:rsidR="00D25F0A" w:rsidRDefault="006363F5" w:rsidP="00D25F0A">
      <w:pPr>
        <w:pStyle w:val="Naslov2"/>
      </w:pPr>
      <w:r w:rsidRPr="006363F5">
        <w:t>Spremembe in dopolnitve državnega lokacijskega načrta za drugi tir železniške proge na odseku Divača – Koper</w:t>
      </w:r>
    </w:p>
    <w:p w14:paraId="41AAD0BC" w14:textId="77777777" w:rsidR="006363F5" w:rsidRDefault="006363F5" w:rsidP="006363F5">
      <w:r>
        <w:t xml:space="preserve">Vlada je izdala Uredbo o spremembah in dopolnitvah uredbe o državnem lokacijskem načrtu (DLN) za drugi tir železniške proge na odseku Divača – Koper. </w:t>
      </w:r>
    </w:p>
    <w:p w14:paraId="511699BB" w14:textId="77777777" w:rsidR="006363F5" w:rsidRDefault="006363F5" w:rsidP="006363F5"/>
    <w:p w14:paraId="6B14882D" w14:textId="77777777" w:rsidR="006363F5" w:rsidRDefault="006363F5" w:rsidP="006363F5">
      <w:r>
        <w:t>Glavni cilj načrtovane železniške povezave je vzpostavitev dvotirnosti drugega (levega) tira železniške proge Divača–Koper. Načrtovana železniška proga bo omogočila navezavo lokalnih središč na ustrezne razvojne povezave, razvoj gospodarstva z ohranjanjem delovnih mest, regionalno in mednarodno sodelovanje, povečala dostopnost in krepitev gospodarskih povezav ter povečati integracijo prostora zunaj obstoječih panevropskih prometnih koridorjev.</w:t>
      </w:r>
    </w:p>
    <w:p w14:paraId="0DB9201C" w14:textId="77777777" w:rsidR="006363F5" w:rsidRDefault="006363F5" w:rsidP="006363F5"/>
    <w:p w14:paraId="12118C18" w14:textId="77777777" w:rsidR="006363F5" w:rsidRDefault="006363F5" w:rsidP="006363F5">
      <w:r>
        <w:t xml:space="preserve">Desni tir se že izvaja v skladu z gradbenim dovoljenjem na podlagi Uredbe o DLN za drugi tir železniške proge na odseku Divača–Koper. S spremembami in dopolnitvami veljavne uredbe se načrtujejo ureditve, potrebne za izgradnjo nove dvotirne proge na odseku Divača–Koper. Načrtuje se vzporedni - levi - tir na tistih odsekih, kjer še ni bil načrtovan z veljavno uredbo, ter nove dostopne ceste, potrebe za gradnjo in obratovanje levega tira. </w:t>
      </w:r>
    </w:p>
    <w:p w14:paraId="463837DB" w14:textId="77777777" w:rsidR="006363F5" w:rsidRDefault="006363F5" w:rsidP="006363F5"/>
    <w:p w14:paraId="4EC11ECD" w14:textId="75C39CCE" w:rsidR="00D25F0A" w:rsidRDefault="006363F5" w:rsidP="006363F5">
      <w:r>
        <w:t>Obstoječa proga med cepiščem Prešnica in Koprom se opusti. Obstoječa proga Divača–Koper se nadgradi le na odseku med Divačo in cepiščem Prešnica, od koder vodi obstoječa železniška proga proti Puli. Ureditve na obstoječi progi niso predmet Sprememb in dopolnitev državnega lokacijskega načrta za drugi tir železniške proge na odseku Divača – Koper. Vsa gradbena dela na tem odseku se izvedejo kot vzdrževalna dela v javno korist znotraj železniškega območja oziroma železniških zemljišč, na območju javne železniške infrastrukture, in se ne izvajajo izven območja obstoječe proge.</w:t>
      </w:r>
    </w:p>
    <w:p w14:paraId="45123BB4" w14:textId="3C3448AD" w:rsidR="00DB409F" w:rsidRDefault="00D25F0A" w:rsidP="00D25F0A">
      <w:pPr>
        <w:pStyle w:val="Vir"/>
      </w:pPr>
      <w:r>
        <w:t>Vir: Ministrstvo za naravne vire in prostor</w:t>
      </w:r>
    </w:p>
    <w:p w14:paraId="27FB5E82" w14:textId="16C13B49" w:rsidR="007B2197" w:rsidRDefault="007B2197" w:rsidP="007B2197">
      <w:pPr>
        <w:pStyle w:val="Naslov2"/>
      </w:pPr>
      <w:r>
        <w:t xml:space="preserve">Vlada ugodila uporabi besede Slovenija v nameravani spremenjeni firmi zavoda </w:t>
      </w:r>
      <w:proofErr w:type="spellStart"/>
      <w:r>
        <w:t>Impact</w:t>
      </w:r>
      <w:proofErr w:type="spellEnd"/>
      <w:r>
        <w:t xml:space="preserve"> Hub Ljubljana</w:t>
      </w:r>
    </w:p>
    <w:p w14:paraId="586683F0" w14:textId="77777777" w:rsidR="007B2197" w:rsidRDefault="007B2197" w:rsidP="007B2197">
      <w:r>
        <w:lastRenderedPageBreak/>
        <w:t xml:space="preserve">Vlada je izdala odločbo, s katero zavodu za podjetništvo in razvoj </w:t>
      </w:r>
      <w:proofErr w:type="spellStart"/>
      <w:r>
        <w:t>Impact</w:t>
      </w:r>
      <w:proofErr w:type="spellEnd"/>
      <w:r>
        <w:t xml:space="preserve"> Hub Ljubljana dovoli uporabo besede Slovenija v nameravani spremenjeni firmi zavoda, ki se bo glasila »</w:t>
      </w:r>
      <w:proofErr w:type="spellStart"/>
      <w:r>
        <w:t>Impact</w:t>
      </w:r>
      <w:proofErr w:type="spellEnd"/>
      <w:r>
        <w:t xml:space="preserve"> Hub Slovenija, zavod za podjetništvo in razvoj«. Zakon o gospodarskih družbah namreč določa, da je besedo Slovenija dovoljeno vnesti v firmo le z dovoljenjem vlade. </w:t>
      </w:r>
    </w:p>
    <w:p w14:paraId="6FE084CC" w14:textId="77777777" w:rsidR="007B2197" w:rsidRDefault="007B2197" w:rsidP="007B2197"/>
    <w:p w14:paraId="1353748F" w14:textId="77777777" w:rsidR="007B2197" w:rsidRDefault="007B2197" w:rsidP="007B2197">
      <w:r>
        <w:t xml:space="preserve">Vlada je v postopku ugotovila, da je delovanje zavoda razširjeno na celotno Slovenijo. Zavod je ustanovljen in deluje za opravljanje socialnega podjetništva, izobraževanja ter razvoja okolja in družbe. Namen zavoda je tudi spodbujanje razvoja nevladnih start-upov in drugih družbeno odgovornih organizacij s pomočjo posameznikov z različnih področij delovanja, tako iz javnega kot zasebnega sektorja. Zavod sodeluje in se povezuje tudi z ostalimi podpornimi subjekti inovativnega okolja po Sloveniji. Preko Slovenske agencije za mlade sodeluje v projektu </w:t>
      </w:r>
      <w:proofErr w:type="spellStart"/>
      <w:r>
        <w:t>sPOINT</w:t>
      </w:r>
      <w:proofErr w:type="spellEnd"/>
      <w:r>
        <w:t xml:space="preserve"> (socialno podjetniško – informativna točka), ki s partnerji pokriva območje celotne Slovenije. Povezuje se tudi s slovenskimi univerzami ter tako s svojimi programi in dogodki sodeluje z mladimi po vsej Sloveniji.</w:t>
      </w:r>
    </w:p>
    <w:p w14:paraId="03AB3B8A" w14:textId="77777777" w:rsidR="007B2197" w:rsidRDefault="007B2197" w:rsidP="007B2197">
      <w:r>
        <w:t xml:space="preserve">Družbeniki zavoda so Inštitut za zdravje in okolje, Mladinska zveza brez izgovora Slovenija - Youth </w:t>
      </w:r>
      <w:proofErr w:type="spellStart"/>
      <w:r>
        <w:t>Network</w:t>
      </w:r>
      <w:proofErr w:type="spellEnd"/>
      <w:r>
        <w:t xml:space="preserve"> No </w:t>
      </w:r>
      <w:proofErr w:type="spellStart"/>
      <w:r>
        <w:t>Excuse</w:t>
      </w:r>
      <w:proofErr w:type="spellEnd"/>
      <w:r>
        <w:t xml:space="preserve"> Slovenia, Mednarodna zveza za zdravje mladih - International Youth Health </w:t>
      </w:r>
      <w:proofErr w:type="spellStart"/>
      <w:r>
        <w:t>Organization</w:t>
      </w:r>
      <w:proofErr w:type="spellEnd"/>
      <w:r>
        <w:t xml:space="preserve"> in SLOAM, Agencija za mlade.</w:t>
      </w:r>
    </w:p>
    <w:p w14:paraId="7F118437" w14:textId="77777777" w:rsidR="007B2197" w:rsidRDefault="007B2197" w:rsidP="007B2197"/>
    <w:p w14:paraId="5B17C957" w14:textId="0553E8AA" w:rsidR="007B2197" w:rsidRDefault="007B2197" w:rsidP="007B2197">
      <w:r>
        <w:t>Vlada je v postopku izdaje dovoljenja za uporabo imena »Slovenija« v imenu zavoda ugotovila, da dejavnost, ki jo opravlja predlagatelj, izkazuje javni interes za Republiko Slovenijo.</w:t>
      </w:r>
    </w:p>
    <w:p w14:paraId="3A93EEE4" w14:textId="77777777" w:rsidR="007B2197" w:rsidRDefault="007B2197" w:rsidP="007B2197">
      <w:pPr>
        <w:pStyle w:val="Vir"/>
      </w:pPr>
      <w:r>
        <w:t>Vir: Ministrstvo za gospodarstvo, turizem in šport</w:t>
      </w:r>
    </w:p>
    <w:p w14:paraId="4D002111" w14:textId="084372AA" w:rsidR="007B0102" w:rsidRDefault="007B0102" w:rsidP="007B0102">
      <w:pPr>
        <w:pStyle w:val="Naslov2"/>
      </w:pPr>
      <w:r>
        <w:t>Vlada odgovorila Varuhu človekovih pravic glede organiziranosti Inšpektorata Republike Slovenije za stanovanja in dolgotrajnosti postopkov</w:t>
      </w:r>
    </w:p>
    <w:p w14:paraId="68232F46" w14:textId="7FE4D9E3" w:rsidR="007B0102" w:rsidRDefault="007B0102" w:rsidP="007B0102">
      <w:r>
        <w:t xml:space="preserve">Vlada je </w:t>
      </w:r>
      <w:r w:rsidR="007F57FD">
        <w:t>o</w:t>
      </w:r>
      <w:r>
        <w:t xml:space="preserve">dgovor na poziv Varuha človekovih pravic Republike Slovenije glede organiziranosti Inšpektorata Republike Slovenije za stanovanja (IRSS) in dolgotrajnosti postopkov. </w:t>
      </w:r>
    </w:p>
    <w:p w14:paraId="28D97416" w14:textId="77777777" w:rsidR="007B0102" w:rsidRDefault="007B0102" w:rsidP="007B0102"/>
    <w:p w14:paraId="394739CC" w14:textId="77777777" w:rsidR="007B0102" w:rsidRDefault="007B0102" w:rsidP="007B0102">
      <w:r>
        <w:t>Vlada je s problematiko kadrovske stiske na IRSS seznanjena in je tudi upoštevala kadrovsko stisko IRSS pri sprejemu skupnega kadrovskega načrta. Na podlagi tega so tako na Ministrstvu za solidarno prihodnost (MSP) kot tudi na IRSS že prevzeli aktivnosti, ki bodo v prvi vrsti razbremenile inšpektorje večine drugih nalog, ki niso povezane z inšpekcijskimi nadzori. Ob tem je treba poudariti, da je ob delitvi nekdanjega Inšpektorata Republike Slovenije za okolje in prostor (IRSOP) prišlo do situacije, da je novoustanovljeni IRSS obsegal izključno pet inšpektorjev. V prvi vrsti je bilo zato treba poskrbeti, da se za nemoteno delovanje IRSS vzpostavi opravljanje nalog splošne službe. Nekatere naloge je prevzela splošna služba na MSP, ki je v namen sodelovanja z IRSS zaposlila pravnico. Na IRSS pa je del nalog splošne službe prevzela nova zaposlena. S tem se je zaposlene na IRSS znatno razbremenilo opravljanja drugih nalog, ki niso neposredno povezane z inšpekcijskimi nadzori.</w:t>
      </w:r>
    </w:p>
    <w:p w14:paraId="7C811DB9" w14:textId="77777777" w:rsidR="007B0102" w:rsidRDefault="007B0102" w:rsidP="007B0102"/>
    <w:p w14:paraId="005E4184" w14:textId="77777777" w:rsidR="007B0102" w:rsidRDefault="007B0102" w:rsidP="007B0102">
      <w:r>
        <w:t>Vlada se zaveda, da je več kot leto dni čakanja na obravnavo prijav nesprejemljivo, a obenem opozarja, da več kot desetletja kadrovskega zanemarjanja stanovanjske inšpekcije ne more odpraviti v nekaj mesecih. V prvi vrsti so pri MSP izpeljali določene reorganizacijske korake, tako na samem ministrstvu kor tudi pri organu v sestavi, ki bodo kazali svoje učinke predvsem v razbremenjevanju inšpektorjev vseh preostalih nalog, ki niso povezane z inšpekcijskimi nadzori, in obveščali javnost o pogostih vprašanjih s področja, ki ga pokriva IRSS, da se zmanjša obseg individualnih pobud s podobno vsebino. V nadaljevanju Vlada RS načrtuje tudi kadrovsko okrepitev IRSS z novimi inšpektorji.</w:t>
      </w:r>
    </w:p>
    <w:p w14:paraId="678A3D92" w14:textId="24EB1F80" w:rsidR="00DB409F" w:rsidRDefault="007B0102" w:rsidP="007B0102">
      <w:pPr>
        <w:pStyle w:val="Vir"/>
      </w:pPr>
      <w:r>
        <w:t>Vir: Ministrstvo za solidarno prihodnost</w:t>
      </w:r>
    </w:p>
    <w:p w14:paraId="45C176FB" w14:textId="3A7DD288" w:rsidR="00C3625E" w:rsidRDefault="00C3625E" w:rsidP="00C3625E">
      <w:pPr>
        <w:pStyle w:val="Naslov2"/>
      </w:pPr>
      <w:r>
        <w:t>Vlada sprejela odgovor na analizo in priporočila Varuha človekovih pravic glede dostopnosti vladnih prostorov in ministrstev za gibalno in senzorno ovirane invalide</w:t>
      </w:r>
    </w:p>
    <w:p w14:paraId="1D165898" w14:textId="160BC83F" w:rsidR="00C3625E" w:rsidRDefault="00C3625E" w:rsidP="00C3625E">
      <w:r>
        <w:lastRenderedPageBreak/>
        <w:t>Vlada Republike Slovenije je sprejela odgovor na analizo in priporočila Varuha človekovih pravic Republike Slovenije glede dostopnosti prostorov Vlade Republike Slovenije in ministrstev za gibalno in senzorno ovirane invalide.</w:t>
      </w:r>
    </w:p>
    <w:p w14:paraId="7D51905D" w14:textId="77777777" w:rsidR="00C3625E" w:rsidRDefault="00C3625E" w:rsidP="00C3625E"/>
    <w:p w14:paraId="3D1C3520" w14:textId="77777777" w:rsidR="00C3625E" w:rsidRDefault="00C3625E" w:rsidP="00C3625E">
      <w:r>
        <w:t>Varuh človekovih pravic Republike Slovenije je na ministrstva in vlado naslovil vprašalnik, ki se nanaša na dostopnost objektov vlade in ministrstev, ter podal priporočila o oblikovanju delovne skupine za zagotavljanje dostopnosti objektov vlade in ministrstev ter zagotovitvi zadostnih sredstev za izvedbo ukrepov za zagotovitev in izboljšanje dostopnosti za invalide.</w:t>
      </w:r>
    </w:p>
    <w:p w14:paraId="7E2ED17B" w14:textId="77777777" w:rsidR="00C3625E" w:rsidRDefault="00C3625E" w:rsidP="00C3625E"/>
    <w:p w14:paraId="6527591D" w14:textId="5336DF58" w:rsidR="00C3625E" w:rsidRDefault="00C3625E" w:rsidP="00C3625E">
      <w:r>
        <w:t>Izhajajoč iz interne analize iz meseca januarja 2024, ki jo je izvedlo Ministrstvo za javno upravo, je ugotovljeno, da sedeži vseh ministrstev v upravljanju Ministrstva za javno upravo izpolnjujejo osnovno zahtevo po dostopnosti do objektov, z urejenim dostopom do recepcije ministrstev in dvigal ter do prostora za obravnavo in nudenje storitev za invalidne osebe. Na treh objektih, kjer so bile ugotovljene pomanjkljivosti glede primerne prilagojenosti invalidom, pa so dela v zaključni fazi in bodo dokončana predvidoma jeseni leta 2024.</w:t>
      </w:r>
    </w:p>
    <w:p w14:paraId="7959AFEE" w14:textId="77777777" w:rsidR="00C3625E" w:rsidRDefault="00C3625E" w:rsidP="00C3625E"/>
    <w:p w14:paraId="31928A13" w14:textId="5D0DE6BC" w:rsidR="00C3625E" w:rsidRDefault="00C3625E" w:rsidP="00C3625E">
      <w:r>
        <w:t xml:space="preserve">Pri zagotavljanju izvedbe ukrepov iz Zakona o izenačevanju možnosti invalidov je treba vzeti v obzir portfelj nepremičnin, ki so v lasti države, in s tem določeno prostorsko omejenost sedežev ministrstev v centrih mesta, kjer so gabariti objektov omejeni z javno (tj. cestno) infrastrukturo. V primerih novih umeščanj oziroma pri iskanju novih lokacij organov državne uprave in dolgoročnih strateških umestitvah, ki narekujejo zamenjavo lokacije organa, pa se vsekakor sledi tovrstnim  zakonskim zahtevam. Ministrstvo za javno upravo ima v okviru Načrta razvojnih programov na projektu Ureditev dostopov za gibalno ovirane v stavbah Republike Slovenije v letošnjem letu na voljo 684.953 evrov, v letu 2025 800.000 evrov in v letu 2026 2.300.000 evrov. Dinamika sredstev je oblikovana skladno s pričakovanji finančnih posledic izvedbe ukrepov ob zaključku proračunskega leta 2025 in izvedbe ukrepov, ki se ne nanašajo le na Zakona o izenačevanju možnosti invalidov. </w:t>
      </w:r>
    </w:p>
    <w:p w14:paraId="7FE35EDD" w14:textId="5DC7BAE4" w:rsidR="00DB409F" w:rsidRDefault="00C3625E" w:rsidP="00C3625E">
      <w:pPr>
        <w:pStyle w:val="Vir"/>
      </w:pPr>
      <w:r>
        <w:t>Vir: Ministrstvo za javno upravo</w:t>
      </w:r>
    </w:p>
    <w:p w14:paraId="29A74384" w14:textId="23C7E1CD" w:rsidR="00E337FC" w:rsidRDefault="00E337FC" w:rsidP="00E337FC">
      <w:pPr>
        <w:pStyle w:val="Naslov2"/>
      </w:pPr>
      <w:r>
        <w:t>Nov projekt Informacijsko-telekomunikacijska infrastruktura</w:t>
      </w:r>
    </w:p>
    <w:p w14:paraId="7B1B1C66" w14:textId="39B70048" w:rsidR="00E337FC" w:rsidRDefault="00CA074D" w:rsidP="00E337FC">
      <w:r>
        <w:t xml:space="preserve">Vlada je v </w:t>
      </w:r>
      <w:r w:rsidR="00E337FC">
        <w:t>veljavni Načrt razvojnih programov 2024-2027 uvrsti</w:t>
      </w:r>
      <w:r>
        <w:t>la</w:t>
      </w:r>
      <w:r w:rsidR="00E337FC">
        <w:t xml:space="preserve"> nov projekt 1714-24-0009 Informacijsko-telekomunikacijska infrastruktura.</w:t>
      </w:r>
    </w:p>
    <w:p w14:paraId="5A1D6D2A" w14:textId="77777777" w:rsidR="00E337FC" w:rsidRDefault="00E337FC" w:rsidP="00E337FC"/>
    <w:p w14:paraId="35F1C4B1" w14:textId="77777777" w:rsidR="00E337FC" w:rsidRDefault="00E337FC" w:rsidP="00E337FC">
      <w:r>
        <w:t>Namen projekta je učinkovito delovanje in upravljanje z informacijskim in telekomunikacijskim sistemom policije. Projekt obsega informacijsko in telekomunikacijsko strojno in programsko opremo ter potrebne storitve. Med drugim vključuje govorno omrežje policije, opremo za mobilno komuniciranje, informacijsko terminalno opremo, strežniško opremo, centralni policijski informacijski sistem, sistem za arhiviranje in varnostno kopiranje ter programsko opremo.</w:t>
      </w:r>
    </w:p>
    <w:p w14:paraId="17138B60" w14:textId="77777777" w:rsidR="00E337FC" w:rsidRDefault="00E337FC" w:rsidP="00E337FC"/>
    <w:p w14:paraId="63D6A9E1" w14:textId="77777777" w:rsidR="00E337FC" w:rsidRDefault="00E337FC" w:rsidP="00E337FC">
      <w:r>
        <w:t>Projekt se bo financiral iz integralnih investicijskih sredstev policije in sredstev skladov EU. Investicija se bo izvajala v petletnem obdobju 2024–2029, vrednost za petletno obdobje znaša 31.445.405 evrov z DDV.</w:t>
      </w:r>
    </w:p>
    <w:p w14:paraId="768C5390" w14:textId="3D400BEF" w:rsidR="00DB409F" w:rsidRDefault="00E337FC" w:rsidP="00E337FC">
      <w:pPr>
        <w:pStyle w:val="Vir"/>
      </w:pPr>
      <w:r>
        <w:t>Vir: Ministrstvo za notranje zadeve</w:t>
      </w:r>
    </w:p>
    <w:p w14:paraId="1BFCC61D" w14:textId="5A616F20" w:rsidR="00FC20DE" w:rsidRDefault="00FC20DE" w:rsidP="00FC20DE">
      <w:pPr>
        <w:pStyle w:val="Naslov2"/>
      </w:pPr>
      <w:r>
        <w:t xml:space="preserve">Vlada je v veljavni načrt razvojnih programov uvrstila projekt obnove mostu Boršt v občini Brežice </w:t>
      </w:r>
    </w:p>
    <w:p w14:paraId="4A3EB02A" w14:textId="77777777" w:rsidR="00FC20DE" w:rsidRDefault="00FC20DE" w:rsidP="00FC20DE">
      <w:r>
        <w:t>Vlada Republike Slovenije je na današnji seji v veljavni Načrt razvojnih programov 2024–2027 pri proračunskem uporabniku Slovenska vojska uvrstila projekt Obnova mostu Boršt v občini Brežice.</w:t>
      </w:r>
    </w:p>
    <w:p w14:paraId="61F928A7" w14:textId="77777777" w:rsidR="00FC20DE" w:rsidRDefault="00FC20DE" w:rsidP="00FC20DE"/>
    <w:p w14:paraId="2E997000" w14:textId="77777777" w:rsidR="00FC20DE" w:rsidRDefault="00FC20DE" w:rsidP="00FC20DE">
      <w:r>
        <w:lastRenderedPageBreak/>
        <w:t xml:space="preserve">Vlada je potrdila Program sofinanciranja Ministrstva za obrambo investicij v lokalno javno infrastrukturo v letu 2024 v občini Brežice ter zagotovitev izplačila sredstev sofinanciranja za že izvedene investicije v lokalno javno infrastrukturo za leto uporabe 2023 v občini Brežice zaradi obremenitev, ki jih povzroča delovanje Slovenske vojske. </w:t>
      </w:r>
    </w:p>
    <w:p w14:paraId="4F6A87F7" w14:textId="77777777" w:rsidR="00FC20DE" w:rsidRDefault="00FC20DE" w:rsidP="00FC20DE"/>
    <w:p w14:paraId="44EEF203" w14:textId="77777777" w:rsidR="00FC20DE" w:rsidRDefault="00FC20DE" w:rsidP="00FC20DE">
      <w:r>
        <w:t>Namen projekta Obnova mostu Boršt je enakomerni razvoj vseh naselij v občini Brežice in zagotavljanje kakovostne javne infrastrukture. Projekt predvideva obnovo lesenega mostu z razširitvijo vozišča in dvigom nazivne nosilnosti mostu, kar bo zagotovilo dodatno povezavo za morebitne potrebe vojaškega letališča.</w:t>
      </w:r>
    </w:p>
    <w:p w14:paraId="1DC72A6B" w14:textId="77777777" w:rsidR="00FC20DE" w:rsidRDefault="00FC20DE" w:rsidP="00FC20DE"/>
    <w:p w14:paraId="7CB30FBA" w14:textId="77777777" w:rsidR="00FC20DE" w:rsidRDefault="00FC20DE" w:rsidP="00FC20DE">
      <w:r>
        <w:t>Izhodiščna vrednost projekta znaša 1.000.000 evrov z DDV. Razmerje sofinanciranja projekta med Ministrstvom za obrambo in Občino Brežice je 70 odstotkov Ministrstvo za obrambo in 30 odstotkov Občina Brežice. Znesek sofinanciranja Ministrstva za obrambo tako znaša 700.000 evrov z DDV in bo zagotovljen v okviru finančnega načrta ministrstva.</w:t>
      </w:r>
    </w:p>
    <w:p w14:paraId="006EA6FD" w14:textId="7C6F4FFF" w:rsidR="00DB409F" w:rsidRDefault="00FC20DE" w:rsidP="00FC20DE">
      <w:pPr>
        <w:pStyle w:val="Vir"/>
      </w:pPr>
      <w:r>
        <w:t>Vir: Ministrstvo za obrambo</w:t>
      </w:r>
    </w:p>
    <w:p w14:paraId="2A70DC6D" w14:textId="0997C473" w:rsidR="00922113" w:rsidRDefault="00922113" w:rsidP="00922113">
      <w:pPr>
        <w:pStyle w:val="Naslov2"/>
      </w:pPr>
      <w:r>
        <w:t xml:space="preserve">Vlada v veljavni Načrt razvojnih programov za obdobje 2024-2027 uvrstila projekt »Opremljanje izobraževalnih programov 2024« </w:t>
      </w:r>
    </w:p>
    <w:p w14:paraId="6DE2821B" w14:textId="77777777" w:rsidR="00922113" w:rsidRDefault="00922113" w:rsidP="00922113">
      <w:r>
        <w:t>Vlada je v veljavni Načrt razvojnih programov za obdobje 2024-2027 uvrstila projekt »Opremljanje izobraževalnih programov 2024«.</w:t>
      </w:r>
    </w:p>
    <w:p w14:paraId="25A62784" w14:textId="77777777" w:rsidR="00922113" w:rsidRDefault="00922113" w:rsidP="00922113"/>
    <w:p w14:paraId="7246C765" w14:textId="77777777" w:rsidR="00922113" w:rsidRDefault="00922113" w:rsidP="00922113">
      <w:r>
        <w:t>Namen projekta nakupa opreme za izobraževalne programe je posodabljanje opreme srednjih šol, sprotno vzdrževanje in nabava sodobnejše opreme, ki ga zavodi, katerih ustanovitelj je Republika Slovenija, potrebujejo za izvajanje izobraževalnega procesa, strokovnih predmetov in izvajanje praktičnega usposabljanja na šolah. Nabavljena oprema, ki je skladna s standardi za opremo poklicnih in strokovnih šol za potrebe strokovnega izobraževanja posameznih programov poklicnega in strokovnega izobraževanja, pripravljenimi na Centru za poklicno izobraževanje, se namešča v strokovne učilnice, delavnice in splošne učilnice. Tako se omogoča uporaba za vse dijake posameznih področij. V projekt je vključenih 35 različnih šol, ki izvaja 45 programov.</w:t>
      </w:r>
    </w:p>
    <w:p w14:paraId="205C62BB" w14:textId="77777777" w:rsidR="00922113" w:rsidRDefault="00922113" w:rsidP="00922113"/>
    <w:p w14:paraId="436E04B5" w14:textId="7170F6FA" w:rsidR="00922113" w:rsidRDefault="00922113" w:rsidP="00922113">
      <w:r>
        <w:t>Vrednost celotnega projekta je 1.800.000 evrov, za posamezni program 40.000 evrov.</w:t>
      </w:r>
      <w:r w:rsidR="00FF5E7C">
        <w:t xml:space="preserve"> </w:t>
      </w:r>
      <w:r>
        <w:t>Na podlagi investicijske dokumentacije za posamezni projekt je vpliv posameznih investicij objektov na okoljske cilje ugoden.</w:t>
      </w:r>
    </w:p>
    <w:p w14:paraId="6157C558" w14:textId="6EB76EA4" w:rsidR="00DB409F" w:rsidRDefault="00922113" w:rsidP="00922113">
      <w:pPr>
        <w:pStyle w:val="Vir"/>
      </w:pPr>
      <w:r>
        <w:t>Vir: Ministrstvo za vzgojo in izobraževanje</w:t>
      </w:r>
    </w:p>
    <w:p w14:paraId="1163D37D" w14:textId="6084DC4C" w:rsidR="000E5476" w:rsidRDefault="000E5476" w:rsidP="000E5476">
      <w:pPr>
        <w:pStyle w:val="Naslov2"/>
      </w:pPr>
      <w:r>
        <w:t xml:space="preserve">Vlada se je seznanila s </w:t>
      </w:r>
      <w:r w:rsidR="00FF5E7C">
        <w:t>s</w:t>
      </w:r>
      <w:r>
        <w:t>tatističnim poročilom o javnih naročilih, oddanih v letu 2023</w:t>
      </w:r>
    </w:p>
    <w:p w14:paraId="69D5B773" w14:textId="5D1FCDFB" w:rsidR="000E5476" w:rsidRDefault="000E5476" w:rsidP="000E5476">
      <w:r>
        <w:t xml:space="preserve">Vlada Republike Slovenije se je seznanila s </w:t>
      </w:r>
      <w:r w:rsidR="00FF5E7C">
        <w:t>s</w:t>
      </w:r>
      <w:r>
        <w:t>tatističnim poročilom o javnih naročilih, oddanih v letu 2023, ki ga ji vsako leto v seznanitev posreduje Ministrstvo za javno upravo v skladu z določili Zakona o javnem naročanju ter Zakona o javnem naročanju na področju obrambe in varnosti. Poročilo je pripravljeno na podlagi podatkov, ki se zajemajo iz obvestil o oddaji javnih naročil, objavljenih na portalu javnih naročil oziroma v Uradnem listu Evropske unije, in iz sporočenih statističnih podatkov o evidenčnih naročilih, ki jih naročniki vnašajo preko spletne forme na portalu javnih naročil. Izhajajoč iz poročila, je v letu 2023 javna naročila oddalo 2156 naročnikov v skupni vrednosti več kot 9 milijard evrov.</w:t>
      </w:r>
    </w:p>
    <w:p w14:paraId="46EBAA51" w14:textId="77777777" w:rsidR="000E5476" w:rsidRDefault="000E5476" w:rsidP="000E5476"/>
    <w:p w14:paraId="59F1C2B6" w14:textId="77777777" w:rsidR="000E5476" w:rsidRDefault="000E5476" w:rsidP="000E5476">
      <w:r>
        <w:t xml:space="preserve">Glede na vrednost vseh oddanih naročil se je vrednost tistih, ki jih je treba objaviti na portalu javnih naročil oziroma v Uradnem listu Evropske unije, v primerjavi z letom 2022 v letu 2023 povečala za 5,37 %, v manjši meri pa se je povečalo tudi število izvedenih postopkov javnega naročanja, in sicer za 0,74 %. Prav tako je tudi v letu 2023 ponovno opazno povečanje števila evidenčnih postopkov, kar </w:t>
      </w:r>
      <w:r>
        <w:lastRenderedPageBreak/>
        <w:t xml:space="preserve">kaže na njihovo pomembno vlogo v sistemu javnega naročanja. V letu 2023 so naročniki oddali največ evidenčnih naročil v zadnjih sedmih letih, število teh naročil se je v primerjavi z letom 2022 povečalo za 1,86 %, njihova skupna vrednost pa za 3,31 %. </w:t>
      </w:r>
    </w:p>
    <w:p w14:paraId="2AC79F6D" w14:textId="77777777" w:rsidR="000E5476" w:rsidRDefault="000E5476" w:rsidP="000E5476"/>
    <w:p w14:paraId="473BF43C" w14:textId="77777777" w:rsidR="000E5476" w:rsidRDefault="000E5476" w:rsidP="000E5476">
      <w:r>
        <w:t>V primerjavi s preteklimi leti se je ohranil vrstni red glede na predmet javnega naročanja, saj je bilo leta 2023 največ naročil blaga, nato naročil storitev, najmanj pa naročil gradenj. Glede na vrednost oddanih naročil je prišlo glede na leto 2022 do spremembe, saj se je v letu 2023 vrednostno največ naročalo blago in najmanj gradnje.</w:t>
      </w:r>
    </w:p>
    <w:p w14:paraId="62158141" w14:textId="77777777" w:rsidR="000E5476" w:rsidRDefault="000E5476" w:rsidP="000E5476"/>
    <w:p w14:paraId="6E0C842F" w14:textId="77777777" w:rsidR="000E5476" w:rsidRDefault="000E5476" w:rsidP="000E5476">
      <w:r>
        <w:t xml:space="preserve">Leta 2023 so se pogodbene vrednosti pri javnih naročilih, (so)financiranih s sredstvi Evropske unije, v primerjavi z letom 2022 zvišale za dobro četrtino, upoštevaje zaključek izvajanja večletnega finančnega okvira Evropske unije ter začetek izvajanja nove finančne perspektive. </w:t>
      </w:r>
    </w:p>
    <w:p w14:paraId="7137FCA7" w14:textId="77777777" w:rsidR="000E5476" w:rsidRDefault="000E5476" w:rsidP="000E5476"/>
    <w:p w14:paraId="0BE47CFF" w14:textId="77777777" w:rsidR="000E5476" w:rsidRDefault="000E5476" w:rsidP="000E5476">
      <w:r>
        <w:t>Najpogosteje izvedeni postopek za oddajo naročil je postopek oddaje naročila male vrednosti, kar izkazuje pogosto uporabo manj zahtevnih in enostavnejših postopkov. Postopek s pogajanji brez predhodne objave se je glede na leto 2022 zmanjšal za 0,84 odstotne točke in je tretji najpogosteje uporabljeni postopek z deležem 8,66 odstotka v vseh postopkih, kar pomeni najnižji delež od leta 2015.</w:t>
      </w:r>
    </w:p>
    <w:p w14:paraId="579BEC85" w14:textId="77777777" w:rsidR="000E5476" w:rsidRDefault="000E5476" w:rsidP="000E5476"/>
    <w:p w14:paraId="13CD98C4" w14:textId="77777777" w:rsidR="000E5476" w:rsidRDefault="000E5476" w:rsidP="000E5476">
      <w:r>
        <w:t>Pri zelenem javnem naročanju je v primerjavi z letom 2022 opazno zmanjšanje števila naročil z vključenimi okoljskimi vidiki za 6,94 odstotka in povečanje vrednosti za 50,25 odstotka. Družbeno odgovorno javno naročanje je prav tako v vzponu, vendar še zaostaja za zelenim javnim naročanjem. Socialni vidiki pri naročilih se vključujejo predvsem v pogodbena določila in pogoje za sodelovanje.</w:t>
      </w:r>
    </w:p>
    <w:p w14:paraId="078C8AC0" w14:textId="516A40A3" w:rsidR="00DB409F" w:rsidRDefault="000E5476" w:rsidP="000E5476">
      <w:pPr>
        <w:pStyle w:val="Vir"/>
      </w:pPr>
      <w:r>
        <w:t>Vir: Ministrstvo za javno upravo</w:t>
      </w:r>
    </w:p>
    <w:p w14:paraId="6ED37741" w14:textId="29E06A68" w:rsidR="00DE7F46" w:rsidRDefault="00DE7F46" w:rsidP="00DE7F46">
      <w:pPr>
        <w:pStyle w:val="Naslov2"/>
      </w:pPr>
      <w:r>
        <w:t xml:space="preserve">Vlada se je seznanila z informacijo o nameravanem podpisu izjave Finske za sodelovanje pri podpori države gostiteljice </w:t>
      </w:r>
    </w:p>
    <w:p w14:paraId="44B0A5A6" w14:textId="00DEC567" w:rsidR="000D5C05" w:rsidRDefault="000D5C05" w:rsidP="000D5C05">
      <w:r w:rsidRPr="000D5C05">
        <w:t>Vlada se je seznanila z informacijo o nameravanem podpisu izjave Finske za sodelovanje pri podpori države gostiteljice ter finančnih in drugih obveznostih v Sloveniji za Natove operacije, vaje in podobne vojaške aktivnosti</w:t>
      </w:r>
      <w:r>
        <w:t>.</w:t>
      </w:r>
    </w:p>
    <w:p w14:paraId="4226715E" w14:textId="77777777" w:rsidR="000D5C05" w:rsidRPr="000D5C05" w:rsidRDefault="000D5C05" w:rsidP="000D5C05"/>
    <w:p w14:paraId="3D7D25D1" w14:textId="77777777" w:rsidR="00DE7F46" w:rsidRDefault="00DE7F46" w:rsidP="00DE7F46">
      <w:r>
        <w:t xml:space="preserve">Memorandum o soglasju med Vlado Republike Slovenije ter Vrhovnim poveljstvom zavezniških sil v Evropi in Poveljstvom Vrhovnega zavezniškega poveljnika za preoblikovanje o zagotavljanju podpore države gostiteljice za izvedbo operacij ali vaj Nata določa, da posamezne države pošiljateljice memorandum sprejmejo s podpisom pristopne note ali izjave o nameri. </w:t>
      </w:r>
    </w:p>
    <w:p w14:paraId="0520889D" w14:textId="77777777" w:rsidR="00DE7F46" w:rsidRDefault="00DE7F46" w:rsidP="00DE7F46"/>
    <w:p w14:paraId="4C259FAA" w14:textId="77777777" w:rsidR="00DE7F46" w:rsidRDefault="00DE7F46" w:rsidP="00DE7F46">
      <w:r>
        <w:t>Finska stran se je odločila, da memorandum, ki se nanaša na Republiko Slovenijo kot državo gostiteljico, sprejme z izjavo o nameri, ki je mednarodni akt nepogodbene narave.</w:t>
      </w:r>
    </w:p>
    <w:p w14:paraId="5A6B122D" w14:textId="77777777" w:rsidR="00DE7F46" w:rsidRDefault="00DE7F46" w:rsidP="00DE7F46"/>
    <w:p w14:paraId="58A524E2" w14:textId="77777777" w:rsidR="00DE7F46" w:rsidRDefault="00DE7F46" w:rsidP="00DE7F46">
      <w:r>
        <w:t xml:space="preserve">Podpis izjave o nameri nima finančnih posledic, saj predstavlja le podlago, ki bo finski strani omogočila zagotavljanje podpore države gostiteljice s strani Republike Slovenije. </w:t>
      </w:r>
    </w:p>
    <w:p w14:paraId="482E3C88" w14:textId="5284D874" w:rsidR="00DB409F" w:rsidRDefault="00DE7F46" w:rsidP="00DE7F46">
      <w:pPr>
        <w:pStyle w:val="Vir"/>
      </w:pPr>
      <w:r>
        <w:t>Vir: Ministrstvo za obrambo</w:t>
      </w:r>
    </w:p>
    <w:p w14:paraId="79A5F4FC" w14:textId="4FA66C85" w:rsidR="00DB409F" w:rsidRDefault="00DB409F" w:rsidP="000D5C05">
      <w:pPr>
        <w:pStyle w:val="Naslov2"/>
      </w:pPr>
      <w:r>
        <w:t xml:space="preserve">Informacija o nameravanem podpisu </w:t>
      </w:r>
      <w:r w:rsidR="000D5C05">
        <w:t>s</w:t>
      </w:r>
      <w:r>
        <w:t>premembe Memoranduma o soglasju med Ministrstvom za obrambo Republike Slovenije in Kopensko vojsko Združenih držav Amerike za Evropo in Afriko</w:t>
      </w:r>
    </w:p>
    <w:p w14:paraId="4BFE2C90" w14:textId="77777777" w:rsidR="000D5C05" w:rsidRDefault="000D5C05" w:rsidP="00DB409F"/>
    <w:p w14:paraId="77AFFE09" w14:textId="56C87423" w:rsidR="000D5C05" w:rsidRDefault="000D5C05" w:rsidP="000D5C05">
      <w:r>
        <w:lastRenderedPageBreak/>
        <w:t>Vlada se je seznanila z informacijo o nameravanem podpisu spremembe Memoranduma o soglasju med Ministrstvom za obrambo Republike Slovenije in Kopensko vojsko Združenih držav Amerike za Evropo in Afriko.</w:t>
      </w:r>
    </w:p>
    <w:p w14:paraId="35B195E2" w14:textId="77777777" w:rsidR="000D5C05" w:rsidRDefault="000D5C05" w:rsidP="000D5C05"/>
    <w:p w14:paraId="78CFC741" w14:textId="77777777" w:rsidR="000D5C05" w:rsidRDefault="000D5C05" w:rsidP="000D5C05">
      <w:r>
        <w:t xml:space="preserve">Memorandum, ki je bil sklenjen 14. septembra 2020, je podlaga sporazuma med Slovensko vojsko in Kopensko vojsko Združenih držav Amerike za Evropo glede transporta, skladiščenja, vzdrževanja in predvidene uporabe petih slovenskih glavnih bojnih tankov M-84 in enega vozila za </w:t>
      </w:r>
      <w:proofErr w:type="spellStart"/>
      <w:r>
        <w:t>izvleko</w:t>
      </w:r>
      <w:proofErr w:type="spellEnd"/>
      <w:r>
        <w:t xml:space="preserve"> serije T-55 v Združenem večnacionalnem centru za ugotavljanje pripravljenosti na ozemlju Zvezne republike Nemčije.</w:t>
      </w:r>
    </w:p>
    <w:p w14:paraId="561C05BE" w14:textId="77777777" w:rsidR="000D5C05" w:rsidRDefault="000D5C05" w:rsidP="000D5C05"/>
    <w:p w14:paraId="0C15310E" w14:textId="114E22BD" w:rsidR="000D5C05" w:rsidRDefault="000D5C05" w:rsidP="000D5C05">
      <w:r>
        <w:t xml:space="preserve">Memorandum je bil sklenjen za obdobje dveh let z možnostjo podaljšanja ali spremembe, če tako skupno zahtevata in se odločita Slovenska vojska in Kopenska vojska Združenih držav Amerike za Evropo in Afriko ter za to poda soglasje nemško Zvezno ministrstvo za zunanje zadeve. Z </w:t>
      </w:r>
      <w:r w:rsidR="00EA0D68">
        <w:t>v</w:t>
      </w:r>
      <w:r>
        <w:t xml:space="preserve">erbalno noto, na podlagi katere je bila sklenjena sprememba memoranduma, se je dovoljenje za namestitev tankov podaljšalo za obdobje treh let, to je do novembra 2024. </w:t>
      </w:r>
    </w:p>
    <w:p w14:paraId="24079033" w14:textId="77777777" w:rsidR="000D5C05" w:rsidRDefault="000D5C05" w:rsidP="000D5C05"/>
    <w:p w14:paraId="5133AB26" w14:textId="3189C4D2" w:rsidR="000D5C05" w:rsidRDefault="000D5C05" w:rsidP="000D5C05">
      <w:r>
        <w:t xml:space="preserve">Z novo </w:t>
      </w:r>
      <w:r w:rsidR="00EA0D68">
        <w:t>v</w:t>
      </w:r>
      <w:r>
        <w:t xml:space="preserve">erbalno noto se bo dovoljenje za namestitev tankov podaljšalo za obdobje še treh let, to je do leta 2027. </w:t>
      </w:r>
    </w:p>
    <w:p w14:paraId="6EB45790" w14:textId="4639BA9A" w:rsidR="00DB409F" w:rsidRDefault="000D5C05" w:rsidP="000D5C05">
      <w:pPr>
        <w:pStyle w:val="Vir"/>
      </w:pPr>
      <w:r>
        <w:t>Vir: Ministrstvo za obrambo</w:t>
      </w:r>
    </w:p>
    <w:p w14:paraId="672A0272" w14:textId="492AC2CA" w:rsidR="001A288C" w:rsidRDefault="001A288C" w:rsidP="001A288C">
      <w:pPr>
        <w:pStyle w:val="Naslov2"/>
      </w:pPr>
      <w:r>
        <w:t xml:space="preserve">Vlada ne podpira poslanskega </w:t>
      </w:r>
      <w:r w:rsidR="00EA0D68">
        <w:t>p</w:t>
      </w:r>
      <w:r>
        <w:t xml:space="preserve">redloga </w:t>
      </w:r>
      <w:r w:rsidR="00EA0D68">
        <w:t>z</w:t>
      </w:r>
      <w:r>
        <w:t xml:space="preserve">akona o dopolnitvah Zakona o zdravstvenem varstvu in zdravstvenem zavarovanju </w:t>
      </w:r>
    </w:p>
    <w:p w14:paraId="6A24DA6B" w14:textId="1EB5A2DF" w:rsidR="001A288C" w:rsidRDefault="001A288C" w:rsidP="001A288C">
      <w:r>
        <w:t xml:space="preserve">Vlada Republike Slovenije je od Državnega zbora v mnenje prejela </w:t>
      </w:r>
      <w:r w:rsidR="00EA0D68">
        <w:t>p</w:t>
      </w:r>
      <w:r>
        <w:t>redlog zakona o dopolnitvah Zakona o zdravstvenem varstvu in zdravstvenem zavarovanj</w:t>
      </w:r>
      <w:r w:rsidR="00EA0D68">
        <w:t>u</w:t>
      </w:r>
      <w:r>
        <w:t>, ki ga je Državnemu zboru predložila skupina poslank in poslancev s prvopodpisanim Janezom Ciglerjem Kraljem.</w:t>
      </w:r>
    </w:p>
    <w:p w14:paraId="6B4D6E3F" w14:textId="77777777" w:rsidR="00EA0D68" w:rsidRDefault="00EA0D68" w:rsidP="001A288C"/>
    <w:p w14:paraId="22DC280B" w14:textId="39361842" w:rsidR="001A288C" w:rsidRDefault="001A288C" w:rsidP="001A288C">
      <w:r>
        <w:t xml:space="preserve">Predlog zakona predlaga spremembe 80. člena Zakona o zdravstvenem varstvu in zdravstvenem zavarovanju. Glavna sprememba bi omogočila zavarovancem, da v primeru prekoračitve dopustne čakalne dobe izberejo zdravnika izven javne zdravstvene mreže, pri čemer bi stroške pokrival Zavod za zdravstveno zavarovanje Slovenije. </w:t>
      </w:r>
    </w:p>
    <w:p w14:paraId="7B95CAD8" w14:textId="77777777" w:rsidR="001A288C" w:rsidRDefault="001A288C" w:rsidP="001A288C"/>
    <w:p w14:paraId="72F8FA6C" w14:textId="709E14ED" w:rsidR="001A288C" w:rsidRDefault="001A288C" w:rsidP="001A288C">
      <w:r>
        <w:t xml:space="preserve">Mnenje vlade je, da predlog zakona posega v sistemsko ureditev zdravstvenega varstva Republike Slovenije na parcialen način brez upoštevanja vseh vidikov sistema in meni, da je predlog zakona vsebinsko nedorečen z neurejenimi postopki in finančnimi posledicami. Predlog zakona je vsebinsko popolnoma enak predlogu zakona, kot ga je ista skupina poslank in poslancev vložila že v lanskem letu in ponovno januarja letos. Oba predmetna zakonodajna postopka sta bila končana, ko členi predloga tega zakona na Odboru za zdravstvo Državnega zbora niso bili sprejeti. </w:t>
      </w:r>
    </w:p>
    <w:p w14:paraId="54ABE590" w14:textId="77777777" w:rsidR="001A288C" w:rsidRDefault="001A288C" w:rsidP="001A288C"/>
    <w:p w14:paraId="6192A78B" w14:textId="77777777" w:rsidR="001A288C" w:rsidRDefault="001A288C" w:rsidP="001A288C">
      <w:r>
        <w:t>Vlada predloga zakona zato ne podpira in meni, da ni primeren za nadaljnjo obravnavo.</w:t>
      </w:r>
    </w:p>
    <w:p w14:paraId="0EEC4A31" w14:textId="52325E5B" w:rsidR="00DB409F" w:rsidRDefault="001A288C" w:rsidP="001A288C">
      <w:pPr>
        <w:pStyle w:val="Vir"/>
      </w:pPr>
      <w:r>
        <w:t>Vir: Ministrstvo za zdravje</w:t>
      </w:r>
    </w:p>
    <w:p w14:paraId="143B2485" w14:textId="6CCEA5CE" w:rsidR="003756B3" w:rsidRDefault="003756B3" w:rsidP="003756B3">
      <w:pPr>
        <w:pStyle w:val="Naslov2"/>
      </w:pPr>
      <w:r>
        <w:t xml:space="preserve">Uredba o javni službi kmetijskega svetovanja za leto 2025 </w:t>
      </w:r>
    </w:p>
    <w:p w14:paraId="4F99E00D" w14:textId="77777777" w:rsidR="003756B3" w:rsidRDefault="003756B3" w:rsidP="003756B3">
      <w:r>
        <w:t>Vlada je izdala Uredbo o javni službi kmetijskega svetovanja za leto 2025 in jo objavi v Uradnem listu Republike Slovenije.</w:t>
      </w:r>
    </w:p>
    <w:p w14:paraId="5D3534E1" w14:textId="77777777" w:rsidR="003756B3" w:rsidRDefault="003756B3" w:rsidP="003756B3"/>
    <w:p w14:paraId="5D3A73A1" w14:textId="72B7D5A4" w:rsidR="003756B3" w:rsidRDefault="003756B3" w:rsidP="003756B3">
      <w:r>
        <w:t>Uredba o javni službi kmetijskega svetovanja za leto 2025 določa naloge, cilje in prednostne usmeritve javne službe kmetijskega svetovanja (JSKS) ter način izvajanja JSKS, obseg storitev, usposabljanje, financiranje, dolžnosti izvajalca, vsebino pogodbe, programe dela JSKS in način poročanja za leto 2025.</w:t>
      </w:r>
    </w:p>
    <w:p w14:paraId="2672C3CD" w14:textId="77777777" w:rsidR="003756B3" w:rsidRDefault="003756B3" w:rsidP="003756B3"/>
    <w:p w14:paraId="1BCE60EC" w14:textId="77777777" w:rsidR="003756B3" w:rsidRDefault="003756B3" w:rsidP="003756B3">
      <w:r>
        <w:t>Na podlagi uredbe se izvajalec JSKS imenuje za obdobje enega leta. V letu 2025 je predvidena</w:t>
      </w:r>
    </w:p>
    <w:p w14:paraId="3F08B374" w14:textId="273E5617" w:rsidR="003756B3" w:rsidRDefault="003756B3" w:rsidP="003756B3">
      <w:r>
        <w:t>priprava novega zakona, ki ureja kmetijstvo, ki bo prenovil dosedanji sistem javnih služb, zato uredba predvideva imenovanje izvajalca JSKS le za obdobje enega leta. Po sprejemu novega zakona, ki ureja kmetijstvo, bo v skladu z novo ureditvijo imenovan izvajalec za izvajanje JSKS. JSKS se izvaja na celotnem območju Republike Slovenije za vse kmetijske panoge na področju razvoja podeželja v skladu z izhodišči Ministrstva za kmetijstvo, gozdarstvo in prehrano in letnim programom dela JSKS.</w:t>
      </w:r>
    </w:p>
    <w:p w14:paraId="4BD93FAF" w14:textId="77777777" w:rsidR="003756B3" w:rsidRDefault="003756B3" w:rsidP="003756B3"/>
    <w:p w14:paraId="686CEE8B" w14:textId="77777777" w:rsidR="003756B3" w:rsidRDefault="003756B3" w:rsidP="003756B3">
      <w:r>
        <w:t>Storitve izvajalca JSKS so namenjene nosilcem in članom kmetijskih gospodarstev ter tudi širši</w:t>
      </w:r>
    </w:p>
    <w:p w14:paraId="36083FC3" w14:textId="77777777" w:rsidR="003756B3" w:rsidRDefault="003756B3" w:rsidP="003756B3">
      <w:r>
        <w:t>javnosti in ministrstvom. Uredba začne veljati naslednji dan po objavi v Uradnem listu Republike Slovenije.</w:t>
      </w:r>
    </w:p>
    <w:p w14:paraId="493844D7" w14:textId="37E1F661" w:rsidR="00DB409F" w:rsidRDefault="003756B3" w:rsidP="003756B3">
      <w:pPr>
        <w:pStyle w:val="Vir"/>
      </w:pPr>
      <w:r>
        <w:t>Vir: Ministrstvo za kmetijstvo, gozdarstvo in prehrano</w:t>
      </w:r>
    </w:p>
    <w:p w14:paraId="1AA0CE21" w14:textId="591CC7EC" w:rsidR="00B6498C" w:rsidRDefault="00B6498C" w:rsidP="00B6498C">
      <w:pPr>
        <w:pStyle w:val="Naslov2"/>
      </w:pPr>
      <w:r>
        <w:t xml:space="preserve">Uredba o javnih službah strokovnih nalog v proizvodnji kmetijskih rastlin za leto 2025 </w:t>
      </w:r>
    </w:p>
    <w:p w14:paraId="77EA4A4F" w14:textId="77777777" w:rsidR="00B6498C" w:rsidRDefault="00B6498C" w:rsidP="00B6498C">
      <w:r>
        <w:t>Vlada je izdala Uredbo o javnih službah strokovnih nalog v proizvodnji kmetijskih rastlin za leto 2025 in jo objavi v Uradnem listu Republike Slovenije.</w:t>
      </w:r>
    </w:p>
    <w:p w14:paraId="0C177C2A" w14:textId="77777777" w:rsidR="00B6498C" w:rsidRDefault="00B6498C" w:rsidP="00B6498C"/>
    <w:p w14:paraId="7231B6E0" w14:textId="75DF2190" w:rsidR="00B6498C" w:rsidRDefault="00B6498C" w:rsidP="00B6498C">
      <w:r>
        <w:t>Uredba o javnih službah strokovnih nalog v proizvodnji kmetijskih rastlin za leto 2025 ureja način izvajanja javnih služb za izvajanje strokovnih nalog v proizvodnji kmetijskih rastlin na področju poljedelstva, vrtnarstva, sadjarstva, vinogradništva in oljkarstva, cilje in prednostne usmeritve javnih služb, območje izvajanja nalog javnih služb, obveznosti izvajalcev javnih služb, programe, financiranje in poročanje za leto 2025.</w:t>
      </w:r>
    </w:p>
    <w:p w14:paraId="6C0222E8" w14:textId="7841AB14" w:rsidR="00DB409F" w:rsidRDefault="00B6498C" w:rsidP="00B6498C">
      <w:pPr>
        <w:pStyle w:val="Vir"/>
      </w:pPr>
      <w:r>
        <w:t>Vir: Ministrstvo za kmetijstvo, gozdarstvo in prehrano</w:t>
      </w:r>
    </w:p>
    <w:p w14:paraId="09FB91C8" w14:textId="4F489244" w:rsidR="00CF2181" w:rsidRDefault="00CF2181" w:rsidP="00CF2181">
      <w:pPr>
        <w:pStyle w:val="Naslov2"/>
      </w:pPr>
      <w:r>
        <w:t>Uredba o javni službi nalog rastlinske genske banke za leto 2025</w:t>
      </w:r>
    </w:p>
    <w:p w14:paraId="2654B2DB" w14:textId="77777777" w:rsidR="00CF2181" w:rsidRDefault="00CF2181" w:rsidP="00CF2181">
      <w:r>
        <w:t>Vlada je izdala Uredbo o javni službi nalog rastlinske genske banke za leto 2025 in jo objavi v Uradnem listu Republike Slovenije.</w:t>
      </w:r>
    </w:p>
    <w:p w14:paraId="3AD4849B" w14:textId="77777777" w:rsidR="00CF2181" w:rsidRDefault="00CF2181" w:rsidP="00CF2181"/>
    <w:p w14:paraId="1A5E3029" w14:textId="31D40EF5" w:rsidR="00CF2181" w:rsidRDefault="00CF2181" w:rsidP="00CF2181">
      <w:r>
        <w:t xml:space="preserve">Uredba o javni službi nalog rastlinske genske banke za leto 2025 ureja način izvajanja javne službe nalog rastlinske genske banke, cilje in prioritetne usmeritve rastlinske genske banke, območje izvajanja nalog javne službe, obveznosti izvajalca javne službe, program, financiranje in poročanje za leto 2025. Izhodišča za naloge so vsebinsko opredeljena v programu javne službe nalog rastlinske genske banke za leto 2025, ki kot priloga predstavlja del predmetne uredbe. </w:t>
      </w:r>
    </w:p>
    <w:p w14:paraId="661638B9" w14:textId="77777777" w:rsidR="00CF2181" w:rsidRDefault="00CF2181" w:rsidP="00CF2181"/>
    <w:p w14:paraId="2A6A5C01" w14:textId="05F01304" w:rsidR="00CF2181" w:rsidRDefault="00CF2181" w:rsidP="00CF2181">
      <w:r>
        <w:t xml:space="preserve">Namen programa javne službe nalog rastlinske genske je izvajanje trajnega ohranjanja rastlinskih genskih virov in zagotavljanje njihove trajnostne uporabe v kmetijstvu na strokoven, enovit in učinkovit način. </w:t>
      </w:r>
    </w:p>
    <w:p w14:paraId="57C681BE" w14:textId="77777777" w:rsidR="00CF2181" w:rsidRDefault="00CF2181" w:rsidP="00CF2181"/>
    <w:p w14:paraId="4D58544D" w14:textId="7D8AFADA" w:rsidR="00CF2181" w:rsidRDefault="00CF2181" w:rsidP="00CF2181">
      <w:r>
        <w:t>Izvajalci javne službe nalog rastlinske genske banke bodo v skladu z Uredbo o javni službi nalog rastlinske genske banke za leto 2025 imenovani za obdobje enega leta, saj je za naslednje leto načrtovana priprava nove kmetijske zakonodaje, ki bo zajemala tudi prenovo dosedanjega sistema javnih služb. Po sprejemu novega zakona, ki bo urejal kmetijstvo, bo, skladno z novim zakonom, imenovan izvajalec javne službe nalog rastlinske genske banke.</w:t>
      </w:r>
    </w:p>
    <w:p w14:paraId="4E8C8D12" w14:textId="50A6E1D1" w:rsidR="00DB409F" w:rsidRDefault="00CF2181" w:rsidP="00CF2181">
      <w:pPr>
        <w:pStyle w:val="Vir"/>
      </w:pPr>
      <w:r>
        <w:t>Vir: Ministrstvo za kmetijstvo, gozdarstvo in prehrano</w:t>
      </w:r>
    </w:p>
    <w:p w14:paraId="409CA8D3" w14:textId="38BA44D1" w:rsidR="007313DD" w:rsidRDefault="007313DD" w:rsidP="007313DD">
      <w:pPr>
        <w:pStyle w:val="Naslov2"/>
      </w:pPr>
      <w:r>
        <w:t>Uredba o spremembi in dopolnitvi Uredbe o določitvi obmejnih problemskih območij</w:t>
      </w:r>
    </w:p>
    <w:p w14:paraId="50AEC178" w14:textId="77777777" w:rsidR="007313DD" w:rsidRDefault="007313DD" w:rsidP="007313DD">
      <w:r>
        <w:lastRenderedPageBreak/>
        <w:t>Vlada Republike Slovenije je izdala Uredbo o spremembi in dopolnitvi Uredbe o določitvi obmejnih problemskih območij, s katero posodablja seznam občin, ki se uvrščajo med obmejna problemska območja, kot so opredeljena v Zakonu o spodbujanju skladnega regionalnega razvoja. Obmejna problemska območja so eno od prednostnih območij izvajanja regionalne politike v Sloveniji. Merila za opredelitev obmejnih problemskih območij so določena v Zakonu o spodbujanju skladnega regionalnega razvoja, natančnejša merila in seznam občin, ki izpolnjujejo ta merila, pa določa uredba. Uredba nadalje določa, da ministrstvo, pristojno za regionalni razvoj, vsaki dve leti preverja vrednosti meril iz uredbe ter ob spremembah podatkov, ki narekujejo drugačno uvrstitev občin med obmejna problemska območja, pripravi predlog spremembe te uredbe.</w:t>
      </w:r>
    </w:p>
    <w:p w14:paraId="5B40F49B" w14:textId="77777777" w:rsidR="007313DD" w:rsidRDefault="007313DD" w:rsidP="007313DD"/>
    <w:p w14:paraId="65F4BA3E" w14:textId="77777777" w:rsidR="007313DD" w:rsidRDefault="007313DD" w:rsidP="007313DD">
      <w:r>
        <w:t>V skladu z zakonom in uredbo med obmejna problemska območja uvrščamo obmejne občine, v katerih več kot 50 odstotkov prebivalcev živi v desetkilometrskem obmejnem pasu in imajo hkrati primanjkljaj delovnih mest in podpovprečno gostoto poselitve občine, kar pomeni, da je število prebivalcev na kvadratni kilometer manjše od slovenskega povprečja. Med obmejna problemska območja spadajo tudi občine, ki neposredno mejijo na obmejne občine in:</w:t>
      </w:r>
    </w:p>
    <w:p w14:paraId="7899D7DA" w14:textId="77777777" w:rsidR="007313DD" w:rsidRDefault="007313DD" w:rsidP="007313DD"/>
    <w:p w14:paraId="40FAC5A6" w14:textId="77777777" w:rsidR="007313DD" w:rsidRDefault="007313DD" w:rsidP="007313DD">
      <w:r>
        <w:t>je njihova povprečna dostopnost do najbližjega priključka avtoceste ali hitre ceste, izračunana kot povprečni dostopni čas z avtomobilom po mreži cest, večja od 45 minut ali</w:t>
      </w:r>
    </w:p>
    <w:p w14:paraId="6F7D4A18" w14:textId="77777777" w:rsidR="007313DD" w:rsidRDefault="007313DD" w:rsidP="007313DD">
      <w:r>
        <w:t>so občine z velikim deležem površine vključene v omrežje Natura 2000, kar pomeni, da je delež površine občine v omrežju Natura 2000 več kot 150 odstotkov slovenskega povprečja.</w:t>
      </w:r>
    </w:p>
    <w:p w14:paraId="34905DED" w14:textId="77777777" w:rsidR="007313DD" w:rsidRDefault="007313DD" w:rsidP="007313DD">
      <w:r>
        <w:t xml:space="preserve">Med obmejna problemska območja se uvrščajo tudi občine, ki imajo koeficient razvitosti občine po zakonu, ki ureja financiranje občin, manjši od 0,90, če mejijo na obmejne občine ali občine, ki neposredno mejijo na obmejne občine. </w:t>
      </w:r>
    </w:p>
    <w:p w14:paraId="21701375" w14:textId="77777777" w:rsidR="007313DD" w:rsidRDefault="007313DD" w:rsidP="007313DD"/>
    <w:p w14:paraId="63A7387B" w14:textId="77777777" w:rsidR="007313DD" w:rsidRDefault="007313DD" w:rsidP="007313DD">
      <w:r>
        <w:t>Posodobljena analiza vrednosti meril je pokazala, da je v Sloveniji 88 občin, ki izpolnjujejo merila za uvrstitev med obmejna problemska območja (po uredbi iz leta 2022 je bilo teh 86), pri čemer je občina Dornava izgubila status, občini Ljutomer in Sveti Jurij ob Ščavnici pa sta ga pridobili. Z vključitvijo občine Ljutomer je status pridobila tudi občina Razkrižje, ki je postala otok sredi sklenjenega obmejnega problemskega območja. V obmejnih problemskih območjih je na dan 1. 7. 2023 živelo 471.547 oziroma 22,2 % prebivalcev Slovenije, kar je za 0,3 odstotne točke (9.487 prebivalcev) več kot po uredbi iz leta 2022. Območje obsega 9.861 km2 oziroma 48,6 % površine Slovenije, kar je za 0,7 odstotne točke (140 km2) več kot po uredbi iz leta 2022.</w:t>
      </w:r>
    </w:p>
    <w:p w14:paraId="628F8550" w14:textId="212EC3BE" w:rsidR="00DB409F" w:rsidRDefault="007313DD" w:rsidP="007313DD">
      <w:pPr>
        <w:pStyle w:val="Vir"/>
      </w:pPr>
      <w:r>
        <w:t>Vir: Ministrstvo za kohezijo in regionalni razvoj</w:t>
      </w:r>
    </w:p>
    <w:p w14:paraId="5E42A052" w14:textId="4751592D" w:rsidR="00BE5149" w:rsidRDefault="00BE5149" w:rsidP="00BE5149">
      <w:pPr>
        <w:pStyle w:val="Naslov2"/>
      </w:pPr>
      <w:r>
        <w:t>Vlada v veljavni Načrt razvojnih programov 2024–2027 uvrstila prenovo bazenskega kompleksa Krško</w:t>
      </w:r>
    </w:p>
    <w:p w14:paraId="442423EA" w14:textId="77777777" w:rsidR="00BE5149" w:rsidRDefault="00BE5149" w:rsidP="00BE5149">
      <w:r>
        <w:t>Vlada je v veljavni Načrt razvojnih programov 2024–2027 uvrstila nov projekt, prenovo bazenskega kompleksa Krško. Projekt je bil odobren za sofinanciranje na podlagi Javnega razpisa za izbor sofinanciranja investicij v športno infrastrukturo v letu 2024.</w:t>
      </w:r>
    </w:p>
    <w:p w14:paraId="3982A3CC" w14:textId="77777777" w:rsidR="00BE5149" w:rsidRDefault="00BE5149" w:rsidP="00BE5149"/>
    <w:p w14:paraId="63D29024" w14:textId="77777777" w:rsidR="00BE5149" w:rsidRDefault="00BE5149" w:rsidP="00BE5149">
      <w:r>
        <w:t xml:space="preserve">Namen investicije je spodbuditi socialni, gospodarski in okoljski razvoj mestnega območja, saj v mestno okolje prinaša športno-rekreacijski objekt za plavalne športe, ki nudi inkluzivne rekreacijske možnosti vsem občanom, s čimer se nadaljuje tradicija plavalnega športa. Cilj investicije je izgradnja dveh bazenov s tribunami, športne dvorane, gostinskega lokala in </w:t>
      </w:r>
      <w:proofErr w:type="spellStart"/>
      <w:r>
        <w:t>wellnes</w:t>
      </w:r>
      <w:proofErr w:type="spellEnd"/>
      <w:r>
        <w:t xml:space="preserve"> centra, ureditev zunanjih površin, vključno z ohranjanjem navezave na rekreacijske poti ob nabrežju Save, ter ureditev promenade in sanitarij za potrebe parkirišča za avtodome.</w:t>
      </w:r>
    </w:p>
    <w:p w14:paraId="59EE4CEB" w14:textId="77777777" w:rsidR="00BE5149" w:rsidRDefault="00BE5149" w:rsidP="00BE5149"/>
    <w:p w14:paraId="1FF0966A" w14:textId="1CF7651A" w:rsidR="00BE5149" w:rsidRDefault="00BE5149" w:rsidP="00BE5149">
      <w:r>
        <w:t>Skupna vrednost investicije je 12.446.317,99 evra. Ministrstvo za gospodarstvo, turizem in šport bo investicijo sofinanciralo v vrednosti do 1.000.000 evrov, od tega do 400.005 evrov v letu 2024 ter do 599.995 evrov v letu 2025. Ostale sredstva zagotavlja Mestna občina Krško iz lastnih virov (skupaj 7.991.317,99 evra) in kreditov (skupaj 3.455.000 evrov).</w:t>
      </w:r>
    </w:p>
    <w:p w14:paraId="1F4BB9F6" w14:textId="4F0E9F74" w:rsidR="007313DD" w:rsidRDefault="00BE5149" w:rsidP="00BE5149">
      <w:pPr>
        <w:pStyle w:val="Vir"/>
      </w:pPr>
      <w:r>
        <w:lastRenderedPageBreak/>
        <w:t>Vir: Ministrstvo za gospodarstvo, turizem in šport</w:t>
      </w:r>
    </w:p>
    <w:p w14:paraId="239DB326" w14:textId="608B3D18" w:rsidR="00762A1D" w:rsidRDefault="00762A1D" w:rsidP="00762A1D">
      <w:pPr>
        <w:pStyle w:val="Naslov2"/>
      </w:pPr>
      <w:r>
        <w:t>Vlada prerazporeja sredstva državnega proračuna</w:t>
      </w:r>
    </w:p>
    <w:p w14:paraId="207FE382" w14:textId="77777777" w:rsidR="00762A1D" w:rsidRDefault="00762A1D" w:rsidP="00762A1D">
      <w:r>
        <w:t>Vlada je na današnji seji odločila o prerazporeditvah pravic porabe v letošnjem državnem proračunu.</w:t>
      </w:r>
    </w:p>
    <w:p w14:paraId="6547C312" w14:textId="77777777" w:rsidR="00762A1D" w:rsidRDefault="00762A1D" w:rsidP="00762A1D"/>
    <w:p w14:paraId="0D13895F" w14:textId="77777777" w:rsidR="00762A1D" w:rsidRDefault="00762A1D" w:rsidP="00762A1D">
      <w:r>
        <w:t xml:space="preserve">Ministrstvo za finance predlaga prerazporeja sredstva splošne proračunska rezervacije na Ministrstvo za javno upravo v višini 682 tisoč evrov  za društva in ustanove, ki so bila prizadete v poplavah in plazovih. Skupno je bilo odobrenih 63 vlog društev za povračilo škode. </w:t>
      </w:r>
    </w:p>
    <w:p w14:paraId="4189B058" w14:textId="77777777" w:rsidR="00762A1D" w:rsidRDefault="00762A1D" w:rsidP="00762A1D"/>
    <w:p w14:paraId="5A3EE799" w14:textId="77777777" w:rsidR="00762A1D" w:rsidRDefault="00762A1D" w:rsidP="00762A1D">
      <w:r>
        <w:t xml:space="preserve">Ministrstvo za digitalno preobrazbo prerazporeja pravice porabe znotraj svojega finančnega načrta v višini 35 tisoč evrov na novo uvrščeni projekt Podpora uvajanju umetne inteligence v podjetja - </w:t>
      </w:r>
      <w:proofErr w:type="spellStart"/>
      <w:r>
        <w:t>EmbrAIsme</w:t>
      </w:r>
      <w:proofErr w:type="spellEnd"/>
      <w:r>
        <w:t>. Gre za Interreg projekt, v okviru katerega je splošni cilj izboljšati politike in programe za spodbujanje uporabe umetne inteligence pri malih in srednjih podjetij, ne glede na njihovo lokacijo, velikost in sektor.</w:t>
      </w:r>
    </w:p>
    <w:p w14:paraId="3A47CB4C" w14:textId="77777777" w:rsidR="00762A1D" w:rsidRDefault="00762A1D" w:rsidP="00762A1D"/>
    <w:p w14:paraId="6F4EFFF8" w14:textId="77777777" w:rsidR="00762A1D" w:rsidRDefault="00762A1D" w:rsidP="00762A1D">
      <w:r>
        <w:t xml:space="preserve">Vrhovno sodišče RS prerazporeja pravice porabe s plačnih kontov sodišč v skupni višini 7,25 milijona evrov na proračunske postavke sodišč za pokrivanje zakonskih obveznosti z naslova brezplačne pravne pomoči (BPP), stroškov sodnih postopkov (SSP) in stroškov logističnih storitev. </w:t>
      </w:r>
    </w:p>
    <w:p w14:paraId="5938B9E6" w14:textId="44BEB35F" w:rsidR="007313DD" w:rsidRDefault="00762A1D" w:rsidP="00762A1D">
      <w:pPr>
        <w:pStyle w:val="Vir"/>
      </w:pPr>
      <w:r>
        <w:t>Vir: Ministrstvo za finance</w:t>
      </w:r>
    </w:p>
    <w:p w14:paraId="0130499B" w14:textId="6AF75EB8" w:rsidR="00212F05" w:rsidRPr="00212F05" w:rsidRDefault="00414D33" w:rsidP="00212F05">
      <w:pPr>
        <w:rPr>
          <w:b/>
          <w:bCs/>
        </w:rPr>
      </w:pPr>
      <w:r>
        <w:rPr>
          <w:b/>
          <w:bCs/>
        </w:rPr>
        <w:t>S</w:t>
      </w:r>
      <w:r w:rsidR="00212F05" w:rsidRPr="00212F05">
        <w:rPr>
          <w:b/>
          <w:bCs/>
        </w:rPr>
        <w:t>prememb</w:t>
      </w:r>
      <w:r>
        <w:rPr>
          <w:b/>
          <w:bCs/>
        </w:rPr>
        <w:t>a</w:t>
      </w:r>
      <w:r w:rsidR="00212F05" w:rsidRPr="00212F05">
        <w:rPr>
          <w:b/>
          <w:bCs/>
        </w:rPr>
        <w:t xml:space="preserve"> sklepa Vlade Republike Slovenije v zvezi s </w:t>
      </w:r>
      <w:r>
        <w:rPr>
          <w:b/>
          <w:bCs/>
        </w:rPr>
        <w:t>s</w:t>
      </w:r>
      <w:r w:rsidR="00212F05" w:rsidRPr="00212F05">
        <w:rPr>
          <w:b/>
          <w:bCs/>
        </w:rPr>
        <w:t>premembo programa odprave posledic naravnih nesreč na področju javnih socialnovarstvenih zavodov</w:t>
      </w:r>
    </w:p>
    <w:p w14:paraId="34847269" w14:textId="77777777" w:rsidR="00212F05" w:rsidRDefault="00212F05" w:rsidP="00212F05"/>
    <w:p w14:paraId="4F572C9F" w14:textId="77777777" w:rsidR="00212F05" w:rsidRDefault="00212F05" w:rsidP="00212F05">
      <w:r>
        <w:t xml:space="preserve">Vlada je sprejela sklep o spremembi sklepa Vlade v zvezi s spremembo programa odprave posledic naravnih nesreč na področju socialnovarstvenih zavodov. </w:t>
      </w:r>
    </w:p>
    <w:p w14:paraId="5E57BD3B" w14:textId="2373BE66" w:rsidR="00212F05" w:rsidRDefault="00212F05" w:rsidP="00212F05">
      <w:r>
        <w:t xml:space="preserve">Zaradi napačne navedbe vira financiranja v drugi točki predmetnega sklepa, Ministrstvo za solidarno prihodnost </w:t>
      </w:r>
      <w:r w:rsidR="00414D33">
        <w:t>v</w:t>
      </w:r>
      <w:r>
        <w:t>ladi predlaga sprejem spremembe sklepa.</w:t>
      </w:r>
    </w:p>
    <w:p w14:paraId="670368BB" w14:textId="77777777" w:rsidR="00212F05" w:rsidRDefault="00212F05" w:rsidP="00212F05">
      <w:r>
        <w:t xml:space="preserve">   </w:t>
      </w:r>
    </w:p>
    <w:p w14:paraId="0C6BF0BC" w14:textId="77777777" w:rsidR="00212F05" w:rsidRDefault="00212F05" w:rsidP="00212F05">
      <w:r>
        <w:t>Program odprave posledic neposredne škode na stvareh zaradi poplav 4. avgusta 2023 na področju javnih socialnovarstvenih zavodov in Spremembo št. 1 Programa odprave posledic neposredne škode na stvareh zaradi poplav 4. avgusta 2023 na področju javnih socialnovarstvenih zavodov bo izvedlo Ministrstvo za solidarno prihodnost.</w:t>
      </w:r>
    </w:p>
    <w:p w14:paraId="23FF261A" w14:textId="77777777" w:rsidR="00212F05" w:rsidRDefault="00212F05" w:rsidP="00212F05"/>
    <w:p w14:paraId="0E658A11" w14:textId="77777777" w:rsidR="00212F05" w:rsidRDefault="00212F05" w:rsidP="00212F05">
      <w:r>
        <w:t xml:space="preserve">Prvi odstavek 30. člena ZOPNN določa, da je državni organ, ki je zadolžen za vzdrževanje stvari v državni lasti, pristojen za izvajanje obnove objektov gospodarske javne infrastrukture državnega pomena in stvari iz 16. člena ZOPNN. </w:t>
      </w:r>
    </w:p>
    <w:p w14:paraId="45B0D981" w14:textId="77777777" w:rsidR="00212F05" w:rsidRDefault="00212F05" w:rsidP="00212F05">
      <w:pPr>
        <w:pStyle w:val="Vir"/>
      </w:pPr>
      <w:r>
        <w:t>Vir: Ministrstvo za solidarno prihodnost</w:t>
      </w:r>
    </w:p>
    <w:p w14:paraId="4C224664" w14:textId="58D8AFE5" w:rsidR="00C004DD" w:rsidRDefault="00C004DD" w:rsidP="00C004DD">
      <w:pPr>
        <w:pStyle w:val="Naslov2"/>
      </w:pPr>
      <w:r>
        <w:t>Vlada razporedila sredstva Ministrstvu za solidarno prihodnost</w:t>
      </w:r>
    </w:p>
    <w:p w14:paraId="665CA257" w14:textId="77777777" w:rsidR="00C004DD" w:rsidRDefault="00C004DD" w:rsidP="00C004DD">
      <w:r>
        <w:t>Vlada je danes odločila, da Ministrstvu za solidarno prihodnost razporedi sredstva splošne proračunske rezervacije v višini 1,2 milijona evrov. Namenjena bodo financiranju sanacije škode, ki jo je v poplavah avgusta lani utrpel Center za usposabljanje, delo in varstvo Črna na Koroškem oziroma enota Varstveno delovni center Kovač.</w:t>
      </w:r>
    </w:p>
    <w:p w14:paraId="31CCD90E" w14:textId="0ACCD3ED" w:rsidR="00847ED3" w:rsidRDefault="00C004DD" w:rsidP="00C004DD">
      <w:pPr>
        <w:pStyle w:val="Vir"/>
      </w:pPr>
      <w:r>
        <w:t>Vir: Ministrstvo za finance</w:t>
      </w:r>
    </w:p>
    <w:p w14:paraId="5C6122B6" w14:textId="56F1B343" w:rsidR="00197648" w:rsidRDefault="00197648" w:rsidP="0064529B">
      <w:pPr>
        <w:pStyle w:val="Naslov2"/>
      </w:pPr>
      <w:r>
        <w:t xml:space="preserve">Slovenija se bo prijavila na razpis </w:t>
      </w:r>
      <w:proofErr w:type="spellStart"/>
      <w:r>
        <w:t>EuroHPC</w:t>
      </w:r>
      <w:proofErr w:type="spellEnd"/>
      <w:r>
        <w:t xml:space="preserve"> </w:t>
      </w:r>
    </w:p>
    <w:p w14:paraId="157D8C77" w14:textId="01C97560" w:rsidR="00197648" w:rsidRDefault="00197648" w:rsidP="00197648">
      <w:r>
        <w:lastRenderedPageBreak/>
        <w:t xml:space="preserve">Vlada Republike Slovenije se je danes seznanila </w:t>
      </w:r>
      <w:r w:rsidR="0087619E">
        <w:t xml:space="preserve">s pripravo </w:t>
      </w:r>
      <w:r>
        <w:t xml:space="preserve">prijave za pridobitev visoko zmogljivega računalnika, tako imenovanega superračunalnika za umetno inteligenco in za vzpostavitev tovarne umetne inteligence (AI </w:t>
      </w:r>
      <w:proofErr w:type="spellStart"/>
      <w:r>
        <w:t>Factory</w:t>
      </w:r>
      <w:proofErr w:type="spellEnd"/>
      <w:r>
        <w:t>).</w:t>
      </w:r>
    </w:p>
    <w:p w14:paraId="388E7253" w14:textId="77777777" w:rsidR="00197648" w:rsidRDefault="00197648" w:rsidP="00197648"/>
    <w:p w14:paraId="0C827DBC" w14:textId="0D560870" w:rsidR="00197648" w:rsidRDefault="00197648" w:rsidP="00197648">
      <w:r>
        <w:t xml:space="preserve">Vlada Republike Slovenije je sprejela tudi sklep o ustanovitvi Delovne skupine vlade za spremljanje in svetovanje pri prijavi na razpis, ki jo bo vodila državna sekretarka na Ministrstvu za digitalno preobrazbo dr. Aida Kamišalić Latifić. Sestavljajo jo člani treh ministrstev in zunanji strokovnjaki s področja </w:t>
      </w:r>
      <w:proofErr w:type="spellStart"/>
      <w:r>
        <w:t>superračunalništva</w:t>
      </w:r>
      <w:proofErr w:type="spellEnd"/>
      <w:r>
        <w:t xml:space="preserve"> in umetne inteligence.</w:t>
      </w:r>
    </w:p>
    <w:p w14:paraId="54E6612F" w14:textId="77777777" w:rsidR="00197648" w:rsidRDefault="00197648" w:rsidP="00197648"/>
    <w:p w14:paraId="051E5A3C" w14:textId="4BC4B87D" w:rsidR="00197648" w:rsidRDefault="00197648" w:rsidP="00197648">
      <w:r>
        <w:t xml:space="preserve">Priprava dokumentacije za prijavo na razpis </w:t>
      </w:r>
      <w:proofErr w:type="spellStart"/>
      <w:r>
        <w:t>superačunalnika</w:t>
      </w:r>
      <w:proofErr w:type="spellEnd"/>
      <w:r>
        <w:t>, ki bi stal v Mariboru, poteka že dlje časa. Sredstva so zagotovljena tudi v proračunu. Vzporedno s tem pa že eno leto traja projekt izgradnje podatkovnega centra.</w:t>
      </w:r>
    </w:p>
    <w:p w14:paraId="05DFFBBB" w14:textId="77777777" w:rsidR="00197648" w:rsidRDefault="00197648" w:rsidP="00197648"/>
    <w:p w14:paraId="78786777" w14:textId="252B36BF" w:rsidR="00197648" w:rsidRDefault="00197648" w:rsidP="00197648">
      <w:r>
        <w:t>S tem, ko nas je Evropska komisija pozvala k prijavi, bomo dobili še bolj zmogljivi superračunalnik, kot je trenutno obstoječ, to je superračunalnik Vega, zato je ta prijava za Slovenijo izjemno pomembna.</w:t>
      </w:r>
    </w:p>
    <w:p w14:paraId="281A0578" w14:textId="77777777" w:rsidR="00197648" w:rsidRDefault="00197648" w:rsidP="00197648"/>
    <w:p w14:paraId="3E263EDC" w14:textId="4340CD8A" w:rsidR="00197648" w:rsidRDefault="00197648" w:rsidP="00197648">
      <w:r>
        <w:t>Ta projekt bo izjemno pomemben za naše gospodarstvo, da bo lahko čim bolj konkurenčno.</w:t>
      </w:r>
    </w:p>
    <w:p w14:paraId="743EF6D1" w14:textId="77777777" w:rsidR="00197648" w:rsidRDefault="00197648" w:rsidP="00197648"/>
    <w:p w14:paraId="5C4656DC" w14:textId="09509A5F" w:rsidR="00197648" w:rsidRDefault="00197648" w:rsidP="00197648">
      <w:r>
        <w:t xml:space="preserve">Prvi rok za prijavo na razpis je 4. november 2024, nato si bodo roki za prijavo sledili na tri mesece (naslednji rok je 1. februar 2025). Slovenija se je v okviru prvega prijavnega roka že dogovorila za sodelovanje v konzorciju. S sodelovanjem pri tem projektu si bomo zaradi mednarodne dimenzije in komplementarnosti sistemov povečali možnost izbire ob samostojni prijavi, ki je načrtovana za drugo odpiranje 1. februarja 2025. </w:t>
      </w:r>
    </w:p>
    <w:p w14:paraId="5545C31F" w14:textId="77777777" w:rsidR="00197648" w:rsidRDefault="00197648" w:rsidP="00197648"/>
    <w:p w14:paraId="117F2711" w14:textId="2E8F94A1" w:rsidR="00197648" w:rsidRDefault="00197648" w:rsidP="00197648">
      <w:r>
        <w:t xml:space="preserve">Finančni prispevek skupnega podjetja </w:t>
      </w:r>
      <w:proofErr w:type="spellStart"/>
      <w:r>
        <w:t>EuroHPC</w:t>
      </w:r>
      <w:proofErr w:type="spellEnd"/>
      <w:r>
        <w:t xml:space="preserve"> bo pokril do 50 odstotkov stroškov projekta. Prispevek Slovenije pa je predviden v višini 50 milijonov evrov. Država se bo zavezala k plačilu prispevka prek izdaje pisma o zavezi plačila finančnega prispevka v primeru, da bo prijava uspešna na razpisu </w:t>
      </w:r>
      <w:proofErr w:type="spellStart"/>
      <w:r>
        <w:t>EuroHPC</w:t>
      </w:r>
      <w:proofErr w:type="spellEnd"/>
      <w:r>
        <w:t>.</w:t>
      </w:r>
    </w:p>
    <w:p w14:paraId="560A754A" w14:textId="77777777" w:rsidR="00197648" w:rsidRDefault="00197648" w:rsidP="00197648">
      <w:pPr>
        <w:pStyle w:val="Vir"/>
      </w:pPr>
      <w:r>
        <w:t>Vir: Ministrstvo za digitalno preobrazbo</w:t>
      </w:r>
    </w:p>
    <w:p w14:paraId="155AB1CE" w14:textId="6634D101" w:rsidR="0087512B" w:rsidRDefault="0087512B" w:rsidP="0087512B">
      <w:pPr>
        <w:pStyle w:val="Naslov2"/>
      </w:pPr>
      <w:r>
        <w:t>Vlada se je opredelila do ocene Fiskalnega sveta glede proračunskih dokumentov in fiskalnega načrta</w:t>
      </w:r>
    </w:p>
    <w:p w14:paraId="3D88830C" w14:textId="77777777" w:rsidR="0087512B" w:rsidRDefault="0087512B" w:rsidP="0087512B">
      <w:r>
        <w:t xml:space="preserve">Vlada se je danes opredelila do ocene Fiskalnega sveta glede proračunskih dokumentov za leti 2025 in 2026 in mnenja o Srednjeročnem fiskalno-strukturnem načrtu Republike Slovenije 2025–2028. </w:t>
      </w:r>
    </w:p>
    <w:p w14:paraId="39184537" w14:textId="77777777" w:rsidR="0087512B" w:rsidRDefault="0087512B" w:rsidP="0087512B"/>
    <w:p w14:paraId="7324315C" w14:textId="77777777" w:rsidR="0087512B" w:rsidRDefault="0087512B" w:rsidP="0087512B">
      <w:r>
        <w:t xml:space="preserve">Vlada v mnenju med drugim pojasnjuje, da srednjeročni fiskalno-strukturni načrt določa pot javnih financ v prihodnjem štiriletnem obdobju, ki bo zagotovila vzdržnost javnih financ. Podrobneje bo izvajanje poti vsako leto predstavljeno v letnih proračunskih dokumentih in osnutkih proračunskega načrta za sektor država. Ker pa je na podlagi prenovljenih fiskalnih pravil Evropske unije (EU) ključna spremenljivka za spremljanje ustreznosti fiskalne politike rast očiščenih odhodkov sektorja država, je za večjo nacionalno odgovornost za zasledovanje fiskalnih ciljev, večje razumevanje in oblikovanje povezave med nacionalnim fiskalnim pravilom ter pravili EU ustrezno, da omejitev rasti očiščenih odhodkov sektorja država potrdi državni zbor z dopolnitvijo veljavnega Odloka o okviru za pripravo proračunov sektorja država za obdobje 2025–2027. </w:t>
      </w:r>
    </w:p>
    <w:p w14:paraId="4E868338" w14:textId="77777777" w:rsidR="0087512B" w:rsidRDefault="0087512B" w:rsidP="0087512B"/>
    <w:p w14:paraId="1964CB4B" w14:textId="77777777" w:rsidR="0087512B" w:rsidRDefault="0087512B" w:rsidP="0087512B">
      <w:r>
        <w:t>V zvezi z neusklajenostjo Zakona o fiskalnem pravilu z nedavno spremenjenim sistemom ekonomskega upravljanja EU vlada poudarja, da pripravlja zakonodajne spremembe. Na ravni EU se je šele letos jeseni začela izmenjava mnenj o potrebnih elementih za ustrezen prenos sprememb v nacionalno zakonodajo. Tudi zato še nobena druga država članica svoje nacionalne zakonodaje doslej ni prilagodila novostim, ki izhajajo iz reformiranega okvira ekonomskega upravljanja EU.</w:t>
      </w:r>
    </w:p>
    <w:p w14:paraId="4AD7CED1" w14:textId="77777777" w:rsidR="0087512B" w:rsidRDefault="0087512B" w:rsidP="0087512B"/>
    <w:p w14:paraId="54260835" w14:textId="77777777" w:rsidR="0087512B" w:rsidRDefault="0087512B" w:rsidP="0087512B">
      <w:r>
        <w:lastRenderedPageBreak/>
        <w:t>V zvezi z očitki glede nerealnega načrtovanja državnega proračuna pa vlada med drugim pojasnjuje, da so bile pri načrtovanju državnega proračuna tako kot vsako leto upoštevane zadnja napoved gospodarskih gibanj Urada Republike Slovenije za makroekonomske analize in razvoj, zakonske in druge obveznosti, prioritete ter napovedi predlagateljev finančnih načrtov za namen izvajanja Načrta za okrevanje in odpornost, evropske kohezijske politike ter drugih EU sredstev. Ob tem vlada kot v preteklih odzivih poudarja, da se investicijski odhodki in transferji v proračunu načrtujejo glede na dinamiko projektov v posameznem letu, ta pa se spreminja, kar lahko privede do izrazitejših odstopanj realizacije od načrtov.</w:t>
      </w:r>
    </w:p>
    <w:p w14:paraId="0FA81989" w14:textId="5215C2C1" w:rsidR="0087512B" w:rsidRPr="0087512B" w:rsidRDefault="0087512B" w:rsidP="0087512B">
      <w:pPr>
        <w:pStyle w:val="Vir"/>
      </w:pPr>
      <w:r>
        <w:t>Vir: Ministrstvo za finance</w:t>
      </w:r>
    </w:p>
    <w:p w14:paraId="40214F0C" w14:textId="77691C05" w:rsidR="005E3403" w:rsidRDefault="005E3403" w:rsidP="005E3403">
      <w:pPr>
        <w:pStyle w:val="Naslov2"/>
      </w:pPr>
      <w:r>
        <w:t>Vlada sprejela poročilo o upravljanju z javnim dolgom</w:t>
      </w:r>
    </w:p>
    <w:p w14:paraId="1DC5ED6C" w14:textId="77777777" w:rsidR="00623779" w:rsidRDefault="00623779" w:rsidP="00623779">
      <w:r>
        <w:t xml:space="preserve">Vlada je danes sprejela poročilo o upravljanju z javnim dolgom Slovenije za leto 2023. Tudi leta 2023 se je dolg sektorja država v deležu bruto domačega proizvoda (BDP) znižal; konec leta 2023 je znašal 68,4 odstotka BDP, konec leta 2022 pa 72,7 odstotka BDP. Ustrezno visoka likvidnostna rezerva državnega proračuna oziroma stanje enotnega zakladniškega računa države prispeva k nižjemu deležu neto dolga sektorja države oziroma ga zniža pod 60 odstotkov BDP.  </w:t>
      </w:r>
    </w:p>
    <w:p w14:paraId="4D321689" w14:textId="77777777" w:rsidR="00623779" w:rsidRDefault="00623779" w:rsidP="00623779"/>
    <w:p w14:paraId="1597587E" w14:textId="77777777" w:rsidR="00623779" w:rsidRDefault="00623779" w:rsidP="00623779">
      <w:r>
        <w:t xml:space="preserve">Slovenija se je leta 2023 za potrebe financiranja državnega proračuna zadolžila s kratkoročnimi in dolgoročnimi dolžniškimi vrednostnimi papirji (državnimi obveznicami in zakladnimi menicami) ter s posojilom Evropske unije za izvajanje Načrta za okrevanje in odpornost. </w:t>
      </w:r>
    </w:p>
    <w:p w14:paraId="6A2AA1A1" w14:textId="77777777" w:rsidR="00623779" w:rsidRDefault="00623779" w:rsidP="00623779"/>
    <w:p w14:paraId="00877EC0" w14:textId="77777777" w:rsidR="00623779" w:rsidRDefault="00623779" w:rsidP="00623779">
      <w:r>
        <w:t xml:space="preserve">Dolg državnega proračuna, ki predstavlja največji delež skupnega dolga, je na dan 31. decembra 2023 znašal 39,8 milijarde evrov, plačane obresti pa so v letu 2023 znašale 684 milijonov evrov oziroma 1,1 odstotka BDP. Dolg občin je konec leta 2023 znašal 1,1 milijarde evrov, skladi socialne varnosti pa konec leta 2023 niso bili zadolženi. </w:t>
      </w:r>
    </w:p>
    <w:p w14:paraId="38E048CE" w14:textId="4E107A24" w:rsidR="007313DD" w:rsidRDefault="005E3403" w:rsidP="00623779">
      <w:pPr>
        <w:pStyle w:val="Vir"/>
      </w:pPr>
      <w:r>
        <w:t>Vir: Ministrstvo za finance</w:t>
      </w:r>
    </w:p>
    <w:p w14:paraId="2E260D5D" w14:textId="69401E63" w:rsidR="00484108" w:rsidRDefault="00484108" w:rsidP="00484108">
      <w:pPr>
        <w:pStyle w:val="Naslov2"/>
      </w:pPr>
      <w:r>
        <w:t>Vlada soglašala s predlogi amandmajev k zakonom iz prvega paketa davčnih sprememb</w:t>
      </w:r>
    </w:p>
    <w:p w14:paraId="70E7AB8F" w14:textId="77777777" w:rsidR="00484108" w:rsidRDefault="00484108" w:rsidP="00484108">
      <w:r>
        <w:t>Vlada je danes soglašala s predlogi amandmajev k šestim novelam zakonov, ki tvorijo prvi paket davčnih sprememb. Gre za novele Zakona o davku od dohodkov pravnih oseb, Zakona o davčnem postopku, Zakona o dohodnini, Zakona o množičnem vrednotenju nepremičnin, Zakona o davku na dodano vrednost in Zakona o davčnem potrjevanju računov.</w:t>
      </w:r>
    </w:p>
    <w:p w14:paraId="02AD746E" w14:textId="77777777" w:rsidR="00484108" w:rsidRDefault="00484108" w:rsidP="00484108"/>
    <w:p w14:paraId="53584D97" w14:textId="77777777" w:rsidR="00484108" w:rsidRDefault="00484108" w:rsidP="00484108">
      <w:r>
        <w:t>Predlagani amandmaji so v večji meri nomotehnične narave, namenjeni večji pravni jasnosti posameznih določb, v največji možni meri pa upoštevajo tudi pripombe zakonodajno-pravne službe državnega zbora.</w:t>
      </w:r>
    </w:p>
    <w:p w14:paraId="7DA58B72" w14:textId="77777777" w:rsidR="00484108" w:rsidRDefault="00484108" w:rsidP="00484108"/>
    <w:p w14:paraId="52E39357" w14:textId="77777777" w:rsidR="00484108" w:rsidRDefault="00484108" w:rsidP="00484108">
      <w:r>
        <w:t xml:space="preserve">Med vsebinskimi spremembami pa amandmaji predvidevajo črtanje 15. člena predloga novele Zakona o množičnem vrednotenju nepremičnin. Ta je predvideval, da identifikacijska oznaka nepremičnin, ki je osebni podatek in omogoča povezovanje podatkov posameznega posla s podatki o pogodbenih strankah, zaradi varstva osebnih podatkov ne bi bila več javen podatek. </w:t>
      </w:r>
    </w:p>
    <w:p w14:paraId="7F98656A" w14:textId="77777777" w:rsidR="00484108" w:rsidRDefault="00484108" w:rsidP="00484108"/>
    <w:p w14:paraId="14779A88" w14:textId="77777777" w:rsidR="00484108" w:rsidRDefault="00484108" w:rsidP="00484108">
      <w:r>
        <w:t>Ker v zadnjem času ni bilo zaznati množičnih pritožb s tega področja, je mogoče skleniti, da je omejitev dostopa do osebnih podatkov že ustrezno urejena s področno zakonodajo, ki ureja uporabo osebnih podatkov o lastnikih nepremičnin, ki se vodijo v zemljiški knjigi, zato dodatno omejevanje povezovanja in dostopanja do podatkov o lastnikih nepremičnin, kot je bilo predlagano, v tem trenutku ni potrebno.</w:t>
      </w:r>
    </w:p>
    <w:p w14:paraId="4B70132B" w14:textId="77777777" w:rsidR="00484108" w:rsidRDefault="00484108" w:rsidP="00484108"/>
    <w:p w14:paraId="259C4891" w14:textId="77777777" w:rsidR="00484108" w:rsidRDefault="00484108" w:rsidP="00484108">
      <w:r>
        <w:lastRenderedPageBreak/>
        <w:t>Skladno z amandmajem k predlogu novele Zakona o dohodnini pa bo še naprej veljala dodatna davčna ugodnost za slovenske rezidente, ki delajo v tujini. V davčno osnovo od dohodka, ki ga prejmejo iz delovnega razmerja s tujim delodajalcem za delo v tujini, se tako še naprej ne bo všteval dohodek v višini stroška prehrane med delom, in sicer do višine, povečane za 80 odstotkov glede na višino, ki jo določi vlada.</w:t>
      </w:r>
    </w:p>
    <w:p w14:paraId="7798A463" w14:textId="77777777" w:rsidR="00484108" w:rsidRDefault="00484108" w:rsidP="00484108"/>
    <w:p w14:paraId="35E74F45" w14:textId="77777777" w:rsidR="00484108" w:rsidRDefault="00484108" w:rsidP="00484108">
      <w:r>
        <w:t xml:space="preserve">Dodatno se z namenom izboljšanja poslovnih praks in zasledovanja javnofinančne učinkovitosti v okviru novele Zakona o dohodnini in novele Zakona o davku od dohodkov pravnih oseb izenačuje obdobje uveljavljanja olajšave za že natečene izgube z obdobjem, v katerem bo mogoče uveljaviti olajšavo za novo nastale izgube. </w:t>
      </w:r>
    </w:p>
    <w:p w14:paraId="05D8D3BA" w14:textId="48C1B4AA" w:rsidR="00484108" w:rsidRDefault="00484108" w:rsidP="00484108">
      <w:pPr>
        <w:pStyle w:val="Vir"/>
      </w:pPr>
      <w:r w:rsidRPr="00484108">
        <w:t>Vir: Ministrstvo za finance</w:t>
      </w:r>
    </w:p>
    <w:p w14:paraId="5D44E6AF" w14:textId="5A8588A1" w:rsidR="009A0F82" w:rsidRDefault="009A0F82" w:rsidP="009A0F82">
      <w:pPr>
        <w:pStyle w:val="Naslov2"/>
      </w:pPr>
      <w:r>
        <w:t xml:space="preserve">Vlada sprejela </w:t>
      </w:r>
      <w:r w:rsidR="00AE3863">
        <w:t>s</w:t>
      </w:r>
      <w:r>
        <w:t xml:space="preserve">klep o imenovanju članov in namestnikov v Strokovni svet za sodno izvedenstvo, sodno </w:t>
      </w:r>
      <w:proofErr w:type="spellStart"/>
      <w:r>
        <w:t>cenilstvo</w:t>
      </w:r>
      <w:proofErr w:type="spellEnd"/>
      <w:r>
        <w:t xml:space="preserve"> in sodno tolmačenje </w:t>
      </w:r>
    </w:p>
    <w:p w14:paraId="7B62AA82" w14:textId="038C1326" w:rsidR="009A0F82" w:rsidRDefault="009A0F82" w:rsidP="009A0F82">
      <w:r>
        <w:t xml:space="preserve">Vlada je na današnji seji sprejela </w:t>
      </w:r>
      <w:r w:rsidR="002B485C">
        <w:t>s</w:t>
      </w:r>
      <w:r>
        <w:t xml:space="preserve">klep o imenovanju članov in namestnikov v Strokovni svet za sodno izvedenstvo, sodno </w:t>
      </w:r>
      <w:proofErr w:type="spellStart"/>
      <w:r>
        <w:t>cenilstvo</w:t>
      </w:r>
      <w:proofErr w:type="spellEnd"/>
      <w:r>
        <w:t xml:space="preserve"> in sodno tolmačenje. </w:t>
      </w:r>
    </w:p>
    <w:p w14:paraId="5DBE07B8" w14:textId="77777777" w:rsidR="009A0F82" w:rsidRDefault="009A0F82" w:rsidP="009A0F82"/>
    <w:p w14:paraId="13343869" w14:textId="4CFC5584" w:rsidR="009A0F82" w:rsidRDefault="009A0F82" w:rsidP="009A0F82">
      <w:r>
        <w:t xml:space="preserve">Člane Strokovnega sveta, na predlog ministra za pravosodje, imenuje Vlada Republike Slovenije za šest let, z možnostjo vnovičnega imenovanja. </w:t>
      </w:r>
      <w:r w:rsidR="00864CFF">
        <w:t>Člani so:</w:t>
      </w:r>
    </w:p>
    <w:p w14:paraId="5564DF4C" w14:textId="7156934E" w:rsidR="009A0F82" w:rsidRDefault="009A0F82" w:rsidP="009A0F82">
      <w:pPr>
        <w:pStyle w:val="Odstavekseznama"/>
        <w:numPr>
          <w:ilvl w:val="0"/>
          <w:numId w:val="5"/>
        </w:numPr>
      </w:pPr>
      <w:r>
        <w:t>Boštjan Boh, Ljubljana,</w:t>
      </w:r>
    </w:p>
    <w:p w14:paraId="19D74792" w14:textId="79B83760" w:rsidR="009A0F82" w:rsidRDefault="009A0F82" w:rsidP="009A0F82">
      <w:pPr>
        <w:pStyle w:val="Odstavekseznama"/>
        <w:numPr>
          <w:ilvl w:val="0"/>
          <w:numId w:val="5"/>
        </w:numPr>
      </w:pPr>
      <w:r>
        <w:t>Miran Andrejek, Kuzma,</w:t>
      </w:r>
    </w:p>
    <w:p w14:paraId="72E16129" w14:textId="2257B834" w:rsidR="009A0F82" w:rsidRDefault="009A0F82" w:rsidP="009A0F82">
      <w:pPr>
        <w:pStyle w:val="Odstavekseznama"/>
        <w:numPr>
          <w:ilvl w:val="0"/>
          <w:numId w:val="5"/>
        </w:numPr>
      </w:pPr>
      <w:r>
        <w:t>mag. Branko Kovač, Kočevje,</w:t>
      </w:r>
    </w:p>
    <w:p w14:paraId="4B5959C8" w14:textId="3EFED2FE" w:rsidR="009A0F82" w:rsidRDefault="009A0F82" w:rsidP="009A0F82">
      <w:pPr>
        <w:pStyle w:val="Odstavekseznama"/>
        <w:numPr>
          <w:ilvl w:val="0"/>
          <w:numId w:val="5"/>
        </w:numPr>
      </w:pPr>
      <w:r>
        <w:t>dr. Manca Plazar, Izola – Isola,</w:t>
      </w:r>
    </w:p>
    <w:p w14:paraId="3DD6191C" w14:textId="50EF27A4" w:rsidR="009A0F82" w:rsidRDefault="009A0F82" w:rsidP="009A0F82">
      <w:pPr>
        <w:pStyle w:val="Odstavekseznama"/>
        <w:numPr>
          <w:ilvl w:val="0"/>
          <w:numId w:val="5"/>
        </w:numPr>
      </w:pPr>
      <w:r>
        <w:t xml:space="preserve">Miran Lovrin, Dobrovnik – </w:t>
      </w:r>
      <w:proofErr w:type="spellStart"/>
      <w:r>
        <w:t>Dobronak</w:t>
      </w:r>
      <w:proofErr w:type="spellEnd"/>
      <w:r>
        <w:t>,</w:t>
      </w:r>
    </w:p>
    <w:p w14:paraId="598E1DA3" w14:textId="15482C26" w:rsidR="009A0F82" w:rsidRDefault="009A0F82" w:rsidP="009A0F82">
      <w:pPr>
        <w:pStyle w:val="Odstavekseznama"/>
        <w:numPr>
          <w:ilvl w:val="0"/>
          <w:numId w:val="5"/>
        </w:numPr>
      </w:pPr>
      <w:r>
        <w:t>Andrej Avsenek, Begunje na Gorenjskem,</w:t>
      </w:r>
    </w:p>
    <w:p w14:paraId="3C13E795" w14:textId="3C1D75F3" w:rsidR="009A0F82" w:rsidRDefault="009A0F82" w:rsidP="009A0F82">
      <w:pPr>
        <w:pStyle w:val="Odstavekseznama"/>
        <w:numPr>
          <w:ilvl w:val="0"/>
          <w:numId w:val="5"/>
        </w:numPr>
      </w:pPr>
      <w:r>
        <w:t>prof. dr. Jože Balažic, Ljubljana,</w:t>
      </w:r>
    </w:p>
    <w:p w14:paraId="62A81226" w14:textId="35F0A595" w:rsidR="009A0F82" w:rsidRDefault="009A0F82" w:rsidP="009A0F82">
      <w:pPr>
        <w:pStyle w:val="Odstavekseznama"/>
        <w:numPr>
          <w:ilvl w:val="0"/>
          <w:numId w:val="5"/>
        </w:numPr>
      </w:pPr>
      <w:r>
        <w:t>mag. Anica Prosnik Domjan, Ruše,</w:t>
      </w:r>
    </w:p>
    <w:p w14:paraId="64CD1F88" w14:textId="1F40331F" w:rsidR="009A0F82" w:rsidRDefault="009A0F82" w:rsidP="009A0F82">
      <w:pPr>
        <w:pStyle w:val="Odstavekseznama"/>
        <w:numPr>
          <w:ilvl w:val="0"/>
          <w:numId w:val="5"/>
        </w:numPr>
      </w:pPr>
      <w:r>
        <w:t>izr. prof. dr. Robert Kunc, Ljubljana-Polje,</w:t>
      </w:r>
    </w:p>
    <w:p w14:paraId="2C3F9B8B" w14:textId="5503EE52" w:rsidR="009A0F82" w:rsidRDefault="009A0F82" w:rsidP="009A0F82">
      <w:pPr>
        <w:pStyle w:val="Odstavekseznama"/>
        <w:numPr>
          <w:ilvl w:val="0"/>
          <w:numId w:val="5"/>
        </w:numPr>
      </w:pPr>
      <w:r>
        <w:t>izr. prof. dr. Franci Pušavec, Tržič,</w:t>
      </w:r>
    </w:p>
    <w:p w14:paraId="1F3EF5FF" w14:textId="25516542" w:rsidR="009A0F82" w:rsidRDefault="009A0F82" w:rsidP="009A0F82">
      <w:pPr>
        <w:pStyle w:val="Odstavekseznama"/>
        <w:numPr>
          <w:ilvl w:val="0"/>
          <w:numId w:val="5"/>
        </w:numPr>
      </w:pPr>
      <w:r>
        <w:t xml:space="preserve">Roman Šturm, Škofljica, </w:t>
      </w:r>
    </w:p>
    <w:p w14:paraId="4D6FEA96" w14:textId="7FCAEB1C" w:rsidR="009A0F82" w:rsidRDefault="009A0F82" w:rsidP="009A0F82">
      <w:pPr>
        <w:pStyle w:val="Odstavekseznama"/>
        <w:numPr>
          <w:ilvl w:val="0"/>
          <w:numId w:val="5"/>
        </w:numPr>
      </w:pPr>
      <w:r>
        <w:t>Milena Zlatar, Ljubljana,</w:t>
      </w:r>
    </w:p>
    <w:p w14:paraId="59876A1C" w14:textId="5C972157" w:rsidR="009A0F82" w:rsidRDefault="009A0F82" w:rsidP="009A0F82">
      <w:pPr>
        <w:pStyle w:val="Odstavekseznama"/>
        <w:numPr>
          <w:ilvl w:val="0"/>
          <w:numId w:val="5"/>
        </w:numPr>
      </w:pPr>
      <w:r>
        <w:t>mag. Pavel Toplak, Ljubljana,</w:t>
      </w:r>
    </w:p>
    <w:p w14:paraId="3AFEAA69" w14:textId="74F304BA" w:rsidR="009A0F82" w:rsidRDefault="009A0F82" w:rsidP="009A0F82">
      <w:pPr>
        <w:pStyle w:val="Odstavekseznama"/>
        <w:numPr>
          <w:ilvl w:val="0"/>
          <w:numId w:val="5"/>
        </w:numPr>
      </w:pPr>
      <w:r>
        <w:t>dr. Dejan Žlajpah, Ljubljana,</w:t>
      </w:r>
    </w:p>
    <w:p w14:paraId="56DC49BF" w14:textId="5459E2CC" w:rsidR="009A0F82" w:rsidRDefault="009A0F82" w:rsidP="009A0F82">
      <w:pPr>
        <w:pStyle w:val="Odstavekseznama"/>
        <w:numPr>
          <w:ilvl w:val="0"/>
          <w:numId w:val="5"/>
        </w:numPr>
      </w:pPr>
      <w:r>
        <w:t>Janko Trobiš, Celje,</w:t>
      </w:r>
    </w:p>
    <w:p w14:paraId="5C0608CA" w14:textId="3615CC4F" w:rsidR="009A0F82" w:rsidRDefault="009A0F82" w:rsidP="009A0F82">
      <w:pPr>
        <w:pStyle w:val="Odstavekseznama"/>
        <w:numPr>
          <w:ilvl w:val="0"/>
          <w:numId w:val="5"/>
        </w:numPr>
      </w:pPr>
      <w:r>
        <w:t>Milan Žnidaršič, Trbovlje,</w:t>
      </w:r>
    </w:p>
    <w:p w14:paraId="6E8C1681" w14:textId="73CD779C" w:rsidR="009A0F82" w:rsidRDefault="009A0F82" w:rsidP="009A0F82">
      <w:pPr>
        <w:pStyle w:val="Odstavekseznama"/>
        <w:numPr>
          <w:ilvl w:val="0"/>
          <w:numId w:val="5"/>
        </w:numPr>
      </w:pPr>
      <w:r>
        <w:t>dr. Branko Dolenc, Radovljica,</w:t>
      </w:r>
    </w:p>
    <w:p w14:paraId="0F484D00" w14:textId="04F61CB5" w:rsidR="009A0F82" w:rsidRDefault="009A0F82" w:rsidP="009A0F82">
      <w:pPr>
        <w:pStyle w:val="Odstavekseznama"/>
        <w:numPr>
          <w:ilvl w:val="0"/>
          <w:numId w:val="5"/>
        </w:numPr>
      </w:pPr>
      <w:r>
        <w:t>Anton Dremelj, Ljubljana,</w:t>
      </w:r>
    </w:p>
    <w:p w14:paraId="63BEAF79" w14:textId="391C54FC" w:rsidR="009A0F82" w:rsidRDefault="009A0F82" w:rsidP="009A0F82">
      <w:pPr>
        <w:pStyle w:val="Odstavekseznama"/>
        <w:numPr>
          <w:ilvl w:val="0"/>
          <w:numId w:val="5"/>
        </w:numPr>
      </w:pPr>
      <w:r>
        <w:t>Marko Kajzer, Medvode,</w:t>
      </w:r>
    </w:p>
    <w:p w14:paraId="255E90D2" w14:textId="40886FB4" w:rsidR="009A0F82" w:rsidRDefault="009A0F82" w:rsidP="009A0F82">
      <w:pPr>
        <w:pStyle w:val="Odstavekseznama"/>
        <w:numPr>
          <w:ilvl w:val="0"/>
          <w:numId w:val="5"/>
        </w:numPr>
      </w:pPr>
      <w:r>
        <w:t>prof. dr. Vincenc Butala, Ljubljana,</w:t>
      </w:r>
    </w:p>
    <w:p w14:paraId="37E6964A" w14:textId="15B6F2D8" w:rsidR="009A0F82" w:rsidRDefault="009A0F82" w:rsidP="009A0F82">
      <w:pPr>
        <w:pStyle w:val="Odstavekseznama"/>
        <w:numPr>
          <w:ilvl w:val="0"/>
          <w:numId w:val="5"/>
        </w:numPr>
      </w:pPr>
      <w:r>
        <w:t>mag. Janko Uratnik, Ljubljana,</w:t>
      </w:r>
    </w:p>
    <w:p w14:paraId="24207218" w14:textId="44BE6221" w:rsidR="009A0F82" w:rsidRDefault="009A0F82" w:rsidP="009A0F82">
      <w:pPr>
        <w:pStyle w:val="Odstavekseznama"/>
        <w:numPr>
          <w:ilvl w:val="0"/>
          <w:numId w:val="5"/>
        </w:numPr>
      </w:pPr>
      <w:r>
        <w:t xml:space="preserve">Marjeta Učakar, Ljubljana, </w:t>
      </w:r>
    </w:p>
    <w:p w14:paraId="0BC5DB10" w14:textId="72C8B9E1" w:rsidR="009A0F82" w:rsidRDefault="009A0F82" w:rsidP="009A0F82">
      <w:pPr>
        <w:pStyle w:val="Odstavekseznama"/>
        <w:numPr>
          <w:ilvl w:val="0"/>
          <w:numId w:val="5"/>
        </w:numPr>
      </w:pPr>
      <w:r>
        <w:t>dr. Gregor Potočnik, Domžale,</w:t>
      </w:r>
    </w:p>
    <w:p w14:paraId="4071AE35" w14:textId="0B603078" w:rsidR="009A0F82" w:rsidRDefault="009A0F82" w:rsidP="009A0F82">
      <w:pPr>
        <w:pStyle w:val="Odstavekseznama"/>
        <w:numPr>
          <w:ilvl w:val="0"/>
          <w:numId w:val="5"/>
        </w:numPr>
      </w:pPr>
      <w:r>
        <w:t>Andrej Gerjevič, Brežice,</w:t>
      </w:r>
    </w:p>
    <w:p w14:paraId="64350656" w14:textId="484B0E9F" w:rsidR="009A0F82" w:rsidRDefault="009A0F82" w:rsidP="009A0F82">
      <w:pPr>
        <w:pStyle w:val="Odstavekseznama"/>
        <w:numPr>
          <w:ilvl w:val="0"/>
          <w:numId w:val="5"/>
        </w:numPr>
      </w:pPr>
      <w:r>
        <w:t>dr. Majda Zorec Karlovšek, Ljubljana,</w:t>
      </w:r>
    </w:p>
    <w:p w14:paraId="6140FE56" w14:textId="08CD070B" w:rsidR="009A0F82" w:rsidRDefault="009A0F82" w:rsidP="009A0F82">
      <w:pPr>
        <w:pStyle w:val="Odstavekseznama"/>
        <w:numPr>
          <w:ilvl w:val="0"/>
          <w:numId w:val="5"/>
        </w:numPr>
      </w:pPr>
      <w:r>
        <w:t>mag. Urška Gliha Škrjanec, Grosuplje,</w:t>
      </w:r>
    </w:p>
    <w:p w14:paraId="156A1511" w14:textId="62EFD368" w:rsidR="009A0F82" w:rsidRDefault="009A0F82" w:rsidP="009A0F82">
      <w:pPr>
        <w:pStyle w:val="Odstavekseznama"/>
        <w:numPr>
          <w:ilvl w:val="0"/>
          <w:numId w:val="5"/>
        </w:numPr>
      </w:pPr>
      <w:r>
        <w:t>Špela Kutin, Ljubljana,</w:t>
      </w:r>
    </w:p>
    <w:p w14:paraId="21B6EF44" w14:textId="383AFB1D" w:rsidR="009A0F82" w:rsidRDefault="009A0F82" w:rsidP="009A0F82">
      <w:pPr>
        <w:pStyle w:val="Odstavekseznama"/>
        <w:numPr>
          <w:ilvl w:val="0"/>
          <w:numId w:val="5"/>
        </w:numPr>
      </w:pPr>
      <w:r>
        <w:t xml:space="preserve">Zlata </w:t>
      </w:r>
      <w:proofErr w:type="spellStart"/>
      <w:r>
        <w:t>Crljenko</w:t>
      </w:r>
      <w:proofErr w:type="spellEnd"/>
      <w:r>
        <w:t>, Ljubljana in</w:t>
      </w:r>
    </w:p>
    <w:p w14:paraId="0205BF20" w14:textId="69170878" w:rsidR="009A0F82" w:rsidRDefault="009A0F82" w:rsidP="009A0F82">
      <w:pPr>
        <w:pStyle w:val="Odstavekseznama"/>
        <w:numPr>
          <w:ilvl w:val="0"/>
          <w:numId w:val="5"/>
        </w:numPr>
      </w:pPr>
      <w:r>
        <w:t>Duška Berločnik Kisovec, Braslovče.</w:t>
      </w:r>
    </w:p>
    <w:p w14:paraId="3181E3AD" w14:textId="77777777" w:rsidR="009A0F82" w:rsidRDefault="009A0F82" w:rsidP="009A0F82">
      <w:pPr>
        <w:pStyle w:val="Vir"/>
      </w:pPr>
      <w:r>
        <w:t>Vir: Ministrstvo za pravosodje</w:t>
      </w:r>
    </w:p>
    <w:p w14:paraId="226EF19E" w14:textId="77777777" w:rsidR="00CB2501" w:rsidRPr="00CB2501" w:rsidRDefault="00CB2501" w:rsidP="00CB2501"/>
    <w:p w14:paraId="497E3F4C" w14:textId="3FDB4957" w:rsidR="007904C9" w:rsidRDefault="007904C9" w:rsidP="007904C9">
      <w:pPr>
        <w:pStyle w:val="Naslov2"/>
      </w:pPr>
      <w:r>
        <w:t xml:space="preserve">Vlada imenovala predstavnike ustanovitelja in predstavnika uporabnikov v svet Centra Republike Slovenije za mobilnost in evropske programe izobraževanja in usposabljanja </w:t>
      </w:r>
    </w:p>
    <w:p w14:paraId="1ECEF2DA" w14:textId="77777777" w:rsidR="007904C9" w:rsidRDefault="007904C9" w:rsidP="007904C9">
      <w:r>
        <w:t>Vlada je v svet javnega zavoda Center Republike Slovenije za mobilnost in evropske programe izobraževanja in usposabljanja zaradi poteka mandata dosedanjemu svetu zavoda z dnem 9. 7. 2024, za mandatno dobo štirih let, od ustanovitvene seje, kot predstavnike ustanovitelja imenovala: Majo Mihelič Debeljak in mag. Darinko Cankar, na predlog Ministrstva za vzgojo in izobraževanje; Marka Smrkolja in Simono Koželj, na predlog Ministrstva za visoko šolstvo, znanost in inovacije ter Petro Tramte, na predlog Ministrstva za gospodarstvo, turizem in šport.</w:t>
      </w:r>
    </w:p>
    <w:p w14:paraId="04475E67" w14:textId="77777777" w:rsidR="007904C9" w:rsidRDefault="007904C9" w:rsidP="007904C9"/>
    <w:p w14:paraId="40FD5AA7" w14:textId="77777777" w:rsidR="007904C9" w:rsidRDefault="007904C9" w:rsidP="007904C9">
      <w:r>
        <w:t>Kot predstavnika uporabnikov pa je za mandatno dobo štirih let, od ustanovitvene seje, imenovala Iztoka Leskovarja, na predlog Ministrstva za vzgojo in izobraževanje.</w:t>
      </w:r>
    </w:p>
    <w:p w14:paraId="444DA67C" w14:textId="528B8C36" w:rsidR="00DB409F" w:rsidRDefault="007904C9" w:rsidP="007904C9">
      <w:pPr>
        <w:pStyle w:val="Vir"/>
      </w:pPr>
      <w:r>
        <w:t>Vir: Ministrstvo za vzgojo in izobraževanje</w:t>
      </w:r>
    </w:p>
    <w:p w14:paraId="1D1B6503" w14:textId="312845E4" w:rsidR="00155C0E" w:rsidRDefault="00155C0E" w:rsidP="00155C0E">
      <w:pPr>
        <w:pStyle w:val="Naslov2"/>
      </w:pPr>
      <w:r>
        <w:t>Delovna skupina za nadzor nad izvajanjem resolucije o preprečevanju kriminalitete</w:t>
      </w:r>
    </w:p>
    <w:p w14:paraId="5577BB1E" w14:textId="77777777" w:rsidR="00155C0E" w:rsidRDefault="00155C0E" w:rsidP="00155C0E">
      <w:r>
        <w:t>Vlada Republike Slovenije je sprejela sklep o ustanovitvi Medresorske delovne skupine za koordinacijo in nadzor nad izvajanjem Resolucije o nacionalnem programu preprečevanja in zatiranja kriminalitete za obdobje 2024–2028.</w:t>
      </w:r>
    </w:p>
    <w:p w14:paraId="6D525153" w14:textId="77777777" w:rsidR="00155C0E" w:rsidRDefault="00155C0E" w:rsidP="00155C0E"/>
    <w:p w14:paraId="0A06DEC8" w14:textId="77777777" w:rsidR="00155C0E" w:rsidRDefault="00155C0E" w:rsidP="00155C0E">
      <w:r>
        <w:t>Delovna skupina opravlja zlasti naslednje naloge:</w:t>
      </w:r>
    </w:p>
    <w:p w14:paraId="449D5B6C" w14:textId="591A1EC3" w:rsidR="00155C0E" w:rsidRDefault="00155C0E" w:rsidP="00155C0E">
      <w:pPr>
        <w:pStyle w:val="Odstavekseznama"/>
        <w:numPr>
          <w:ilvl w:val="0"/>
          <w:numId w:val="2"/>
        </w:numPr>
      </w:pPr>
      <w:r>
        <w:t>usklajuje in usmerja delo nosilcev in sodelujočih pri pripravi in izvajanju strategij in programov,</w:t>
      </w:r>
    </w:p>
    <w:p w14:paraId="63C923FC" w14:textId="77777777" w:rsidR="00155C0E" w:rsidRDefault="00155C0E" w:rsidP="00155C0E">
      <w:r>
        <w:t>spremlja učinkovitost izvajanja programov in strategij iz Resolucije o nacionalnem programu preprečevanja in zatiranja kriminalitete za obdobje 2024–2028,</w:t>
      </w:r>
    </w:p>
    <w:p w14:paraId="36766E03" w14:textId="79BB4591" w:rsidR="00155C0E" w:rsidRDefault="00155C0E" w:rsidP="00155C0E">
      <w:pPr>
        <w:pStyle w:val="Odstavekseznama"/>
        <w:numPr>
          <w:ilvl w:val="0"/>
          <w:numId w:val="2"/>
        </w:numPr>
      </w:pPr>
      <w:r>
        <w:t>skrbi za promocijo resolucije in s svojimi dejavnostmi zagotavlja širšo družbeno podporo,</w:t>
      </w:r>
    </w:p>
    <w:p w14:paraId="78673F67" w14:textId="1EF6AC33" w:rsidR="00155C0E" w:rsidRDefault="00155C0E" w:rsidP="00155C0E">
      <w:pPr>
        <w:pStyle w:val="Odstavekseznama"/>
        <w:numPr>
          <w:ilvl w:val="0"/>
          <w:numId w:val="2"/>
        </w:numPr>
      </w:pPr>
      <w:r>
        <w:t>analizira stanje pri preprečevanju in zatiranju kriminalitete ter zbira predloge za načrtovanje</w:t>
      </w:r>
    </w:p>
    <w:p w14:paraId="2BF85C36" w14:textId="77777777" w:rsidR="00155C0E" w:rsidRDefault="00155C0E" w:rsidP="00155C0E">
      <w:r>
        <w:t>dodatnih programov, ki so utemeljeni na podlagi izsledkov raziskav in strokovno utemeljenih</w:t>
      </w:r>
    </w:p>
    <w:p w14:paraId="71F65EF4" w14:textId="77777777" w:rsidR="00155C0E" w:rsidRDefault="00155C0E" w:rsidP="00155C0E">
      <w:r>
        <w:t>predlogov.</w:t>
      </w:r>
    </w:p>
    <w:p w14:paraId="13A5A098" w14:textId="77777777" w:rsidR="00155C0E" w:rsidRDefault="00155C0E" w:rsidP="00155C0E"/>
    <w:p w14:paraId="540E94B3" w14:textId="77777777" w:rsidR="00155C0E" w:rsidRDefault="00155C0E" w:rsidP="00155C0E">
      <w:r>
        <w:t>Delovna skupina najmanj enkrat letno pripravi poročilo o izvajanju resolucije z vidika izvajanja njenih</w:t>
      </w:r>
    </w:p>
    <w:p w14:paraId="4E6B7AAE" w14:textId="77777777" w:rsidR="00155C0E" w:rsidRDefault="00155C0E" w:rsidP="00155C0E">
      <w:r>
        <w:t>strategij in programov in ga pošlje vladi v seznanitev. Prvo poročilo pripravi v letu 2025 za izvajanje resolucije v letu 2024.</w:t>
      </w:r>
    </w:p>
    <w:p w14:paraId="0C4E5562" w14:textId="77777777" w:rsidR="00155C0E" w:rsidRDefault="00155C0E" w:rsidP="00155C0E"/>
    <w:p w14:paraId="342E40DB" w14:textId="77777777" w:rsidR="00155C0E" w:rsidRDefault="00155C0E" w:rsidP="00155C0E">
      <w:r>
        <w:t>Delovno skupino sestavljajo:</w:t>
      </w:r>
    </w:p>
    <w:p w14:paraId="6D7AEA7F" w14:textId="491EE3F3" w:rsidR="00155C0E" w:rsidRDefault="00155C0E" w:rsidP="00155C0E">
      <w:pPr>
        <w:pStyle w:val="Odstavekseznama"/>
        <w:numPr>
          <w:ilvl w:val="0"/>
          <w:numId w:val="3"/>
        </w:numPr>
      </w:pPr>
      <w:r>
        <w:t>mag. Staš Svetek, sekretar, Ministrstvo za notranje zadeve, vodja, Jernej Švab, sekretar,</w:t>
      </w:r>
    </w:p>
    <w:p w14:paraId="1F82FB48" w14:textId="77777777" w:rsidR="00155C0E" w:rsidRDefault="00155C0E" w:rsidP="00155C0E">
      <w:r>
        <w:t>Ministrstvo za notranje zadeve, član, in Tina Levstek, sekretarka, Ministrstvo za notranje</w:t>
      </w:r>
    </w:p>
    <w:p w14:paraId="7EEEB76B" w14:textId="77777777" w:rsidR="00155C0E" w:rsidRDefault="00155C0E" w:rsidP="00155C0E">
      <w:r>
        <w:t>zadeve, članica,</w:t>
      </w:r>
    </w:p>
    <w:p w14:paraId="26FF81E7" w14:textId="4EE6F2E7" w:rsidR="00155C0E" w:rsidRDefault="00155C0E" w:rsidP="00155C0E">
      <w:pPr>
        <w:pStyle w:val="Odstavekseznama"/>
        <w:numPr>
          <w:ilvl w:val="0"/>
          <w:numId w:val="3"/>
        </w:numPr>
      </w:pPr>
      <w:r>
        <w:t>Tomaž Peršolja, višji kriminalistični svetnik, Ministrstvo za notranje zadeve, Generalna</w:t>
      </w:r>
    </w:p>
    <w:p w14:paraId="3327427A" w14:textId="77777777" w:rsidR="00155C0E" w:rsidRDefault="00155C0E" w:rsidP="00155C0E">
      <w:r>
        <w:t>policijska uprava, namestnik vodje,</w:t>
      </w:r>
    </w:p>
    <w:p w14:paraId="042E07B5" w14:textId="4C02BAAF" w:rsidR="00155C0E" w:rsidRDefault="00155C0E" w:rsidP="00155C0E">
      <w:pPr>
        <w:pStyle w:val="Odstavekseznama"/>
        <w:numPr>
          <w:ilvl w:val="0"/>
          <w:numId w:val="3"/>
        </w:numPr>
      </w:pPr>
      <w:r>
        <w:t>dr. Simona Rajšp, sekretarka, Ministrstvo za delo, družino, socialne zadeve in enake možnosti, članica,</w:t>
      </w:r>
    </w:p>
    <w:p w14:paraId="74EA65DF" w14:textId="3C3A7BD7" w:rsidR="00155C0E" w:rsidRDefault="00155C0E" w:rsidP="00155C0E">
      <w:pPr>
        <w:pStyle w:val="Odstavekseznama"/>
        <w:numPr>
          <w:ilvl w:val="0"/>
          <w:numId w:val="3"/>
        </w:numPr>
      </w:pPr>
      <w:r>
        <w:t>dr. Anita Goršek, sekretarka, Ministrstvo za infrastrukturo, članica, in Bojana Jazbec, podsekretarka, Ministrstvo za infrastrukturo, namestnica članice,</w:t>
      </w:r>
    </w:p>
    <w:p w14:paraId="5F5301EA" w14:textId="51119F5B" w:rsidR="00155C0E" w:rsidRDefault="00155C0E" w:rsidP="00155C0E">
      <w:pPr>
        <w:pStyle w:val="Odstavekseznama"/>
        <w:numPr>
          <w:ilvl w:val="0"/>
          <w:numId w:val="3"/>
        </w:numPr>
      </w:pPr>
      <w:r>
        <w:t>Irena Koželj, podsekretarka, Ministrstvo za okolje, podnebje in energijo, članica,</w:t>
      </w:r>
    </w:p>
    <w:p w14:paraId="0E7D490D" w14:textId="5A908097" w:rsidR="00155C0E" w:rsidRDefault="00155C0E" w:rsidP="00155C0E">
      <w:pPr>
        <w:pStyle w:val="Odstavekseznama"/>
        <w:numPr>
          <w:ilvl w:val="0"/>
          <w:numId w:val="3"/>
        </w:numPr>
      </w:pPr>
      <w:r>
        <w:t>Zala Arnolj, sekretarka, Ministrstvo za javno upravo, članica,</w:t>
      </w:r>
    </w:p>
    <w:p w14:paraId="77681F6E" w14:textId="0D533402" w:rsidR="00155C0E" w:rsidRDefault="00155C0E" w:rsidP="00155C0E">
      <w:pPr>
        <w:pStyle w:val="Odstavekseznama"/>
        <w:numPr>
          <w:ilvl w:val="0"/>
          <w:numId w:val="3"/>
        </w:numPr>
      </w:pPr>
      <w:r>
        <w:t>Stanislav Rupnik, sekretar, Ministrstvo za naravne vire in prostor, član,</w:t>
      </w:r>
    </w:p>
    <w:p w14:paraId="708AC980" w14:textId="6AE22417" w:rsidR="00155C0E" w:rsidRDefault="00155C0E" w:rsidP="00155C0E">
      <w:pPr>
        <w:pStyle w:val="Odstavekseznama"/>
        <w:numPr>
          <w:ilvl w:val="0"/>
          <w:numId w:val="3"/>
        </w:numPr>
      </w:pPr>
      <w:r>
        <w:t>Lenart J. Kučić, sekretar, Ministrstvo za kulturo, član,</w:t>
      </w:r>
    </w:p>
    <w:p w14:paraId="17612E29" w14:textId="7A559693" w:rsidR="00155C0E" w:rsidRDefault="00155C0E" w:rsidP="00155C0E">
      <w:pPr>
        <w:pStyle w:val="Odstavekseznama"/>
        <w:numPr>
          <w:ilvl w:val="0"/>
          <w:numId w:val="3"/>
        </w:numPr>
      </w:pPr>
      <w:r>
        <w:t>Tanja Skornšek Pleš, sekretarka, Ministrstvo za solidarno prihodnost, članica,</w:t>
      </w:r>
    </w:p>
    <w:p w14:paraId="06349BB6" w14:textId="76097EDD" w:rsidR="00155C0E" w:rsidRDefault="00155C0E" w:rsidP="00155C0E">
      <w:pPr>
        <w:pStyle w:val="Odstavekseznama"/>
        <w:numPr>
          <w:ilvl w:val="0"/>
          <w:numId w:val="3"/>
        </w:numPr>
      </w:pPr>
      <w:r>
        <w:t xml:space="preserve">Alenka </w:t>
      </w:r>
      <w:proofErr w:type="spellStart"/>
      <w:r>
        <w:t>Klepac</w:t>
      </w:r>
      <w:proofErr w:type="spellEnd"/>
      <w:r>
        <w:t>, sekretarka, Ministrstvo za vzgojo in izobraževanje, članica,</w:t>
      </w:r>
    </w:p>
    <w:p w14:paraId="2B464D2A" w14:textId="37D40ADD" w:rsidR="00155C0E" w:rsidRDefault="00155C0E" w:rsidP="00155C0E">
      <w:pPr>
        <w:pStyle w:val="Odstavekseznama"/>
        <w:numPr>
          <w:ilvl w:val="0"/>
          <w:numId w:val="3"/>
        </w:numPr>
      </w:pPr>
      <w:r>
        <w:t>mag. Robert Golobinek, sekretar, Ministrstvo za pravosodje, član,</w:t>
      </w:r>
    </w:p>
    <w:p w14:paraId="430B1900" w14:textId="10213340" w:rsidR="00155C0E" w:rsidRDefault="00155C0E" w:rsidP="00155C0E">
      <w:pPr>
        <w:pStyle w:val="Odstavekseznama"/>
        <w:numPr>
          <w:ilvl w:val="0"/>
          <w:numId w:val="3"/>
        </w:numPr>
      </w:pPr>
      <w:r>
        <w:t>dr. Jože Hren, sekretar, Ministrstvo za zdravje, član, Doroteja Novak-Gosarič, sekretarka,</w:t>
      </w:r>
    </w:p>
    <w:p w14:paraId="1BCAFF8D" w14:textId="1537FCCA" w:rsidR="00155C0E" w:rsidRDefault="00155C0E" w:rsidP="00155C0E">
      <w:r>
        <w:lastRenderedPageBreak/>
        <w:t>Ministrstvo za zdravje, članica in Samo Kodrin, sekretar, Ministrstvo za zdravje, član,</w:t>
      </w:r>
    </w:p>
    <w:p w14:paraId="55BA82F0" w14:textId="1EC0979C" w:rsidR="00155C0E" w:rsidRDefault="00155C0E" w:rsidP="00155C0E">
      <w:pPr>
        <w:pStyle w:val="Odstavekseznama"/>
        <w:numPr>
          <w:ilvl w:val="0"/>
          <w:numId w:val="4"/>
        </w:numPr>
      </w:pPr>
      <w:r>
        <w:t>mag. Melita Šinkovec, vodja sektorja, sekretarka, Urad Vlade RS za informacijsko varnost,</w:t>
      </w:r>
    </w:p>
    <w:p w14:paraId="6F3E0C4C" w14:textId="77777777" w:rsidR="00155C0E" w:rsidRDefault="00155C0E" w:rsidP="00155C0E">
      <w:r>
        <w:t>članica,</w:t>
      </w:r>
    </w:p>
    <w:p w14:paraId="3A6ABB04" w14:textId="48CB9698" w:rsidR="00155C0E" w:rsidRDefault="00155C0E" w:rsidP="00155C0E">
      <w:pPr>
        <w:pStyle w:val="Odstavekseznama"/>
        <w:numPr>
          <w:ilvl w:val="0"/>
          <w:numId w:val="4"/>
        </w:numPr>
      </w:pPr>
      <w:r>
        <w:t>Danilo Hovnik, višji svetovalec, Urad Vlade RS za oskrbo in integracijo migrantov, član, in</w:t>
      </w:r>
    </w:p>
    <w:p w14:paraId="2B956896" w14:textId="77777777" w:rsidR="00155C0E" w:rsidRDefault="00155C0E" w:rsidP="00155C0E">
      <w:r>
        <w:t>Dalibor Topić, višji svetovalec, Urad Vlade RS za oskrbo in integracijo migrantov, član,</w:t>
      </w:r>
    </w:p>
    <w:p w14:paraId="1DDA1E0F" w14:textId="66DFE4A9" w:rsidR="00155C0E" w:rsidRDefault="00155C0E" w:rsidP="00155C0E">
      <w:pPr>
        <w:pStyle w:val="Odstavekseznama"/>
        <w:numPr>
          <w:ilvl w:val="0"/>
          <w:numId w:val="4"/>
        </w:numPr>
      </w:pPr>
      <w:r>
        <w:t>predstavnica Slovenske obveščevalno-varnostne agencije, članica.</w:t>
      </w:r>
    </w:p>
    <w:p w14:paraId="53BFD793" w14:textId="77777777" w:rsidR="00155C0E" w:rsidRDefault="00155C0E" w:rsidP="00155C0E"/>
    <w:p w14:paraId="01BE101A" w14:textId="77777777" w:rsidR="00155C0E" w:rsidRDefault="00155C0E" w:rsidP="00155C0E">
      <w:r>
        <w:t>Pri delu delovne skupine na povabilo sodelujejo tudi strokovnjaki iz znanstvenoraziskovalnih ustanov in organizacij civilne družbe ter predstavniki samoupravnih lokalnih skupnosti.</w:t>
      </w:r>
    </w:p>
    <w:p w14:paraId="737C65EC" w14:textId="77777777" w:rsidR="00155C0E" w:rsidRDefault="00155C0E" w:rsidP="00155C0E"/>
    <w:p w14:paraId="065EFC96" w14:textId="77777777" w:rsidR="00155C0E" w:rsidRDefault="00155C0E" w:rsidP="00155C0E">
      <w:r>
        <w:t>Delovna skupina preneha delovati v letu po izteku veljavnosti resolucije, in sicer v letu 2029, ko pripravi zadnje poročilo za leto 2028 in ga pošlje vladi v seznanitev.</w:t>
      </w:r>
    </w:p>
    <w:p w14:paraId="6E116688" w14:textId="050CB5A0" w:rsidR="00DB409F" w:rsidRDefault="00155C0E" w:rsidP="00155C0E">
      <w:pPr>
        <w:pStyle w:val="Vir"/>
      </w:pPr>
      <w:r>
        <w:t>Vir: Ministrstvo za notranje zadeve</w:t>
      </w:r>
    </w:p>
    <w:p w14:paraId="1A5D9D9C" w14:textId="5A24FF9B" w:rsidR="0069092D" w:rsidRDefault="0069092D" w:rsidP="0069092D">
      <w:pPr>
        <w:pStyle w:val="Naslov2"/>
      </w:pPr>
      <w:r>
        <w:t>Vlada sprejela mnenje glede prijavljenih kandidatov za mesto sodnika/sodnice na Sodišču EU v Luksemburgu</w:t>
      </w:r>
    </w:p>
    <w:p w14:paraId="478615D8" w14:textId="77777777" w:rsidR="0069092D" w:rsidRDefault="0069092D" w:rsidP="0069092D">
      <w:r>
        <w:t>Vlada je na današnji seji sprejela mnenje, da vseh sedem kandidatov, ki so se prijavili na razpis za eno mesto kandidata/kandidatke za sodnika/sodnico na Sodišču Evropske unije v Luksemburgu, izpolnjuje formalne pogoje in so primerni kandidati za opravljanje funkcije sodnika na tem sodišču, in ga posreduje predsednici Republike Slovenije.</w:t>
      </w:r>
    </w:p>
    <w:p w14:paraId="7E00E093" w14:textId="77777777" w:rsidR="0069092D" w:rsidRDefault="0069092D" w:rsidP="0069092D"/>
    <w:p w14:paraId="02B450D5" w14:textId="3A030025" w:rsidR="0069092D" w:rsidRDefault="0069092D" w:rsidP="0069092D">
      <w:r>
        <w:t xml:space="preserve">Ministrstvo za pravosodje je v Uradnem listu št. 57/2024 z dne 12. </w:t>
      </w:r>
      <w:r w:rsidR="00CB2501">
        <w:t>julija</w:t>
      </w:r>
      <w:r>
        <w:t xml:space="preserve"> 2024  objavilo razpis za eno mesto kandidatke ali kandidata za sodnico ali sodnika na Sodišču Evropske unije v Luksemburgu. Predsednica Republike Slovenije se po pridobitvi mnenja Vlade Republike Slovenije in Sodnega sveta Republike Slovenije do prijavljenih kandidatur opredeli ter posreduje predloge potrebnega števila kandidatov za izvolitev Državnemu zboru Republike Slovenije, pri čemer lahko predlaga tudi več kandidatov, kot je potrebno po pravilih mednarodnega sodišča. Kandidata za sodnika mednarodnega sodišča izvoli Državni zbor Republike Slovenije s tajnim glasovanjem z večino glasov vseh poslancev. </w:t>
      </w:r>
    </w:p>
    <w:p w14:paraId="46909D37" w14:textId="5A8D9E5E" w:rsidR="00DB409F" w:rsidRDefault="0069092D" w:rsidP="0069092D">
      <w:pPr>
        <w:pStyle w:val="Vir"/>
      </w:pPr>
      <w:r>
        <w:t>Vir: Ministrstvo za pravosodje</w:t>
      </w:r>
    </w:p>
    <w:p w14:paraId="6CE2E658" w14:textId="0B1F852A" w:rsidR="0067451D" w:rsidRDefault="0067451D" w:rsidP="0067451D">
      <w:pPr>
        <w:pStyle w:val="Naslov2"/>
      </w:pPr>
      <w:r>
        <w:t>Vlada sprejela besedilo javnega poziva za predlaganje kandidatov za zastopnika pacientovih pravic v Ljubljani</w:t>
      </w:r>
    </w:p>
    <w:p w14:paraId="4A0A07C3" w14:textId="77777777" w:rsidR="0067451D" w:rsidRDefault="0067451D" w:rsidP="0067451D">
      <w:r>
        <w:t>Vlada Republike Slovenije je na današnji seji sprejela besedilo javnega poziva za predlaganje kandidatov za zastopnika pacientovih pravic na območju območne enote Nacionalnega inštituta za javno zdravje Ljubljana, ki bo objavljen v dnevnem časopisju in na spletni strani Ministrstva za zdravje.</w:t>
      </w:r>
    </w:p>
    <w:p w14:paraId="61550E3A" w14:textId="7DD8A8C4" w:rsidR="00DB409F" w:rsidRDefault="0067451D" w:rsidP="0067451D">
      <w:pPr>
        <w:pStyle w:val="Vir"/>
      </w:pPr>
      <w:r>
        <w:t>Vir: Ministrstvo za zdravje</w:t>
      </w:r>
    </w:p>
    <w:p w14:paraId="6424A7A1" w14:textId="533A88DF" w:rsidR="00143A74" w:rsidRDefault="00143A74" w:rsidP="00143A74">
      <w:pPr>
        <w:pStyle w:val="Naslov2"/>
      </w:pPr>
      <w:r>
        <w:t>Vlada izbrala kandidata za direktorja Agencije za zavarovalni nadzor</w:t>
      </w:r>
    </w:p>
    <w:p w14:paraId="6D3FA806" w14:textId="4DBD6F29" w:rsidR="00143A74" w:rsidRDefault="00143A74" w:rsidP="00143A74">
      <w:r>
        <w:t>Vlada predlaga Državnemu zboru, da imenuje mag. Gorazda Čibeja, za direktorja Agencije za zavarovalni nadzor, za dobo šestih let, in sicer od 1. januarja 2025 do najdlje 31. decembra 2031, z možnostjo ponovnega imenovanja.</w:t>
      </w:r>
    </w:p>
    <w:p w14:paraId="793E8D3F" w14:textId="77777777" w:rsidR="00143A74" w:rsidRDefault="00143A74" w:rsidP="00143A74"/>
    <w:p w14:paraId="3E1DD488" w14:textId="775E570D" w:rsidR="00143A74" w:rsidRDefault="00143A74" w:rsidP="00143A74">
      <w:r>
        <w:t>Vlada ocenjuje, da bo mag. Gorazd Čibej na podlagi standardov strokovne usposobljenosti in primernosti kandidata ter dosedanjih delovnih izkušenj uspešno opravljal svoje delo v skladu z določbami Zakona o zavarovalništvu.</w:t>
      </w:r>
    </w:p>
    <w:p w14:paraId="01F0B70B" w14:textId="196F440B" w:rsidR="00477150" w:rsidRDefault="00143A74" w:rsidP="00143A74">
      <w:pPr>
        <w:pStyle w:val="Vir"/>
      </w:pPr>
      <w:r>
        <w:t>Vir: Ministrstvo za finance</w:t>
      </w:r>
    </w:p>
    <w:p w14:paraId="32F313B3" w14:textId="316B68B6" w:rsidR="00AC1F1F" w:rsidRDefault="00AC1F1F" w:rsidP="00AC1F1F">
      <w:pPr>
        <w:pStyle w:val="Naslov2"/>
      </w:pPr>
      <w:r>
        <w:lastRenderedPageBreak/>
        <w:t xml:space="preserve">Vlada podaljšala trajanje  posebnega vladnega projekta »Reševanje kadrovskih težav v Upravi Republike Slovenije za izvrševanje kazenskih sankcij« </w:t>
      </w:r>
    </w:p>
    <w:p w14:paraId="7ADEACE9" w14:textId="5A49FFDD" w:rsidR="00AC1F1F" w:rsidRDefault="00AC1F1F" w:rsidP="00AC1F1F">
      <w:r>
        <w:t xml:space="preserve">Vlada se je na današnji seji seznanila z informacijo o kadrovskem stanju v Upravi Republike Slovenije za izvrševanje kazenskih sankcij in trajanje posebnega vladnega projekta »Reševanje kadrovskih težav v Upravi Republike Slovenije za izvrševanje kazenskih sankcij od novembra 2022 do vključno oktobra 2023«, sprejetega s sklepom z dne 24. </w:t>
      </w:r>
      <w:r w:rsidR="00CB2501">
        <w:t>novembra</w:t>
      </w:r>
      <w:r>
        <w:t xml:space="preserve"> 2022, podaljšala do 31. decembra 2024.</w:t>
      </w:r>
    </w:p>
    <w:p w14:paraId="2E783A72" w14:textId="4B9C546A" w:rsidR="00477150" w:rsidRDefault="00AC1F1F" w:rsidP="00AC1F1F">
      <w:pPr>
        <w:pStyle w:val="Vir"/>
      </w:pPr>
      <w:r>
        <w:t>Vir: Ministrstvo za pravosodje</w:t>
      </w:r>
    </w:p>
    <w:p w14:paraId="7E4DFC16" w14:textId="4BB6AD0C" w:rsidR="00261CF4" w:rsidRDefault="00261CF4" w:rsidP="00261CF4">
      <w:pPr>
        <w:pStyle w:val="Naslov2"/>
      </w:pPr>
      <w:r>
        <w:t xml:space="preserve">Vlada razrešila Pliberška in imenovala </w:t>
      </w:r>
      <w:proofErr w:type="spellStart"/>
      <w:r>
        <w:t>Osrečkega</w:t>
      </w:r>
      <w:proofErr w:type="spellEnd"/>
      <w:r>
        <w:t xml:space="preserve"> za vršilca dolžnosti direktorja Urada Republike Slovenije za nadzor, kakovost in investicije v zdravstvu</w:t>
      </w:r>
    </w:p>
    <w:p w14:paraId="1B4A220A" w14:textId="77777777" w:rsidR="00261CF4" w:rsidRDefault="00261CF4" w:rsidP="00261CF4">
      <w:r>
        <w:t xml:space="preserve">Vlada Republike Slovenije je na današnji seji izdala odločbo o razrešitvi dr. Tomaža Pliberška s položaja direktorja Urada Republike Slovenije za nadzor, kakovost in investicije v zdravstvu (UNKIZ). Hkrati je za vršilca dolžnosti direktorja UNKIZ imenovala Ivana </w:t>
      </w:r>
      <w:proofErr w:type="spellStart"/>
      <w:r>
        <w:t>Osrečkega</w:t>
      </w:r>
      <w:proofErr w:type="spellEnd"/>
      <w:r>
        <w:t>, in sicer z dnem 26. oktobra 2024, do imenovanja novega direktorja, vendar največ za šest mesecev, to je najdlje do 25. aprila 2025.</w:t>
      </w:r>
    </w:p>
    <w:p w14:paraId="6B4ED04B" w14:textId="06088818" w:rsidR="00477150" w:rsidRDefault="00261CF4" w:rsidP="00261CF4">
      <w:pPr>
        <w:pStyle w:val="Vir"/>
      </w:pPr>
      <w:r>
        <w:t>Vir: Ministrstvo za zdravje</w:t>
      </w:r>
    </w:p>
    <w:p w14:paraId="562D299A" w14:textId="77777777" w:rsidR="00477150" w:rsidRDefault="00477150" w:rsidP="00DB409F"/>
    <w:p w14:paraId="170FB55E" w14:textId="77777777" w:rsidR="00DB409F" w:rsidRDefault="00DB409F" w:rsidP="00DB409F"/>
    <w:p w14:paraId="50AD9902" w14:textId="77777777" w:rsidR="00DB409F" w:rsidRDefault="00DB409F" w:rsidP="00DB409F"/>
    <w:p w14:paraId="2ED3D4F8" w14:textId="77777777" w:rsidR="00DB409F" w:rsidRDefault="00DB409F" w:rsidP="00DB409F"/>
    <w:p w14:paraId="0F9DEF82" w14:textId="77777777" w:rsidR="00DB409F" w:rsidRDefault="00DB409F" w:rsidP="00DB409F"/>
    <w:p w14:paraId="38FA17A8" w14:textId="77777777" w:rsidR="00DB409F" w:rsidRDefault="00DB409F" w:rsidP="00DB409F"/>
    <w:p w14:paraId="73583AB9" w14:textId="77777777" w:rsidR="00DB409F" w:rsidRPr="00DB409F" w:rsidRDefault="00DB409F" w:rsidP="00DB409F"/>
    <w:sectPr w:rsidR="00DB409F" w:rsidRPr="00DB409F"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9FC6C" w14:textId="77777777" w:rsidR="00CA5624" w:rsidRDefault="00CA5624" w:rsidP="00750D01">
      <w:pPr>
        <w:spacing w:line="240" w:lineRule="auto"/>
      </w:pPr>
      <w:r>
        <w:separator/>
      </w:r>
    </w:p>
  </w:endnote>
  <w:endnote w:type="continuationSeparator" w:id="0">
    <w:p w14:paraId="2FE5D0A3" w14:textId="77777777" w:rsidR="00CA5624" w:rsidRDefault="00CA5624"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Impact"/>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4791A" w14:textId="77777777" w:rsidR="00CA5624" w:rsidRDefault="00CA5624" w:rsidP="00750D01">
      <w:pPr>
        <w:spacing w:line="240" w:lineRule="auto"/>
      </w:pPr>
      <w:r>
        <w:separator/>
      </w:r>
    </w:p>
  </w:footnote>
  <w:footnote w:type="continuationSeparator" w:id="0">
    <w:p w14:paraId="2CFC5B21" w14:textId="77777777" w:rsidR="00CA5624" w:rsidRDefault="00CA5624"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37536"/>
    <w:multiLevelType w:val="hybridMultilevel"/>
    <w:tmpl w:val="0CFEDC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E5311F3"/>
    <w:multiLevelType w:val="hybridMultilevel"/>
    <w:tmpl w:val="605E65F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A6B2C0C"/>
    <w:multiLevelType w:val="hybridMultilevel"/>
    <w:tmpl w:val="D9008F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B4312E5"/>
    <w:multiLevelType w:val="hybridMultilevel"/>
    <w:tmpl w:val="B208793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6576364">
    <w:abstractNumId w:val="2"/>
  </w:num>
  <w:num w:numId="2" w16cid:durableId="38285694">
    <w:abstractNumId w:val="4"/>
  </w:num>
  <w:num w:numId="3" w16cid:durableId="314454575">
    <w:abstractNumId w:val="3"/>
  </w:num>
  <w:num w:numId="4" w16cid:durableId="1127239465">
    <w:abstractNumId w:val="0"/>
  </w:num>
  <w:num w:numId="5" w16cid:durableId="1823740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318E4"/>
    <w:rsid w:val="00076DF7"/>
    <w:rsid w:val="00097B85"/>
    <w:rsid w:val="000D5BC2"/>
    <w:rsid w:val="000D5C05"/>
    <w:rsid w:val="000E5476"/>
    <w:rsid w:val="001066C3"/>
    <w:rsid w:val="00110B8F"/>
    <w:rsid w:val="00143A74"/>
    <w:rsid w:val="00155C0E"/>
    <w:rsid w:val="001602C9"/>
    <w:rsid w:val="00197648"/>
    <w:rsid w:val="001A288C"/>
    <w:rsid w:val="001B01DD"/>
    <w:rsid w:val="001F51BC"/>
    <w:rsid w:val="00203F5F"/>
    <w:rsid w:val="00212F05"/>
    <w:rsid w:val="00215140"/>
    <w:rsid w:val="00231021"/>
    <w:rsid w:val="00261CF4"/>
    <w:rsid w:val="002B485C"/>
    <w:rsid w:val="002E51B7"/>
    <w:rsid w:val="00361255"/>
    <w:rsid w:val="003756B3"/>
    <w:rsid w:val="003847C8"/>
    <w:rsid w:val="003877EB"/>
    <w:rsid w:val="0039662C"/>
    <w:rsid w:val="003A59AA"/>
    <w:rsid w:val="003E17B6"/>
    <w:rsid w:val="003E6170"/>
    <w:rsid w:val="00414D33"/>
    <w:rsid w:val="00415527"/>
    <w:rsid w:val="00477150"/>
    <w:rsid w:val="00484108"/>
    <w:rsid w:val="004B7346"/>
    <w:rsid w:val="00522637"/>
    <w:rsid w:val="005515BD"/>
    <w:rsid w:val="005900BD"/>
    <w:rsid w:val="005C1523"/>
    <w:rsid w:val="005E1ABB"/>
    <w:rsid w:val="005E3403"/>
    <w:rsid w:val="00623779"/>
    <w:rsid w:val="00634EFA"/>
    <w:rsid w:val="006363F5"/>
    <w:rsid w:val="0064529B"/>
    <w:rsid w:val="0067451D"/>
    <w:rsid w:val="0069092D"/>
    <w:rsid w:val="006A44FE"/>
    <w:rsid w:val="006C7A39"/>
    <w:rsid w:val="007130E1"/>
    <w:rsid w:val="007313DD"/>
    <w:rsid w:val="0073796B"/>
    <w:rsid w:val="00750D01"/>
    <w:rsid w:val="00762A1D"/>
    <w:rsid w:val="007669A3"/>
    <w:rsid w:val="00781345"/>
    <w:rsid w:val="00781D82"/>
    <w:rsid w:val="007904C9"/>
    <w:rsid w:val="007B0102"/>
    <w:rsid w:val="007B0ADD"/>
    <w:rsid w:val="007B2197"/>
    <w:rsid w:val="007F57FD"/>
    <w:rsid w:val="00816868"/>
    <w:rsid w:val="008336E7"/>
    <w:rsid w:val="00847ED3"/>
    <w:rsid w:val="008624E8"/>
    <w:rsid w:val="00864CFF"/>
    <w:rsid w:val="0087512B"/>
    <w:rsid w:val="0087619E"/>
    <w:rsid w:val="008B7AF2"/>
    <w:rsid w:val="00905C96"/>
    <w:rsid w:val="009174DA"/>
    <w:rsid w:val="00922113"/>
    <w:rsid w:val="00947EB0"/>
    <w:rsid w:val="009540E4"/>
    <w:rsid w:val="009A0F82"/>
    <w:rsid w:val="009C2C98"/>
    <w:rsid w:val="009C2D77"/>
    <w:rsid w:val="009D10D1"/>
    <w:rsid w:val="00A06971"/>
    <w:rsid w:val="00A30052"/>
    <w:rsid w:val="00A60A37"/>
    <w:rsid w:val="00A7412B"/>
    <w:rsid w:val="00AC1F1F"/>
    <w:rsid w:val="00AD1AFD"/>
    <w:rsid w:val="00AE3863"/>
    <w:rsid w:val="00AE6CD6"/>
    <w:rsid w:val="00B12C9D"/>
    <w:rsid w:val="00B44AF3"/>
    <w:rsid w:val="00B60F58"/>
    <w:rsid w:val="00B6498C"/>
    <w:rsid w:val="00B753A8"/>
    <w:rsid w:val="00B84862"/>
    <w:rsid w:val="00BA743D"/>
    <w:rsid w:val="00BE5149"/>
    <w:rsid w:val="00C004DD"/>
    <w:rsid w:val="00C3625E"/>
    <w:rsid w:val="00C458C2"/>
    <w:rsid w:val="00C8305A"/>
    <w:rsid w:val="00CA074D"/>
    <w:rsid w:val="00CA5624"/>
    <w:rsid w:val="00CB2501"/>
    <w:rsid w:val="00CF2181"/>
    <w:rsid w:val="00D25F0A"/>
    <w:rsid w:val="00D7373E"/>
    <w:rsid w:val="00DB409F"/>
    <w:rsid w:val="00DE7F46"/>
    <w:rsid w:val="00E02AB3"/>
    <w:rsid w:val="00E14AAE"/>
    <w:rsid w:val="00E2036F"/>
    <w:rsid w:val="00E337FC"/>
    <w:rsid w:val="00E3507E"/>
    <w:rsid w:val="00E7132A"/>
    <w:rsid w:val="00E948BD"/>
    <w:rsid w:val="00EA0D68"/>
    <w:rsid w:val="00EB5CAC"/>
    <w:rsid w:val="00F01966"/>
    <w:rsid w:val="00F11F9D"/>
    <w:rsid w:val="00F93A56"/>
    <w:rsid w:val="00FA792D"/>
    <w:rsid w:val="00FC20DE"/>
    <w:rsid w:val="00FC2D38"/>
    <w:rsid w:val="00FF5E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6798</Words>
  <Characters>38751</Characters>
  <Application>Microsoft Office Word</Application>
  <DocSecurity>0</DocSecurity>
  <Lines>322</Lines>
  <Paragraphs>90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2024-10-22T14:26:00Z</dcterms:created>
  <dcterms:modified xsi:type="dcterms:W3CDTF">2024-10-24T14:55:00Z</dcterms:modified>
</cp:coreProperties>
</file>