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0D903B7" w:rsidR="0073796B" w:rsidRPr="0039662C" w:rsidRDefault="00A60A37" w:rsidP="0039662C">
      <w:pPr>
        <w:pStyle w:val="Naslov1"/>
      </w:pPr>
      <w:r>
        <w:t>12</w:t>
      </w:r>
      <w:r w:rsidR="00524AAD">
        <w:t>7</w:t>
      </w:r>
      <w:r w:rsidR="0073796B" w:rsidRPr="0039662C">
        <w:t>. redna seja Vlade Republike Slovenije</w:t>
      </w:r>
    </w:p>
    <w:p w14:paraId="27F30B92" w14:textId="04754BA3" w:rsidR="0073796B" w:rsidRDefault="00524AAD" w:rsidP="008B7AF2">
      <w:pPr>
        <w:pStyle w:val="DatumSZJ"/>
      </w:pPr>
      <w:r>
        <w:t>7</w:t>
      </w:r>
      <w:r w:rsidR="0073796B" w:rsidRPr="008B7AF2">
        <w:t xml:space="preserve">. </w:t>
      </w:r>
      <w:r>
        <w:t>novem</w:t>
      </w:r>
      <w:r w:rsidR="0073796B" w:rsidRPr="008B7AF2">
        <w:t>ber 202</w:t>
      </w:r>
      <w:r w:rsidR="00A60A37">
        <w:t>4</w:t>
      </w:r>
    </w:p>
    <w:p w14:paraId="7C81797B" w14:textId="5D5683E4" w:rsidR="005E0165" w:rsidRDefault="005E0165" w:rsidP="005E0165">
      <w:pPr>
        <w:pStyle w:val="Naslov2"/>
      </w:pPr>
      <w:r>
        <w:t xml:space="preserve">Z vetrnimi elektrarnami na Ojstrici do povečanja obnovljivih virov energije v Sloveniji </w:t>
      </w:r>
    </w:p>
    <w:p w14:paraId="3F5DC80A" w14:textId="56EE7656" w:rsidR="005E0165" w:rsidRDefault="005E0165" w:rsidP="005E0165">
      <w:r>
        <w:t xml:space="preserve">Vlada je izdala Uredbo o državnem prostorskem načrtu (DPN) za vetrno elektrarno Ojstrica. </w:t>
      </w:r>
    </w:p>
    <w:p w14:paraId="0BCFFC9B" w14:textId="77777777" w:rsidR="005E0165" w:rsidRDefault="005E0165" w:rsidP="005E0165"/>
    <w:p w14:paraId="451A7909" w14:textId="77777777" w:rsidR="005E0165" w:rsidRDefault="005E0165" w:rsidP="005E0165">
      <w:r>
        <w:t xml:space="preserve">Osnovni cilj načrtovane prostorske ureditve je prispevati k izpolnjevanju ključnih ciljev nacionalne energetske politike, to je k zanesljivi, trajnostni in konkurenčni oskrbi z energijo ter povečanju oskrbe z energijo iz obnovljivih virov energije (OVE). </w:t>
      </w:r>
    </w:p>
    <w:p w14:paraId="1EBE6DC9" w14:textId="77777777" w:rsidR="005E0165" w:rsidRDefault="005E0165" w:rsidP="005E0165"/>
    <w:p w14:paraId="0A868280" w14:textId="77777777" w:rsidR="005E0165" w:rsidRDefault="005E0165" w:rsidP="005E0165">
      <w:r>
        <w:t xml:space="preserve">Z DPN se v prostor umeščajo trije vetrni agregati na Ojstrici v občini Dravograd in spremljajoče energetske in prometne ureditve. Moč agregatov se z napredkom tehnologije spreminja, zato se DPN ne opredeljuje do inštalirane moči, ampak podaja robne pogoje za umestitev posegov v prostor. </w:t>
      </w:r>
    </w:p>
    <w:p w14:paraId="6549311B" w14:textId="77777777" w:rsidR="005E0165" w:rsidRDefault="005E0165" w:rsidP="005E0165"/>
    <w:p w14:paraId="43EDB306" w14:textId="77777777" w:rsidR="005E0165" w:rsidRDefault="005E0165" w:rsidP="005E0165">
      <w:r>
        <w:t xml:space="preserve">V državnem prostorskem načrtu, kot izvedbenem prostorskem aktu za državno prostorsko ureditev, so določene (opisane in ustrezno grafično prikazane) rešitve glede tehničnega, komunalnega, varnostnega, okoljevarstvenega urejanja prostora, pa tudi urbanističnega, arhitekturnega in krajinskega oblikovanja posega v prostor. </w:t>
      </w:r>
    </w:p>
    <w:p w14:paraId="10F9BB55" w14:textId="77777777" w:rsidR="005E0165" w:rsidRDefault="005E0165" w:rsidP="005E0165"/>
    <w:p w14:paraId="579470A9" w14:textId="77777777" w:rsidR="005E0165" w:rsidRDefault="005E0165" w:rsidP="005E0165">
      <w:r>
        <w:t xml:space="preserve">Uredba o DPN je podlaga za izdajo gradbenega dovoljenja v skladu s predpisi, ki urejajo graditev. </w:t>
      </w:r>
    </w:p>
    <w:p w14:paraId="58C0223B" w14:textId="74B2F9DA" w:rsidR="00524AAD" w:rsidRDefault="005E0165" w:rsidP="005E0165">
      <w:pPr>
        <w:pStyle w:val="Vir"/>
      </w:pPr>
      <w:r>
        <w:t>Vir: Ministrstvo za naravne vire in prostor</w:t>
      </w:r>
    </w:p>
    <w:p w14:paraId="595988ED" w14:textId="571911E5" w:rsidR="005E0165" w:rsidRDefault="005E0165" w:rsidP="005E0165">
      <w:pPr>
        <w:pStyle w:val="Naslov2"/>
      </w:pPr>
      <w:r>
        <w:t>Uredba o podelitvi rudarske pravice za izkoriščanje mineralne surovine</w:t>
      </w:r>
    </w:p>
    <w:p w14:paraId="5B6C8CB0" w14:textId="77777777" w:rsidR="005E0165" w:rsidRDefault="005E0165" w:rsidP="005E0165">
      <w:r>
        <w:t xml:space="preserve">Vlada je izdala Uredbo o podelitvi rudarske pravice za izkoriščanje mineralne surovine – proda v gramoznici Bakovska cesta – širitev. Rudarska pravica se podeli podjetju Pomgrad, </w:t>
      </w:r>
      <w:proofErr w:type="gramStart"/>
      <w:r>
        <w:t>d.</w:t>
      </w:r>
      <w:proofErr w:type="gramEnd"/>
      <w:r>
        <w:t xml:space="preserve">d., Murska Sobota. </w:t>
      </w:r>
    </w:p>
    <w:p w14:paraId="6E5E2B21" w14:textId="77777777" w:rsidR="005E0165" w:rsidRDefault="005E0165" w:rsidP="005E0165"/>
    <w:p w14:paraId="2DA9801C" w14:textId="77777777" w:rsidR="005E0165" w:rsidRDefault="005E0165" w:rsidP="005E0165">
      <w:r>
        <w:t>Uredba je rudarski koncesijski akt, ki določa pogoje za podelitev in izvajanje rudarske pravice za izkoriščanje mineralne surovine – proda v gramoznici Bakovska cesta – širitev.</w:t>
      </w:r>
    </w:p>
    <w:p w14:paraId="5AA47408" w14:textId="77777777" w:rsidR="005E0165" w:rsidRDefault="005E0165" w:rsidP="005E0165"/>
    <w:p w14:paraId="72044A25" w14:textId="77777777" w:rsidR="005E0165" w:rsidRDefault="005E0165" w:rsidP="005E0165">
      <w:r>
        <w:t>Nosilec rudarske pravice za izkoriščanje mora med izvajanjem rudarske pravice in opustitvijo izvajanja rudarskih del izpolnjevati tudi vse pogoje po predpisih, ki urejajo ceste, gozdove, varstvo okolja, ohranjanje narave, varstvo voda, varstvo kulturne dediščine, varstvo pred tehničnimi in drugimi nesrečami, ter po drugih predpisih, s katerimi se urejajo rudarska dela. Pridobivalni prostor se sanira v skladu s potrjenim rudarskim projektom za pridobitev koncesije za izkoriščanje.</w:t>
      </w:r>
    </w:p>
    <w:p w14:paraId="142440B6" w14:textId="299D5538" w:rsidR="00524AAD" w:rsidRDefault="005E0165" w:rsidP="005E0165">
      <w:pPr>
        <w:pStyle w:val="Vir"/>
      </w:pPr>
      <w:r>
        <w:t>Vir: Ministrstvo za naravne vire in prostor</w:t>
      </w:r>
    </w:p>
    <w:p w14:paraId="4F74F4BE" w14:textId="66E00D6C" w:rsidR="003B0CF2" w:rsidRDefault="003B0CF2" w:rsidP="003B0CF2">
      <w:pPr>
        <w:pStyle w:val="Naslov2"/>
      </w:pPr>
      <w:r>
        <w:t xml:space="preserve">Uredba o izvajanju </w:t>
      </w:r>
      <w:proofErr w:type="gramStart"/>
      <w:r>
        <w:t>intervencij</w:t>
      </w:r>
      <w:proofErr w:type="gramEnd"/>
      <w:r>
        <w:t xml:space="preserve"> naložbe v učinkovito rabo dušikovih gnojil, naložbe v nakup kmetijske mehanizacije in opreme za optimalno uporabo hranil in trajnostno rabo FFS ter naložbe v nakup kmetijske mehanizacije in opreme za upravljanje </w:t>
      </w:r>
      <w:proofErr w:type="spellStart"/>
      <w:r>
        <w:t>traviščnih</w:t>
      </w:r>
      <w:proofErr w:type="spellEnd"/>
      <w:r>
        <w:t xml:space="preserve"> habitatov</w:t>
      </w:r>
    </w:p>
    <w:p w14:paraId="0CAA85F0" w14:textId="77777777" w:rsidR="003B0CF2" w:rsidRDefault="003B0CF2" w:rsidP="003B0CF2">
      <w:r>
        <w:t xml:space="preserve">Vlada je izdala Uredbo o izvajanju </w:t>
      </w:r>
      <w:proofErr w:type="gramStart"/>
      <w:r>
        <w:t>intervencije</w:t>
      </w:r>
      <w:proofErr w:type="gramEnd"/>
      <w:r>
        <w:t xml:space="preserve"> naložbe v učinkovito rabo dušikovih gnojil, intervencije naložbe v nakup kmetijske mehanizacije in opreme za optimalno uporabo hranil in trajnostno rabo </w:t>
      </w:r>
      <w:r>
        <w:lastRenderedPageBreak/>
        <w:t xml:space="preserve">FFS, ter intervencije naložbe v nakup kmetijske mehanizacije in opreme za upravljanje </w:t>
      </w:r>
      <w:proofErr w:type="spellStart"/>
      <w:r>
        <w:t>traviščnih</w:t>
      </w:r>
      <w:proofErr w:type="spellEnd"/>
      <w:r>
        <w:t xml:space="preserve"> habitatov, iz strateškega načrta skupne kmetijske politike 2023–2027.</w:t>
      </w:r>
    </w:p>
    <w:p w14:paraId="04E10AF4" w14:textId="77777777" w:rsidR="003B0CF2" w:rsidRDefault="003B0CF2" w:rsidP="003B0CF2"/>
    <w:p w14:paraId="486DE00C" w14:textId="77777777" w:rsidR="003B0CF2" w:rsidRDefault="003B0CF2" w:rsidP="003B0CF2">
      <w:r>
        <w:t xml:space="preserve">Uredba ureja izvajanje treh </w:t>
      </w:r>
      <w:proofErr w:type="gramStart"/>
      <w:r>
        <w:t>intervencij</w:t>
      </w:r>
      <w:proofErr w:type="gramEnd"/>
      <w:r>
        <w:t xml:space="preserve"> iz Strateškega načrta skupne kmetijske politike 2023–2027, in sicer:</w:t>
      </w:r>
    </w:p>
    <w:p w14:paraId="3A39090C" w14:textId="0C6D8DF1" w:rsidR="003B0CF2" w:rsidRDefault="003B0CF2" w:rsidP="003B0CF2">
      <w:pPr>
        <w:pStyle w:val="Odstavekseznama"/>
        <w:numPr>
          <w:ilvl w:val="0"/>
          <w:numId w:val="8"/>
        </w:numPr>
      </w:pPr>
      <w:r>
        <w:t>naložbe v učinkovito rabo dušikovih gnojil (IRP17),</w:t>
      </w:r>
    </w:p>
    <w:p w14:paraId="391CDF49" w14:textId="72B5260E" w:rsidR="003B0CF2" w:rsidRDefault="003B0CF2" w:rsidP="003B0CF2">
      <w:pPr>
        <w:pStyle w:val="Odstavekseznama"/>
        <w:numPr>
          <w:ilvl w:val="0"/>
          <w:numId w:val="8"/>
        </w:numPr>
      </w:pPr>
      <w:r>
        <w:t>naložbe v nakup kmetijske mehanizacije in opreme za optimalno rabo hranil in trajnostno rabo FFS (IRP21),</w:t>
      </w:r>
    </w:p>
    <w:p w14:paraId="23AEC9C4" w14:textId="292475A6" w:rsidR="003B0CF2" w:rsidRDefault="003B0CF2" w:rsidP="003B0CF2">
      <w:pPr>
        <w:pStyle w:val="Odstavekseznama"/>
        <w:numPr>
          <w:ilvl w:val="0"/>
          <w:numId w:val="8"/>
        </w:numPr>
      </w:pPr>
      <w:r>
        <w:t xml:space="preserve">naložbe v nakup kmetijske mehanizacije in opreme za upravljanje </w:t>
      </w:r>
      <w:proofErr w:type="spellStart"/>
      <w:r>
        <w:t>traviščnih</w:t>
      </w:r>
      <w:proofErr w:type="spellEnd"/>
      <w:r>
        <w:t xml:space="preserve"> habitatov (IRP37).</w:t>
      </w:r>
    </w:p>
    <w:p w14:paraId="1445A916" w14:textId="77777777" w:rsidR="003B0CF2" w:rsidRDefault="003B0CF2" w:rsidP="003B0CF2"/>
    <w:p w14:paraId="037F1A4E" w14:textId="738D716F" w:rsidR="003B0CF2" w:rsidRDefault="003B0CF2" w:rsidP="003B0CF2">
      <w:r>
        <w:t xml:space="preserve">Uredba določa namen in cilje </w:t>
      </w:r>
      <w:proofErr w:type="gramStart"/>
      <w:r>
        <w:t>intervencij</w:t>
      </w:r>
      <w:proofErr w:type="gramEnd"/>
      <w:r>
        <w:t>, vlagatelja in upravičenca, vrste naložb, upravičene in neupravičene stroške, pogoje za dodelitev podpore, merila za ocenjevanje vlog, pogoje za izplačilo sredstev, obveznosti, finančne določbe in upravne sankcije.</w:t>
      </w:r>
    </w:p>
    <w:p w14:paraId="40365625" w14:textId="77777777" w:rsidR="003B0CF2" w:rsidRDefault="003B0CF2" w:rsidP="003B0CF2"/>
    <w:p w14:paraId="3E20DB5B" w14:textId="4F746AE9" w:rsidR="003B0CF2" w:rsidRDefault="003B0CF2" w:rsidP="003B0CF2">
      <w:r>
        <w:t>Pri vseh intervencijah je vlagatelj opredeljen kot fizična oseba, pravna oseba ali samostojni podjetnik posameznik, ki je</w:t>
      </w:r>
      <w:proofErr w:type="gramStart"/>
      <w:r>
        <w:t xml:space="preserve"> kot</w:t>
      </w:r>
      <w:proofErr w:type="gramEnd"/>
      <w:r>
        <w:t xml:space="preserve"> nosilec kmetijskega gospodarstva vpisan v register kmetijskih gospodarstev, opravlja kmetijsko dejavnost v Republiki Sloveniji in ima v koledarskem letu pred letom objave javnega razpisa standardni prihodek iz kmetijske dejavnosti, ki je enak ali višji od 12.000 evrov. </w:t>
      </w:r>
    </w:p>
    <w:p w14:paraId="0D8C14AB" w14:textId="77777777" w:rsidR="003B0CF2" w:rsidRDefault="003B0CF2" w:rsidP="003B0CF2">
      <w:r>
        <w:t>Prav tako je za vse intervencije enaka stopnja javne podpore, ki znaša 30</w:t>
      </w:r>
      <w:proofErr w:type="gramStart"/>
      <w:r>
        <w:t xml:space="preserve"> %</w:t>
      </w:r>
      <w:proofErr w:type="gramEnd"/>
      <w:r>
        <w:t xml:space="preserve"> upravičenih stroškov naložbe in se lahko poveča za:</w:t>
      </w:r>
    </w:p>
    <w:p w14:paraId="52019918" w14:textId="5C7BE361" w:rsidR="003B0CF2" w:rsidRDefault="003B0CF2" w:rsidP="003B0CF2">
      <w:pPr>
        <w:pStyle w:val="Odstavekseznama"/>
        <w:numPr>
          <w:ilvl w:val="0"/>
          <w:numId w:val="9"/>
        </w:numPr>
      </w:pPr>
      <w:r>
        <w:t>10</w:t>
      </w:r>
      <w:proofErr w:type="gramStart"/>
      <w:r>
        <w:t xml:space="preserve"> %</w:t>
      </w:r>
      <w:proofErr w:type="gramEnd"/>
      <w:r>
        <w:t>, če je kmetijsko gospodarstvo vlagatelja razvrščeno v območja z omejenimi dejavniki (OMD) ali gorsko območje (IRP21) v skladu s pravilnikom, ki ureja razvrstitev kmetijskih gospodarstev v OMD;</w:t>
      </w:r>
    </w:p>
    <w:p w14:paraId="225B17AB" w14:textId="740F08E0" w:rsidR="003B0CF2" w:rsidRDefault="003B0CF2" w:rsidP="003B0CF2">
      <w:pPr>
        <w:pStyle w:val="Odstavekseznama"/>
        <w:numPr>
          <w:ilvl w:val="0"/>
          <w:numId w:val="9"/>
        </w:numPr>
      </w:pPr>
      <w:r>
        <w:t>20</w:t>
      </w:r>
      <w:proofErr w:type="gramStart"/>
      <w:r>
        <w:t xml:space="preserve"> %</w:t>
      </w:r>
      <w:proofErr w:type="gramEnd"/>
      <w:r>
        <w:t xml:space="preserve"> za naložbo mladega kmeta.</w:t>
      </w:r>
    </w:p>
    <w:p w14:paraId="2A82E975" w14:textId="77777777" w:rsidR="003B0CF2" w:rsidRDefault="003B0CF2" w:rsidP="003B0CF2"/>
    <w:p w14:paraId="1BA7CED2" w14:textId="51D9C5B7" w:rsidR="003B0CF2" w:rsidRDefault="003B0CF2" w:rsidP="003B0CF2">
      <w:r>
        <w:t>Stopnje podpore se lahko seštevajo, vendar ne smejo preseči 50 odstotkov upravičenih stroškov.</w:t>
      </w:r>
    </w:p>
    <w:p w14:paraId="0FB5FDA6" w14:textId="77777777" w:rsidR="003B0CF2" w:rsidRDefault="003B0CF2" w:rsidP="003B0CF2">
      <w:r>
        <w:t>Če ima vlagatelj ob vložitvi vloge na javni razpis na svojem kmetijskem gospodarstvu v ekološko pridelavo vključenih najmanj 80 odstotkov kmetijskih zemljišč v uporabi ali ima v ekološko rejo vključenih najmanj 80 odstotkov glav živine</w:t>
      </w:r>
      <w:proofErr w:type="gramStart"/>
      <w:r>
        <w:t xml:space="preserve"> ,</w:t>
      </w:r>
      <w:proofErr w:type="gramEnd"/>
      <w:r>
        <w:t xml:space="preserve"> je stopnja javne podpore 75 odstotkov upravičenih stroškov naložbe.</w:t>
      </w:r>
    </w:p>
    <w:p w14:paraId="3CF61B24" w14:textId="53D074FD" w:rsidR="00524AAD" w:rsidRDefault="003B0CF2" w:rsidP="003B0CF2">
      <w:pPr>
        <w:pStyle w:val="Vir"/>
      </w:pPr>
      <w:r>
        <w:t>Vir: Ministrstvo za kmetijstvo, gozdarstvo in prehrano</w:t>
      </w:r>
    </w:p>
    <w:p w14:paraId="4199469C" w14:textId="17BC4D86" w:rsidR="007961E2" w:rsidRDefault="007961E2" w:rsidP="007961E2">
      <w:pPr>
        <w:pStyle w:val="Naslov2"/>
      </w:pPr>
      <w:r>
        <w:t xml:space="preserve">Vlada sprejela novelo Uredbe o nacionalnih zgornjih mejah emisij onesnaževal zunanjega zraka  </w:t>
      </w:r>
    </w:p>
    <w:p w14:paraId="3AA0EA23" w14:textId="77777777" w:rsidR="007961E2" w:rsidRDefault="007961E2" w:rsidP="007961E2">
      <w:r>
        <w:t>Vlada je izdala Uredbo o spremembah in dopolnitvah Uredbe o nacionalnih zgornjih mejah emisij onesnaževal zunanjega zraka in jo objavi v Uradnem listu Republike Slovenije.</w:t>
      </w:r>
    </w:p>
    <w:p w14:paraId="4A43014D" w14:textId="77777777" w:rsidR="007961E2" w:rsidRDefault="007961E2" w:rsidP="007961E2"/>
    <w:p w14:paraId="0795D6D8" w14:textId="77777777" w:rsidR="007961E2" w:rsidRDefault="007961E2" w:rsidP="007961E2">
      <w:r>
        <w:t xml:space="preserve">Uredba se posodablja zaradi uskladitve z novo direktivo EU o nacionalnih obveznostih zmanjšanja emisij, in sicer tako, da uvaja poročanje o </w:t>
      </w:r>
      <w:proofErr w:type="gramStart"/>
      <w:r>
        <w:t>emisijah</w:t>
      </w:r>
      <w:proofErr w:type="gramEnd"/>
      <w:r>
        <w:t xml:space="preserve"> in projekcijah glede na vrsto virov in ne na ravni agregiranih sektorjev, kot je bilo določeno doslej.</w:t>
      </w:r>
    </w:p>
    <w:p w14:paraId="260C784C" w14:textId="1A5FD737" w:rsidR="00524AAD" w:rsidRDefault="007961E2" w:rsidP="007961E2">
      <w:pPr>
        <w:pStyle w:val="Vir"/>
      </w:pPr>
      <w:r>
        <w:t>Vir: Ministrstvo za okolje, podnebje in energijo</w:t>
      </w:r>
    </w:p>
    <w:p w14:paraId="5ABBEFF8" w14:textId="76F79FF8" w:rsidR="009E4986" w:rsidRDefault="009E4986" w:rsidP="009E4986">
      <w:pPr>
        <w:pStyle w:val="Naslov2"/>
      </w:pPr>
      <w:r>
        <w:t>Odlok o finančni pomoči zaradi težav v sektorju pšenice v letu 2023</w:t>
      </w:r>
    </w:p>
    <w:p w14:paraId="7B732918" w14:textId="77777777" w:rsidR="009E4986" w:rsidRDefault="009E4986" w:rsidP="009E4986">
      <w:r>
        <w:t>Vlada je izdala Odlok o finančni pomoči zaradi težav v sektorju pšenice v letu 2023 in ga objavi v Uradnem listu Republike Slovenije</w:t>
      </w:r>
    </w:p>
    <w:p w14:paraId="0BFC6EB7" w14:textId="77777777" w:rsidR="009E4986" w:rsidRDefault="009E4986" w:rsidP="009E4986"/>
    <w:p w14:paraId="6E3012A8" w14:textId="77777777" w:rsidR="009E4986" w:rsidRDefault="009E4986" w:rsidP="009E4986">
      <w:r>
        <w:t xml:space="preserve">Namen ukrepa je dodelitev finančne pomoči pridelovalcem pšenice v letu 2023 zaradi visokih stroškov pridelave in nizkih odkupnih cen. Pridelovalci pšenice so imeli v primerjavi z letom 2022 povišane </w:t>
      </w:r>
      <w:r>
        <w:lastRenderedPageBreak/>
        <w:t xml:space="preserve">stroške predvsem zaradi rasti cen semena in sredstev za varstvo rastlin. Stroški pridelave pšenice glede na modelne kalkulacije Kmetijskega inštituta Slovenije, zmanjšani za subvencije neposrednih plačil, so se tako povečali z 250 evrov/tono v letu 2022 na 282 evrov/tono v letu 2023. Po drugi strani je treba </w:t>
      </w:r>
      <w:proofErr w:type="gramStart"/>
      <w:r>
        <w:t>izpostaviti</w:t>
      </w:r>
      <w:proofErr w:type="gramEnd"/>
      <w:r>
        <w:t xml:space="preserve"> tudi, da so se iz različnih vzrokov v letu 2023 močno znižale odkupne cene pšenice (s 322 EUR/t v letu 2022 na 183 EUR/t v letu 2023). Finančna pomoč po tem odloku bo pridelovalcem pšenice vsaj delno ublažila dohodkovno neravnovesje </w:t>
      </w:r>
      <w:proofErr w:type="gramStart"/>
      <w:r>
        <w:t>nastalo</w:t>
      </w:r>
      <w:proofErr w:type="gramEnd"/>
      <w:r>
        <w:t xml:space="preserve"> v letu 2023.</w:t>
      </w:r>
    </w:p>
    <w:p w14:paraId="4548AF5E" w14:textId="77777777" w:rsidR="009E4986" w:rsidRDefault="009E4986" w:rsidP="009E4986"/>
    <w:p w14:paraId="107C7833" w14:textId="77777777" w:rsidR="009E4986" w:rsidRDefault="009E4986" w:rsidP="009E4986">
      <w:r>
        <w:t xml:space="preserve">Pogoji za dodelitev finančne pomoči so: </w:t>
      </w:r>
    </w:p>
    <w:p w14:paraId="121C0835" w14:textId="311C0DD9" w:rsidR="009E4986" w:rsidRDefault="009E4986" w:rsidP="009E4986">
      <w:pPr>
        <w:pStyle w:val="Odstavekseznama"/>
        <w:numPr>
          <w:ilvl w:val="0"/>
          <w:numId w:val="7"/>
        </w:numPr>
      </w:pPr>
      <w:r>
        <w:t>upravičenec mora imeti na zbirni vlogi za leto 2023 za glavni posevek</w:t>
      </w:r>
      <w:proofErr w:type="gramStart"/>
      <w:r>
        <w:t xml:space="preserve"> ugotovljeno</w:t>
      </w:r>
      <w:proofErr w:type="gramEnd"/>
      <w:r>
        <w:t xml:space="preserve"> skupaj vsaj 1 hektar površine s šifro kmetijske rastline 001 – pšenica (jara) ali s šifro kmetijske rastline 801 – pšenica (ozimna);</w:t>
      </w:r>
    </w:p>
    <w:p w14:paraId="58739E43" w14:textId="52A1FAAE" w:rsidR="009E4986" w:rsidRDefault="009E4986" w:rsidP="009E4986">
      <w:pPr>
        <w:pStyle w:val="Odstavekseznama"/>
        <w:numPr>
          <w:ilvl w:val="0"/>
          <w:numId w:val="7"/>
        </w:numPr>
      </w:pPr>
      <w:r>
        <w:t>je imetnik transakcijskega računa v skladu z zakonom, ki ureja kmetijstvo, in</w:t>
      </w:r>
    </w:p>
    <w:p w14:paraId="668B5557" w14:textId="4AC4FA43" w:rsidR="009E4986" w:rsidRDefault="009E4986" w:rsidP="009E4986">
      <w:pPr>
        <w:pStyle w:val="Odstavekseznama"/>
        <w:numPr>
          <w:ilvl w:val="0"/>
          <w:numId w:val="7"/>
        </w:numPr>
      </w:pPr>
      <w:r>
        <w:t xml:space="preserve">sedmi dan po uveljavitvi tega odloka nima neporavnanih obveznih dajatev in drugih denarnih  nedavčnih obveznosti v skladu z zakonom, ki ureja finančno upravo, v višini, ki presega 50 </w:t>
      </w:r>
      <w:proofErr w:type="spellStart"/>
      <w:proofErr w:type="gramStart"/>
      <w:r>
        <w:t>eurov</w:t>
      </w:r>
      <w:proofErr w:type="spellEnd"/>
      <w:proofErr w:type="gramEnd"/>
      <w:r>
        <w:t>.</w:t>
      </w:r>
    </w:p>
    <w:p w14:paraId="0A55E51E" w14:textId="77777777" w:rsidR="009E4986" w:rsidRDefault="009E4986" w:rsidP="009E4986"/>
    <w:p w14:paraId="1C4362B4" w14:textId="77777777" w:rsidR="009E4986" w:rsidRDefault="009E4986" w:rsidP="009E4986">
      <w:r>
        <w:t xml:space="preserve">Višina finančnega nadomestila po tem odloku znaša 115 evrov/hektar ugotovljene površine pšenice, prijavljene v zbirni vlogi za leto 2023. Za izvedbo ukrepa oziroma finančne pomoči je namenjenih 2,8 milijona evrov. Če bo skupni znesek, potreben za izplačilo finančne pomoči, presegel temu namenjena sredstva, se višina finančnega nadomestila sorazmerno zniža, tako da skupni znesek, potreben za izplačilo finančne pomoči, ne bo presegel zagotovljenih sredstev. Finančno nadomestilo se zniža za že prejete pomoči za isti namen.  </w:t>
      </w:r>
    </w:p>
    <w:p w14:paraId="476FCC28" w14:textId="602E4CB6" w:rsidR="00524AAD" w:rsidRDefault="009E4986" w:rsidP="009E4986">
      <w:pPr>
        <w:pStyle w:val="Vir"/>
      </w:pPr>
      <w:r>
        <w:t>Vir: Ministrstvo za kmetijstvo, gozdarstvo in prehrano</w:t>
      </w:r>
    </w:p>
    <w:p w14:paraId="66DE35DC" w14:textId="1A18B063" w:rsidR="00F50B0E" w:rsidRDefault="00F50B0E" w:rsidP="00F50B0E">
      <w:pPr>
        <w:pStyle w:val="Naslov2"/>
      </w:pPr>
      <w:r>
        <w:t xml:space="preserve">Sklep o višini </w:t>
      </w:r>
      <w:proofErr w:type="gramStart"/>
      <w:r>
        <w:t>penalov</w:t>
      </w:r>
      <w:proofErr w:type="gramEnd"/>
      <w:r>
        <w:t xml:space="preserve"> za vsako začeto tono ekvivalenta ogljikovega dioksida za leto 2023  </w:t>
      </w:r>
    </w:p>
    <w:p w14:paraId="2A445144" w14:textId="5C7A402F" w:rsidR="00F50B0E" w:rsidRDefault="00F50B0E" w:rsidP="00F50B0E">
      <w:r>
        <w:t xml:space="preserve">Vlada je sprejela sklep o višini </w:t>
      </w:r>
      <w:proofErr w:type="gramStart"/>
      <w:r>
        <w:t>penalov</w:t>
      </w:r>
      <w:proofErr w:type="gramEnd"/>
      <w:r>
        <w:t xml:space="preserve"> za vsako začeto tono ekvivalenta ogljikovega dioksida za leto 2023, ki se objavi v Uradnem listu Republike Slovenije.</w:t>
      </w:r>
    </w:p>
    <w:p w14:paraId="19EE5647" w14:textId="77777777" w:rsidR="00F50B0E" w:rsidRDefault="00F50B0E" w:rsidP="00F50B0E"/>
    <w:p w14:paraId="67709A96" w14:textId="77777777" w:rsidR="00F50B0E" w:rsidRDefault="00F50B0E" w:rsidP="00F50B0E">
      <w:r>
        <w:t xml:space="preserve">Upravljavci naprav ali operatorji zrakoplovov, vključeni v sistem trgovanja z emisijskimi kuponi, morajo v register Unije do 30. aprila tekočega leta predati emisijske kupone v količini, ki ustreza količini emisije toplogrednih plinov, ki jo je naprava ali zrakoplov izpustil v ozračje v preteklem letu. Količina emisije toplogrednih plinov je razvidna iz poročila o emisijah toplogrednih plinov in poročila o njegovem preverjanju. Če upravljavec naprave ali operator zrakoplova do 30. aprila tekočega leta ne izpolni svoje obveznosti, mora plačati </w:t>
      </w:r>
      <w:proofErr w:type="gramStart"/>
      <w:r>
        <w:t>penale</w:t>
      </w:r>
      <w:proofErr w:type="gramEnd"/>
      <w:r>
        <w:t xml:space="preserve"> za vsako začeto tono ekvivalenta ogljikovega dioksida, ki jo je naprava ali zrakoplov izpustil v ozračje in je presegla količino emisijskih kuponov, predanih v register Unije. Višina penalov za leto 2023 je 127,29 </w:t>
      </w:r>
      <w:proofErr w:type="spellStart"/>
      <w:proofErr w:type="gramStart"/>
      <w:r>
        <w:t>eura</w:t>
      </w:r>
      <w:proofErr w:type="spellEnd"/>
      <w:proofErr w:type="gramEnd"/>
      <w:r>
        <w:t xml:space="preserve">. V skladu z določbo četrtega odstavka 208. člena Zakona o varstvu okolja se višina </w:t>
      </w:r>
      <w:proofErr w:type="gramStart"/>
      <w:r>
        <w:t>penalov</w:t>
      </w:r>
      <w:proofErr w:type="gramEnd"/>
      <w:r>
        <w:t xml:space="preserve"> od 1. januarja 2013 vsako leto poveča za evropski indeks cen življenjskih potrebščin.</w:t>
      </w:r>
    </w:p>
    <w:p w14:paraId="12EAC0BA" w14:textId="65E7608E" w:rsidR="00524AAD" w:rsidRDefault="00F50B0E" w:rsidP="00F50B0E">
      <w:pPr>
        <w:pStyle w:val="Vir"/>
      </w:pPr>
      <w:r>
        <w:t>Vir: Ministrstvo za okolje, podnebje in energijo</w:t>
      </w:r>
    </w:p>
    <w:p w14:paraId="3D147406" w14:textId="32E79E6C" w:rsidR="00E06BAE" w:rsidRDefault="00943A64" w:rsidP="00943A64">
      <w:pPr>
        <w:pStyle w:val="Naslov2"/>
      </w:pPr>
      <w:r>
        <w:t>S</w:t>
      </w:r>
      <w:r w:rsidR="00E06BAE">
        <w:t xml:space="preserve">klep o spremembah in dopolnitvah </w:t>
      </w:r>
      <w:r>
        <w:t>s</w:t>
      </w:r>
      <w:r w:rsidR="00E06BAE">
        <w:t>klepa o ustanovitvi javnega zavoda Pokrajinski arhiv Maribor</w:t>
      </w:r>
    </w:p>
    <w:p w14:paraId="54B3D987" w14:textId="2B633653" w:rsidR="00E06BAE" w:rsidRDefault="00E06BAE" w:rsidP="00E06BAE">
      <w:proofErr w:type="gramStart"/>
      <w:r>
        <w:t xml:space="preserve">Vlada  </w:t>
      </w:r>
      <w:proofErr w:type="gramEnd"/>
      <w:r>
        <w:t xml:space="preserve">je sprejela </w:t>
      </w:r>
      <w:r w:rsidR="00943A64">
        <w:t>s</w:t>
      </w:r>
      <w:r>
        <w:t xml:space="preserve">klep o spremembah in dopolnitvah </w:t>
      </w:r>
      <w:r w:rsidR="00943A64">
        <w:t>s</w:t>
      </w:r>
      <w:r>
        <w:t xml:space="preserve">klepa o ustanovitvi javnega zavoda Pokrajinski arhiv Maribor. Spremembe so potrebne zaradi sprejetega sklepa </w:t>
      </w:r>
      <w:r w:rsidR="00943A64">
        <w:t>v</w:t>
      </w:r>
      <w:r>
        <w:t>lade kot odziv na revizijo Računskega sodišča za učinkovitejše upravljanje javnih zavodov. Spreminja se tudi število članov in sestava sveta javnega zavoda, spremembe akta pa vključujejo tudi nujne spremembe</w:t>
      </w:r>
      <w:proofErr w:type="gramStart"/>
      <w:r w:rsidR="00943A64">
        <w:t xml:space="preserve">, </w:t>
      </w:r>
      <w:r>
        <w:t xml:space="preserve"> </w:t>
      </w:r>
      <w:proofErr w:type="gramEnd"/>
      <w:r>
        <w:t>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w:t>
      </w:r>
    </w:p>
    <w:p w14:paraId="29D3B652" w14:textId="12ACF799" w:rsidR="00E06BAE" w:rsidRDefault="00E06BAE" w:rsidP="00943A64">
      <w:pPr>
        <w:pStyle w:val="Vir"/>
      </w:pPr>
      <w:r>
        <w:lastRenderedPageBreak/>
        <w:t>Vir: Ministrstvo za kulturo</w:t>
      </w:r>
    </w:p>
    <w:p w14:paraId="33AE8619" w14:textId="12EA8484" w:rsidR="0003543D" w:rsidRDefault="0003543D" w:rsidP="0003543D">
      <w:pPr>
        <w:pStyle w:val="Naslov2"/>
      </w:pPr>
      <w:r>
        <w:t>Program spodbujanja gospodarske osnove madžarske narodne skupnosti 2025–2028</w:t>
      </w:r>
    </w:p>
    <w:p w14:paraId="4AC89F6B" w14:textId="77777777" w:rsidR="0003543D" w:rsidRDefault="0003543D" w:rsidP="0003543D">
      <w:r>
        <w:t>Vlada Republike Slovenije je sprejela Program spodbujanja gospodarske osnove madžarske narodne skupnosti 2025–2028. Namenjen je razvoju gospodarske osnove območja, kjer živijo pripadniki madžarske avtohtone narodne skupnosti, kar natančneje pomeni ustvarjanje novih delovnih mest in ohranjanje že obstoječih, vzpostavljanje nove infrastrukture in posodobitev že obstoječe ter povečanje privlačnosti območja. Program je namenjen vsem upravičencem, ki svojo dejavnost opravljajo na območju, kjer živijo pripadniki madžarske avtohtone narodne skupnosti, in ki bodo z izvedbo svojih projektov pripomogli k uresničitvi njegovih ciljev.</w:t>
      </w:r>
    </w:p>
    <w:p w14:paraId="0D98AEEE" w14:textId="77777777" w:rsidR="0003543D" w:rsidRDefault="0003543D" w:rsidP="0003543D"/>
    <w:p w14:paraId="357B98E2" w14:textId="77777777" w:rsidR="0003543D" w:rsidRDefault="0003543D" w:rsidP="0003543D">
      <w:r>
        <w:t>Ukrepi programa:</w:t>
      </w:r>
    </w:p>
    <w:p w14:paraId="0E4B3119" w14:textId="680EE9B3" w:rsidR="0003543D" w:rsidRDefault="0003543D" w:rsidP="0003543D">
      <w:pPr>
        <w:pStyle w:val="Odstavekseznama"/>
        <w:numPr>
          <w:ilvl w:val="0"/>
          <w:numId w:val="6"/>
        </w:numPr>
      </w:pPr>
      <w:r>
        <w:t>spodbujanje naložb v gospodarstvu na programskem območju,</w:t>
      </w:r>
    </w:p>
    <w:p w14:paraId="2E352BFE" w14:textId="168F3811" w:rsidR="0003543D" w:rsidRDefault="0003543D" w:rsidP="0003543D">
      <w:pPr>
        <w:pStyle w:val="Odstavekseznama"/>
        <w:numPr>
          <w:ilvl w:val="0"/>
          <w:numId w:val="6"/>
        </w:numPr>
      </w:pPr>
      <w:r>
        <w:t>spodbujanje turističnih dejavnosti in produktov,</w:t>
      </w:r>
    </w:p>
    <w:p w14:paraId="2423E4C0" w14:textId="5710D29C" w:rsidR="0003543D" w:rsidRDefault="0003543D" w:rsidP="0003543D">
      <w:pPr>
        <w:pStyle w:val="Odstavekseznama"/>
        <w:numPr>
          <w:ilvl w:val="0"/>
          <w:numId w:val="6"/>
        </w:numPr>
      </w:pPr>
      <w:r>
        <w:t>promocija programskega območja in podpora pri izvajanju programa.</w:t>
      </w:r>
    </w:p>
    <w:p w14:paraId="100B5EE9" w14:textId="77777777" w:rsidR="0003543D" w:rsidRDefault="0003543D" w:rsidP="0003543D"/>
    <w:p w14:paraId="1F44DD39" w14:textId="77777777" w:rsidR="0003543D" w:rsidRDefault="0003543D" w:rsidP="0003543D">
      <w:r>
        <w:t xml:space="preserve">Skladno z  zakonodajo se finančne spodbude za ustvarjanje gospodarske osnove madžarske avtohtone narodne skupnosti (ANS) iz državnega proračuna dodelijo na podlagi programa spodbujanja gospodarske osnove ANS, ki ga za novo </w:t>
      </w:r>
      <w:proofErr w:type="gramStart"/>
      <w:r>
        <w:t>štiri letno</w:t>
      </w:r>
      <w:proofErr w:type="gramEnd"/>
      <w:r>
        <w:t xml:space="preserve"> programsko obdobje pripravi Pomurska madžarska samoupravna narodna skupnost (PMSNS) v sodelovanju z regionalno razvojno agencijo, Uradom Vlade Republike Slovenije za narodnosti in ministrstvom, pristojnim za regionalni razvoj.</w:t>
      </w:r>
    </w:p>
    <w:p w14:paraId="6DDE3D79" w14:textId="2FE79F9C" w:rsidR="00524AAD" w:rsidRDefault="0003543D" w:rsidP="0003543D">
      <w:pPr>
        <w:pStyle w:val="Vir"/>
      </w:pPr>
      <w:r>
        <w:t>Vir: Ministrstvo za kohezijo in regionalni razvoj</w:t>
      </w:r>
    </w:p>
    <w:p w14:paraId="1CE3AFAD" w14:textId="032E6300" w:rsidR="006443A9" w:rsidRDefault="006443A9" w:rsidP="006443A9">
      <w:pPr>
        <w:pStyle w:val="Naslov2"/>
      </w:pPr>
      <w:r>
        <w:t>Spremembe Letnega načrta razpolaganja z državnimi gozdovi za leto 2024</w:t>
      </w:r>
    </w:p>
    <w:p w14:paraId="78622B96" w14:textId="4B3BF118" w:rsidR="006443A9" w:rsidRDefault="006443A9" w:rsidP="006443A9">
      <w:r>
        <w:t xml:space="preserve">Vlada je sprejela Spremembe št. </w:t>
      </w:r>
      <w:proofErr w:type="gramStart"/>
      <w:r>
        <w:t>2 Letnega</w:t>
      </w:r>
      <w:proofErr w:type="gramEnd"/>
      <w:r>
        <w:t xml:space="preserve"> načrta razpolaganja z državnimi gozdovi za leto 2024 in potrdila čistopis Letnega načrta razpolaganja z državnimi gozdovi za leto 2024.</w:t>
      </w:r>
    </w:p>
    <w:p w14:paraId="692EFF3E" w14:textId="77777777" w:rsidR="006443A9" w:rsidRDefault="006443A9" w:rsidP="006443A9"/>
    <w:p w14:paraId="4B02E123" w14:textId="77777777" w:rsidR="006443A9" w:rsidRDefault="006443A9" w:rsidP="006443A9">
      <w:r>
        <w:t xml:space="preserve">Letni načrt razpolaganja z državnimi gozdovi za leto 2024 je vlada sprejela 7. marca 2024 in je bil 22. avgusta 2024 dopolnjen s Spremembami št. 1.  Spremembe št. </w:t>
      </w:r>
      <w:proofErr w:type="gramStart"/>
      <w:r>
        <w:t>2 Letnega</w:t>
      </w:r>
      <w:proofErr w:type="gramEnd"/>
      <w:r>
        <w:t xml:space="preserve"> načrta razpolaganja z državnimi gozdovi za leto 2024 dodatno vključujejo dva posla prodaj in 12 poslov menjav.</w:t>
      </w:r>
    </w:p>
    <w:p w14:paraId="69018EBF" w14:textId="4883DFF8" w:rsidR="00524AAD" w:rsidRDefault="006443A9" w:rsidP="006443A9">
      <w:pPr>
        <w:pStyle w:val="Vir"/>
      </w:pPr>
      <w:r>
        <w:t>Vir: Ministrstvo za kmetijstvo, gozdarstvo in prehrano</w:t>
      </w:r>
    </w:p>
    <w:p w14:paraId="0F4A7FB6" w14:textId="7876E90E" w:rsidR="001B0904" w:rsidRDefault="001B0904" w:rsidP="001B0904">
      <w:pPr>
        <w:pStyle w:val="Naslov2"/>
      </w:pPr>
      <w:r>
        <w:t xml:space="preserve">Vlada z družbo SŽ – Infrastruktura, d. o. o. sklenila aneks št. 10 k Pogodbi o opravljanju storitev upravljavca javne železniške infrastrukture </w:t>
      </w:r>
    </w:p>
    <w:p w14:paraId="2A753E2B" w14:textId="6D871E68" w:rsidR="001B0904" w:rsidRDefault="001B0904" w:rsidP="001B0904">
      <w:r>
        <w:t>Vlada je z družbo SŽ–Infrastruktura, d. o. o. sklenila Pogodbo o opravljanju storitev upravljavca javne železniške infrastrukture za obdobje od 1. januarja 2021 do 31. decembra 2030, med julijem 2021 in decembrom 2023 pa devet aneksov k pogodbi. V skladu s pogodbo se natančne vrednosti del po pogodbi in njihov obseg za vsako proračunsko obdobje v času veljavnosti pogodbe določijo v aneksu k pogodbi.</w:t>
      </w:r>
    </w:p>
    <w:p w14:paraId="6EDEBA88" w14:textId="77777777" w:rsidR="001B0904" w:rsidRDefault="001B0904" w:rsidP="001B0904"/>
    <w:p w14:paraId="71A6D51C" w14:textId="66FAE63A" w:rsidR="001B0904" w:rsidRDefault="001B0904" w:rsidP="001B0904">
      <w:r>
        <w:t xml:space="preserve">Osnovni namen vzdrževanja in obnavljanja javne železniške infrastrukture (JŽI) je zagotavljanje takega stanja infrastrukture, ki omogoča varen in urejen železniški promet, z vzdrževanjem pa se tudi podaljšuje življenjska doba elementov JŽI. Z vzdrževanjem se tiri, objekti in naprave ohranjajo v prvotno projektiranih in predvidenih </w:t>
      </w:r>
      <w:proofErr w:type="gramStart"/>
      <w:r>
        <w:t>eksploatacijskih</w:t>
      </w:r>
      <w:proofErr w:type="gramEnd"/>
      <w:r>
        <w:t xml:space="preserve"> funkcijah in s tem odpravi ter preprečuje napake in ostale omejitve v prometu, ki vplivajo na funkcionalnost in propustnost prog. Osnovni pogoj za </w:t>
      </w:r>
      <w:r>
        <w:lastRenderedPageBreak/>
        <w:t>vzdrževanje infrastrukture v obsegu, kot ga narekujejo potrebe prevoza potnikov in blaga</w:t>
      </w:r>
      <w:proofErr w:type="gramStart"/>
      <w:r>
        <w:t xml:space="preserve"> je</w:t>
      </w:r>
      <w:proofErr w:type="gramEnd"/>
      <w:r>
        <w:t xml:space="preserve"> delujoča in ustrezno opremljena progovna mehanizacija za vzdrževanje železniških prog.</w:t>
      </w:r>
    </w:p>
    <w:p w14:paraId="284A8DFB" w14:textId="77777777" w:rsidR="001B0904" w:rsidRDefault="001B0904" w:rsidP="001B0904"/>
    <w:p w14:paraId="4F35A4EF" w14:textId="4BEDCDDF" w:rsidR="001B0904" w:rsidRDefault="001B0904" w:rsidP="001B0904">
      <w:r>
        <w:t>Aneks št. 10 k pogodbi določa vrednost in obseg izvajanja storitev upravljavca JŽI, ki bodo predvidoma opravljene v obdobju od 1. januarja 2024 do 31. decembra 2024, razen za področje obnavljanja JŽI, ki bodo predvidoma opravljene v obdobju od 1. januarja 2025 do 31. decembra 2025, ter predvideno sestavo plačil oziroma sredstev, ki se dodelijo za financiranje storitev v tem obdobju. S sklenitvijo aneksa št. 10 k pogodbi naročnik zagotavlja sredstva za financiranje storitev upravljavca JŽI, ki bodo predvidoma opravljene v obdobju od 1. januarja 2024 do 31. decembra 2024 za:</w:t>
      </w:r>
    </w:p>
    <w:p w14:paraId="58053AFE" w14:textId="5AB72899" w:rsidR="001B0904" w:rsidRDefault="001B0904" w:rsidP="001B0904">
      <w:pPr>
        <w:pStyle w:val="Odstavekseznama"/>
        <w:numPr>
          <w:ilvl w:val="0"/>
          <w:numId w:val="4"/>
        </w:numPr>
      </w:pPr>
      <w:r>
        <w:t>naloge v sklopu opravljanja obvezne gospodarske javne službe (OGJS) rednega in izrednega dela vzdrževanja JŽI ter naloge, ki so z izvajanjem teh OGJS neposredno povezane;</w:t>
      </w:r>
    </w:p>
    <w:p w14:paraId="5BB4F7C4" w14:textId="0E50A3C3" w:rsidR="001B0904" w:rsidRDefault="001B0904" w:rsidP="001B0904">
      <w:pPr>
        <w:pStyle w:val="Odstavekseznama"/>
        <w:numPr>
          <w:ilvl w:val="0"/>
          <w:numId w:val="4"/>
        </w:numPr>
      </w:pPr>
      <w:r>
        <w:t xml:space="preserve">naloge v sklopu </w:t>
      </w:r>
      <w:proofErr w:type="gramStart"/>
      <w:r>
        <w:t>OGJS obratovanja</w:t>
      </w:r>
      <w:proofErr w:type="gramEnd"/>
      <w:r>
        <w:t xml:space="preserve"> železniškega prometa na JŽI in naloge, ki so z njim neposredno povezane;</w:t>
      </w:r>
    </w:p>
    <w:p w14:paraId="4891FDB5" w14:textId="41BDF535" w:rsidR="001B0904" w:rsidRDefault="001B0904" w:rsidP="001B0904">
      <w:pPr>
        <w:pStyle w:val="Odstavekseznama"/>
        <w:numPr>
          <w:ilvl w:val="0"/>
          <w:numId w:val="4"/>
        </w:numPr>
      </w:pPr>
      <w:r>
        <w:t>naloge v sklopu gospodarjenja z JŽI in druge naloge upravljavca.</w:t>
      </w:r>
    </w:p>
    <w:p w14:paraId="23BEEAFD" w14:textId="77777777" w:rsidR="001B0904" w:rsidRDefault="001B0904" w:rsidP="001B0904"/>
    <w:p w14:paraId="6E49A467" w14:textId="74B76D68" w:rsidR="001B0904" w:rsidRDefault="001B0904" w:rsidP="001B0904">
      <w:r>
        <w:t xml:space="preserve">S sklenitvijo aneksa št. 10 k pogodbi naročnik zagotavlja sredstva za financiranje storitev obnavljanja JŽI, vključujoč obnovitvena dela, povezana s stroški sanacij iz naslova poplav, ki bodo predvidoma opravljene v obdobju od 1. januarja 2025 do 31. decembra 2025. </w:t>
      </w:r>
    </w:p>
    <w:p w14:paraId="2F557CC4" w14:textId="1A3501F9" w:rsidR="00524AAD" w:rsidRDefault="001B0904" w:rsidP="001B0904">
      <w:pPr>
        <w:pStyle w:val="Vir"/>
      </w:pPr>
      <w:r>
        <w:t>Vir: Ministrstvo za infrastrukturo</w:t>
      </w:r>
    </w:p>
    <w:p w14:paraId="34BB245E" w14:textId="63E23266" w:rsidR="00B247E9" w:rsidRDefault="00B247E9" w:rsidP="00B247E9">
      <w:pPr>
        <w:pStyle w:val="Naslov2"/>
      </w:pPr>
      <w:r>
        <w:t>Vlada o intervencijskih stroških gašenja požara na območju Trstelja</w:t>
      </w:r>
    </w:p>
    <w:p w14:paraId="5DDF4AC4" w14:textId="77777777" w:rsidR="00B247E9" w:rsidRDefault="00B247E9" w:rsidP="00B247E9">
      <w:r>
        <w:t>Vlada se je seznanila s Poročilom o ukrepanju in intervencijskih stroških gašenja požara v naravnem okolju na območju Trstelja med 18</w:t>
      </w:r>
      <w:proofErr w:type="gramStart"/>
      <w:r>
        <w:t xml:space="preserve">.  </w:t>
      </w:r>
      <w:proofErr w:type="gramEnd"/>
      <w:r>
        <w:t>in 20. julijem letos. Upravi za zaščito in reševanje bo za kritje intervencijskih stroškov iz proračunske rezerve</w:t>
      </w:r>
      <w:proofErr w:type="gramStart"/>
      <w:r>
        <w:t xml:space="preserve"> zagotovljenih</w:t>
      </w:r>
      <w:proofErr w:type="gramEnd"/>
      <w:r>
        <w:t xml:space="preserve"> do 414.161,95 evra, in sicer za gasilska društva in enote, Rdeči križ Slovenije,  ekipe Nujne medicinske pomoči, Zavod za gozdove Slovenije in družbo Slovenski državni gozdovi. Intervencijski stroški občine Miren – Kostanjevica, Slovenske vojske in Uprave za zaščito in reševanje ne bodo povrnjeni.</w:t>
      </w:r>
    </w:p>
    <w:p w14:paraId="5A441DF7" w14:textId="77777777" w:rsidR="00B247E9" w:rsidRDefault="00B247E9" w:rsidP="00B247E9"/>
    <w:p w14:paraId="023E61A1" w14:textId="77777777" w:rsidR="00B247E9" w:rsidRDefault="00B247E9" w:rsidP="00B247E9">
      <w:r>
        <w:t>Požar na območju Trstelja, ob katerem je bil aktiviran državni načrt zaščite in reševanja ob velikem požaru v naravnem okolju, je zajel približno 70 hektarjev površine na območju občin Komen in Miren – Kostanjevica. Skladno s sklepom vlade bodo za kritje intervencijskih stroškov iz proračunske rezerve Upravi za zaščito in reševanje zagotovljena sredstva v skupni višini do 414.161,95 evra, in sicer za:</w:t>
      </w:r>
    </w:p>
    <w:p w14:paraId="2E34093F" w14:textId="77777777" w:rsidR="00B247E9" w:rsidRDefault="00B247E9" w:rsidP="00B247E9"/>
    <w:p w14:paraId="1D5392BA" w14:textId="6366A238" w:rsidR="00B247E9" w:rsidRDefault="00B247E9" w:rsidP="00B247E9">
      <w:pPr>
        <w:pStyle w:val="Odstavekseznama"/>
        <w:numPr>
          <w:ilvl w:val="0"/>
          <w:numId w:val="5"/>
        </w:numPr>
      </w:pPr>
      <w:r>
        <w:t>prostovoljna gasilska društva v višini do 329.596,80 evra,</w:t>
      </w:r>
    </w:p>
    <w:p w14:paraId="2A30B613" w14:textId="3DCFB905" w:rsidR="00B247E9" w:rsidRDefault="00B247E9" w:rsidP="00B247E9">
      <w:pPr>
        <w:pStyle w:val="Odstavekseznama"/>
        <w:numPr>
          <w:ilvl w:val="0"/>
          <w:numId w:val="5"/>
        </w:numPr>
      </w:pPr>
      <w:r>
        <w:t>poklicne gasilske enote v višini do 43.586,51 evra,</w:t>
      </w:r>
    </w:p>
    <w:p w14:paraId="29C5BBD7" w14:textId="6401B84B" w:rsidR="00B247E9" w:rsidRDefault="00B247E9" w:rsidP="00B247E9">
      <w:pPr>
        <w:pStyle w:val="Odstavekseznama"/>
        <w:numPr>
          <w:ilvl w:val="0"/>
          <w:numId w:val="5"/>
        </w:numPr>
      </w:pPr>
      <w:r>
        <w:t>Rdeči križ Slovenije v višini do 7.500 evrov,</w:t>
      </w:r>
    </w:p>
    <w:p w14:paraId="21C3DEC8" w14:textId="2CBA034B" w:rsidR="00B247E9" w:rsidRDefault="00B247E9" w:rsidP="00B247E9">
      <w:pPr>
        <w:pStyle w:val="Odstavekseznama"/>
        <w:numPr>
          <w:ilvl w:val="0"/>
          <w:numId w:val="5"/>
        </w:numPr>
      </w:pPr>
      <w:r>
        <w:t>ekipe Nujne medicinske pomoči Zdravstvenih domov Sežana, Postojna, Ajdovščina, Tolmin in Izola v višini do 7.478 evrov,</w:t>
      </w:r>
    </w:p>
    <w:p w14:paraId="7246508E" w14:textId="004CEBBE" w:rsidR="00B247E9" w:rsidRDefault="00B247E9" w:rsidP="00B247E9">
      <w:pPr>
        <w:pStyle w:val="Odstavekseznama"/>
        <w:numPr>
          <w:ilvl w:val="0"/>
          <w:numId w:val="5"/>
        </w:numPr>
      </w:pPr>
      <w:r>
        <w:t>Zavod za gozdove Slovenije v višini do 25.393,94 evra,</w:t>
      </w:r>
    </w:p>
    <w:p w14:paraId="0E8D56BE" w14:textId="1B09E8F3" w:rsidR="00B247E9" w:rsidRDefault="00B247E9" w:rsidP="00B247E9">
      <w:pPr>
        <w:pStyle w:val="Odstavekseznama"/>
        <w:numPr>
          <w:ilvl w:val="0"/>
          <w:numId w:val="5"/>
        </w:numPr>
      </w:pPr>
      <w:r>
        <w:t>družba Slovenski državni gozdovi, d. o. o., v višini do 606,70 evra.</w:t>
      </w:r>
    </w:p>
    <w:p w14:paraId="5F4573F0" w14:textId="77777777" w:rsidR="00B247E9" w:rsidRDefault="00B247E9" w:rsidP="00B247E9"/>
    <w:p w14:paraId="067DB1E1" w14:textId="77777777" w:rsidR="00B247E9" w:rsidRDefault="00B247E9" w:rsidP="00B247E9">
      <w:r>
        <w:t xml:space="preserve">Občini Miren – Kostanjevica intervencijski stroški ne bodo povrnjeni, saj še ni izčrpala sredstev primerne porabe za leto 2024. Prav tako </w:t>
      </w:r>
      <w:proofErr w:type="gramStart"/>
      <w:r>
        <w:t xml:space="preserve">intervencijski  </w:t>
      </w:r>
      <w:proofErr w:type="gramEnd"/>
      <w:r>
        <w:t>stroški ne bodo povrnjeni Slovenski vojski in Upravi za zaščito in reševanje. Upravičeni intervencijski stroški so tako v višini do 414.161,95 evra.</w:t>
      </w:r>
    </w:p>
    <w:p w14:paraId="1F1DC99A" w14:textId="4A935B62" w:rsidR="00B247E9" w:rsidRDefault="00B247E9" w:rsidP="00B247E9">
      <w:pPr>
        <w:pStyle w:val="Vir"/>
      </w:pPr>
      <w:r w:rsidRPr="00B247E9">
        <w:t>Vir: Ministrstvo za obrambo</w:t>
      </w:r>
    </w:p>
    <w:p w14:paraId="1DAF5AA0" w14:textId="40C74C49" w:rsidR="00506B3A" w:rsidRDefault="00506B3A" w:rsidP="00506B3A">
      <w:pPr>
        <w:pStyle w:val="Naslov2"/>
      </w:pPr>
      <w:r>
        <w:t>Uvrstitve novega projekta 2720-24-0911 Prenova in dozidava Doma starejših občanov Ilirska Bistrica v veljavni Načrt razvojnih programov 2024–2027</w:t>
      </w:r>
    </w:p>
    <w:p w14:paraId="57749861" w14:textId="77777777" w:rsidR="00506B3A" w:rsidRDefault="00506B3A" w:rsidP="00506B3A">
      <w:r>
        <w:lastRenderedPageBreak/>
        <w:t>Vlada je sprejela sklep, da v veljavni Načrt razvojnih programov 2024-2027 uvrsti nov projekt, ki izhaja iz evidenčnega projekta 2611-13-0002 – novogradnje, adaptacije, rekonstrukcije, oprema domov za starostnike in SV zavode, in sicer: 2720-24-0911 – Prenova in dozidava Doma starejših občanov Ilirska Bistrica, ki spada v skupino projektov, 2611-11-S018 – Izvajanje enovitega sistema dolgotrajne oskrbe</w:t>
      </w:r>
    </w:p>
    <w:p w14:paraId="2F069815" w14:textId="77777777" w:rsidR="00506B3A" w:rsidRDefault="00506B3A" w:rsidP="00506B3A"/>
    <w:p w14:paraId="2B05251D" w14:textId="77777777" w:rsidR="00506B3A" w:rsidRDefault="00506B3A" w:rsidP="00506B3A">
      <w:r>
        <w:t xml:space="preserve">Dom starejših občanov Ilirska Bistrica (v nadaljnjem besedilu: dom) je kombiniran socialnovarstveni zavod s kapaciteto 231 stanovalcev, dnevni </w:t>
      </w:r>
      <w:proofErr w:type="gramStart"/>
      <w:r>
        <w:t>center</w:t>
      </w:r>
      <w:proofErr w:type="gramEnd"/>
      <w:r>
        <w:t xml:space="preserve"> pa sprejme 15 oseb. Dom sestavlja več stavb, zgrajenih v različnih časovnih obdobjih (1991, 1997, 2001). Glavna stavba je sestavljena iz štirih bivalnih enot, od katerih sta bili dve v letih 2018 in 2019 prenovljeni, in osrednjega dela s komunikacijskim jedrom, dvigali in stopniščem. Kompleks sestavljata še dva prizidka, v katerih so garsonjere z nadstandardnimi bivalnimi prostori. Stanovalcem so na voljo dnevni prostori po oddelkih in v bivalnih skupinah, večnamenska dvorana, bife, knjižnica, kapela, park, terasa, urejeni zunanji prostori itd. Garsonjere, v katerih biva 59 stanovalcev, imajo lastne sanitarije prav tako tudi vse sobe v prenovljenih enotah. Ostale sobe v enotah, ki še nista bili prenovljeni, imajo skupne ali sanitarije v souporabi. V teh enotah je tudi še 12 štiri </w:t>
      </w:r>
      <w:proofErr w:type="gramStart"/>
      <w:r>
        <w:t>posteljnih sob</w:t>
      </w:r>
      <w:proofErr w:type="gramEnd"/>
      <w:r>
        <w:t xml:space="preserve">, večina sob pa je po velikosti na robu minimalnega standarda. Dom se trenutno oskrbuje s toploto z zgorevanjem </w:t>
      </w:r>
      <w:proofErr w:type="gramStart"/>
      <w:r>
        <w:t>ekstra</w:t>
      </w:r>
      <w:proofErr w:type="gramEnd"/>
      <w:r>
        <w:t xml:space="preserve"> lahkega kurilnega olja kot primarnega energenta v kotlovnici ter z zgorevanjem utekočinjenega naftnega plina.</w:t>
      </w:r>
    </w:p>
    <w:p w14:paraId="7F6D87F2" w14:textId="77777777" w:rsidR="00506B3A" w:rsidRDefault="00506B3A" w:rsidP="00506B3A"/>
    <w:p w14:paraId="28055AE2" w14:textId="77777777" w:rsidR="00506B3A" w:rsidRDefault="00506B3A" w:rsidP="00506B3A">
      <w:r>
        <w:t xml:space="preserve">Namen </w:t>
      </w:r>
      <w:proofErr w:type="gramStart"/>
      <w:r>
        <w:t>investicije</w:t>
      </w:r>
      <w:proofErr w:type="gramEnd"/>
      <w:r>
        <w:t xml:space="preserve"> je izboljšanje bivalnega standarda stanovalcev z odpravo štiri posteljnih sob ter izboljšanje požarne varnosti, funkcionalnosti in ekonomike poslovanja doma.  </w:t>
      </w:r>
    </w:p>
    <w:p w14:paraId="707C4F43" w14:textId="77777777" w:rsidR="00506B3A" w:rsidRDefault="00506B3A" w:rsidP="00506B3A"/>
    <w:p w14:paraId="6BF9C243" w14:textId="4091741F" w:rsidR="00506B3A" w:rsidRDefault="00506B3A" w:rsidP="00506B3A">
      <w:r>
        <w:t xml:space="preserve">Cilj </w:t>
      </w:r>
      <w:proofErr w:type="gramStart"/>
      <w:r>
        <w:t>investicije</w:t>
      </w:r>
      <w:proofErr w:type="gramEnd"/>
      <w:r>
        <w:t xml:space="preserve"> je prenova traktov A in B ter dozidava prizidka, ureditev požarnega stopnišča in teras ob glavni stavbi, ureditev platoja pred glavnim vhodom ter izgradnja nove centralne kotlovnice na lesno biomaso. Ocenjena vrednost investicije znaša 7.951.372,07 </w:t>
      </w:r>
      <w:proofErr w:type="gramStart"/>
      <w:r>
        <w:t>evrov</w:t>
      </w:r>
      <w:proofErr w:type="gramEnd"/>
      <w:r>
        <w:t xml:space="preserve"> z DDV. </w:t>
      </w:r>
    </w:p>
    <w:p w14:paraId="67BCFD75" w14:textId="679E672B" w:rsidR="00524AAD" w:rsidRDefault="00506B3A" w:rsidP="00506B3A">
      <w:pPr>
        <w:pStyle w:val="Vir"/>
      </w:pPr>
      <w:r>
        <w:t>Vir: Ministrstvo za solidarno prihodnost</w:t>
      </w:r>
    </w:p>
    <w:p w14:paraId="1CAA700E" w14:textId="06E05481" w:rsidR="00D2634F" w:rsidRDefault="00D2634F" w:rsidP="00D2634F">
      <w:pPr>
        <w:pStyle w:val="Naslov2"/>
      </w:pPr>
      <w:r>
        <w:t xml:space="preserve">Vlada v veljavni Načrt razvojnih programov 2024–2027 uvrstila projekt navezave Luke Koper na avtocestno omrežje - Srminska vpadnica </w:t>
      </w:r>
    </w:p>
    <w:p w14:paraId="0BB08AEE" w14:textId="77777777" w:rsidR="00D2634F" w:rsidRDefault="00D2634F" w:rsidP="00D2634F">
      <w:r>
        <w:t xml:space="preserve">Izgradnja Srminske vpadnice je predvidena z Uredbo o državnem lokacijskem načrtu za navezavo Luke Koper na avtocestno omrežje. </w:t>
      </w:r>
      <w:proofErr w:type="gramStart"/>
      <w:r>
        <w:t>Investicijo</w:t>
      </w:r>
      <w:proofErr w:type="gramEnd"/>
      <w:r>
        <w:t xml:space="preserve"> v izgradnjo Srminske vpadnice vodi Družba za avtoceste v Republiki Sloveniji, d. d. (DARS). </w:t>
      </w:r>
      <w:proofErr w:type="gramStart"/>
      <w:r>
        <w:t>Investicije</w:t>
      </w:r>
      <w:proofErr w:type="gramEnd"/>
      <w:r>
        <w:t>, katerih nosilec je DARS in jih sofinancira Direkcija RS za infrastrukturo (DRSI), v Načrt razvojnih programov uvršča Ministrstvo za infrastrukturo.</w:t>
      </w:r>
    </w:p>
    <w:p w14:paraId="0ECE94EC" w14:textId="77777777" w:rsidR="00D2634F" w:rsidRDefault="00D2634F" w:rsidP="00D2634F"/>
    <w:p w14:paraId="2633C7A6" w14:textId="77777777" w:rsidR="00D2634F" w:rsidRDefault="00D2634F" w:rsidP="00D2634F">
      <w:r>
        <w:t xml:space="preserve">V sklopu </w:t>
      </w:r>
      <w:proofErr w:type="gramStart"/>
      <w:r>
        <w:t>investicije</w:t>
      </w:r>
      <w:proofErr w:type="gramEnd"/>
      <w:r>
        <w:t xml:space="preserve"> so predvidena naslednja dela: izgradnja dvopasovne ceste, izgradnja površin za pešce, razširitev treh mostov, izgradnja podpornih zidov, izgradnja cevnih prepustov, podaljšanje cevnega prepusta, ureditev priključkov in križišč, zaščita in preureditev komunalnih vodov: vodovod, elektrovodi, telekomunikacijske inštalacije, spremenljiva prometno informacijska signalizacija, portal za cestninjenje ter ureditev prometne opreme in signalizacije.</w:t>
      </w:r>
    </w:p>
    <w:p w14:paraId="2B7F01B3" w14:textId="77777777" w:rsidR="00D2634F" w:rsidRDefault="00D2634F" w:rsidP="00D2634F"/>
    <w:p w14:paraId="4270F410" w14:textId="77777777" w:rsidR="00D2634F" w:rsidRDefault="00D2634F" w:rsidP="00D2634F">
      <w:r>
        <w:t>V letu 2023 je bila izdelana in potrjena novelacija investicijskega programa, kjer je bila izgradnja</w:t>
      </w:r>
      <w:proofErr w:type="gramStart"/>
      <w:r>
        <w:t xml:space="preserve"> in</w:t>
      </w:r>
      <w:proofErr w:type="gramEnd"/>
      <w:r>
        <w:t xml:space="preserve"> financiranje vodovoda predvidena s strani DARS. Ta način financiranja je bil predviden tudi v vseh predhodnih </w:t>
      </w:r>
      <w:proofErr w:type="gramStart"/>
      <w:r>
        <w:t>investicijskih</w:t>
      </w:r>
      <w:proofErr w:type="gramEnd"/>
      <w:r>
        <w:t xml:space="preserve"> dokumentih. Konec leta 2023 je bil v usklajevanje predan sporazum o sofinanciranju vodovoda ob Srminski vpadnici, ki ga sofinancirajo Mestna občina Koper (MOK), DRSI in DARS.</w:t>
      </w:r>
    </w:p>
    <w:p w14:paraId="024FE0F5" w14:textId="77777777" w:rsidR="00D2634F" w:rsidRDefault="00D2634F" w:rsidP="00D2634F"/>
    <w:p w14:paraId="4D75D3FF" w14:textId="12F53D2C" w:rsidR="00D2634F" w:rsidRDefault="00D2634F" w:rsidP="00D2634F">
      <w:r>
        <w:t xml:space="preserve">Celotno </w:t>
      </w:r>
      <w:proofErr w:type="gramStart"/>
      <w:r>
        <w:t>investicijo</w:t>
      </w:r>
      <w:proofErr w:type="gramEnd"/>
      <w:r>
        <w:t xml:space="preserve"> izgradnje Srminske vpadnice sofinancirajo DARS, MOK, DRSI, Ministrstvo za infrastrukturo, Petrol in Elektro Primorska ter EU (sredstva Instrumenta za povezovanje Evrope) v skupni višini 17.540.025 evra z DDV. Vodovod, ki ga sofinancira Direkcija RS za infrastrukturo, se izvaja v sklopu izgradnje Srminske vpadnice. Ocenjena vrednost vodovoda v tekočih cenah znaša </w:t>
      </w:r>
      <w:proofErr w:type="gramStart"/>
      <w:r>
        <w:lastRenderedPageBreak/>
        <w:t>1.686.013</w:t>
      </w:r>
      <w:proofErr w:type="gramEnd"/>
      <w:r>
        <w:t xml:space="preserve"> evra z DDV (DARS v višini 552.111 evrov, MOK v višini 558.782 evrov in DRSI v višini 575.120 evrov).</w:t>
      </w:r>
    </w:p>
    <w:p w14:paraId="3781A21F" w14:textId="3C52B1EF" w:rsidR="00524AAD" w:rsidRDefault="00D2634F" w:rsidP="00D2634F">
      <w:pPr>
        <w:pStyle w:val="Vir"/>
      </w:pPr>
      <w:r>
        <w:t>Vir: Ministrstvo za infrastrukturo</w:t>
      </w:r>
    </w:p>
    <w:p w14:paraId="2F9A1ECE" w14:textId="0A4B1C3C" w:rsidR="00E77CFB" w:rsidRDefault="00E77CFB" w:rsidP="00E77CFB">
      <w:pPr>
        <w:pStyle w:val="Naslov2"/>
      </w:pPr>
      <w:r>
        <w:t>Vlada v Načrt razvojnih programov 2024–2027 uvrstila 63 novih projektov</w:t>
      </w:r>
    </w:p>
    <w:p w14:paraId="011E68EC" w14:textId="77777777" w:rsidR="00E77CFB" w:rsidRDefault="00E77CFB" w:rsidP="00E77CFB">
      <w:r>
        <w:t xml:space="preserve">Na današnji seji je vlada v veljavni Načrt razvojnih programov 2024–2027 uvrstila 63 novih projektov ter ponovno en projekt, ki so bili za sofinanciranje odobreni na podlagi Javnega razpisa za izbor sofinanciranja </w:t>
      </w:r>
      <w:proofErr w:type="gramStart"/>
      <w:r>
        <w:t>investicij</w:t>
      </w:r>
      <w:proofErr w:type="gramEnd"/>
      <w:r>
        <w:t xml:space="preserve"> v športno infrastrukturo v letu 2024 gospodarskega ministrstva. Vrednost vseh 64 projektov znaša skoraj 124 milijonov evrov, od tega bo dobrih 39 milijonov evrov proračunskih virov, preostala sredstva pa bodo zagotovljena iz drugih virov. Štiri projekte bo sofinanciralo tudi Ministrstvo za okolje, podnebje in energijo (MOPE) na podlagi javnega poziva Eko sklada glede nepovratnih finančnih spodbud lokalnim skupnostim za skoraj </w:t>
      </w:r>
      <w:proofErr w:type="spellStart"/>
      <w:proofErr w:type="gramStart"/>
      <w:r>
        <w:t>nič</w:t>
      </w:r>
      <w:proofErr w:type="gramEnd"/>
      <w:r>
        <w:t>energijske</w:t>
      </w:r>
      <w:proofErr w:type="spellEnd"/>
      <w:r>
        <w:t xml:space="preserve"> stavbe. </w:t>
      </w:r>
    </w:p>
    <w:p w14:paraId="06ABCB6D" w14:textId="77777777" w:rsidR="00E77CFB" w:rsidRDefault="00E77CFB" w:rsidP="00E77CFB">
      <w:r>
        <w:t xml:space="preserve">Namen </w:t>
      </w:r>
      <w:proofErr w:type="gramStart"/>
      <w:r>
        <w:t>investicij</w:t>
      </w:r>
      <w:proofErr w:type="gramEnd"/>
      <w:r>
        <w:t xml:space="preserve"> je zagotoviti kakovostno javno športno infrastrukturo za vse kategorije uporabnikov ter učinkovito koriščenje in ravnanje z javno športno infrastrukturo, ki vključuje športne objekte in površine za šport v naravi. </w:t>
      </w:r>
    </w:p>
    <w:p w14:paraId="07A7D617" w14:textId="77777777" w:rsidR="00E77CFB" w:rsidRDefault="00E77CFB" w:rsidP="00E77CFB"/>
    <w:p w14:paraId="4CCCE5E4" w14:textId="77777777" w:rsidR="00E77CFB" w:rsidRDefault="00E77CFB" w:rsidP="00E77CFB">
      <w:r>
        <w:t xml:space="preserve">Cilj je sofinanciranje obnove, novogradnje in rekonstrukcije javnih športnih objektov ter posodobitev ali vzpostavitev novih zunanjih športnih površin. Obravnavana je tudi ureditev dostopnosti do javnih športnih objektov in zunanjih športnih površin za funkcionalno ovirane uporabnike. Del </w:t>
      </w:r>
      <w:proofErr w:type="gramStart"/>
      <w:r>
        <w:t>investicij</w:t>
      </w:r>
      <w:proofErr w:type="gramEnd"/>
      <w:r>
        <w:t xml:space="preserve"> je namenjen tudi protipoplavni in </w:t>
      </w:r>
      <w:proofErr w:type="spellStart"/>
      <w:r>
        <w:t>protiplazni</w:t>
      </w:r>
      <w:proofErr w:type="spellEnd"/>
      <w:r>
        <w:t xml:space="preserve"> zaščiti javnih športnih objektov in zunanjih športnih površin, s čimer bo dosežena športno tehnološka posodobitev obstoječih javnih športnih objektov in zunanjih športnih površin. Izvedeni projekti bodo povečali dostopnost javnih športnih objektov in zunanjih športnih površin, povečala se bosta kakovost in število javno dostopnih športnih površin v urbanem in naravnem okolju. Dostop bo prilagojen osebam z različnimi vrstami in stopnjami invalidnosti, hkrati pa bodo vzpostavljeni pogoji za zaščito športne infrastrukture pred prihodnjimi naravnimi nesrečami.</w:t>
      </w:r>
    </w:p>
    <w:p w14:paraId="6B9C407E" w14:textId="77777777" w:rsidR="00E77CFB" w:rsidRDefault="00E77CFB" w:rsidP="00E77CFB"/>
    <w:p w14:paraId="64631011" w14:textId="77777777" w:rsidR="00E77CFB" w:rsidRDefault="00E77CFB" w:rsidP="00E77CFB">
      <w:r>
        <w:t xml:space="preserve">Investicije, ki so na podlagi javnega razpisa sofinancirane samo v letu 2024, se morajo zaključiti najkasneje do 31. avgusta 2025, sredstva Ministrstva za gospodarstvo, turizem in šport (MGTŠ) pa morajo biti </w:t>
      </w:r>
      <w:proofErr w:type="gramStart"/>
      <w:r>
        <w:t>porabljena</w:t>
      </w:r>
      <w:proofErr w:type="gramEnd"/>
      <w:r>
        <w:t xml:space="preserve"> v letu 2024. </w:t>
      </w:r>
      <w:proofErr w:type="gramStart"/>
      <w:r>
        <w:t>Investicije</w:t>
      </w:r>
      <w:proofErr w:type="gramEnd"/>
      <w:r>
        <w:t>, ki so sofinancirane v letih 2024 in 2025, se morajo zaključiti najkasneje do 31. avgusta 2026, sredstva za sofinanciranje MGTŠ pa morajo biti porabljena v letih 2024 in 2025. Sredstva za sofinanciranje, ki jih prispeva MOPE preko javnega poziva Eko sklada, pa so predvidena tudi v letu 2026.</w:t>
      </w:r>
    </w:p>
    <w:p w14:paraId="476C4467" w14:textId="77777777" w:rsidR="00E77CFB" w:rsidRDefault="00E77CFB" w:rsidP="00E77CFB"/>
    <w:p w14:paraId="1F88F04C" w14:textId="77777777" w:rsidR="00E77CFB" w:rsidRDefault="00E77CFB" w:rsidP="00E77CFB">
      <w:r>
        <w:t xml:space="preserve">Preko vlade se v načrt razvojnih programov </w:t>
      </w:r>
      <w:proofErr w:type="gramStart"/>
      <w:r>
        <w:t>uvršča</w:t>
      </w:r>
      <w:proofErr w:type="gramEnd"/>
      <w:r>
        <w:t xml:space="preserve"> samo projekte, ki presegajo vrednost 600 tisoč evrov, seznam vseh prejemnikov pozitivnih odločb na omenjenem javnem razpisu pa je objavljen na spletni strani gospodarskega ministrstva. </w:t>
      </w:r>
    </w:p>
    <w:p w14:paraId="63775505" w14:textId="77777777" w:rsidR="00E77CFB" w:rsidRDefault="00E77CFB" w:rsidP="00E77CFB"/>
    <w:p w14:paraId="7405909B" w14:textId="77777777" w:rsidR="00E77CFB" w:rsidRDefault="00E77CFB" w:rsidP="00E77CFB">
      <w:r>
        <w:t>Seznam uvrščenih projektov v Načrt razvojnih programov 2024–2027:</w:t>
      </w:r>
    </w:p>
    <w:p w14:paraId="14898AD0" w14:textId="63A8865D" w:rsidR="00E77CFB" w:rsidRDefault="00E77CFB" w:rsidP="00E77CFB">
      <w:pPr>
        <w:pStyle w:val="Odstavekseznama"/>
        <w:numPr>
          <w:ilvl w:val="0"/>
          <w:numId w:val="3"/>
        </w:numPr>
      </w:pPr>
      <w:r>
        <w:t>obnova nogometnega igrišča z atletsko stezo Sežana,</w:t>
      </w:r>
    </w:p>
    <w:p w14:paraId="7B9F14D1" w14:textId="07EE998C" w:rsidR="00E77CFB" w:rsidRDefault="00E77CFB" w:rsidP="00E77CFB">
      <w:pPr>
        <w:pStyle w:val="Odstavekseznama"/>
        <w:numPr>
          <w:ilvl w:val="0"/>
          <w:numId w:val="3"/>
        </w:numPr>
      </w:pPr>
      <w:r>
        <w:t>obnova športnega stadiona v Starem trgu pri Ložu,</w:t>
      </w:r>
    </w:p>
    <w:p w14:paraId="20EE8C2A" w14:textId="637458D7" w:rsidR="00E77CFB" w:rsidRDefault="00E77CFB" w:rsidP="00E77CFB">
      <w:pPr>
        <w:pStyle w:val="Odstavekseznama"/>
        <w:numPr>
          <w:ilvl w:val="0"/>
          <w:numId w:val="3"/>
        </w:numPr>
      </w:pPr>
      <w:r>
        <w:t>izgradnja športnega igrišča Frankolovo,</w:t>
      </w:r>
    </w:p>
    <w:p w14:paraId="7A83F302" w14:textId="05517DB1" w:rsidR="00E77CFB" w:rsidRDefault="00E77CFB" w:rsidP="00E77CFB">
      <w:pPr>
        <w:pStyle w:val="Odstavekseznama"/>
        <w:numPr>
          <w:ilvl w:val="0"/>
          <w:numId w:val="3"/>
        </w:numPr>
      </w:pPr>
      <w:r>
        <w:t>izgradnja Športnega parka Vitanje,</w:t>
      </w:r>
    </w:p>
    <w:p w14:paraId="330E8611" w14:textId="2F4208F6" w:rsidR="00E77CFB" w:rsidRDefault="00E77CFB" w:rsidP="00E77CFB">
      <w:pPr>
        <w:pStyle w:val="Odstavekseznama"/>
        <w:numPr>
          <w:ilvl w:val="0"/>
          <w:numId w:val="3"/>
        </w:numPr>
      </w:pPr>
      <w:r>
        <w:t>rekonstrukcija površin za atletiko Rogašovci,</w:t>
      </w:r>
    </w:p>
    <w:p w14:paraId="4F3A1B35" w14:textId="62B17DE2" w:rsidR="00E77CFB" w:rsidRDefault="00E77CFB" w:rsidP="00E77CFB">
      <w:pPr>
        <w:pStyle w:val="Odstavekseznama"/>
        <w:numPr>
          <w:ilvl w:val="0"/>
          <w:numId w:val="3"/>
        </w:numPr>
      </w:pPr>
      <w:r>
        <w:t>izgradnja športnega parka Grosuplje,</w:t>
      </w:r>
    </w:p>
    <w:p w14:paraId="0332A2B7" w14:textId="71D4F12F" w:rsidR="00E77CFB" w:rsidRDefault="00E77CFB" w:rsidP="00E77CFB">
      <w:pPr>
        <w:pStyle w:val="Odstavekseznama"/>
        <w:numPr>
          <w:ilvl w:val="0"/>
          <w:numId w:val="3"/>
        </w:numPr>
      </w:pPr>
      <w:r>
        <w:t>izgradnja Športnega parka Franja Malgaja Šentjur,</w:t>
      </w:r>
    </w:p>
    <w:p w14:paraId="4898ED85" w14:textId="0E360AC9" w:rsidR="00E77CFB" w:rsidRDefault="00E77CFB" w:rsidP="00E77CFB">
      <w:pPr>
        <w:pStyle w:val="Odstavekseznama"/>
        <w:numPr>
          <w:ilvl w:val="0"/>
          <w:numId w:val="3"/>
        </w:numPr>
      </w:pPr>
      <w:r>
        <w:t>obnova nogometnega igrišča Rogoza,</w:t>
      </w:r>
    </w:p>
    <w:p w14:paraId="2DDCD326" w14:textId="4D03A50F" w:rsidR="00E77CFB" w:rsidRDefault="00E77CFB" w:rsidP="00E77CFB">
      <w:pPr>
        <w:pStyle w:val="Odstavekseznama"/>
        <w:numPr>
          <w:ilvl w:val="0"/>
          <w:numId w:val="3"/>
        </w:numPr>
      </w:pPr>
      <w:r>
        <w:t>ureditev nogometnega igrišča Na Logu,</w:t>
      </w:r>
    </w:p>
    <w:p w14:paraId="0B9D1C65" w14:textId="43CEF51F" w:rsidR="00E77CFB" w:rsidRDefault="00E77CFB" w:rsidP="00E77CFB">
      <w:pPr>
        <w:pStyle w:val="Odstavekseznama"/>
        <w:numPr>
          <w:ilvl w:val="0"/>
          <w:numId w:val="3"/>
        </w:numPr>
      </w:pPr>
      <w:r>
        <w:t>obnova in gradnja novih igrišč Lovrenc na Pohorju,</w:t>
      </w:r>
    </w:p>
    <w:p w14:paraId="2556FC06" w14:textId="24BABD89" w:rsidR="00E77CFB" w:rsidRDefault="00E77CFB" w:rsidP="00E77CFB">
      <w:pPr>
        <w:pStyle w:val="Odstavekseznama"/>
        <w:numPr>
          <w:ilvl w:val="0"/>
          <w:numId w:val="3"/>
        </w:numPr>
      </w:pPr>
      <w:r>
        <w:t>izgradnja atletske steze v Središču ob Dravi,</w:t>
      </w:r>
    </w:p>
    <w:p w14:paraId="150F47E7" w14:textId="5EE0F9ED" w:rsidR="00E77CFB" w:rsidRDefault="00E77CFB" w:rsidP="00E77CFB">
      <w:pPr>
        <w:pStyle w:val="Odstavekseznama"/>
        <w:numPr>
          <w:ilvl w:val="0"/>
          <w:numId w:val="3"/>
        </w:numPr>
      </w:pPr>
      <w:r>
        <w:t>gradnja športnega igrišča OŠ Ig,</w:t>
      </w:r>
    </w:p>
    <w:p w14:paraId="0646149B" w14:textId="66802576" w:rsidR="00E77CFB" w:rsidRDefault="00E77CFB" w:rsidP="00E77CFB">
      <w:pPr>
        <w:pStyle w:val="Odstavekseznama"/>
        <w:numPr>
          <w:ilvl w:val="0"/>
          <w:numId w:val="3"/>
        </w:numPr>
      </w:pPr>
      <w:r>
        <w:lastRenderedPageBreak/>
        <w:t>izgradnja igrišč in pomožnega objekta Livada Loče,</w:t>
      </w:r>
    </w:p>
    <w:p w14:paraId="49912DD0" w14:textId="15208880" w:rsidR="00E77CFB" w:rsidRDefault="00E77CFB" w:rsidP="00E77CFB">
      <w:pPr>
        <w:pStyle w:val="Odstavekseznama"/>
        <w:numPr>
          <w:ilvl w:val="0"/>
          <w:numId w:val="3"/>
        </w:numPr>
      </w:pPr>
      <w:r>
        <w:t>prenova športnega igrišča pri OŠ Šmartno,</w:t>
      </w:r>
    </w:p>
    <w:p w14:paraId="6197648B" w14:textId="1BFF5181" w:rsidR="00E77CFB" w:rsidRDefault="00E77CFB" w:rsidP="00E77CFB">
      <w:pPr>
        <w:pStyle w:val="Odstavekseznama"/>
        <w:numPr>
          <w:ilvl w:val="0"/>
          <w:numId w:val="3"/>
        </w:numPr>
      </w:pPr>
      <w:r>
        <w:t>izgradnja športnega igrišča Branik,</w:t>
      </w:r>
    </w:p>
    <w:p w14:paraId="07F91C7D" w14:textId="7478CF46" w:rsidR="00E77CFB" w:rsidRDefault="00E77CFB" w:rsidP="00E77CFB">
      <w:pPr>
        <w:pStyle w:val="Odstavekseznama"/>
        <w:numPr>
          <w:ilvl w:val="0"/>
          <w:numId w:val="3"/>
        </w:numPr>
      </w:pPr>
      <w:r>
        <w:t>rekonstrukcija Skate parka Domžale,</w:t>
      </w:r>
    </w:p>
    <w:p w14:paraId="7AC6A1C7" w14:textId="503A1EC4" w:rsidR="00E77CFB" w:rsidRDefault="00E77CFB" w:rsidP="00E77CFB">
      <w:pPr>
        <w:pStyle w:val="Odstavekseznama"/>
        <w:numPr>
          <w:ilvl w:val="0"/>
          <w:numId w:val="3"/>
        </w:numPr>
      </w:pPr>
      <w:r>
        <w:t>izgradnja igrišča s stezo - Športni park Lucija,</w:t>
      </w:r>
    </w:p>
    <w:p w14:paraId="31393C3D" w14:textId="4411A360" w:rsidR="00E77CFB" w:rsidRDefault="00E77CFB" w:rsidP="00E77CFB">
      <w:pPr>
        <w:pStyle w:val="Odstavekseznama"/>
        <w:numPr>
          <w:ilvl w:val="0"/>
          <w:numId w:val="3"/>
        </w:numPr>
      </w:pPr>
      <w:r>
        <w:t>izgradnja dveh novih nogometnih igrišč v Radencih,</w:t>
      </w:r>
    </w:p>
    <w:p w14:paraId="7BC8CE31" w14:textId="6B3686ED" w:rsidR="00E77CFB" w:rsidRDefault="00E77CFB" w:rsidP="00E77CFB">
      <w:pPr>
        <w:pStyle w:val="Odstavekseznama"/>
        <w:numPr>
          <w:ilvl w:val="0"/>
          <w:numId w:val="3"/>
        </w:numPr>
      </w:pPr>
      <w:r>
        <w:t>izgradnja igrišča s tekaško stezo pri OŠ Šentjanž,</w:t>
      </w:r>
    </w:p>
    <w:p w14:paraId="619B2C6E" w14:textId="496BF217" w:rsidR="00E77CFB" w:rsidRDefault="00E77CFB" w:rsidP="00E77CFB">
      <w:pPr>
        <w:pStyle w:val="Odstavekseznama"/>
        <w:numPr>
          <w:ilvl w:val="0"/>
          <w:numId w:val="3"/>
        </w:numPr>
      </w:pPr>
      <w:r>
        <w:t>izgradnja športnih površin pri OŠ Frana Albrehta,</w:t>
      </w:r>
    </w:p>
    <w:p w14:paraId="190450E7" w14:textId="2E56FEB6" w:rsidR="00E77CFB" w:rsidRDefault="00E77CFB" w:rsidP="00E77CFB">
      <w:pPr>
        <w:pStyle w:val="Odstavekseznama"/>
        <w:numPr>
          <w:ilvl w:val="0"/>
          <w:numId w:val="3"/>
        </w:numPr>
      </w:pPr>
      <w:r>
        <w:t>ureditev nogometnih igrišč Velesovo,</w:t>
      </w:r>
    </w:p>
    <w:p w14:paraId="55A078B2" w14:textId="7B513AC8" w:rsidR="00E77CFB" w:rsidRDefault="00E77CFB" w:rsidP="00E77CFB">
      <w:pPr>
        <w:pStyle w:val="Odstavekseznama"/>
        <w:numPr>
          <w:ilvl w:val="0"/>
          <w:numId w:val="3"/>
        </w:numPr>
      </w:pPr>
      <w:r>
        <w:t>izgradnja nogometnega igrišča ŠRC Ljutomer,</w:t>
      </w:r>
    </w:p>
    <w:p w14:paraId="08432926" w14:textId="3692C535" w:rsidR="00E77CFB" w:rsidRDefault="00E77CFB" w:rsidP="00E77CFB">
      <w:pPr>
        <w:pStyle w:val="Odstavekseznama"/>
        <w:numPr>
          <w:ilvl w:val="0"/>
          <w:numId w:val="3"/>
        </w:numPr>
      </w:pPr>
      <w:r>
        <w:t>izgradnja igrišč v športnem parku Šoštanj,</w:t>
      </w:r>
    </w:p>
    <w:p w14:paraId="138E3A2D" w14:textId="4F5FB2A4" w:rsidR="00E77CFB" w:rsidRDefault="00E77CFB" w:rsidP="00E77CFB">
      <w:pPr>
        <w:pStyle w:val="Odstavekseznama"/>
        <w:numPr>
          <w:ilvl w:val="0"/>
          <w:numId w:val="3"/>
        </w:numPr>
      </w:pPr>
      <w:r>
        <w:t>gradnja večnamenske športne dvorane Slovenj Gradec,</w:t>
      </w:r>
    </w:p>
    <w:p w14:paraId="525A79A2" w14:textId="3DAB0037" w:rsidR="00E77CFB" w:rsidRDefault="00E77CFB" w:rsidP="00E77CFB">
      <w:pPr>
        <w:pStyle w:val="Odstavekseznama"/>
        <w:numPr>
          <w:ilvl w:val="0"/>
          <w:numId w:val="3"/>
        </w:numPr>
      </w:pPr>
      <w:r>
        <w:t>nakup opreme Športna dvorana Bovec,</w:t>
      </w:r>
    </w:p>
    <w:p w14:paraId="73F918E9" w14:textId="2685EA81" w:rsidR="00E77CFB" w:rsidRDefault="00E77CFB" w:rsidP="00E77CFB">
      <w:pPr>
        <w:pStyle w:val="Odstavekseznama"/>
        <w:numPr>
          <w:ilvl w:val="0"/>
          <w:numId w:val="3"/>
        </w:numPr>
      </w:pPr>
      <w:r>
        <w:t>prizidek telovadnice Ivanjkovci,</w:t>
      </w:r>
    </w:p>
    <w:p w14:paraId="363D936A" w14:textId="228F4D55" w:rsidR="00E77CFB" w:rsidRDefault="00E77CFB" w:rsidP="00E77CFB">
      <w:pPr>
        <w:pStyle w:val="Odstavekseznama"/>
        <w:numPr>
          <w:ilvl w:val="0"/>
          <w:numId w:val="3"/>
        </w:numPr>
      </w:pPr>
      <w:r>
        <w:t>izgradnja športne dvorane Šentjernej,</w:t>
      </w:r>
    </w:p>
    <w:p w14:paraId="734D0B38" w14:textId="78F7782D" w:rsidR="00E77CFB" w:rsidRDefault="00E77CFB" w:rsidP="00E77CFB">
      <w:pPr>
        <w:pStyle w:val="Odstavekseznama"/>
        <w:numPr>
          <w:ilvl w:val="0"/>
          <w:numId w:val="3"/>
        </w:numPr>
      </w:pPr>
      <w:r>
        <w:t>dozidava telovadnice OŠ Hruševec Šentjur,</w:t>
      </w:r>
    </w:p>
    <w:p w14:paraId="6DB448A5" w14:textId="6F165DC6" w:rsidR="00E77CFB" w:rsidRDefault="00E77CFB" w:rsidP="00E77CFB">
      <w:pPr>
        <w:pStyle w:val="Odstavekseznama"/>
        <w:numPr>
          <w:ilvl w:val="0"/>
          <w:numId w:val="3"/>
        </w:numPr>
      </w:pPr>
      <w:r>
        <w:t>rekonstrukcija drsališča Bled,</w:t>
      </w:r>
    </w:p>
    <w:p w14:paraId="3853D1F6" w14:textId="56316FB0" w:rsidR="00E77CFB" w:rsidRDefault="00E77CFB" w:rsidP="00E77CFB">
      <w:pPr>
        <w:pStyle w:val="Odstavekseznama"/>
        <w:numPr>
          <w:ilvl w:val="0"/>
          <w:numId w:val="3"/>
        </w:numPr>
      </w:pPr>
      <w:r>
        <w:t>obnova večnamenske ploščadi Domžale,</w:t>
      </w:r>
    </w:p>
    <w:p w14:paraId="02AA9320" w14:textId="1B223480" w:rsidR="00E77CFB" w:rsidRDefault="00E77CFB" w:rsidP="00E77CFB">
      <w:pPr>
        <w:pStyle w:val="Odstavekseznama"/>
        <w:numPr>
          <w:ilvl w:val="0"/>
          <w:numId w:val="3"/>
        </w:numPr>
      </w:pPr>
      <w:r>
        <w:t xml:space="preserve">izgradnja pomožnega objekta v parku Stari </w:t>
      </w:r>
      <w:proofErr w:type="gramStart"/>
      <w:r>
        <w:t>bajer</w:t>
      </w:r>
      <w:proofErr w:type="gramEnd"/>
      <w:r>
        <w:t>,</w:t>
      </w:r>
    </w:p>
    <w:p w14:paraId="64DAF469" w14:textId="36C170C6" w:rsidR="00E77CFB" w:rsidRDefault="00E77CFB" w:rsidP="00E77CFB">
      <w:pPr>
        <w:pStyle w:val="Odstavekseznama"/>
        <w:numPr>
          <w:ilvl w:val="0"/>
          <w:numId w:val="3"/>
        </w:numPr>
      </w:pPr>
      <w:r>
        <w:t>izgradnja športnega parka Rakovlje,</w:t>
      </w:r>
    </w:p>
    <w:p w14:paraId="3EDF4C6B" w14:textId="15C71B89" w:rsidR="00E77CFB" w:rsidRDefault="00E77CFB" w:rsidP="00E77CFB">
      <w:pPr>
        <w:pStyle w:val="Odstavekseznama"/>
        <w:numPr>
          <w:ilvl w:val="0"/>
          <w:numId w:val="3"/>
        </w:numPr>
      </w:pPr>
      <w:r>
        <w:t>prenova in izgradnja parka Foršt in igrišča Gmajna,</w:t>
      </w:r>
    </w:p>
    <w:p w14:paraId="17838169" w14:textId="22994DC2" w:rsidR="00E77CFB" w:rsidRDefault="00E77CFB" w:rsidP="00E77CFB">
      <w:pPr>
        <w:pStyle w:val="Odstavekseznama"/>
        <w:numPr>
          <w:ilvl w:val="0"/>
          <w:numId w:val="3"/>
        </w:numPr>
      </w:pPr>
      <w:r>
        <w:t>izgradnja prizidka k športni dvorani Cirkulane,</w:t>
      </w:r>
    </w:p>
    <w:p w14:paraId="2B085923" w14:textId="7D96A397" w:rsidR="00E77CFB" w:rsidRDefault="00E77CFB" w:rsidP="00E77CFB">
      <w:pPr>
        <w:pStyle w:val="Odstavekseznama"/>
        <w:numPr>
          <w:ilvl w:val="0"/>
          <w:numId w:val="3"/>
        </w:numPr>
      </w:pPr>
      <w:r>
        <w:t>izgradnja športne dvorane Cankova,</w:t>
      </w:r>
    </w:p>
    <w:p w14:paraId="7A504BD5" w14:textId="3976EA4B" w:rsidR="00E77CFB" w:rsidRDefault="00E77CFB" w:rsidP="00E77CFB">
      <w:pPr>
        <w:pStyle w:val="Odstavekseznama"/>
        <w:numPr>
          <w:ilvl w:val="0"/>
          <w:numId w:val="3"/>
        </w:numPr>
      </w:pPr>
      <w:r>
        <w:t>gradnja pomola, klančine, priveznih mest Portorož,</w:t>
      </w:r>
    </w:p>
    <w:p w14:paraId="757A2C74" w14:textId="1969F1F8" w:rsidR="00E77CFB" w:rsidRDefault="00E77CFB" w:rsidP="00E77CFB">
      <w:pPr>
        <w:pStyle w:val="Odstavekseznama"/>
        <w:numPr>
          <w:ilvl w:val="0"/>
          <w:numId w:val="3"/>
        </w:numPr>
      </w:pPr>
      <w:r>
        <w:t>izgradnja telovadnice Gaberje,</w:t>
      </w:r>
    </w:p>
    <w:p w14:paraId="6B084491" w14:textId="3A1B5544" w:rsidR="00E77CFB" w:rsidRDefault="00E77CFB" w:rsidP="00E77CFB">
      <w:pPr>
        <w:pStyle w:val="Odstavekseznama"/>
        <w:numPr>
          <w:ilvl w:val="0"/>
          <w:numId w:val="3"/>
        </w:numPr>
      </w:pPr>
      <w:r>
        <w:t>obnova športnega objekta Podlehnik,</w:t>
      </w:r>
    </w:p>
    <w:p w14:paraId="373B5434" w14:textId="6D8BD7C3" w:rsidR="00E77CFB" w:rsidRDefault="00E77CFB" w:rsidP="00E77CFB">
      <w:pPr>
        <w:pStyle w:val="Odstavekseznama"/>
        <w:numPr>
          <w:ilvl w:val="0"/>
          <w:numId w:val="3"/>
        </w:numPr>
      </w:pPr>
      <w:r>
        <w:t>izgradnja objekta Športnega parka Markovci,</w:t>
      </w:r>
    </w:p>
    <w:p w14:paraId="7A1A2D86" w14:textId="14AA25E8" w:rsidR="00E77CFB" w:rsidRDefault="00E77CFB" w:rsidP="00E77CFB">
      <w:pPr>
        <w:pStyle w:val="Odstavekseznama"/>
        <w:numPr>
          <w:ilvl w:val="0"/>
          <w:numId w:val="3"/>
        </w:numPr>
      </w:pPr>
      <w:r>
        <w:t>obnova športnega doma Gaj Kočevje,</w:t>
      </w:r>
    </w:p>
    <w:p w14:paraId="59515754" w14:textId="1C4C9440" w:rsidR="00E77CFB" w:rsidRDefault="00E77CFB" w:rsidP="00E77CFB">
      <w:pPr>
        <w:pStyle w:val="Odstavekseznama"/>
        <w:numPr>
          <w:ilvl w:val="0"/>
          <w:numId w:val="3"/>
        </w:numPr>
      </w:pPr>
      <w:r>
        <w:t>obnova plavalnega bazena Železniki,</w:t>
      </w:r>
    </w:p>
    <w:p w14:paraId="20900FDA" w14:textId="1BB8AC1E" w:rsidR="00E77CFB" w:rsidRDefault="00E77CFB" w:rsidP="00E77CFB">
      <w:pPr>
        <w:pStyle w:val="Odstavekseznama"/>
        <w:numPr>
          <w:ilvl w:val="0"/>
          <w:numId w:val="3"/>
        </w:numPr>
      </w:pPr>
      <w:r>
        <w:t>izgradnja Športne dvorane Vrhnika,</w:t>
      </w:r>
    </w:p>
    <w:p w14:paraId="51BCEBF8" w14:textId="1340F6CB" w:rsidR="00E77CFB" w:rsidRDefault="00E77CFB" w:rsidP="00E77CFB">
      <w:pPr>
        <w:pStyle w:val="Odstavekseznama"/>
        <w:numPr>
          <w:ilvl w:val="0"/>
          <w:numId w:val="3"/>
        </w:numPr>
      </w:pPr>
      <w:r>
        <w:t>izgradnja večnamenskih športnih dvoran Turnišče,</w:t>
      </w:r>
    </w:p>
    <w:p w14:paraId="57B577C3" w14:textId="37761F00" w:rsidR="00E77CFB" w:rsidRDefault="00E77CFB" w:rsidP="00E77CFB">
      <w:pPr>
        <w:pStyle w:val="Odstavekseznama"/>
        <w:numPr>
          <w:ilvl w:val="0"/>
          <w:numId w:val="3"/>
        </w:numPr>
      </w:pPr>
      <w:r>
        <w:t>prizidava športne dvorane OŠ Trebnje,</w:t>
      </w:r>
    </w:p>
    <w:p w14:paraId="67C0588B" w14:textId="47594F12" w:rsidR="00E77CFB" w:rsidRDefault="00E77CFB" w:rsidP="00E77CFB">
      <w:pPr>
        <w:pStyle w:val="Odstavekseznama"/>
        <w:numPr>
          <w:ilvl w:val="0"/>
          <w:numId w:val="3"/>
        </w:numPr>
      </w:pPr>
      <w:r>
        <w:t>rekonstrukcija nogometnega stadiona Z’dežele,</w:t>
      </w:r>
    </w:p>
    <w:p w14:paraId="5911AB21" w14:textId="6E3A9105" w:rsidR="00E77CFB" w:rsidRDefault="00E77CFB" w:rsidP="00E77CFB">
      <w:pPr>
        <w:pStyle w:val="Odstavekseznama"/>
        <w:numPr>
          <w:ilvl w:val="0"/>
          <w:numId w:val="3"/>
        </w:numPr>
      </w:pPr>
      <w:r>
        <w:t>izgradnja kopališča Šmarje pri Jelšah,</w:t>
      </w:r>
    </w:p>
    <w:p w14:paraId="15DEFAA4" w14:textId="250CF9AC" w:rsidR="00E77CFB" w:rsidRDefault="00E77CFB" w:rsidP="00E77CFB">
      <w:pPr>
        <w:pStyle w:val="Odstavekseznama"/>
        <w:numPr>
          <w:ilvl w:val="0"/>
          <w:numId w:val="3"/>
        </w:numPr>
      </w:pPr>
      <w:r>
        <w:t>izgradnja športne dvorane Žimarice,</w:t>
      </w:r>
    </w:p>
    <w:p w14:paraId="26421D67" w14:textId="3DCC79FC" w:rsidR="00E77CFB" w:rsidRDefault="00E77CFB" w:rsidP="00E77CFB">
      <w:pPr>
        <w:pStyle w:val="Odstavekseznama"/>
        <w:numPr>
          <w:ilvl w:val="0"/>
          <w:numId w:val="3"/>
        </w:numPr>
      </w:pPr>
      <w:r>
        <w:t>izgradnja telovadnice OŠ Šmarje pri Kopru,</w:t>
      </w:r>
    </w:p>
    <w:p w14:paraId="516EB842" w14:textId="681E92E6" w:rsidR="00E77CFB" w:rsidRDefault="00E77CFB" w:rsidP="00E77CFB">
      <w:pPr>
        <w:pStyle w:val="Odstavekseznama"/>
        <w:numPr>
          <w:ilvl w:val="0"/>
          <w:numId w:val="3"/>
        </w:numPr>
      </w:pPr>
      <w:r>
        <w:t>izgradnja telovadnice pri OŠ Škofja Loka – Mesto,</w:t>
      </w:r>
    </w:p>
    <w:p w14:paraId="1F9F8C87" w14:textId="3403FB12" w:rsidR="00E77CFB" w:rsidRDefault="00E77CFB" w:rsidP="00E77CFB">
      <w:pPr>
        <w:pStyle w:val="Odstavekseznama"/>
        <w:numPr>
          <w:ilvl w:val="0"/>
          <w:numId w:val="3"/>
        </w:numPr>
      </w:pPr>
      <w:r>
        <w:t>rekonstrukcija telovadnice pri OŠ Križevci,</w:t>
      </w:r>
    </w:p>
    <w:p w14:paraId="46DED4A2" w14:textId="3DD9F4CE" w:rsidR="00E77CFB" w:rsidRDefault="00E77CFB" w:rsidP="00E77CFB">
      <w:pPr>
        <w:pStyle w:val="Odstavekseznama"/>
        <w:numPr>
          <w:ilvl w:val="0"/>
          <w:numId w:val="3"/>
        </w:numPr>
      </w:pPr>
      <w:r>
        <w:t>obnova športne dvorane v Idriji,</w:t>
      </w:r>
    </w:p>
    <w:p w14:paraId="6D903087" w14:textId="662927AE" w:rsidR="00E77CFB" w:rsidRDefault="00E77CFB" w:rsidP="00E77CFB">
      <w:pPr>
        <w:pStyle w:val="Odstavekseznama"/>
        <w:numPr>
          <w:ilvl w:val="0"/>
          <w:numId w:val="3"/>
        </w:numPr>
      </w:pPr>
      <w:r>
        <w:t>rekonstrukcija tribune Mestnega stadiona Velenje,</w:t>
      </w:r>
    </w:p>
    <w:p w14:paraId="4FA2978A" w14:textId="44C6DEC4" w:rsidR="00E77CFB" w:rsidRDefault="00E77CFB" w:rsidP="00E77CFB">
      <w:pPr>
        <w:pStyle w:val="Odstavekseznama"/>
        <w:numPr>
          <w:ilvl w:val="0"/>
          <w:numId w:val="3"/>
        </w:numPr>
      </w:pPr>
      <w:r>
        <w:t>ureditev razsvetljave nogometni stadion Ajdovščina,</w:t>
      </w:r>
    </w:p>
    <w:p w14:paraId="2B9C6393" w14:textId="331E921B" w:rsidR="00E77CFB" w:rsidRDefault="00E77CFB" w:rsidP="00E77CFB">
      <w:pPr>
        <w:pStyle w:val="Odstavekseznama"/>
        <w:numPr>
          <w:ilvl w:val="0"/>
          <w:numId w:val="3"/>
        </w:numPr>
      </w:pPr>
      <w:r>
        <w:t>izgradnja strehe za dvorano Češča vas,</w:t>
      </w:r>
    </w:p>
    <w:p w14:paraId="29A4BB19" w14:textId="4AA7681C" w:rsidR="00E77CFB" w:rsidRDefault="00E77CFB" w:rsidP="00E77CFB">
      <w:pPr>
        <w:pStyle w:val="Odstavekseznama"/>
        <w:numPr>
          <w:ilvl w:val="0"/>
          <w:numId w:val="3"/>
        </w:numPr>
      </w:pPr>
      <w:r>
        <w:t>izgradnja športnega parka Naklo,</w:t>
      </w:r>
    </w:p>
    <w:p w14:paraId="2FAA6681" w14:textId="2DC3E565" w:rsidR="00E77CFB" w:rsidRDefault="00E77CFB" w:rsidP="00E77CFB">
      <w:pPr>
        <w:pStyle w:val="Odstavekseznama"/>
        <w:numPr>
          <w:ilvl w:val="0"/>
          <w:numId w:val="3"/>
        </w:numPr>
      </w:pPr>
      <w:r>
        <w:t>obnova igrišča z umetno travo Pobrežje,</w:t>
      </w:r>
    </w:p>
    <w:p w14:paraId="372B3416" w14:textId="47ABFF0D" w:rsidR="00E77CFB" w:rsidRDefault="00E77CFB" w:rsidP="00E77CFB">
      <w:pPr>
        <w:pStyle w:val="Odstavekseznama"/>
        <w:numPr>
          <w:ilvl w:val="0"/>
          <w:numId w:val="3"/>
        </w:numPr>
      </w:pPr>
      <w:r>
        <w:t>novogradnja klubskih prostorov - Miklavž,</w:t>
      </w:r>
    </w:p>
    <w:p w14:paraId="0F7A05F0" w14:textId="666EBC66" w:rsidR="00E77CFB" w:rsidRDefault="00E77CFB" w:rsidP="00E77CFB">
      <w:pPr>
        <w:pStyle w:val="Odstavekseznama"/>
        <w:numPr>
          <w:ilvl w:val="0"/>
          <w:numId w:val="3"/>
        </w:numPr>
      </w:pPr>
      <w:r>
        <w:t>sanacija letnega bazena v Novi Gorici,</w:t>
      </w:r>
    </w:p>
    <w:p w14:paraId="574288C6" w14:textId="5B99574C" w:rsidR="00E77CFB" w:rsidRDefault="00E77CFB" w:rsidP="00E77CFB">
      <w:pPr>
        <w:pStyle w:val="Odstavekseznama"/>
        <w:numPr>
          <w:ilvl w:val="0"/>
          <w:numId w:val="3"/>
        </w:numPr>
      </w:pPr>
      <w:r>
        <w:t>izgradnja objekta v športnem parku Šoštanj,</w:t>
      </w:r>
    </w:p>
    <w:p w14:paraId="2E8603CD" w14:textId="2D0318DF" w:rsidR="00E77CFB" w:rsidRDefault="00E77CFB" w:rsidP="00E77CFB">
      <w:pPr>
        <w:pStyle w:val="Odstavekseznama"/>
        <w:numPr>
          <w:ilvl w:val="0"/>
          <w:numId w:val="3"/>
        </w:numPr>
      </w:pPr>
      <w:r>
        <w:t>izgradnja dvorane pri OŠ Frana Albrehta,</w:t>
      </w:r>
    </w:p>
    <w:p w14:paraId="664C8A37" w14:textId="0852F39B" w:rsidR="00E77CFB" w:rsidRDefault="00E77CFB" w:rsidP="00E77CFB">
      <w:pPr>
        <w:pStyle w:val="Odstavekseznama"/>
        <w:numPr>
          <w:ilvl w:val="0"/>
          <w:numId w:val="3"/>
        </w:numPr>
      </w:pPr>
      <w:r>
        <w:t>izgradnja letnega kopališča Rogaška Slatina,</w:t>
      </w:r>
    </w:p>
    <w:p w14:paraId="215F4968" w14:textId="7382DF63" w:rsidR="00E77CFB" w:rsidRDefault="00E77CFB" w:rsidP="00E77CFB">
      <w:pPr>
        <w:pStyle w:val="Odstavekseznama"/>
        <w:numPr>
          <w:ilvl w:val="0"/>
          <w:numId w:val="3"/>
        </w:numPr>
      </w:pPr>
      <w:r>
        <w:t>obnova nogometnega igrišča v Slovenski Bistrici,</w:t>
      </w:r>
    </w:p>
    <w:p w14:paraId="5F8FE40F" w14:textId="0BD76BC7" w:rsidR="00E77CFB" w:rsidRDefault="00E77CFB" w:rsidP="00E77CFB">
      <w:pPr>
        <w:pStyle w:val="Odstavekseznama"/>
        <w:numPr>
          <w:ilvl w:val="0"/>
          <w:numId w:val="3"/>
        </w:numPr>
      </w:pPr>
      <w:r>
        <w:t>izgradnja nogometnega igrišča Slovenj Gradec,</w:t>
      </w:r>
    </w:p>
    <w:p w14:paraId="2E2D0604" w14:textId="068267BF" w:rsidR="00E77CFB" w:rsidRDefault="00E77CFB" w:rsidP="00E77CFB">
      <w:pPr>
        <w:pStyle w:val="Odstavekseznama"/>
        <w:numPr>
          <w:ilvl w:val="0"/>
          <w:numId w:val="3"/>
        </w:numPr>
      </w:pPr>
      <w:r>
        <w:t>projekt obnova atletskega stadiona v Brežicah.</w:t>
      </w:r>
    </w:p>
    <w:p w14:paraId="22CD10F6" w14:textId="77777777" w:rsidR="00E77CFB" w:rsidRDefault="00E77CFB" w:rsidP="00E77CFB">
      <w:pPr>
        <w:pStyle w:val="Vir"/>
      </w:pPr>
      <w:r>
        <w:lastRenderedPageBreak/>
        <w:t>Vir: Ministrstvo za gospodarstvo, turizem in šport</w:t>
      </w:r>
    </w:p>
    <w:p w14:paraId="146B48D9" w14:textId="262E2252" w:rsidR="00902C2B" w:rsidRDefault="00902C2B" w:rsidP="00902C2B">
      <w:pPr>
        <w:pStyle w:val="Naslov2"/>
      </w:pPr>
      <w:r>
        <w:t xml:space="preserve">V Načrt razvojnih programov uvrščena projekta zamenjave </w:t>
      </w:r>
      <w:proofErr w:type="spellStart"/>
      <w:r>
        <w:t>obsevalnikov</w:t>
      </w:r>
      <w:proofErr w:type="spellEnd"/>
      <w:r>
        <w:t xml:space="preserve"> v UKC Maribor in ureditev katetrskega laboratorija v murskosoboški bolnišnici </w:t>
      </w:r>
    </w:p>
    <w:p w14:paraId="365C9C12" w14:textId="77777777" w:rsidR="00902C2B" w:rsidRDefault="00902C2B" w:rsidP="00902C2B">
      <w:r>
        <w:t xml:space="preserve">Vlada Republike Slovenije je na današnji redni seji v Načrt razvojnih programov za obdobje 2024−2027 uvrstila projekt UKC MB - Zamenjava dveh </w:t>
      </w:r>
      <w:proofErr w:type="spellStart"/>
      <w:r>
        <w:t>obsevalnikov</w:t>
      </w:r>
      <w:proofErr w:type="spellEnd"/>
      <w:r>
        <w:t xml:space="preserve"> Onkološkega inštituta in projekt Ureditev katetrskega laboratorija v Splošni bolnišnici Murska Sobota</w:t>
      </w:r>
      <w:proofErr w:type="gramStart"/>
      <w:r>
        <w:t>.</w:t>
      </w:r>
    </w:p>
    <w:p w14:paraId="1FD0ACE8" w14:textId="77777777" w:rsidR="00902C2B" w:rsidRDefault="00902C2B" w:rsidP="00902C2B">
      <w:proofErr w:type="gramEnd"/>
    </w:p>
    <w:p w14:paraId="19DC3B4E" w14:textId="66911C8B" w:rsidR="00902C2B" w:rsidRDefault="00902C2B" w:rsidP="00902C2B">
      <w:r>
        <w:t xml:space="preserve">Namen projekta zamenjave </w:t>
      </w:r>
      <w:proofErr w:type="gramStart"/>
      <w:r>
        <w:t>dveh</w:t>
      </w:r>
      <w:proofErr w:type="gramEnd"/>
      <w:r>
        <w:t xml:space="preserve"> </w:t>
      </w:r>
      <w:proofErr w:type="spellStart"/>
      <w:r>
        <w:t>obsevalnikov</w:t>
      </w:r>
      <w:proofErr w:type="spellEnd"/>
      <w:r>
        <w:t xml:space="preserve"> Onkološkega inštituta UKC Maribor je zagotovitev ustreznih pogojev za izvajanje zdravstvene dejavnosti in kakovostne ter varne zdravstvene oskrbe bolnikov v UKC Maribor. Cil</w:t>
      </w:r>
      <w:r w:rsidR="00EA6C65">
        <w:t>ji</w:t>
      </w:r>
      <w:r>
        <w:t xml:space="preserve"> </w:t>
      </w:r>
      <w:proofErr w:type="gramStart"/>
      <w:r>
        <w:t>investicije</w:t>
      </w:r>
      <w:proofErr w:type="gramEnd"/>
      <w:r>
        <w:t xml:space="preserve"> so: </w:t>
      </w:r>
    </w:p>
    <w:p w14:paraId="30DBCDDE" w14:textId="671891CC" w:rsidR="00902C2B" w:rsidRDefault="00902C2B" w:rsidP="00902C2B">
      <w:pPr>
        <w:pStyle w:val="Odstavekseznama"/>
        <w:numPr>
          <w:ilvl w:val="0"/>
          <w:numId w:val="2"/>
        </w:numPr>
      </w:pPr>
      <w:r>
        <w:t xml:space="preserve">zamenjava obstoječe dotrajane opreme, za katero ni več na razpolago rezervnih delov in je s tem onemogočeno vzdrževanje obstoječih linearnih pospeševalnikov, </w:t>
      </w:r>
    </w:p>
    <w:p w14:paraId="7B758FC4" w14:textId="3F8A01F0" w:rsidR="00902C2B" w:rsidRDefault="00902C2B" w:rsidP="00902C2B">
      <w:pPr>
        <w:pStyle w:val="Odstavekseznama"/>
        <w:numPr>
          <w:ilvl w:val="0"/>
          <w:numId w:val="2"/>
        </w:numPr>
      </w:pPr>
      <w:r>
        <w:t xml:space="preserve">ohranitev in povečana dostopnost do zdravljenja onkoloških bolnikov za severovzhodno Slovenijo, </w:t>
      </w:r>
    </w:p>
    <w:p w14:paraId="68195567" w14:textId="4B5D3FA6" w:rsidR="00902C2B" w:rsidRDefault="00902C2B" w:rsidP="00902C2B">
      <w:pPr>
        <w:pStyle w:val="Odstavekseznama"/>
        <w:numPr>
          <w:ilvl w:val="0"/>
          <w:numId w:val="2"/>
        </w:numPr>
      </w:pPr>
      <w:r>
        <w:t xml:space="preserve">ohranitev visoke strokovne ravni in zagotovitev normalnih pogojev za delo osebja, </w:t>
      </w:r>
    </w:p>
    <w:p w14:paraId="2EEE2C5B" w14:textId="0B1E0259" w:rsidR="00902C2B" w:rsidRDefault="00902C2B" w:rsidP="00902C2B">
      <w:pPr>
        <w:pStyle w:val="Odstavekseznama"/>
        <w:numPr>
          <w:ilvl w:val="0"/>
          <w:numId w:val="2"/>
        </w:numPr>
      </w:pPr>
      <w:r>
        <w:t>zagotovitev pogojev za delo v skladu s strokovnimi standardi,</w:t>
      </w:r>
    </w:p>
    <w:p w14:paraId="02287408" w14:textId="389579F9" w:rsidR="00902C2B" w:rsidRDefault="00902C2B" w:rsidP="00902C2B">
      <w:pPr>
        <w:pStyle w:val="Odstavekseznama"/>
        <w:numPr>
          <w:ilvl w:val="0"/>
          <w:numId w:val="2"/>
        </w:numPr>
      </w:pPr>
      <w:r>
        <w:t>širitev onkološke dejavnosti v UKC Maribor.</w:t>
      </w:r>
    </w:p>
    <w:p w14:paraId="64F809A1" w14:textId="77777777" w:rsidR="00902C2B" w:rsidRDefault="00902C2B" w:rsidP="00902C2B"/>
    <w:p w14:paraId="1A966492" w14:textId="77777777" w:rsidR="00902C2B" w:rsidRDefault="00902C2B" w:rsidP="00902C2B">
      <w:r>
        <w:t xml:space="preserve">Ocenjena vrednost zamenjave dveh </w:t>
      </w:r>
      <w:proofErr w:type="spellStart"/>
      <w:r>
        <w:t>obsevalnikov</w:t>
      </w:r>
      <w:proofErr w:type="spellEnd"/>
      <w:r>
        <w:t xml:space="preserve"> na Onkološkem inštitutu UKC Maribor znaša 13.358.789 evrov z DDV. Urad za nadzor, kakovost in </w:t>
      </w:r>
      <w:proofErr w:type="gramStart"/>
      <w:r>
        <w:t>investicije</w:t>
      </w:r>
      <w:proofErr w:type="gramEnd"/>
      <w:r>
        <w:t xml:space="preserve"> v zdravstvu bo investicijo sofinanciralo v višini 3.500.000 evrov z DDV.</w:t>
      </w:r>
    </w:p>
    <w:p w14:paraId="44E3010B" w14:textId="77777777" w:rsidR="00902C2B" w:rsidRDefault="00902C2B" w:rsidP="00902C2B"/>
    <w:p w14:paraId="169D01EB" w14:textId="6487B2CB" w:rsidR="00902C2B" w:rsidRDefault="00902C2B" w:rsidP="00902C2B">
      <w:r>
        <w:t xml:space="preserve">Cilj projekta Ureditev katetrskega laboratorija v Splošni bolnišnici Murska Sobota je nakup </w:t>
      </w:r>
      <w:proofErr w:type="spellStart"/>
      <w:r>
        <w:t>koronarografa</w:t>
      </w:r>
      <w:proofErr w:type="spellEnd"/>
      <w:r>
        <w:t xml:space="preserve"> in ureditev prostorov za izvajanje </w:t>
      </w:r>
      <w:proofErr w:type="spellStart"/>
      <w:r>
        <w:t>koronagrafije</w:t>
      </w:r>
      <w:proofErr w:type="spellEnd"/>
      <w:r>
        <w:t xml:space="preserve">. Namen projekta sta odprava pomanjkanja površin in funkcionalne oziroma </w:t>
      </w:r>
      <w:proofErr w:type="gramStart"/>
      <w:r>
        <w:t>gradbeno-tehnične</w:t>
      </w:r>
      <w:proofErr w:type="gramEnd"/>
      <w:r>
        <w:t xml:space="preserve"> neustreznosti obstoječih prostorov.</w:t>
      </w:r>
    </w:p>
    <w:p w14:paraId="205F55C9" w14:textId="77777777" w:rsidR="00902C2B" w:rsidRDefault="00902C2B" w:rsidP="00902C2B">
      <w:r>
        <w:t xml:space="preserve">Ocenjena vrednost </w:t>
      </w:r>
      <w:proofErr w:type="gramStart"/>
      <w:r>
        <w:t>investicije</w:t>
      </w:r>
      <w:proofErr w:type="gramEnd"/>
      <w:r>
        <w:t xml:space="preserve"> ureditve katetrskega laboratorija v murskosoboški bolnišnici je 5.885.280 evrov z DDV. Urad za nadzor, kakovost in investicije v zdravstvu bo investicijo sofinanciralo v višini 5.641.280,00 evrov z DDV.</w:t>
      </w:r>
    </w:p>
    <w:p w14:paraId="5E606D4E" w14:textId="046AC974" w:rsidR="00524AAD" w:rsidRDefault="00902C2B" w:rsidP="00902C2B">
      <w:pPr>
        <w:pStyle w:val="Vir"/>
      </w:pPr>
      <w:r>
        <w:t>Vir: Ministrstvo za zdravje</w:t>
      </w:r>
    </w:p>
    <w:p w14:paraId="655F441C" w14:textId="0003F47C" w:rsidR="00180031" w:rsidRDefault="00180031" w:rsidP="00180031">
      <w:pPr>
        <w:pStyle w:val="Naslov2"/>
      </w:pPr>
      <w:r>
        <w:t>Vlada spremenila vrednosti dveh projektov s področja vzgoje in izobraževanja v veljavnem Načrtu razvojnih programov za obdobje 2024-2027</w:t>
      </w:r>
    </w:p>
    <w:p w14:paraId="236E2917" w14:textId="77777777" w:rsidR="00180031" w:rsidRDefault="00180031" w:rsidP="00180031">
      <w:r>
        <w:t>Vlada je posodobila vrednost izhodiščne vrednosti projekta sofinanciranja gradnje športne dvorane Osnovne šole Matije Valjavca v občini Preddvor.</w:t>
      </w:r>
    </w:p>
    <w:p w14:paraId="542B0AD5" w14:textId="77777777" w:rsidR="00180031" w:rsidRDefault="00180031" w:rsidP="00180031"/>
    <w:p w14:paraId="124B5F0E" w14:textId="77777777" w:rsidR="00180031" w:rsidRDefault="00180031" w:rsidP="00180031">
      <w:r>
        <w:t xml:space="preserve">Občini Preddvor je bilo s strani Ministrstva za vzgojo in izobraževanje v letu 2023 izplačanih 1.285.492,54 evra sofinancerskih sredstev za gradbeno obrtniška in instalacijska. </w:t>
      </w:r>
    </w:p>
    <w:p w14:paraId="5A321E0C" w14:textId="77777777" w:rsidR="00180031" w:rsidRDefault="00180031" w:rsidP="00180031"/>
    <w:p w14:paraId="708A4F1C" w14:textId="4C2C3997" w:rsidR="00180031" w:rsidRDefault="00180031" w:rsidP="00180031">
      <w:r>
        <w:t xml:space="preserve">Namen projekta je pridobitev ustreznega števila prostorov za pouk (manjkajoče športne površine, učilnice ter pripadajoči prostori - kabinet in sanitarije) in urediti ustrezno navezavo na kuhinjo (locirana v drugi stavbi, v vrtcu) ter urediti jedilnico, ki bo namenjena prehranjevanju učencev ter hkrati večnamenskemu prostoru. V času izvajanja projekta je prišlo do povečanja vrednosti projekta pri gradnji zaradi kakovostnih podpornih </w:t>
      </w:r>
      <w:proofErr w:type="gramStart"/>
      <w:r>
        <w:t>aktivnosti</w:t>
      </w:r>
      <w:proofErr w:type="gramEnd"/>
      <w:r>
        <w:t xml:space="preserve"> v fazi priprave in izvedbe projekta izhajajoč iz zagotavljanja izvedbe skladne z zahtevami EKO sklada. Poleg tega se je občina odločila za dodatno nadzidavo petih novih učilnic zaradi predvidene izgradnje 138 novih stanovanj v šestih </w:t>
      </w:r>
      <w:proofErr w:type="gramStart"/>
      <w:r>
        <w:t>več stanovanjskih</w:t>
      </w:r>
      <w:proofErr w:type="gramEnd"/>
      <w:r>
        <w:t xml:space="preserve"> objektih ter več kot 50 novih hiš. Izhodiščna vrednost projekta po Dokumentu identifikacije investicijskega projekta znaša 7.500.000,00 </w:t>
      </w:r>
      <w:proofErr w:type="gramStart"/>
      <w:r>
        <w:t>evrov</w:t>
      </w:r>
      <w:proofErr w:type="gramEnd"/>
      <w:r>
        <w:t xml:space="preserve"> z DDV. Nova izhodiščna vrednost, ki izhaja iz sklepa o potrditvi Novelacije investicijskega programa 2, je predvidena v višini 9.281.676,11 evra brez </w:t>
      </w:r>
      <w:proofErr w:type="spellStart"/>
      <w:r>
        <w:t>poračunljivega</w:t>
      </w:r>
      <w:proofErr w:type="spellEnd"/>
      <w:r>
        <w:t xml:space="preserve"> DDV. Občina je pridobila sredstva EKO sklada (980.911,19 evrov od prvotno </w:t>
      </w:r>
      <w:r>
        <w:lastRenderedPageBreak/>
        <w:t xml:space="preserve">predvidenega 1 mio evrov). Pridobila pa je tudi sredstva Fundacije za šport (75.000,00 </w:t>
      </w:r>
      <w:proofErr w:type="gramStart"/>
      <w:r>
        <w:t>evrov</w:t>
      </w:r>
      <w:proofErr w:type="gramEnd"/>
      <w:r>
        <w:t xml:space="preserve">) in MGRTŠ (500.000,00 evrov od prvotno predvidenih 1.000.000,00 evrov) s katerimi bo skupaj z dodatnimi sredstvi iz proračuna občine Preddvor pokrila spremembo vrednosti projekta v višini 1.781.676,11 evrov. </w:t>
      </w:r>
    </w:p>
    <w:p w14:paraId="0509D9C4" w14:textId="77777777" w:rsidR="00180031" w:rsidRDefault="00180031" w:rsidP="00180031"/>
    <w:p w14:paraId="65F3D997" w14:textId="77777777" w:rsidR="00180031" w:rsidRDefault="00180031" w:rsidP="00180031">
      <w:r>
        <w:t xml:space="preserve">Vlada je posodobila tudi vrednost projekta sofinanciranja novogradnje vrtca </w:t>
      </w:r>
      <w:proofErr w:type="gramStart"/>
      <w:r>
        <w:t>v</w:t>
      </w:r>
      <w:proofErr w:type="gramEnd"/>
      <w:r>
        <w:t xml:space="preserve"> Muti. </w:t>
      </w:r>
    </w:p>
    <w:p w14:paraId="56EF6832" w14:textId="77777777" w:rsidR="00180031" w:rsidRDefault="00180031" w:rsidP="00180031"/>
    <w:p w14:paraId="397D270C" w14:textId="5E31A6A5" w:rsidR="00180031" w:rsidRDefault="00180031" w:rsidP="00180031">
      <w:r>
        <w:t>Predmet sofinanciranja je novogradnja 1.250</w:t>
      </w:r>
      <w:proofErr w:type="gramStart"/>
      <w:r>
        <w:t xml:space="preserve"> m2</w:t>
      </w:r>
      <w:proofErr w:type="gramEnd"/>
      <w:r>
        <w:t xml:space="preserve"> neto površin vrtca, v okviru katere bo zagotovljenih 8 oddelkov vrtca. Skladno s Sklepom in Pogodbo o sofinanciranju je bilo s strani ministrstva MVI predvideno sofinanciranje v letih 2023 in 2024 v skupni višini 1.172.667,07 </w:t>
      </w:r>
      <w:proofErr w:type="gramStart"/>
      <w:r>
        <w:t>evrov za izvedbo gradbeno - obrtniških in instalacijskih del</w:t>
      </w:r>
      <w:proofErr w:type="gramEnd"/>
      <w:r>
        <w:t>.</w:t>
      </w:r>
    </w:p>
    <w:p w14:paraId="114FCBE2" w14:textId="77777777" w:rsidR="00180031" w:rsidRDefault="00180031" w:rsidP="00180031"/>
    <w:p w14:paraId="5B507142" w14:textId="33AEEEF5" w:rsidR="00180031" w:rsidRDefault="00180031" w:rsidP="00180031">
      <w:r>
        <w:t xml:space="preserve">Izhodiščna vrednost projekta z vsemi viri financiranja je v letu 2021 znašala 2.211.250,00 </w:t>
      </w:r>
      <w:proofErr w:type="gramStart"/>
      <w:r>
        <w:t>evrov</w:t>
      </w:r>
      <w:proofErr w:type="gramEnd"/>
      <w:r>
        <w:t xml:space="preserve">. Zaradi povišanja stroškov gradnje in spremembe terminskega plana izvedbe, je občinski svet v mesecu septembru 2024 potrdil drugo novelacijo Investicijskega programa iz katerega izhaja, da je občina za dokončanje projekta poleg dodatnih sredstev, ki jih je pridobila na Javnih pozivih za sredstva Eko sklada (MOPE) in za sredstva za promocije javnih demo lesenih objektov iz Gozdnega sklada (MKGP), povečala tudi lastna sredstva na višino 2.443.374,79 </w:t>
      </w:r>
      <w:proofErr w:type="gramStart"/>
      <w:r>
        <w:t>evrov</w:t>
      </w:r>
      <w:proofErr w:type="gramEnd"/>
      <w:r>
        <w:t>. Končna vrednost investicije se je povečala za 87,6</w:t>
      </w:r>
      <w:proofErr w:type="gramStart"/>
      <w:r>
        <w:t xml:space="preserve"> %</w:t>
      </w:r>
      <w:proofErr w:type="gramEnd"/>
      <w:r>
        <w:t xml:space="preserve"> in je predvidena v višini 4.149.285,64,00 evrov. </w:t>
      </w:r>
    </w:p>
    <w:p w14:paraId="3815D349" w14:textId="77777777" w:rsidR="00180031" w:rsidRDefault="00180031" w:rsidP="00180031"/>
    <w:p w14:paraId="385756FC" w14:textId="77777777" w:rsidR="00180031" w:rsidRDefault="00180031" w:rsidP="00180031">
      <w:r>
        <w:t xml:space="preserve">Gradnja se je </w:t>
      </w:r>
      <w:proofErr w:type="gramStart"/>
      <w:r>
        <w:t>pričela</w:t>
      </w:r>
      <w:proofErr w:type="gramEnd"/>
      <w:r>
        <w:t xml:space="preserve"> v letu 2023 in bo zaključena oktobra 2024. </w:t>
      </w:r>
    </w:p>
    <w:p w14:paraId="24BC0108" w14:textId="1C7F255C" w:rsidR="00524AAD" w:rsidRDefault="00180031" w:rsidP="00180031">
      <w:pPr>
        <w:pStyle w:val="Vir"/>
      </w:pPr>
      <w:r w:rsidRPr="00180031">
        <w:t>Vir: Ministrstvo za vzgojo in izobraževanje</w:t>
      </w:r>
    </w:p>
    <w:p w14:paraId="0861C06A" w14:textId="17C2B04A" w:rsidR="003E5106" w:rsidRDefault="003E5106" w:rsidP="003E5106">
      <w:pPr>
        <w:pStyle w:val="Naslov2"/>
      </w:pPr>
      <w:r>
        <w:t>Vlada potrdila novo vrednost projekta izgradnje strelišča Apače</w:t>
      </w:r>
    </w:p>
    <w:p w14:paraId="2FD9B140" w14:textId="77777777" w:rsidR="003E5106" w:rsidRDefault="003E5106" w:rsidP="003E5106">
      <w:r>
        <w:t>Vlada je sprejela sklep, da se v veljavnem Načrtu razvojnih programov 2024-2027 pri projektu »Izgradnja strelišča Apače« spremeni vrednost projekta, in sicer nad 20 odstotkov njegove izhodiščne vrednosti. Nova izhodiščna vrednost projekta znaša 18.242.660,60</w:t>
      </w:r>
      <w:proofErr w:type="gramStart"/>
      <w:r>
        <w:t xml:space="preserve"> EUR</w:t>
      </w:r>
      <w:proofErr w:type="gramEnd"/>
      <w:r>
        <w:t xml:space="preserve"> z davkom na dodano vrednost.</w:t>
      </w:r>
    </w:p>
    <w:p w14:paraId="4D71A896" w14:textId="77777777" w:rsidR="003E5106" w:rsidRDefault="003E5106" w:rsidP="003E5106"/>
    <w:p w14:paraId="1C5D4F25" w14:textId="77777777" w:rsidR="003E5106" w:rsidRDefault="003E5106" w:rsidP="003E5106">
      <w:r>
        <w:t xml:space="preserve">Ministrstvo za obrambo je spremembo vrednosti projekta izgradnje strelišča Apače nad 20 odstotkov izhodiščne vrednosti predlagalo predvsem zaradi spremembe lokacije strelišča na izvedbeno zahtevnejšo lokacijo, kar ima za posledico bistveno povečanje zemeljskih, gradbenih in inštalacijskih del ter povečanja vrednosti tehnološke opreme, in sicer med letom 2019, ko je bila podana izhodiščna vrednost projekta, in letom 2024, ko je bila potrjena novelacija </w:t>
      </w:r>
      <w:proofErr w:type="gramStart"/>
      <w:r>
        <w:t>Investicijskega</w:t>
      </w:r>
      <w:proofErr w:type="gramEnd"/>
      <w:r>
        <w:t xml:space="preserve"> programa.  </w:t>
      </w:r>
    </w:p>
    <w:p w14:paraId="42B21150" w14:textId="77777777" w:rsidR="003E5106" w:rsidRDefault="003E5106" w:rsidP="003E5106"/>
    <w:p w14:paraId="444EFFDB" w14:textId="77777777" w:rsidR="003E5106" w:rsidRDefault="003E5106" w:rsidP="003E5106">
      <w:r>
        <w:t xml:space="preserve">V tem času je bila za </w:t>
      </w:r>
      <w:proofErr w:type="gramStart"/>
      <w:r>
        <w:t>investicijo</w:t>
      </w:r>
      <w:proofErr w:type="gramEnd"/>
      <w:r>
        <w:t xml:space="preserve"> izdelana dokumentacija za izvedbo gradnje, izdelane študije vpliva investicije na okolje oziroma tla in vode ter izdelana projektna dokumentacija za izvedbo gradnje s projektantsko oceno investicije. Ministrstvo za naravne vire in prostor je za gradnjo izdalo gradbeno dovoljenje. Poleg že navedenega je na spremembo izhodiščne vrednosti projekta vplivala tudi sprememba cen na področju gradbeništva v zadnjih štirih letih, v projekt pa so vključena tudi nepredvidena dela. </w:t>
      </w:r>
    </w:p>
    <w:p w14:paraId="25BA4D93" w14:textId="77777777" w:rsidR="003E5106" w:rsidRDefault="003E5106" w:rsidP="003E5106"/>
    <w:p w14:paraId="773ED225" w14:textId="77777777" w:rsidR="003E5106" w:rsidRDefault="003E5106" w:rsidP="003E5106">
      <w:r>
        <w:t>Sredstva bodo zagotovljena v okviru finančnega načrta Ministrstva za obrambo.</w:t>
      </w:r>
    </w:p>
    <w:p w14:paraId="5B805D3B" w14:textId="4010DC2A" w:rsidR="00524AAD" w:rsidRDefault="003E5106" w:rsidP="003E5106">
      <w:pPr>
        <w:pStyle w:val="Vir"/>
      </w:pPr>
      <w:r>
        <w:t>Vir: Ministrstvo za obrambo</w:t>
      </w:r>
    </w:p>
    <w:p w14:paraId="65BCF43E" w14:textId="67B22058" w:rsidR="000C59BF" w:rsidRDefault="000C59BF" w:rsidP="000C59BF">
      <w:pPr>
        <w:pStyle w:val="Naslov2"/>
      </w:pPr>
      <w:r>
        <w:t xml:space="preserve">Vlada sprejela poročilo o poroštvu Slovenije in pomoči državam </w:t>
      </w:r>
      <w:proofErr w:type="gramStart"/>
      <w:r>
        <w:t>območja evra</w:t>
      </w:r>
      <w:proofErr w:type="gramEnd"/>
    </w:p>
    <w:p w14:paraId="2D80F578" w14:textId="77777777" w:rsidR="000C59BF" w:rsidRDefault="000C59BF" w:rsidP="000C59BF">
      <w:r>
        <w:t xml:space="preserve">Vlada je danes sprejela poročilo o poroštvu Slovenije in odobreni finančni pomoči Irski, Portugalski in Grčiji. </w:t>
      </w:r>
    </w:p>
    <w:p w14:paraId="4755CEF1" w14:textId="77777777" w:rsidR="000C59BF" w:rsidRDefault="000C59BF" w:rsidP="000C59BF"/>
    <w:p w14:paraId="41F0BEEE" w14:textId="77777777" w:rsidR="000C59BF" w:rsidRDefault="000C59BF" w:rsidP="000C59BF">
      <w:r>
        <w:t xml:space="preserve">Državni zbor je za sodelovanje Slovenije v Evropskem instrumentu za zagotavljanje finančne stabilnosti v </w:t>
      </w:r>
      <w:proofErr w:type="gramStart"/>
      <w:r>
        <w:t>evroobmočju</w:t>
      </w:r>
      <w:proofErr w:type="gramEnd"/>
      <w:r>
        <w:t xml:space="preserve"> (angleško </w:t>
      </w:r>
      <w:proofErr w:type="spellStart"/>
      <w:r>
        <w:t>European</w:t>
      </w:r>
      <w:proofErr w:type="spellEnd"/>
      <w:r>
        <w:t xml:space="preserve"> Financial </w:t>
      </w:r>
      <w:proofErr w:type="spellStart"/>
      <w:r>
        <w:t>Stability</w:t>
      </w:r>
      <w:proofErr w:type="spellEnd"/>
      <w:r>
        <w:t xml:space="preserve"> </w:t>
      </w:r>
      <w:proofErr w:type="spellStart"/>
      <w:r>
        <w:t>Facility</w:t>
      </w:r>
      <w:proofErr w:type="spellEnd"/>
      <w:r>
        <w:t xml:space="preserve"> – EFSF) sprejel poseben zakon, ki predstavlja pravno podlago za poroštvo Slovenije za obveznosti družbe EFSF, katere namen je ohranitev finančne stabilnosti v območju evra. </w:t>
      </w:r>
    </w:p>
    <w:p w14:paraId="4BD97FF6" w14:textId="77777777" w:rsidR="000C59BF" w:rsidRDefault="000C59BF" w:rsidP="000C59BF"/>
    <w:p w14:paraId="720ECF7D" w14:textId="77777777" w:rsidR="000C59BF" w:rsidRDefault="000C59BF" w:rsidP="000C59BF">
      <w:r>
        <w:t>Prek tega mehanizma je Slovenija sodelovala pri finančni pomoči Irski in Portugalski, od sprejetja drugega programa pomoči za Grčijo pa tudi pri njej.</w:t>
      </w:r>
    </w:p>
    <w:p w14:paraId="3D3AE76B" w14:textId="77777777" w:rsidR="000C59BF" w:rsidRDefault="000C59BF" w:rsidP="000C59BF"/>
    <w:p w14:paraId="17CCDB33" w14:textId="77777777" w:rsidR="000C59BF" w:rsidRDefault="000C59BF" w:rsidP="000C59BF">
      <w:r>
        <w:t xml:space="preserve">Vlada mora na podlagi omenjenega zakona državni zbor obveščati o danih poroštvih in o odobreni finančni pomoči državi članici </w:t>
      </w:r>
      <w:proofErr w:type="gramStart"/>
      <w:r>
        <w:t>območja evra</w:t>
      </w:r>
      <w:proofErr w:type="gramEnd"/>
      <w:r>
        <w:t xml:space="preserve">, ki se financira iz instrumentov, zavarovanih s poroštvom Slovenije. </w:t>
      </w:r>
    </w:p>
    <w:p w14:paraId="2901F983" w14:textId="77777777" w:rsidR="000C59BF" w:rsidRDefault="000C59BF" w:rsidP="000C59BF"/>
    <w:p w14:paraId="4BCDE317" w14:textId="77777777" w:rsidR="000C59BF" w:rsidRDefault="000C59BF" w:rsidP="000C59BF">
      <w:r>
        <w:t xml:space="preserve">Vse države, ki so prejele finančno pomoč EFSF, so zaključile programe pomoči. </w:t>
      </w:r>
      <w:proofErr w:type="gramStart"/>
      <w:r>
        <w:t>Sedaj</w:t>
      </w:r>
      <w:proofErr w:type="gramEnd"/>
      <w:r>
        <w:t xml:space="preserve"> poteka le </w:t>
      </w:r>
      <w:proofErr w:type="spellStart"/>
      <w:r>
        <w:t>poprogramski</w:t>
      </w:r>
      <w:proofErr w:type="spellEnd"/>
      <w:r>
        <w:t xml:space="preserve"> nadzor, te države pa so hkrati tudi del rednega postopka evropskega semestra. Ključna ugotovitev poročila je, da nobena prejemnica pomoči (Irska, Portugalska in Grčija) nima zapadlih, neporavnanih obveznosti do EFSF niti</w:t>
      </w:r>
      <w:proofErr w:type="gramStart"/>
      <w:r>
        <w:t xml:space="preserve"> ni</w:t>
      </w:r>
      <w:proofErr w:type="gramEnd"/>
      <w:r>
        <w:t xml:space="preserve"> bilo zaznano morebitno povečanje tveganja bodočih neplačil. </w:t>
      </w:r>
    </w:p>
    <w:p w14:paraId="2C4B8319" w14:textId="417FF488" w:rsidR="00524AAD" w:rsidRDefault="000C59BF" w:rsidP="000C59BF">
      <w:pPr>
        <w:pStyle w:val="Vir"/>
      </w:pPr>
      <w:r w:rsidRPr="000C59BF">
        <w:t>Vir: Ministrstvo za finance</w:t>
      </w:r>
    </w:p>
    <w:p w14:paraId="0BAEA390" w14:textId="18C046D0" w:rsidR="008D5781" w:rsidRDefault="008D5781" w:rsidP="008D5781">
      <w:pPr>
        <w:pStyle w:val="Naslov2"/>
      </w:pPr>
      <w:r>
        <w:t>Stališče Slovenije glede predloga uredbe Evropskega parlamenta in Sveta o vzpostavitvi instrumenta za reforme in rast za Moldavijo</w:t>
      </w:r>
    </w:p>
    <w:p w14:paraId="42760CE1" w14:textId="77777777" w:rsidR="008D5781" w:rsidRDefault="008D5781" w:rsidP="008D5781">
      <w:r>
        <w:t>Vlada Republike Slovenije je sprejela stališče Slovenije glede predloga uredbe Evropskega parlamenta in Sveta o vzpostavitvi instrumenta za reforme in rast za Moldavijo.</w:t>
      </w:r>
    </w:p>
    <w:p w14:paraId="4C19B5FC" w14:textId="77777777" w:rsidR="008D5781" w:rsidRDefault="008D5781" w:rsidP="008D5781"/>
    <w:p w14:paraId="45D8ECC1" w14:textId="2B2F10C5" w:rsidR="008D5781" w:rsidRDefault="008D5781" w:rsidP="008D5781">
      <w:r>
        <w:t xml:space="preserve">Instrument je osrednji del načrta za rast za Moldavijo, ki ga je pripravila Evropska komisija in temelji na treh medsebojno povezanih stebrih, namenjenih pospešitvi reformnega procesa v okviru približevanja Moldavije EU in zmanjšanju </w:t>
      </w:r>
      <w:proofErr w:type="gramStart"/>
      <w:r>
        <w:t>socialno-ekonomskega</w:t>
      </w:r>
      <w:proofErr w:type="gramEnd"/>
      <w:r>
        <w:t xml:space="preserve"> razkoraka med Moldavijo in članicami EU. Instrument temelji na strogi pogojenosti, saj bodo izplačila sredstev EU odvisna od napredka, doseženega pri izvajanju reform, zlasti pri krepitvi </w:t>
      </w:r>
      <w:proofErr w:type="gramStart"/>
      <w:r>
        <w:t>socialno-ekonomske</w:t>
      </w:r>
      <w:proofErr w:type="gramEnd"/>
      <w:r>
        <w:t xml:space="preserve"> konvergence in konkurenčnosti ter na področju temeljev.</w:t>
      </w:r>
    </w:p>
    <w:p w14:paraId="44215EB5" w14:textId="77777777" w:rsidR="008D5781" w:rsidRDefault="008D5781" w:rsidP="008D5781"/>
    <w:p w14:paraId="2DFF79DD" w14:textId="11675480" w:rsidR="008D5781" w:rsidRDefault="008D5781" w:rsidP="008D5781">
      <w:r>
        <w:t xml:space="preserve">Za Slovenijo predstavlja instrument pomembno sporočilo zavezanosti EU, da pospeši širitveno politiko in spodbudi Moldavijo, da izvede potrebne reforme in zmanjša </w:t>
      </w:r>
      <w:proofErr w:type="gramStart"/>
      <w:r>
        <w:t>socialno-ekonomski</w:t>
      </w:r>
      <w:proofErr w:type="gramEnd"/>
      <w:r>
        <w:t xml:space="preserve"> razkorak z EU. Slovenija soglaša z osnovnimi in specifičnimi cilji instrumenta in ocenjuje, da sledijo Načrtu za rast za Republiko Moldavijo ter Gospodarskemu in naložbenemu načrtu za Vzhodno partnerstvo. Slovenija si bo prizadevala za </w:t>
      </w:r>
      <w:proofErr w:type="gramStart"/>
      <w:r>
        <w:t>transparentno</w:t>
      </w:r>
      <w:proofErr w:type="gramEnd"/>
      <w:r>
        <w:t xml:space="preserve"> izmenjavo informacij glede bistvenih elementov izvajanja.</w:t>
      </w:r>
    </w:p>
    <w:p w14:paraId="2B29FE03" w14:textId="3CF2CD48" w:rsidR="00524AAD" w:rsidRDefault="008D5781" w:rsidP="008D5781">
      <w:pPr>
        <w:pStyle w:val="Vir"/>
      </w:pPr>
      <w:r>
        <w:t>Vir: Ministrstvo za zunanje in evropske zadeve</w:t>
      </w:r>
    </w:p>
    <w:p w14:paraId="2635FCFD" w14:textId="31A633C9" w:rsidR="00545779" w:rsidRDefault="00545779" w:rsidP="00545779">
      <w:pPr>
        <w:pStyle w:val="Naslov2"/>
      </w:pPr>
      <w:r>
        <w:t>Stališče Slovenije glede predloga sklepa Sveta o finančnih prispevkih članic Evropskega razvojnega sklada</w:t>
      </w:r>
    </w:p>
    <w:p w14:paraId="619A1159" w14:textId="77777777" w:rsidR="00545779" w:rsidRDefault="00545779" w:rsidP="00545779">
      <w:r>
        <w:t>Vlada Republike Slovenije soglaša s predlogom sklepa Sveta o finančnih prispevkih članic Evropskega razvojnega sklada za financiranje tega sklada, ki določa zgornjo mejo za leto 2026, letni znesek za leto 2025 in znesek prvega obroka za leto 2025 ter vključuje okvirno in nezavezujočo napoved pričakovanih letnih zneskov prispevkov za leti 2027 in 2028.</w:t>
      </w:r>
    </w:p>
    <w:p w14:paraId="0C413AE5" w14:textId="77777777" w:rsidR="00545779" w:rsidRDefault="00545779" w:rsidP="00545779"/>
    <w:p w14:paraId="6E986988" w14:textId="63F6C06E" w:rsidR="00545779" w:rsidRDefault="00545779" w:rsidP="00545779">
      <w:r>
        <w:t xml:space="preserve">Namen predloga je določiti zgornjo mejo prispevka za leto 2026, letni znesek za leto 2025, prvi obrok za leto 2025 ter okvirno in nezavezujočo napoved pričakovanih letnih zneskov prispevkov za leti 2027 in 2028. Države članice v posameznem letu plačilo izvedejo v treh obrokih. Evropska komisija in Evropska investicijska banka vsako leto ocenita potrebno višino prispevka za naslednje leto ter </w:t>
      </w:r>
      <w:r>
        <w:lastRenderedPageBreak/>
        <w:t xml:space="preserve">zgornjo mejo letnega zneska prispevka za leto kasneje. Pri oceni se </w:t>
      </w:r>
      <w:proofErr w:type="gramStart"/>
      <w:r>
        <w:t>upošteva</w:t>
      </w:r>
      <w:proofErr w:type="gramEnd"/>
      <w:r>
        <w:t xml:space="preserve"> dva cilja: pomagati državam članicam, da v svojih nacionalnih proračunih rezervirajo čim bolj natančne zneske, ter zagotoviti dovolj razpoložljivih finančnih sredstev za izvajanje aktivnosti. Za vplačilo vsakega obroka se nato sprejme ločena odločitev Sveta EU, s katero se po potrebi lahko na novo določi skupni znesek prispevka v tistem letu</w:t>
      </w:r>
      <w:proofErr w:type="gramStart"/>
      <w:r>
        <w:t xml:space="preserve"> ter</w:t>
      </w:r>
      <w:proofErr w:type="gramEnd"/>
      <w:r>
        <w:t xml:space="preserve"> izračuna višino obroka za vsako posamezno državo članico.</w:t>
      </w:r>
    </w:p>
    <w:p w14:paraId="4AFA321A" w14:textId="68158BB4" w:rsidR="00524AAD" w:rsidRDefault="00545779" w:rsidP="00545779">
      <w:pPr>
        <w:pStyle w:val="Vir"/>
      </w:pPr>
      <w:r>
        <w:t>Vir: Ministrstvo za zunanje in evropske zadeve</w:t>
      </w:r>
    </w:p>
    <w:p w14:paraId="6EA056A4" w14:textId="409769F5" w:rsidR="005E36DF" w:rsidRDefault="005E36DF" w:rsidP="005E36DF">
      <w:pPr>
        <w:pStyle w:val="Naslov2"/>
      </w:pPr>
      <w:r>
        <w:t>Slovenija podpira predlog uredbe o okrepitvi varnosti osebnih izkaznic državljanov Unije</w:t>
      </w:r>
    </w:p>
    <w:p w14:paraId="6DE87B4C" w14:textId="76AD5C7A" w:rsidR="005E36DF" w:rsidRDefault="005E36DF" w:rsidP="005E36DF">
      <w:r>
        <w:t xml:space="preserve">Vlada Republike Slovenije je sprejela stališče Republike Slovenije predlogu uredbe Sveta o okrepitvi varnosti osebnih izkaznic državljanov Unije in dokumentov za prebivanje, </w:t>
      </w:r>
      <w:proofErr w:type="gramStart"/>
      <w:r>
        <w:t>izdanih državljanom</w:t>
      </w:r>
      <w:proofErr w:type="gramEnd"/>
      <w:r>
        <w:t xml:space="preserve"> Unije in njihovim družinskim članom, ki uresničujejo svojo pravico do prostega gibanja.</w:t>
      </w:r>
    </w:p>
    <w:p w14:paraId="0ACF16F0" w14:textId="77777777" w:rsidR="005E36DF" w:rsidRDefault="005E36DF" w:rsidP="005E36DF"/>
    <w:p w14:paraId="45AFA045" w14:textId="4DA79BAB" w:rsidR="005E36DF" w:rsidRDefault="005E36DF" w:rsidP="005E36DF">
      <w:r>
        <w:t>Republika Slovenija podpira predlog uredbe Sveta o okrepitvi varnosti osebnih izkaznic državljanov Unije in dokumentov za prebivanje, izdanih državljanom Unije in njihovim družinskim članom, ki uresničujejo svojo pravico do prostega gibanja.</w:t>
      </w:r>
    </w:p>
    <w:p w14:paraId="7DA461E9" w14:textId="77777777" w:rsidR="005E36DF" w:rsidRDefault="005E36DF" w:rsidP="005E36DF"/>
    <w:p w14:paraId="264D2899" w14:textId="77777777" w:rsidR="005E36DF" w:rsidRDefault="005E36DF" w:rsidP="005E36DF">
      <w:r>
        <w:t xml:space="preserve">Evropska komisija je aprila 2018 sprejela predlog Uredbe o okrepitvi varnosti osebnih izkaznic državljanov Unije in dokumentov za prebivanje, izdanih državljanom Unije in njihovim družinskim članom, ki uresničujejo svojo pravico do prostega gibanja. Sodišče EU je marca 2024 razsodilo, da je ta uredba neveljavna, ker je bila napačno sprejeta na podlagi člena 21(2) Pogodbe o delovanju EU in po rednem zakonodajnem postopku. Po mnenju sodišča je namreč uredba tak akt, ki spada na specifično področje uporabe člena 77(3) navedene pogodbe, ki določa posebni zakonodajni postopek, zlasti pa zahteva soglasje v Svetu EU. Sodišče je uredbo sicer razglasilo za neveljavno, vendar je razsodilo, da je treba njene učinke ohraniti, dokler ne začne veljati nova uredba. </w:t>
      </w:r>
    </w:p>
    <w:p w14:paraId="791B4048" w14:textId="77777777" w:rsidR="005E36DF" w:rsidRDefault="005E36DF" w:rsidP="005E36DF"/>
    <w:p w14:paraId="257E0E08" w14:textId="77777777" w:rsidR="005E36DF" w:rsidRDefault="005E36DF" w:rsidP="005E36DF">
      <w:r>
        <w:t>Republika Slovenija ugotavlja, da predlog nove uredbe v bistvu povzema besedilo (prvotne) uredbe, in ocenjuje, da predlagane prilagoditve besedila ne bodo zahtevale sprememb nacionalne zakonodaje na tem področju.</w:t>
      </w:r>
    </w:p>
    <w:p w14:paraId="52D3854F" w14:textId="6FED16C1" w:rsidR="00524AAD" w:rsidRDefault="005E36DF" w:rsidP="005E36DF">
      <w:pPr>
        <w:pStyle w:val="Vir"/>
      </w:pPr>
      <w:r>
        <w:t>Vir: Ministrstvo za notranje zadeve</w:t>
      </w:r>
    </w:p>
    <w:p w14:paraId="6175694E" w14:textId="5C9D1CF1" w:rsidR="00F737DC" w:rsidRDefault="00F737DC" w:rsidP="00F737DC">
      <w:pPr>
        <w:pStyle w:val="Naslov2"/>
      </w:pPr>
      <w:r>
        <w:t>Vlada sprejela sklep o sklenitvi Sporazuma med Luksemburgom in Slovenijo o delitvi odvzetega premoženja</w:t>
      </w:r>
    </w:p>
    <w:p w14:paraId="7055C19B" w14:textId="77777777" w:rsidR="00F737DC" w:rsidRDefault="00F737DC" w:rsidP="00F737DC">
      <w:r>
        <w:t xml:space="preserve">Vlada je na današnji seji sprejela sklep o sklenitvi Sporazuma med Vlado Velikega vojvodstva Luksemburga in Vlado Republike Slovenije o delitvi odvzetega premoženja na podlagi pravnomočne sodbe Okrožnega sodišča v Celju, opr. št. X K 46955/2017 z dne 22.6.2022, v zvezi s sodbo in sklepom Višjega sodišča v Celju, opr. št. X </w:t>
      </w:r>
      <w:proofErr w:type="spellStart"/>
      <w:proofErr w:type="gramStart"/>
      <w:r>
        <w:t>Kp</w:t>
      </w:r>
      <w:proofErr w:type="spellEnd"/>
      <w:proofErr w:type="gramEnd"/>
      <w:r>
        <w:t xml:space="preserve"> 46955/2017 z dne 19.5.2023.</w:t>
      </w:r>
    </w:p>
    <w:p w14:paraId="4ADD12AD" w14:textId="77777777" w:rsidR="00F737DC" w:rsidRDefault="00F737DC" w:rsidP="00F737DC"/>
    <w:p w14:paraId="24F14335" w14:textId="1D33CB3A" w:rsidR="00F737DC" w:rsidRDefault="00F737DC" w:rsidP="00F737DC">
      <w:r>
        <w:t xml:space="preserve">Okrožno sodišče v Celju je s sodbo, med drugim, odločilo, da se po 74. in 75. členu Kazenskega zakonika (KZ-1) v dobro proračuna Republike Slovenije tuji pravni osebi vzame 6.450.476,33 </w:t>
      </w:r>
      <w:proofErr w:type="gramStart"/>
      <w:r>
        <w:t>evrov (predmet začasnega zavarovanja zahtevka za odvzem premoženjske koristi, pridobljene s kaznivim dejanjem)</w:t>
      </w:r>
      <w:proofErr w:type="gramEnd"/>
      <w:r>
        <w:t xml:space="preserve"> in se po pravnomočnosti te sodbe naloži formalnemu lastniku ter tuji banki s sedežem v Luksemburgu, da ta znesek izplačajo Republiki Sloveniji – proračun.</w:t>
      </w:r>
    </w:p>
    <w:p w14:paraId="3EC9DDB6" w14:textId="77777777" w:rsidR="00F737DC" w:rsidRDefault="00F737DC" w:rsidP="00F737DC"/>
    <w:p w14:paraId="56AC114F" w14:textId="5F21694E" w:rsidR="00F737DC" w:rsidRDefault="00F737DC" w:rsidP="00F737DC">
      <w:r>
        <w:t xml:space="preserve">Okrožno sodišče v Celju je skladno z določili Uredbe (EU) 2018/1805 Evropskega parlamenta in Sveta z dne 14. novembra 2018 o vzajemnem priznavanju sklepov o začasnem zavarovanju in sklepov o odvzemu, izdalo potrdilo o odvzemu (Priloga II Uredbe) in ga posredovalo v priznanje in izvršitev pristojnemu organu Velikega vojvodstva Luksemburga. Generalno državno tožilstvo Velikega vojvodstva Luksemburga je s sklepom priznalo in </w:t>
      </w:r>
      <w:proofErr w:type="gramStart"/>
      <w:r>
        <w:t>izvršilo</w:t>
      </w:r>
      <w:proofErr w:type="gramEnd"/>
      <w:r>
        <w:t xml:space="preserve"> potrdilo in sodbo Okrožnega sodišča v Celju.</w:t>
      </w:r>
    </w:p>
    <w:p w14:paraId="2220E15D" w14:textId="47D80DDF" w:rsidR="00F737DC" w:rsidRDefault="00F737DC" w:rsidP="00F737DC">
      <w:r>
        <w:lastRenderedPageBreak/>
        <w:t>Postopek delitve odvzetega premoženja ureja 30. člen Uredbe, ki v točki b) sedmega odstavka predvideva, da država izvršiteljica v primerih, ko znesek, pridobljen z izvršitvijo sklepa o odvzemu, znaša več kot 10.000 evrov, z denarjem, pridobljenim na podlagi izvršitve sklepa o odvzemu, razpolaga na način, da na državo izdajateljico prenese 50</w:t>
      </w:r>
      <w:proofErr w:type="gramStart"/>
      <w:r>
        <w:t>%</w:t>
      </w:r>
      <w:proofErr w:type="gramEnd"/>
      <w:r>
        <w:t xml:space="preserve"> zneska.</w:t>
      </w:r>
    </w:p>
    <w:p w14:paraId="0897E728" w14:textId="62726235" w:rsidR="00524AAD" w:rsidRDefault="00F737DC" w:rsidP="00F737DC">
      <w:pPr>
        <w:pStyle w:val="Vir"/>
      </w:pPr>
      <w:r>
        <w:t>Vir: Ministrstvo za pravosodje</w:t>
      </w:r>
    </w:p>
    <w:p w14:paraId="622DD478" w14:textId="0353D0E3" w:rsidR="00874EA4" w:rsidRDefault="00874EA4" w:rsidP="00874EA4">
      <w:pPr>
        <w:pStyle w:val="Naslov2"/>
      </w:pPr>
      <w:r>
        <w:t xml:space="preserve">Vlada se je seznanila z Informacijo o nameravanem podpisu Izjave o nameri sodelovanja na področju preiskovanja letalskih nesreč in incidentov </w:t>
      </w:r>
    </w:p>
    <w:p w14:paraId="211221A0" w14:textId="77777777" w:rsidR="00874EA4" w:rsidRDefault="00874EA4" w:rsidP="00874EA4">
      <w:r>
        <w:t>V skladu z mednarodnimi priporočenimi praksami mednarodne organizacije ICAO se pripravlja podpis izjave o nameri z romunskim letalskim preiskovalnim organom. Ta izjava o nameri bo tretji dokument po vrsti</w:t>
      </w:r>
      <w:proofErr w:type="gramStart"/>
      <w:r>
        <w:t xml:space="preserve"> podpisan</w:t>
      </w:r>
      <w:proofErr w:type="gramEnd"/>
      <w:r>
        <w:t xml:space="preserve"> s preiskovalnimi organi držav v regiji. Ostala sodelovanja so sklenjena s hrvaškim preiskovalnim organom in makedonskim preiskovalnim organom.</w:t>
      </w:r>
    </w:p>
    <w:p w14:paraId="4FA0CBCB" w14:textId="77777777" w:rsidR="00874EA4" w:rsidRDefault="00874EA4" w:rsidP="00874EA4"/>
    <w:p w14:paraId="66B70E53" w14:textId="77777777" w:rsidR="00874EA4" w:rsidRDefault="00874EA4" w:rsidP="00874EA4">
      <w:r>
        <w:t xml:space="preserve">Gre za delovni dokument, v katerem se specificira že obstoječe sodelovanje preiskovalcev letalskih nesreč in incidentov. Sam dokument ne prinaša nobenih pravnih </w:t>
      </w:r>
      <w:proofErr w:type="gramStart"/>
      <w:r>
        <w:t>niti</w:t>
      </w:r>
      <w:proofErr w:type="gramEnd"/>
      <w:r>
        <w:t xml:space="preserve"> političnih pravic ali obveznosti in prav tako ne prinaša pravnih ali političnih posledic v primeru neizpolnjevanja vsebine. </w:t>
      </w:r>
    </w:p>
    <w:p w14:paraId="17AD6F5B" w14:textId="77777777" w:rsidR="00874EA4" w:rsidRDefault="00874EA4" w:rsidP="00874EA4">
      <w:r>
        <w:t xml:space="preserve">Že obstoječo prakso spodbuja že evropska medvladna organizacija ECAC/ACC (Evropska konferenca civilnega letalstva), ki enkrat letno organizira srečanja preiskovalcev letalskih nesreč in incidentov z namenom izmenjevanja znanj in izkušenj na področju dela. </w:t>
      </w:r>
    </w:p>
    <w:p w14:paraId="7395AA6E" w14:textId="77777777" w:rsidR="00874EA4" w:rsidRDefault="00874EA4" w:rsidP="00874EA4"/>
    <w:p w14:paraId="4FB83CE4" w14:textId="77777777" w:rsidR="00874EA4" w:rsidRDefault="00874EA4" w:rsidP="00874EA4">
      <w:r>
        <w:t>Izjava o nameri, kot dokument služi zgolj kot opomnik, da se cilji organizacije ECAC glede izmenjevanja znanj in izkušenj na področju preiskovanja letalskih nesreč in incidentov vzdržujejo skozi celo leto in tako preiskovalci ohranjajo stike med seboj, s tem pa si omogočajo tudi pridobivanje izkušenj in sodelovanje na terenu v namen OJT (On-Job-</w:t>
      </w:r>
      <w:proofErr w:type="spellStart"/>
      <w:r>
        <w:t>Training</w:t>
      </w:r>
      <w:proofErr w:type="spellEnd"/>
      <w:r>
        <w:t>) izobraževanja.</w:t>
      </w:r>
    </w:p>
    <w:p w14:paraId="6A04C547" w14:textId="77777777" w:rsidR="00874EA4" w:rsidRDefault="00874EA4" w:rsidP="00874EA4"/>
    <w:p w14:paraId="54111573" w14:textId="77777777" w:rsidR="00874EA4" w:rsidRDefault="00874EA4" w:rsidP="00874EA4">
      <w:r>
        <w:t xml:space="preserve">Po določilih dokumenta vsaka podpisnica deluje v skladu s svojo notranjo zakonodajo, svojimi procesi dela in sodeluje z drugo podpisnico le v primeru, ko ji sredstva to dopuščajo. </w:t>
      </w:r>
    </w:p>
    <w:p w14:paraId="2E70C2C2" w14:textId="77777777" w:rsidR="00874EA4" w:rsidRDefault="00874EA4" w:rsidP="00874EA4"/>
    <w:p w14:paraId="36EC481F" w14:textId="77777777" w:rsidR="00874EA4" w:rsidRDefault="00874EA4" w:rsidP="00874EA4">
      <w:r>
        <w:t xml:space="preserve">Dokument, ki bo podpisan, ne prinaša obveznosti drugi podpisnici glede katerega koli sodelovanja, ali pomoči v primeru nesreče, saj za to služijo drugačni sporazumi, ki se podpisujejo na ravni držav in ne preiskovalnih organov. </w:t>
      </w:r>
    </w:p>
    <w:p w14:paraId="72AC0312" w14:textId="2C30EEA4" w:rsidR="00524AAD" w:rsidRDefault="00874EA4" w:rsidP="00874EA4">
      <w:pPr>
        <w:pStyle w:val="Vir"/>
      </w:pPr>
      <w:r w:rsidRPr="00874EA4">
        <w:t>Vir: Ministrstvo za infrastrukturo</w:t>
      </w:r>
    </w:p>
    <w:p w14:paraId="7FE08FCB" w14:textId="3D18E57D" w:rsidR="004D1005" w:rsidRDefault="004D1005" w:rsidP="004D1005">
      <w:pPr>
        <w:pStyle w:val="Naslov2"/>
      </w:pPr>
      <w:r>
        <w:t xml:space="preserve">Vlada o usposabljanju kandidatov Šole za častnike Slovenske vojske na vaji </w:t>
      </w:r>
      <w:proofErr w:type="spellStart"/>
      <w:r>
        <w:t>Dynamic</w:t>
      </w:r>
      <w:proofErr w:type="spellEnd"/>
      <w:r>
        <w:t xml:space="preserve"> </w:t>
      </w:r>
      <w:proofErr w:type="spellStart"/>
      <w:r>
        <w:t>Victory</w:t>
      </w:r>
      <w:proofErr w:type="spellEnd"/>
    </w:p>
    <w:p w14:paraId="4D54E6AE" w14:textId="77777777" w:rsidR="004D1005" w:rsidRDefault="004D1005" w:rsidP="004D1005">
      <w:r>
        <w:t xml:space="preserve">Vlada Republike Slovenije se je na današnji seji seznanila z Informacijo o nameravanem podpisu Tehničnega dogovora med Ministrstvom za obrambo Republike Slovenije in Ministrstvom za obrambo Združenega kraljestva Velike Britanije in Severne Irske, ki ga zastopa Kraljeva vojaška akademija </w:t>
      </w:r>
      <w:proofErr w:type="spellStart"/>
      <w:r>
        <w:t>Sandhurst</w:t>
      </w:r>
      <w:proofErr w:type="spellEnd"/>
      <w:r>
        <w:t xml:space="preserve"> (Royal </w:t>
      </w:r>
      <w:proofErr w:type="spellStart"/>
      <w:r>
        <w:t>Military</w:t>
      </w:r>
      <w:proofErr w:type="spellEnd"/>
      <w:r>
        <w:t xml:space="preserve"> </w:t>
      </w:r>
      <w:proofErr w:type="spellStart"/>
      <w:r>
        <w:t>Academy</w:t>
      </w:r>
      <w:proofErr w:type="spellEnd"/>
      <w:r>
        <w:t xml:space="preserve"> </w:t>
      </w:r>
      <w:proofErr w:type="spellStart"/>
      <w:r>
        <w:t>Sandhurst</w:t>
      </w:r>
      <w:proofErr w:type="spellEnd"/>
      <w:r>
        <w:t xml:space="preserve"> – RMAS), o praktičnem usposabljanju kandidatov Šole za častnike Slovenske vojske na vaji </w:t>
      </w:r>
      <w:proofErr w:type="spellStart"/>
      <w:r>
        <w:t>Dynamic</w:t>
      </w:r>
      <w:proofErr w:type="spellEnd"/>
      <w:r>
        <w:t xml:space="preserve"> </w:t>
      </w:r>
      <w:proofErr w:type="spellStart"/>
      <w:r>
        <w:t>Victory</w:t>
      </w:r>
      <w:proofErr w:type="spellEnd"/>
      <w:r>
        <w:t xml:space="preserve"> novembra 2024.</w:t>
      </w:r>
    </w:p>
    <w:p w14:paraId="4D227C79" w14:textId="77777777" w:rsidR="004D1005" w:rsidRDefault="004D1005" w:rsidP="004D1005"/>
    <w:p w14:paraId="3F0E10F0" w14:textId="77777777" w:rsidR="004D1005" w:rsidRDefault="004D1005" w:rsidP="004D1005">
      <w:r>
        <w:t xml:space="preserve">Vaja </w:t>
      </w:r>
      <w:proofErr w:type="spellStart"/>
      <w:r>
        <w:t>Dynamic</w:t>
      </w:r>
      <w:proofErr w:type="spellEnd"/>
      <w:r>
        <w:t xml:space="preserve"> </w:t>
      </w:r>
      <w:proofErr w:type="spellStart"/>
      <w:r>
        <w:t>Victory</w:t>
      </w:r>
      <w:proofErr w:type="spellEnd"/>
      <w:r>
        <w:t xml:space="preserve">, ki bo potekala v Zvezni republiki Nemčiji, predstavlja skupno zaključno terensko usposabljanje kandidatov Šole za častnike Slovenske vojske in kadetov Kraljeve vojaške akademije </w:t>
      </w:r>
      <w:proofErr w:type="spellStart"/>
      <w:r>
        <w:t>Sandhurst</w:t>
      </w:r>
      <w:proofErr w:type="spellEnd"/>
      <w:r>
        <w:t>. Aktivnost bo potekala v ameriškem Združenem mednarodnem centru za usposabljanje (</w:t>
      </w:r>
      <w:proofErr w:type="spellStart"/>
      <w:proofErr w:type="gramStart"/>
      <w:r>
        <w:t>Joint</w:t>
      </w:r>
      <w:proofErr w:type="spellEnd"/>
      <w:proofErr w:type="gramEnd"/>
      <w:r>
        <w:t xml:space="preserve"> </w:t>
      </w:r>
      <w:proofErr w:type="spellStart"/>
      <w:r>
        <w:t>Multinational</w:t>
      </w:r>
      <w:proofErr w:type="spellEnd"/>
      <w:r>
        <w:t xml:space="preserve"> </w:t>
      </w:r>
      <w:proofErr w:type="spellStart"/>
      <w:r>
        <w:t>Readiness</w:t>
      </w:r>
      <w:proofErr w:type="spellEnd"/>
      <w:r>
        <w:t xml:space="preserve"> Centre – JMRC v Hohenfelsu in </w:t>
      </w:r>
      <w:proofErr w:type="spellStart"/>
      <w:r>
        <w:t>Joint</w:t>
      </w:r>
      <w:proofErr w:type="spellEnd"/>
      <w:r>
        <w:t xml:space="preserve"> </w:t>
      </w:r>
      <w:proofErr w:type="spellStart"/>
      <w:r>
        <w:t>Multinational</w:t>
      </w:r>
      <w:proofErr w:type="spellEnd"/>
      <w:r>
        <w:t xml:space="preserve"> </w:t>
      </w:r>
      <w:proofErr w:type="spellStart"/>
      <w:r>
        <w:t>Training</w:t>
      </w:r>
      <w:proofErr w:type="spellEnd"/>
      <w:r>
        <w:t xml:space="preserve"> Centre – JMTC v </w:t>
      </w:r>
      <w:proofErr w:type="spellStart"/>
      <w:r>
        <w:t>Grafenwoehru</w:t>
      </w:r>
      <w:proofErr w:type="spellEnd"/>
      <w:r>
        <w:t xml:space="preserve">) v Zvezni republiki Nemčiji. Tovrstne </w:t>
      </w:r>
      <w:proofErr w:type="gramStart"/>
      <w:r>
        <w:t>aktivnosti</w:t>
      </w:r>
      <w:proofErr w:type="gramEnd"/>
      <w:r>
        <w:t xml:space="preserve"> so bile izvedene že v letih 2018, 2019, 2022 in lani.</w:t>
      </w:r>
    </w:p>
    <w:p w14:paraId="19AC9F02" w14:textId="77777777" w:rsidR="004D1005" w:rsidRDefault="004D1005" w:rsidP="004D1005"/>
    <w:p w14:paraId="086BD153" w14:textId="0E5CBEB6" w:rsidR="00524AAD" w:rsidRDefault="004D1005" w:rsidP="004D1005">
      <w:r>
        <w:t xml:space="preserve">Vaja je načrtovana v Načrtu vaj v obrambnem sistemu in sistemu varstva pred naravnimi in drugimi nesrečami v letu 2024. Tehnični dogovor ureja pravice in obveznosti udeleženih strani pri izvajanju </w:t>
      </w:r>
      <w:proofErr w:type="gramStart"/>
      <w:r>
        <w:lastRenderedPageBreak/>
        <w:t>aktivnosti</w:t>
      </w:r>
      <w:proofErr w:type="gramEnd"/>
      <w:r>
        <w:t>, logistično podporo države gostiteljice, določbe glede reševanja odškodninskih zahtevkov, finančna vprašanja, uporabo orožja, streliva in vadbenih sredstev, zdravstveno oskrbo in druge vidike usposabljanja.</w:t>
      </w:r>
    </w:p>
    <w:p w14:paraId="2B4A223D" w14:textId="2AFD1544" w:rsidR="00524AAD" w:rsidRDefault="004D1005" w:rsidP="004D1005">
      <w:pPr>
        <w:pStyle w:val="Vir"/>
      </w:pPr>
      <w:r w:rsidRPr="004D1005">
        <w:t>Vir: Ministrstvo za obrambo</w:t>
      </w:r>
      <w:r w:rsidR="00524AAD">
        <w:t xml:space="preserve"> </w:t>
      </w:r>
    </w:p>
    <w:p w14:paraId="57E61B75" w14:textId="24C76113" w:rsidR="004D1005" w:rsidRDefault="004D1005" w:rsidP="004D1005">
      <w:pPr>
        <w:pStyle w:val="Naslov2"/>
      </w:pPr>
      <w:r>
        <w:t>Vlada o prenovljenem programskem dogovoru med ministrstvi za obrambo in Evropsko obrambno agencijo</w:t>
      </w:r>
    </w:p>
    <w:p w14:paraId="0343E365" w14:textId="77777777" w:rsidR="004D1005" w:rsidRDefault="004D1005" w:rsidP="004D1005">
      <w:r>
        <w:t xml:space="preserve">Vlada Republike Slovenije se je seznanila z Informacijo o nameravanem podpisu prenovljenega programskega dogovora št. </w:t>
      </w:r>
      <w:proofErr w:type="spellStart"/>
      <w:r>
        <w:t>A.PRG.CAP672</w:t>
      </w:r>
      <w:proofErr w:type="spellEnd"/>
      <w:r>
        <w:t xml:space="preserve"> med ministrstvi za obrambo in Evropsko obrambno agencijo o optimizaciji postopkov, povezanih z dovoljenji za čezmejne premike v Evropi.</w:t>
      </w:r>
    </w:p>
    <w:p w14:paraId="5E773F74" w14:textId="77777777" w:rsidR="004D1005" w:rsidRDefault="004D1005" w:rsidP="004D1005"/>
    <w:p w14:paraId="1FCA33F7" w14:textId="77777777" w:rsidR="004D1005" w:rsidRDefault="004D1005" w:rsidP="004D1005">
      <w:r>
        <w:t xml:space="preserve">V okviru Evropske obrambne agencije (EDA) poteka urejanje področja vojaške mobilnosti, konkretno optimizacija postopkov pridobivanja dovoljenj glede prehodov državnih mej. Zadeva je v tesni povezavi z aktivnostmi dveh </w:t>
      </w:r>
      <w:proofErr w:type="gramStart"/>
      <w:r>
        <w:t>PESCO projektov</w:t>
      </w:r>
      <w:proofErr w:type="gramEnd"/>
      <w:r>
        <w:t>, in sicer projekta vojaške mobilnosti (</w:t>
      </w:r>
      <w:proofErr w:type="spellStart"/>
      <w:r>
        <w:t>Military</w:t>
      </w:r>
      <w:proofErr w:type="spellEnd"/>
      <w:r>
        <w:t xml:space="preserve"> </w:t>
      </w:r>
      <w:proofErr w:type="spellStart"/>
      <w:r>
        <w:t>mobility</w:t>
      </w:r>
      <w:proofErr w:type="spellEnd"/>
      <w:r>
        <w:t>) in projekta mreže logističnih vozlišč v Evropi in podpore operacijam (</w:t>
      </w:r>
      <w:proofErr w:type="spellStart"/>
      <w:r>
        <w:t>Network</w:t>
      </w:r>
      <w:proofErr w:type="spellEnd"/>
      <w:r>
        <w:t xml:space="preserve"> of </w:t>
      </w:r>
      <w:proofErr w:type="spellStart"/>
      <w:r>
        <w:t>Logistic</w:t>
      </w:r>
      <w:proofErr w:type="spellEnd"/>
      <w:r>
        <w:t xml:space="preserve"> </w:t>
      </w:r>
      <w:proofErr w:type="spellStart"/>
      <w:r>
        <w:t>Hubs</w:t>
      </w:r>
      <w:proofErr w:type="spellEnd"/>
      <w:r>
        <w:t xml:space="preserve"> in Europe and </w:t>
      </w:r>
      <w:proofErr w:type="spellStart"/>
      <w:r>
        <w:t>Support</w:t>
      </w:r>
      <w:proofErr w:type="spellEnd"/>
      <w:r>
        <w:t xml:space="preserve"> to </w:t>
      </w:r>
      <w:proofErr w:type="spellStart"/>
      <w:r>
        <w:t>Operations</w:t>
      </w:r>
      <w:proofErr w:type="spellEnd"/>
      <w:r>
        <w:t xml:space="preserve">). </w:t>
      </w:r>
    </w:p>
    <w:p w14:paraId="2B3847A6" w14:textId="77777777" w:rsidR="004D1005" w:rsidRDefault="004D1005" w:rsidP="004D1005"/>
    <w:p w14:paraId="292178A2" w14:textId="77777777" w:rsidR="004D1005" w:rsidRDefault="004D1005" w:rsidP="004D1005">
      <w:r>
        <w:t xml:space="preserve">V ta namen je bil podpisan Programski dogovor med ministrstvi za obrambo in Evropsko obrambno agencijo o optimizaciji postopkov, povezanih z dovoljenji za čezmejne premike v Evropi, </w:t>
      </w:r>
      <w:proofErr w:type="gramStart"/>
      <w:r>
        <w:t>kateri</w:t>
      </w:r>
      <w:proofErr w:type="gramEnd"/>
      <w:r>
        <w:t xml:space="preserve"> je vzpostavil zgolj okvir za sodelovanje držav, na podlagi katerega se sklepajo tehnični dogovori, ki urejajo postopke prehodov meja.</w:t>
      </w:r>
    </w:p>
    <w:p w14:paraId="041DA3B7" w14:textId="77777777" w:rsidR="004D1005" w:rsidRDefault="004D1005" w:rsidP="004D1005"/>
    <w:p w14:paraId="001E5430" w14:textId="77777777" w:rsidR="004D1005" w:rsidRDefault="004D1005" w:rsidP="004D1005">
      <w:r>
        <w:t>Prenovljen programski dogovor se sklepa iz razloga dodajanja nove (tretje) domene prehodov mej</w:t>
      </w:r>
      <w:proofErr w:type="gramStart"/>
      <w:r>
        <w:t xml:space="preserve"> in</w:t>
      </w:r>
      <w:proofErr w:type="gramEnd"/>
      <w:r>
        <w:t xml:space="preserve"> sicer prehodi mej po morju (do sedaj sta bili samo dve domeni: površje in zrak), pridružitve novih udeleženk (Danska in Norveška) ter umika udeleženk (Irska, Velika Britanija) in bo nadomestil programski dogovor iz leta 2019.</w:t>
      </w:r>
    </w:p>
    <w:p w14:paraId="4904AC97" w14:textId="26906B76" w:rsidR="00524AAD" w:rsidRDefault="004D1005" w:rsidP="004D1005">
      <w:pPr>
        <w:pStyle w:val="Vir"/>
      </w:pPr>
      <w:r>
        <w:t>Vir: Ministrstvo za obrambo</w:t>
      </w:r>
    </w:p>
    <w:p w14:paraId="25705365" w14:textId="089F8764" w:rsidR="004A5C11" w:rsidRDefault="004A5C11" w:rsidP="004A5C11">
      <w:pPr>
        <w:pStyle w:val="Naslov2"/>
      </w:pPr>
      <w:r>
        <w:t xml:space="preserve">Informacija o nameravanem podpisu pisma o nameri o vzpostavitvi usklajenega koridorja vojaške mobilnosti med štirimi državami </w:t>
      </w:r>
    </w:p>
    <w:p w14:paraId="5601A591" w14:textId="77777777" w:rsidR="004A5C11" w:rsidRDefault="004A5C11" w:rsidP="004A5C11">
      <w:r>
        <w:t>Vlada Republike Slovenije se je na seji seznanila z Informacijo o nameravanem podpisu Pisma o nameri med Ministrstvom za obrambo Republike Slovenije, Ministrom za obrambo Italijanske republike, Ministrom za obrambo Republike Hrvaške in Ministrom za obrambo Madžarske o vzpostavitvi usklajenega koridorja vojaške mobilnosti med njihovimi štirimi državami.</w:t>
      </w:r>
    </w:p>
    <w:p w14:paraId="183994F4" w14:textId="77777777" w:rsidR="004A5C11" w:rsidRDefault="004A5C11" w:rsidP="004A5C11"/>
    <w:p w14:paraId="74140FFB" w14:textId="77777777" w:rsidR="004A5C11" w:rsidRDefault="004A5C11" w:rsidP="004A5C11">
      <w:r>
        <w:t xml:space="preserve">Vojaška mobilnost je s strani zavezništva opredeljena kot sposobnost vojaških sil, da se premeščajo znotraj in preko evropskega vojskovališča vključno s prečkanjem državnih meja, pri čemer je potrebno </w:t>
      </w:r>
      <w:proofErr w:type="gramStart"/>
      <w:r>
        <w:t>strmeti</w:t>
      </w:r>
      <w:proofErr w:type="gramEnd"/>
      <w:r>
        <w:t xml:space="preserve"> k temu, da je premeščanje sil hitro, tekoče in brez potrebnih administrativnih ovir.</w:t>
      </w:r>
    </w:p>
    <w:p w14:paraId="40B60AFE" w14:textId="77777777" w:rsidR="004A5C11" w:rsidRDefault="004A5C11" w:rsidP="004A5C11"/>
    <w:p w14:paraId="22D08106" w14:textId="77777777" w:rsidR="004A5C11" w:rsidRDefault="004A5C11" w:rsidP="004A5C11">
      <w:r>
        <w:t>Pismo o nameri med Ministrom za obrambo Italijanske republike, Ministrstvom za obrambo Republike Slovenije, Ministrom za obrambo Republike Hrvaške in Ministrom za obrambo Madžarske o vzpostavitvi usklajenega koridorja vojaške mobilnosti med njihovimi štirimi državami, predstavlja namero držav, da želijo resno pristopiti k reševanju problematike usklajevanje procesov</w:t>
      </w:r>
      <w:proofErr w:type="gramStart"/>
      <w:r>
        <w:t xml:space="preserve"> in</w:t>
      </w:r>
      <w:proofErr w:type="gramEnd"/>
      <w:r>
        <w:t xml:space="preserve"> postopkov za zagotavljanja nemotenega izvajanja vojaške mobilnosti in predvideva ustanovitev strokovne delovne skupine predstavnikov podpisnic navedenega pisma, ki bo pripravila usklajene rešitve in priporočila. </w:t>
      </w:r>
    </w:p>
    <w:p w14:paraId="33F29959" w14:textId="77777777" w:rsidR="004A5C11" w:rsidRDefault="004A5C11" w:rsidP="004A5C11"/>
    <w:p w14:paraId="56C25CDA" w14:textId="7CF1C0D2" w:rsidR="00524AAD" w:rsidRDefault="004A5C11" w:rsidP="004A5C11">
      <w:r>
        <w:t>Podpis pisma o nameri ne prinaša dodatnih finančnih posledic za Republiko Slovenijo.</w:t>
      </w:r>
    </w:p>
    <w:p w14:paraId="75207052" w14:textId="0A3812FB" w:rsidR="004A5C11" w:rsidRDefault="004A5C11" w:rsidP="004A5C11">
      <w:pPr>
        <w:pStyle w:val="Vir"/>
      </w:pPr>
      <w:r w:rsidRPr="004A5C11">
        <w:lastRenderedPageBreak/>
        <w:t>Vir: Ministrstvo za obrambo</w:t>
      </w:r>
    </w:p>
    <w:p w14:paraId="6B03831C" w14:textId="58200A3F" w:rsidR="00C4342D" w:rsidRDefault="00C4342D" w:rsidP="00C4342D">
      <w:pPr>
        <w:pStyle w:val="Naslov2"/>
      </w:pPr>
      <w:r>
        <w:t>Mnenje o Predlogu zakona o spremembi Zakona o dolgotrajni oskrbi</w:t>
      </w:r>
    </w:p>
    <w:p w14:paraId="530695D5" w14:textId="77777777" w:rsidR="00C4342D" w:rsidRDefault="00C4342D" w:rsidP="00C4342D">
      <w:r>
        <w:t>Vlada je sprejela sklep o Mnenju o Predlogu zakona o spremembi Zakona o dolgotrajni oskrbi, ki ga je Državnemu zboru predložila skupina poslank in poslancev in ga pošlje Državnemu zboru.</w:t>
      </w:r>
    </w:p>
    <w:p w14:paraId="3EAEF1D5" w14:textId="77777777" w:rsidR="00C4342D" w:rsidRDefault="00C4342D" w:rsidP="00C4342D"/>
    <w:p w14:paraId="58805B6F" w14:textId="77777777" w:rsidR="00C4342D" w:rsidRDefault="00C4342D" w:rsidP="00C4342D">
      <w:r>
        <w:t>Vlada se strinja, da je upokojencem treba posvetiti posebno pozornost, in se hkrati zaveda, da je ob oblikovanju ukrepov v okviru sistema dolgotrajne oskrbe treba imeti v mislih skrb za ohranitev sistema, da bo ta tudi v bodoče lahko zagotavljal ustrezno socialno varnost ljudem, ki že sedaj potrebujejo</w:t>
      </w:r>
      <w:proofErr w:type="gramStart"/>
      <w:r>
        <w:t xml:space="preserve"> ali</w:t>
      </w:r>
      <w:proofErr w:type="gramEnd"/>
      <w:r>
        <w:t xml:space="preserve"> bodo v prihodnje potrebovali pomoč pri opravljanju osnovnih in podpornih dnevnih opravil. Sistemi dolgotrajne oskrbe so namreč v številnih razvitih državah že dolgo prepoznani kot »nova« veja socialne varnosti, saj so stroški dolgotrajne oskrbe za posameznika velikokrat izjemno visoki in lahko ogrožajo njegovo socialno varnost. Potrebe po storitvah dolgotrajne oskrbe se sicer lahko pojavijo pri ljudeh vseh starosti, vendar podatki kažejo, da so večinski uporabniki storitev dolgotrajne oskrbe ljudje, starejši od 60 let, torej upokojenci.</w:t>
      </w:r>
    </w:p>
    <w:p w14:paraId="4F40901C" w14:textId="77777777" w:rsidR="00C4342D" w:rsidRDefault="00C4342D" w:rsidP="00C4342D"/>
    <w:p w14:paraId="7AE55364" w14:textId="77777777" w:rsidR="00C4342D" w:rsidRDefault="00C4342D" w:rsidP="00C4342D">
      <w:r>
        <w:t xml:space="preserve">ZDOsk-1, ki je bil sprejet </w:t>
      </w:r>
      <w:proofErr w:type="gramStart"/>
      <w:r>
        <w:t>21. 7. 2023</w:t>
      </w:r>
      <w:proofErr w:type="gramEnd"/>
      <w:r>
        <w:t xml:space="preserve"> in je začel veljati 3. 8. 2023, ureja financiranje dolgotrajne oskrbe z vzpostavitvijo proračunskega vira ter uvedbo novega prispevka za dolgotrajno oskrbo oziroma nove prispevne stopnje v višini enega odstotka za delavce, enega odstotka za delodajalce in enega odstotka za upokojence. Zbiranje sredstev iz naslova socialnega prispevka za dolgotrajno oskrbo se bo začelo </w:t>
      </w:r>
      <w:proofErr w:type="gramStart"/>
      <w:r>
        <w:t>1. 7. 2025</w:t>
      </w:r>
      <w:proofErr w:type="gramEnd"/>
      <w:r>
        <w:t>. V primeru, da po letu 2028 zbrana sredstva ne bodo zadostovala za financiranje dolgotrajne oskrbe, zakon uvaja varovalko, in sicer lastno udeležbo uporabnikov dolgotrajne oskrbe. Takšen sistem financiranja zagotavlja vzdržen sistem dolgotrajne oskrbe in omogoča dostojno življenje vsem, tako uporabnikom teh storitev kot tudi njihovim svojcem.</w:t>
      </w:r>
    </w:p>
    <w:p w14:paraId="4ABD1FA2" w14:textId="77777777" w:rsidR="00C4342D" w:rsidRDefault="00C4342D" w:rsidP="00C4342D"/>
    <w:p w14:paraId="547370E1" w14:textId="77777777" w:rsidR="00C4342D" w:rsidRDefault="00C4342D" w:rsidP="00C4342D">
      <w:r>
        <w:t xml:space="preserve">Z obveznim zavarovanjem za dolgotrajno oskrbo in tudi z drugimi finančnimi viri se po načelih univerzalnosti, solidarnosti, enakosti in v skladu s prepovedjo diskriminacije zavarovanim osebam zagotavljajo pravice do dolgotrajne oskrbe. Vlada meni, da je z vidika solidarnosti pravično, da v blagajno za dolgotrajno oskrbo prispeva tako delovno aktivna populacija kot tudi upokojenci, in sicer vsak po svojih zmožnostih. Izvzetje upokojencev iz obveznosti plačevanja prispevka za dolgotrajno oskrbo bi pomenilo izrazito nesolidarnost do delovno aktivnega prebivalstva, ki bi še naprej nosilo to obveznost. Poleg tega je delovno aktivna populacija tista, ki v veliki meri opravlja </w:t>
      </w:r>
      <w:proofErr w:type="gramStart"/>
      <w:r>
        <w:t>neformalno</w:t>
      </w:r>
      <w:proofErr w:type="gramEnd"/>
      <w:r>
        <w:t xml:space="preserve"> oskrbo, kar bistveno in neopazno razbremenjuje sistem financiranja dolgotrajne oskrbe. Prispevek vseh generacij pa zagotavlja pravičnost med vsemi starostnimi skupinami in preprečuje, da bi celotno breme padlo na delovno aktivno populacijo.</w:t>
      </w:r>
    </w:p>
    <w:p w14:paraId="6BBE3835" w14:textId="77777777" w:rsidR="00C4342D" w:rsidRDefault="00C4342D" w:rsidP="00C4342D"/>
    <w:p w14:paraId="7B7F4C9A" w14:textId="77777777" w:rsidR="00C4342D" w:rsidRDefault="00C4342D" w:rsidP="00C4342D">
      <w:r>
        <w:t>Navsezadnje so prav upokojenci tisti, ki so med glavnimi prejemniki storitev dolgotrajne oskrbe, zato je pravično in solidarno, da tudi upokojenci prispevajo v obvezno socialno zavarovanje za dolgotrajno oskrbo in s tem prispevajo k ohranjanju ključnih storitev, ki jih bodo morda tudi sami v prihodnosti potrebovali. Solidarnost med generacijami in stabilno financiranje sta ključni načeli, ki morata voditi dolgoročno vzdržnost sistema dolgotrajne oskrbe.</w:t>
      </w:r>
    </w:p>
    <w:p w14:paraId="5DAA99D1" w14:textId="77777777" w:rsidR="00C4342D" w:rsidRDefault="00C4342D" w:rsidP="00C4342D"/>
    <w:p w14:paraId="74DBDA16" w14:textId="77777777" w:rsidR="00C4342D" w:rsidRDefault="00C4342D" w:rsidP="00C4342D">
      <w:r>
        <w:t>Glede na navedeno Vlada RS meni, da je financiranje dolgotrajne oskrbe ustrezno urejeno in Predloga zakona o spremembi Zakona o dolgotrajni oskrbi, ki ga je predlagala skupina poslank in poslancev, ne podpira.</w:t>
      </w:r>
    </w:p>
    <w:p w14:paraId="7F42DC43" w14:textId="314A852A" w:rsidR="00524AAD" w:rsidRDefault="00C4342D" w:rsidP="00C4342D">
      <w:pPr>
        <w:pStyle w:val="Vir"/>
      </w:pPr>
      <w:r>
        <w:t>Vir: Ministrstvo za solidarno prihodnost</w:t>
      </w:r>
    </w:p>
    <w:p w14:paraId="7AA7AF07" w14:textId="6533B82A" w:rsidR="00F37961" w:rsidRDefault="00F37961" w:rsidP="00F37961">
      <w:pPr>
        <w:pStyle w:val="Naslov2"/>
      </w:pPr>
      <w:r>
        <w:t>Predlog</w:t>
      </w:r>
      <w:r>
        <w:t xml:space="preserve"> novele </w:t>
      </w:r>
      <w:r>
        <w:t xml:space="preserve">Zakona o urejanju prostora </w:t>
      </w:r>
    </w:p>
    <w:p w14:paraId="0DF29615" w14:textId="77777777" w:rsidR="00F37961" w:rsidRDefault="00F37961" w:rsidP="00F37961"/>
    <w:p w14:paraId="2E7464E5" w14:textId="77777777" w:rsidR="00F37961" w:rsidRDefault="00F37961" w:rsidP="00F37961">
      <w:r>
        <w:lastRenderedPageBreak/>
        <w:t xml:space="preserve">Vlada je določila besedilo </w:t>
      </w:r>
      <w:proofErr w:type="gramStart"/>
      <w:r>
        <w:t>predloga Zakona</w:t>
      </w:r>
      <w:proofErr w:type="gramEnd"/>
      <w:r>
        <w:t xml:space="preserve"> o spremembah in dopolnitvah Zakona o urejanju prostora in ga predložila Državnemu zboru Republike Slovenije v sprejetje po skrajšanem zakonodajnem postopku.</w:t>
      </w:r>
    </w:p>
    <w:p w14:paraId="424F60AF" w14:textId="77777777" w:rsidR="00F37961" w:rsidRDefault="00F37961" w:rsidP="00F37961"/>
    <w:p w14:paraId="7A3CFBF4" w14:textId="77777777" w:rsidR="00F37961" w:rsidRDefault="00F37961" w:rsidP="00F37961">
      <w:r>
        <w:t xml:space="preserve">Ključne so spremembe, s katerimi se bo podaljšal rok uporabe starih občinskih prostorskih </w:t>
      </w:r>
      <w:proofErr w:type="gramStart"/>
      <w:r>
        <w:t>planov</w:t>
      </w:r>
      <w:proofErr w:type="gramEnd"/>
      <w:r>
        <w:t xml:space="preserve"> in rok veljavnosti starih prostorskih ureditvenih pogojev, in sicer do 30. oktobra 2026. </w:t>
      </w:r>
    </w:p>
    <w:p w14:paraId="109AAC71" w14:textId="77777777" w:rsidR="00F37961" w:rsidRDefault="00F37961" w:rsidP="00F37961"/>
    <w:p w14:paraId="18D614A4" w14:textId="77777777" w:rsidR="00F37961" w:rsidRDefault="00F37961" w:rsidP="00F37961">
      <w:r>
        <w:t>V skladu z 295. členom veljavnega Zakona o urejanju prostora se stari občinski prostorski akti, kot podlaga za izdajanje gradbenih dovoljenj in izvajanje posegov v prostor, lahko uporabljajo do 31. decembra 2024. Za preprečitev družbene, gospodarske in okoljske škode</w:t>
      </w:r>
      <w:proofErr w:type="gramStart"/>
      <w:r>
        <w:t>,</w:t>
      </w:r>
      <w:proofErr w:type="gramEnd"/>
      <w:r>
        <w:t xml:space="preserve"> so nujne spremembe oziroma podaljšanje roka uporabe starih občinskih prostorskih planov ter roka veljavnosti starih prostorskih ureditvenih pogojev, in sicer do 30. oktobra 2026.  </w:t>
      </w:r>
    </w:p>
    <w:p w14:paraId="67E283C9" w14:textId="77777777" w:rsidR="00F37961" w:rsidRDefault="00F37961" w:rsidP="00F37961"/>
    <w:p w14:paraId="77E6964D" w14:textId="77777777" w:rsidR="00F37961" w:rsidRDefault="00F37961" w:rsidP="00F37961">
      <w:r>
        <w:t xml:space="preserve">S predlogom zakona se predlaga podaljšanje roka uporabe prostorskih sestavin na 30. oktober 2026. Na isti datum, to je 30. oktober 2026, se podaljša tudi rok veljavnosti prostorskih ureditvenih pogojev (PUP), sprejetih na </w:t>
      </w:r>
      <w:proofErr w:type="gramStart"/>
      <w:r>
        <w:t xml:space="preserve">podlagi  </w:t>
      </w:r>
      <w:proofErr w:type="gramEnd"/>
      <w:r>
        <w:t xml:space="preserve">Zakona o urejanju naselij in drugih posegov v prostor (ZUN). </w:t>
      </w:r>
    </w:p>
    <w:p w14:paraId="6420F178" w14:textId="77777777" w:rsidR="00F37961" w:rsidRDefault="00F37961" w:rsidP="00F37961"/>
    <w:p w14:paraId="5EDC7F34" w14:textId="77777777" w:rsidR="00F37961" w:rsidRDefault="00F37961" w:rsidP="00F37961">
      <w:r>
        <w:t>Priprava in sprejem občinskega prostorskega načrta (OPN) je izvirna pristojnost občin. Predlog zakona tako ureja tudi roke ključnih faz priprave OPN in v zvezi s tem naloge župana</w:t>
      </w:r>
      <w:proofErr w:type="gramStart"/>
      <w:r>
        <w:t>,</w:t>
      </w:r>
      <w:proofErr w:type="gramEnd"/>
      <w:r>
        <w:t xml:space="preserve"> kot odgovorne osebe občine. </w:t>
      </w:r>
    </w:p>
    <w:p w14:paraId="4C08DC56" w14:textId="77777777" w:rsidR="00F37961" w:rsidRDefault="00F37961" w:rsidP="00F37961"/>
    <w:p w14:paraId="0AF99F0B" w14:textId="77777777" w:rsidR="00F37961" w:rsidRDefault="00F37961" w:rsidP="00F37961">
      <w:r>
        <w:t xml:space="preserve">Občine se </w:t>
      </w:r>
      <w:proofErr w:type="gramStart"/>
      <w:r>
        <w:t>obvezuje</w:t>
      </w:r>
      <w:proofErr w:type="gramEnd"/>
      <w:r>
        <w:t>,  da do novega datuma uskladijo svoje občinske prostorske načrte tako, da morajo do takrat določiti poselitvena območja, območja za dolgoročni razvoj naselij in izvesti prvo tehnično posodobitev. Posledično se enako spremeni tudi rok (30. oktober 2026) po katerem občine ne bodo smele izvajati lokacijskih preveritev, če uskladitve občinskega prostorskega načrta ne bodo izvedle.</w:t>
      </w:r>
    </w:p>
    <w:p w14:paraId="25572DA2" w14:textId="77777777" w:rsidR="00F37961" w:rsidRDefault="00F37961" w:rsidP="00F37961"/>
    <w:p w14:paraId="1C7E6204" w14:textId="77777777" w:rsidR="00F37961" w:rsidRDefault="00F37961" w:rsidP="00F37961">
      <w:r>
        <w:t xml:space="preserve">V predlogu sprememb in dopolnitev ZUreP-3 sta dodana še dva člena (338a in 338b člen), ki urejata naloge župana, nosilcev urejanja prostor in ministrstva, pristojnega za prostor ob pripravi OPN tistih občin, ki OPN ob uveljavitvi tega zakona še niso sprejele. </w:t>
      </w:r>
    </w:p>
    <w:p w14:paraId="3782F5D7" w14:textId="77777777" w:rsidR="00F37961" w:rsidRDefault="00F37961" w:rsidP="00F37961"/>
    <w:p w14:paraId="361E1066" w14:textId="77777777" w:rsidR="00F37961" w:rsidRDefault="00F37961" w:rsidP="00F37961">
      <w:proofErr w:type="spellStart"/>
      <w:r>
        <w:t>338.a</w:t>
      </w:r>
      <w:proofErr w:type="spellEnd"/>
      <w:r>
        <w:t xml:space="preserve"> člen ureja naloge in roke, v katerih mora župan zagotoviti ključna dejanja v postopku priprave OPN, da bo ta lahko sprejet in uveljavljen najkasneje 30. oktobra 2026. </w:t>
      </w:r>
    </w:p>
    <w:p w14:paraId="3A67E3FC" w14:textId="77777777" w:rsidR="00F37961" w:rsidRDefault="00F37961" w:rsidP="00F37961"/>
    <w:p w14:paraId="3EA20699" w14:textId="77777777" w:rsidR="00F37961" w:rsidRDefault="00F37961" w:rsidP="00F37961">
      <w:proofErr w:type="spellStart"/>
      <w:r>
        <w:t>338.b</w:t>
      </w:r>
      <w:proofErr w:type="spellEnd"/>
      <w:r>
        <w:t xml:space="preserve"> člen ureja ustanovitev in delovanje koordinacijske skupine, ki bo spremljala in spodbujala pripravo OPN, koordinirala pridobivanje mnenj državnih nosilcev urejanja prostora in ter zagotovitev njihove pravočasne uskladitve. Člani koordinacijske skupine so predstavniki državnih nosilcev urejanja prostor, vodji jo državni sekretar ministrstva, pristojnega za prostor, namestnik pa je generalni direktor Direktorata za prostor in graditev. </w:t>
      </w:r>
    </w:p>
    <w:p w14:paraId="68E4036E" w14:textId="77777777" w:rsidR="00F37961" w:rsidRDefault="00F37961" w:rsidP="00F37961"/>
    <w:p w14:paraId="0E6489BA" w14:textId="77777777" w:rsidR="00F37961" w:rsidRDefault="00F37961" w:rsidP="00F37961">
      <w:r>
        <w:t xml:space="preserve">Ministrstvo za naravne vire in prostor intenzivno sodeluje z občinami brez sprejetega OPN </w:t>
      </w:r>
    </w:p>
    <w:p w14:paraId="4204543A" w14:textId="77777777" w:rsidR="00F37961" w:rsidRDefault="00F37961" w:rsidP="00F37961"/>
    <w:p w14:paraId="3B1FFCA1" w14:textId="77777777" w:rsidR="00F37961" w:rsidRDefault="00F37961" w:rsidP="00F37961">
      <w:r>
        <w:t>23 občin še nima sprejetega občinskega prostorskega načrta (OPN), kar pomeni, da na območju teh občin s 1. januarjem 2025 v primeru nesprejema sprememb in dopolnitev ZUreP-3 izdaja gradbeni dovoljenj ne bi bila več mogoča</w:t>
      </w:r>
      <w:proofErr w:type="gramStart"/>
      <w:r>
        <w:t xml:space="preserve">.  </w:t>
      </w:r>
      <w:proofErr w:type="gramEnd"/>
      <w:r>
        <w:t>Gradbenih dovoljenj ne bi bilo  mogoče izdati za nobeno vrsto gradnje (novogradnje, prizidave, rekonstrukcije, spremembe namembnosti</w:t>
      </w:r>
      <w:proofErr w:type="gramStart"/>
      <w:r>
        <w:t>,</w:t>
      </w:r>
      <w:proofErr w:type="gramEnd"/>
      <w:r>
        <w:t xml:space="preserve"> in tako dalje) in za nobeno vrsto objektov (stanovanjske stavbe, šole, vrtci, zdravstveni objekti, ceste železnice, daljnovodi, kanalizacija in vodovodi, objekti za gospodarske dejavnosti.) MNVP tudi na področje sodelovanja z občinami, ki še nimajo sprejetega OPN</w:t>
      </w:r>
      <w:proofErr w:type="gramStart"/>
      <w:r>
        <w:t xml:space="preserve"> prenaša</w:t>
      </w:r>
      <w:proofErr w:type="gramEnd"/>
      <w:r>
        <w:t xml:space="preserve"> prakso, ki se je izkazala za ustrezno in učinkovito, pri pripravi prostorskih aktov v občinah, ki so jih prizadele poplave in morajo zagotoviti primerne lokacije za nadomestitvene objekte. </w:t>
      </w:r>
    </w:p>
    <w:p w14:paraId="552B71DF" w14:textId="77777777" w:rsidR="00F37961" w:rsidRDefault="00F37961" w:rsidP="00F37961"/>
    <w:p w14:paraId="7EBC597D" w14:textId="77777777" w:rsidR="00F37961" w:rsidRDefault="00F37961" w:rsidP="00F37961">
      <w:r>
        <w:lastRenderedPageBreak/>
        <w:t>MNVP v okviru svojih pristojnosti, v skladu z 42. členom ZUreP-3, že intenzivno sodeluje s temi občinami, se z njimi redno sestaja in jim daje usmeritve in priporočila v zvezi s postopki priprave OPN. Ministrstvo prav tako opozarja nosilce urejanja prostora na upoštevanje rokov za opravilo dejanj, ki vplivajo na čas in postopek priprave OPN.</w:t>
      </w:r>
    </w:p>
    <w:p w14:paraId="2183005D" w14:textId="7131A41C" w:rsidR="00F37961" w:rsidRDefault="00F37961" w:rsidP="00F37961">
      <w:pPr>
        <w:pStyle w:val="Vir"/>
      </w:pPr>
      <w:r w:rsidRPr="00F37961">
        <w:t>Vir: Ministrstvo za naravne vire in prostor</w:t>
      </w:r>
    </w:p>
    <w:p w14:paraId="0E0225DB" w14:textId="3551D8BA" w:rsidR="00A52720" w:rsidRDefault="00A52720" w:rsidP="00A52720">
      <w:pPr>
        <w:pStyle w:val="Naslov2"/>
      </w:pPr>
      <w:r>
        <w:t>Novela Uredbe o karti regionalne pomoči za obdobje 2022–2027</w:t>
      </w:r>
    </w:p>
    <w:p w14:paraId="6ABD5B4E" w14:textId="77777777" w:rsidR="00A52720" w:rsidRDefault="00A52720" w:rsidP="00A52720">
      <w:r>
        <w:t>Vlada Republike Slovenije je izdala Uredbo o spremembah in dopolnitvi Uredbe o karti regionalne pomoči za obdobje 2022–2027. Uredba o karti regionalne pomoči za obdobje 2022–2027 določa seznam območij »a« in »c« v Republiki Sloveniji, ki so upravičena do regionalne državne pomoči</w:t>
      </w:r>
      <w:proofErr w:type="gramStart"/>
      <w:r>
        <w:t>,</w:t>
      </w:r>
      <w:proofErr w:type="gramEnd"/>
      <w:r>
        <w:t xml:space="preserve"> in najvišje intenzivnosti pomoči na posameznih upravičenih območjih. </w:t>
      </w:r>
    </w:p>
    <w:p w14:paraId="7D64A276" w14:textId="77777777" w:rsidR="00A52720" w:rsidRDefault="00A52720" w:rsidP="00A52720"/>
    <w:p w14:paraId="18B994FC" w14:textId="77777777" w:rsidR="00A52720" w:rsidRDefault="00A52720" w:rsidP="00A52720">
      <w:r>
        <w:t xml:space="preserve">S sprejeto dopolnitvijo bo mogoča določitev višjih stopenj intenzivnosti pomoči za naložbe s področja Uredbe EU 2024/795 Evropskega parlamenta in Sveta z dne 29. februarja 2024 o vzpostavitvi platforme za strateške tehnologije za Evropo (platforma STEP). Višje intenzivnosti pomoči se lahko uporabljajo na območjih, ki so pokrita z veljavno karto regionalne pomoči, to so območja »a« – celotna kohezijska </w:t>
      </w:r>
      <w:proofErr w:type="gramStart"/>
      <w:r>
        <w:t>regija</w:t>
      </w:r>
      <w:proofErr w:type="gramEnd"/>
      <w:r>
        <w:t xml:space="preserve"> Vzhodna Slovenija, kjer se lahko intenzivnosti povečajo za največ 10 odstotnih točk, </w:t>
      </w:r>
      <w:proofErr w:type="gramStart"/>
      <w:r>
        <w:t>in</w:t>
      </w:r>
      <w:proofErr w:type="gramEnd"/>
      <w:r>
        <w:t xml:space="preserve"> območja »c« – upravičena območja kohezijske regije Zahodna Slovenija, kjer se lahko intenzivnosti povečajo za največ 5 odsotnih točk. </w:t>
      </w:r>
    </w:p>
    <w:p w14:paraId="229554CD" w14:textId="77777777" w:rsidR="00A52720" w:rsidRDefault="00A52720" w:rsidP="00A52720"/>
    <w:p w14:paraId="55E2FA5D" w14:textId="77777777" w:rsidR="00A52720" w:rsidRDefault="00A52720" w:rsidP="00A52720">
      <w:r>
        <w:t xml:space="preserve">Slovenija je priglasitev sprememb karte regionalne pomoči poslala </w:t>
      </w:r>
      <w:proofErr w:type="gramStart"/>
      <w:r>
        <w:t>Evropski Komisiji</w:t>
      </w:r>
      <w:proofErr w:type="gramEnd"/>
      <w:r>
        <w:t xml:space="preserve"> 16. julija 2024. Komisija je 3. septembra 2024 s sklepom odobrila navedeno spremembo </w:t>
      </w:r>
      <w:proofErr w:type="gramStart"/>
      <w:r>
        <w:t>karte</w:t>
      </w:r>
      <w:proofErr w:type="gramEnd"/>
      <w:r>
        <w:t xml:space="preserve"> regionalne pomoči za Slovenijo za obdobje 2022–2027. </w:t>
      </w:r>
    </w:p>
    <w:p w14:paraId="7FAB9CF8" w14:textId="77777777" w:rsidR="00A52720" w:rsidRDefault="00A52720" w:rsidP="00A52720">
      <w:pPr>
        <w:pStyle w:val="Vir"/>
      </w:pPr>
      <w:r>
        <w:t>Vir: Ministrstvo za kohezijo in regionalni razvoj</w:t>
      </w:r>
    </w:p>
    <w:p w14:paraId="08D627BB" w14:textId="680FA325" w:rsidR="003E19F8" w:rsidRDefault="003E19F8" w:rsidP="003E19F8">
      <w:pPr>
        <w:pStyle w:val="Naslov2"/>
      </w:pPr>
      <w:r>
        <w:t>Vlada se je seznanila s predlogi prilagoditev ukrepov Načrta za okrevanje in odpornost</w:t>
      </w:r>
    </w:p>
    <w:p w14:paraId="2A66E9A2" w14:textId="77777777" w:rsidR="003E19F8" w:rsidRDefault="003E19F8" w:rsidP="003E19F8">
      <w:r>
        <w:t>Vlada se je seznanila z informacijo Urada Republike Slovenije za okrevanje in odpornost glede izvajanja ukrepov Načrta za okrevanje in odpornost, na katerih ministrstva beležijo večja vsebinska in časovna odstopanja. S ciljem optimizacije izvajanja načrta in s tem koriščenja razpoložljivih evropskih sredstev je vlada uradu naložila, da na podlagi predlogov ministrstev za prilagoditev ukrepov pripravi in uskladi osnutek predloga tretje spremembe Načrta za okrevanje in odpornost (NOO).</w:t>
      </w:r>
    </w:p>
    <w:p w14:paraId="491DC1DE" w14:textId="77777777" w:rsidR="003E19F8" w:rsidRDefault="003E19F8" w:rsidP="003E19F8"/>
    <w:p w14:paraId="15A34F92" w14:textId="77777777" w:rsidR="003E19F8" w:rsidRDefault="003E19F8" w:rsidP="003E19F8">
      <w:r>
        <w:t>Potem ko je vlada prejšnji mesec v Bruselj posredovala drugo, sicer manjšo spremembo NOO, se je danes seznanila s pregledom predlogov prilagoditev ukrepov (naložb in reform), za katere ministrstva ocenjujejo, da jih zaradi objektivnih okoliščin ne morejo več izvesti skladno z izvedbenim sklepom Sveta Evropske unije o potrditvi NOO.</w:t>
      </w:r>
    </w:p>
    <w:p w14:paraId="3530596C" w14:textId="77777777" w:rsidR="003E19F8" w:rsidRDefault="003E19F8" w:rsidP="003E19F8"/>
    <w:p w14:paraId="1AE365B8" w14:textId="77777777" w:rsidR="003E19F8" w:rsidRDefault="003E19F8" w:rsidP="003E19F8">
      <w:r>
        <w:t xml:space="preserve">S ciljem optimizacije izvajanja ukrepov ministrstva med drugim predlagajo prilagoditev finančnega obsega nekaterih naložb in virov financiranja ter spremembo časovnega okvira izvedbe naložb. Prav tako predlagajo prilagoditev opisov naložb in ciljnih ravni oziroma vrednosti kazalnikov, s katerimi dokazujejo izpolnjevanje mejnikov in ciljev. </w:t>
      </w:r>
    </w:p>
    <w:p w14:paraId="20C20363" w14:textId="77777777" w:rsidR="003E19F8" w:rsidRDefault="003E19F8" w:rsidP="003E19F8"/>
    <w:p w14:paraId="4E08A1A4" w14:textId="77777777" w:rsidR="003E19F8" w:rsidRDefault="003E19F8" w:rsidP="003E19F8">
      <w:r>
        <w:t xml:space="preserve">Predlogi ministrstev bodo služili kot izhodišča za nadaljnjo razpravo in usklajevanje s ključnimi deležniki in z Evropsko komisijo. V končno verzijo predloga spremembe načrta bodo vključeni tisti predlogi, ki bodo prepoznani kot ključni za učinkovitejše izvajanje načrtovanih ukrepov. Urad Republike Slovenije za okrevanje in odpornost bo v procesu priprave osnutka predloga spremembe upošteval tudi morebitne druge ugotovitve glede izvajanja posameznih ukrepov. Predlog spremembe, </w:t>
      </w:r>
      <w:r>
        <w:lastRenderedPageBreak/>
        <w:t xml:space="preserve">ki skladno z usmeritvami Evropske komisije ne sme bistveno odstopati od trenutne verzije, bo vlada v formalno obravnavo v Bruselj posredovala predvidoma v prvem </w:t>
      </w:r>
      <w:proofErr w:type="gramStart"/>
      <w:r>
        <w:t>tromesečju</w:t>
      </w:r>
      <w:proofErr w:type="gramEnd"/>
      <w:r>
        <w:t xml:space="preserve"> prihodnjega leta.</w:t>
      </w:r>
    </w:p>
    <w:p w14:paraId="65D11F0E" w14:textId="3C2DDEA7" w:rsidR="00524AAD" w:rsidRDefault="003E19F8" w:rsidP="003E19F8">
      <w:pPr>
        <w:pStyle w:val="Vir"/>
      </w:pPr>
      <w:r>
        <w:t>Vir: Ministrstvo za finance</w:t>
      </w:r>
    </w:p>
    <w:p w14:paraId="1A01A2D0" w14:textId="0073A3DE" w:rsidR="00F96947" w:rsidRDefault="00F96947" w:rsidP="00F96947">
      <w:pPr>
        <w:pStyle w:val="Naslov2"/>
      </w:pPr>
      <w:r>
        <w:t>Vlada ministra Hana pooblastila za podpis memoranduma o soglasju za naložbo skupine PALFINGER v nov strateški proizvodni obrat</w:t>
      </w:r>
    </w:p>
    <w:p w14:paraId="6B292452" w14:textId="77777777" w:rsidR="007A6DC1" w:rsidRDefault="007A6DC1" w:rsidP="007A6DC1">
      <w:pPr>
        <w:pStyle w:val="Vir"/>
      </w:pPr>
      <w:r>
        <w:t>Skupina Palfinger je izrazila interes, da bi v nov proizvodni obrat v Ormožu do leta 2028 vložila do 70 milijonov evrov. Vlada je potrdila podpis memoranduma o soglasju, ki zagotavlja ohranjanje in nadaljnjo rast podjetja v Sloveniji. Za njegov podpis je pooblastila ministra za gospodarstvo, turizem in šport, Matjaža Hana.</w:t>
      </w:r>
    </w:p>
    <w:p w14:paraId="24634EA2" w14:textId="69F5AFE6" w:rsidR="007A6DC1" w:rsidRDefault="007A6DC1" w:rsidP="007A6DC1">
      <w:pPr>
        <w:pStyle w:val="Vir"/>
      </w:pPr>
      <w:r>
        <w:t xml:space="preserve">Skupina Palfinger, ki je vodilni proizvajalec in ponudnik žerjavov in dvižnih rešitev, s sedežem v Avstriji, je prisotna kar na 34 globalnih lokacijah in skupaj zaposluje </w:t>
      </w:r>
      <w:proofErr w:type="gramStart"/>
      <w:r>
        <w:t>okoli</w:t>
      </w:r>
      <w:proofErr w:type="gramEnd"/>
      <w:r>
        <w:t xml:space="preserve"> 12 tisoč zaposlenih. V Mariboru je prisotna že od leta 1993 in v zadnjih letih dosega zavidljive poslovne rezultate. Od leta 2019 je podjetje v Sloveniji celotne prihodke iz 121 </w:t>
      </w:r>
      <w:proofErr w:type="gramStart"/>
      <w:r>
        <w:t>mio</w:t>
      </w:r>
      <w:proofErr w:type="gramEnd"/>
      <w:r>
        <w:t xml:space="preserve"> e</w:t>
      </w:r>
      <w:r>
        <w:t>v</w:t>
      </w:r>
      <w:r>
        <w:t>rov do leta 2023 povečalo kar na 240 mio e</w:t>
      </w:r>
      <w:r>
        <w:t>v</w:t>
      </w:r>
      <w:r>
        <w:t>rov, ob tem pa tudi povečalo dodano vrednost na zaposlenega iz 44 tisoč na 62 tisoč e</w:t>
      </w:r>
      <w:r>
        <w:t>v</w:t>
      </w:r>
      <w:r>
        <w:t xml:space="preserve">rov. </w:t>
      </w:r>
    </w:p>
    <w:p w14:paraId="10CC659C" w14:textId="77777777" w:rsidR="007A6DC1" w:rsidRDefault="007A6DC1" w:rsidP="007A6DC1">
      <w:pPr>
        <w:pStyle w:val="Vir"/>
      </w:pPr>
      <w:r>
        <w:t xml:space="preserve">S podpisom memoranduma bodo podpisniki izrazili skupno namero za naložbo Palfinger v Ormožu v prve faze novega strateškega proizvodnega obrata. Palfinger je namreč izrazil interes, da bi v nov proizvodni obrat v Ormožu do leta 2028 vložil do 70 milijonov evrov, ob tem pa bi ohranil delovanje obstoječega obrata skupine PALFINGER v Mariboru. Končni cilj celotne naložbe je izvedba petih načrtovanih faz do leta 2035. Naslednje faze bi se osredotočile na širitev zmogljivosti za izdelavo rok žerjavov, prenos zmogljivosti sistema za izdelavo rok in podsklopov teleskopa in nadaljnje širitve zmogljivosti za zagotovitev strateške rasti. </w:t>
      </w:r>
    </w:p>
    <w:p w14:paraId="0C62D376" w14:textId="77777777" w:rsidR="007A6DC1" w:rsidRDefault="007A6DC1" w:rsidP="007A6DC1">
      <w:pPr>
        <w:pStyle w:val="Vir"/>
      </w:pPr>
      <w:r>
        <w:t>Memorandum bo podpisan z namenom opredelitve naložbe v vzpostavitev novega tehnološko sodobnejšega proizvodnega obrata, izgradnjo izobraževalnega centra za usposabljanje visokokvalificiranega kadra ter logističnega središča, namenjenega optimizaciji dobavnih verig, njene družbene in gospodarske dodane vrednosti ter možnih ukrepov podpore Republike Slovenije</w:t>
      </w:r>
      <w:proofErr w:type="gramStart"/>
      <w:r>
        <w:t xml:space="preserve"> nameravani</w:t>
      </w:r>
      <w:proofErr w:type="gramEnd"/>
      <w:r>
        <w:t xml:space="preserve"> naložbi. Predlagani nabor ukrepov ne predstavlja neposredne dodelitve finančnih sredstev, odločitve o tem bodo sprejete po običajnih postopkih po prijavi projektov in oceni strokovnih komisij.</w:t>
      </w:r>
    </w:p>
    <w:p w14:paraId="46571BC6" w14:textId="77777777" w:rsidR="007A6DC1" w:rsidRDefault="007A6DC1" w:rsidP="007A6DC1">
      <w:pPr>
        <w:pStyle w:val="Vir"/>
      </w:pPr>
      <w:r>
        <w:t xml:space="preserve">Podpis memoranduma o novi veliki naložbi po mnenju Vlade Republike Slovenije izkazuje privlačnost Slovenije za tuje </w:t>
      </w:r>
      <w:proofErr w:type="gramStart"/>
      <w:r>
        <w:t>investicije</w:t>
      </w:r>
      <w:proofErr w:type="gramEnd"/>
      <w:r>
        <w:t xml:space="preserve"> in odraža spodbudnost in konkurenčnost poslovnega okolja v Republiki Sloveniji. </w:t>
      </w:r>
    </w:p>
    <w:p w14:paraId="6538F450" w14:textId="5DE70556" w:rsidR="00F96947" w:rsidRDefault="00F96947" w:rsidP="00F96947">
      <w:pPr>
        <w:pStyle w:val="Vir"/>
      </w:pPr>
      <w:r>
        <w:t>Vir: Ministrstvo za gospodarstvo, turizem in šport</w:t>
      </w:r>
    </w:p>
    <w:p w14:paraId="586A11D5" w14:textId="4113BDBE" w:rsidR="00E44CA8" w:rsidRDefault="00E44CA8" w:rsidP="00E44CA8">
      <w:pPr>
        <w:pStyle w:val="Naslov2"/>
      </w:pPr>
      <w:r>
        <w:t xml:space="preserve">Vlada spremenila vrednost projekta »Rekonstrukcija in prizidava vrtca Spodnji Duplek« v veljavnem Načrtu razvojnih programov za obdobje 2024-2027 </w:t>
      </w:r>
    </w:p>
    <w:p w14:paraId="3BA7B249" w14:textId="77777777" w:rsidR="00E44CA8" w:rsidRDefault="00E44CA8" w:rsidP="00E44CA8">
      <w:r>
        <w:t>Vlada je v veljavnem Načrtu razvojnih programov za obdobje 2024-2027 spremenila vrednost projekta »Rekonstrukcija in prizidava vrtca Spodnji Duplek«.</w:t>
      </w:r>
    </w:p>
    <w:p w14:paraId="2B6F708A" w14:textId="77777777" w:rsidR="00E44CA8" w:rsidRDefault="00E44CA8" w:rsidP="00E44CA8"/>
    <w:p w14:paraId="6D3D25B0" w14:textId="77777777" w:rsidR="00E44CA8" w:rsidRDefault="00E44CA8" w:rsidP="00E44CA8">
      <w:r>
        <w:t xml:space="preserve">Občina Duplek je bila na podlagi Razpisa za sofinanciranje </w:t>
      </w:r>
      <w:proofErr w:type="gramStart"/>
      <w:r>
        <w:t>investicij</w:t>
      </w:r>
      <w:proofErr w:type="gramEnd"/>
      <w:r>
        <w:t xml:space="preserve"> v vrtcih in osnovnem šolstvu v proračunskem obdobju 2021 – 2024, izbrana za sofinanciranja investicije »Rekonstrukcija in prizidava vrtca Spodnji Duplek«. Predmet sofinanciranja sta rekonstrukcija 436</w:t>
      </w:r>
      <w:proofErr w:type="gramStart"/>
      <w:r>
        <w:t xml:space="preserve"> m2</w:t>
      </w:r>
      <w:proofErr w:type="gramEnd"/>
      <w:r>
        <w:t xml:space="preserve"> in prizidava 655 m2 neto površin vrtca. Skladno s Sklepom in Pogodbo o sofinanciranju je bilo s strani ministrstva predvideno sofinanciranje v letih 2023 in 2024 v skupni višini 1.063.479,75 evra za izvedbo gradbeno - obrtniških in instalacijskih del.</w:t>
      </w:r>
    </w:p>
    <w:p w14:paraId="5DDBBCAF" w14:textId="77777777" w:rsidR="00E44CA8" w:rsidRDefault="00E44CA8" w:rsidP="00E44CA8"/>
    <w:p w14:paraId="51E26734" w14:textId="77777777" w:rsidR="00E44CA8" w:rsidRDefault="00E44CA8" w:rsidP="00E44CA8">
      <w:r>
        <w:lastRenderedPageBreak/>
        <w:t>Izhodiščna vrednost projekta z vsemi viri financiranja je v letu 2021 znašala 2.340.658 evrov. Zaradi povišanja stroškov gradnje in spremembe terminskega plana izvedbe</w:t>
      </w:r>
      <w:proofErr w:type="gramStart"/>
      <w:r>
        <w:t>,</w:t>
      </w:r>
      <w:proofErr w:type="gramEnd"/>
      <w:r>
        <w:t xml:space="preserve"> je občinski svet septembra 2024 potrdil spremembo Investicijskega programa. Občina bo za dokončanje projekta poleg dodatnih sredstev, pridobljenih iz Gozdnega sklada, v višini 200.000 evrov za leseno gradnjo, povečala tudi lastna sredstva v višini 1.437.574,25 evra na skupnih 2.685.252,25 evra. Končna vrednost investicije se je povečala za 68,7</w:t>
      </w:r>
      <w:proofErr w:type="gramStart"/>
      <w:r>
        <w:t xml:space="preserve"> %</w:t>
      </w:r>
      <w:proofErr w:type="gramEnd"/>
      <w:r>
        <w:t xml:space="preserve"> in je predvidena v višini 3.948.732 evrov. </w:t>
      </w:r>
    </w:p>
    <w:p w14:paraId="759E29BA" w14:textId="77777777" w:rsidR="00E44CA8" w:rsidRDefault="00E44CA8" w:rsidP="00E44CA8"/>
    <w:p w14:paraId="4FB3BDBB" w14:textId="77777777" w:rsidR="00E44CA8" w:rsidRDefault="00E44CA8" w:rsidP="00E44CA8">
      <w:r>
        <w:t xml:space="preserve">Gradnja se je </w:t>
      </w:r>
      <w:proofErr w:type="gramStart"/>
      <w:r>
        <w:t>pričela</w:t>
      </w:r>
      <w:proofErr w:type="gramEnd"/>
      <w:r>
        <w:t xml:space="preserve"> v letu 2023 in bo zaključena maja 2025. Sofinanciranje Ministrstva za vzgojo in izobraževanje se je </w:t>
      </w:r>
      <w:proofErr w:type="gramStart"/>
      <w:r>
        <w:t>pričelo</w:t>
      </w:r>
      <w:proofErr w:type="gramEnd"/>
      <w:r>
        <w:t xml:space="preserve"> v letu 2024 in se bo zaključilo do konca leta 2024.</w:t>
      </w:r>
    </w:p>
    <w:p w14:paraId="3D827DD5" w14:textId="77777777" w:rsidR="00E44CA8" w:rsidRDefault="00E44CA8" w:rsidP="00E44CA8"/>
    <w:p w14:paraId="5222387B" w14:textId="77777777" w:rsidR="00E44CA8" w:rsidRDefault="00E44CA8" w:rsidP="00E44CA8">
      <w:r>
        <w:t>Sprememba vrednosti projekta ne predvideva povečanja odhodkov iz državnega proračuna, saj gre za prerazporeditev sredstev v okviru Finančnih načrtov Ministrstva za vzgojo in izobraževanje ter Ministrstva za kmetijstvo, gozdarstvo in prehrano.</w:t>
      </w:r>
    </w:p>
    <w:p w14:paraId="47772458" w14:textId="6FB916D9" w:rsidR="00524AAD" w:rsidRDefault="00E44CA8" w:rsidP="00E44CA8">
      <w:pPr>
        <w:pStyle w:val="Vir"/>
      </w:pPr>
      <w:r w:rsidRPr="00E44CA8">
        <w:t>Vir: Ministrstvo za vzgojo in izobraževanje</w:t>
      </w:r>
    </w:p>
    <w:p w14:paraId="65C7AB2F" w14:textId="3F118ADD" w:rsidR="00D2472F" w:rsidRDefault="00D2472F" w:rsidP="00D2472F">
      <w:pPr>
        <w:pStyle w:val="Naslov2"/>
      </w:pPr>
      <w:r>
        <w:t>Vlada o proračunskih prerazporeditvah</w:t>
      </w:r>
    </w:p>
    <w:p w14:paraId="4029D7AD" w14:textId="6DF3982A" w:rsidR="00E456BD" w:rsidRDefault="00D2472F" w:rsidP="00E456BD">
      <w:r>
        <w:t xml:space="preserve">Vlada </w:t>
      </w:r>
      <w:r w:rsidR="00E456BD">
        <w:t xml:space="preserve">je danes potrdila več proračunskih prerazporeditev, ki se med drugim nanašajo na socialne transferje, zagotavljanje sredstev za pokojninsko blagajno in infrastrukturno ter </w:t>
      </w:r>
      <w:proofErr w:type="gramStart"/>
      <w:r w:rsidR="00E456BD">
        <w:t>okoljsko</w:t>
      </w:r>
      <w:proofErr w:type="gramEnd"/>
      <w:r w:rsidR="00E456BD">
        <w:t xml:space="preserve"> področje.</w:t>
      </w:r>
    </w:p>
    <w:p w14:paraId="2043F0AD" w14:textId="77777777" w:rsidR="00E456BD" w:rsidRDefault="00E456BD" w:rsidP="00E456BD"/>
    <w:p w14:paraId="6974D4BE" w14:textId="77777777" w:rsidR="00E456BD" w:rsidRDefault="00E456BD" w:rsidP="00E456BD">
      <w:r>
        <w:t>Vlada je na podlagi 32 vlog opravila prerazporeditve v skupni višini 157 milijonov evrov. Med drugim bomo Ministrstvu za delo, družino, socialne zadeve in enake možnosti prerazporedili pravice porabe v višini približno 68 milijonov evrov. Sredstva bodo med drugim namenjena za starševska nadomestila, otroške dodatke in osebno asistenco za najtežje invalide.</w:t>
      </w:r>
    </w:p>
    <w:p w14:paraId="42126A32" w14:textId="77777777" w:rsidR="00E456BD" w:rsidRDefault="00E456BD" w:rsidP="00E456BD"/>
    <w:p w14:paraId="5780CC97" w14:textId="77777777" w:rsidR="00E456BD" w:rsidRDefault="00E456BD" w:rsidP="00E456BD">
      <w:r>
        <w:t>Ministrstvo za finance bo v okviru svojega finančnega načrta razporedilo sredstva splošne proračunske rezervacije v višini približno 41 milijonov evrov za kritje dodatnih obveznosti do Zavoda za pokojninsko in invalidsko zavarovanje zaradi letošnje redne uskladitve pokojnin.</w:t>
      </w:r>
    </w:p>
    <w:p w14:paraId="0335A130" w14:textId="77777777" w:rsidR="00E456BD" w:rsidRDefault="00E456BD" w:rsidP="00E456BD"/>
    <w:p w14:paraId="3B756A3B" w14:textId="77777777" w:rsidR="00E456BD" w:rsidRDefault="00E456BD" w:rsidP="00E456BD">
      <w:r>
        <w:t xml:space="preserve">Direkcija Republike Slovenije za infrastrukturo bo prerazporedila pravice porabe v okviru svojega finančnega načrta v višini približno 12 milijonov evrov. Sredstva bodo namenjena plačilu nadomestila železniškim prevoznikom zaradi ovir v prometu, do katerih prihaja zaradi izvajanja </w:t>
      </w:r>
      <w:proofErr w:type="gramStart"/>
      <w:r>
        <w:t>investicijskih</w:t>
      </w:r>
      <w:proofErr w:type="gramEnd"/>
      <w:r>
        <w:t xml:space="preserve"> del na javni železniški infrastrukturi. </w:t>
      </w:r>
    </w:p>
    <w:p w14:paraId="22793154" w14:textId="77777777" w:rsidR="00E456BD" w:rsidRDefault="00E456BD" w:rsidP="00E456BD"/>
    <w:p w14:paraId="1E663078" w14:textId="77777777" w:rsidR="00E456BD" w:rsidRDefault="00E456BD" w:rsidP="00E456BD">
      <w:r>
        <w:t xml:space="preserve">Direkcija bo znotraj svojega finančnega načrta prerazporedila tudi pravice porabe v višini 17 milijonov </w:t>
      </w:r>
      <w:proofErr w:type="gramStart"/>
      <w:r>
        <w:t>evrov</w:t>
      </w:r>
      <w:proofErr w:type="gramEnd"/>
      <w:r>
        <w:t xml:space="preserve"> za financiranje nalog obvezne gospodarske javne službe, ki jih izvaja upravljavec javne železniške infrastrukture v letu 2024.</w:t>
      </w:r>
    </w:p>
    <w:p w14:paraId="515E33F9" w14:textId="77777777" w:rsidR="00E456BD" w:rsidRDefault="00E456BD" w:rsidP="00E456BD"/>
    <w:p w14:paraId="25FCC322" w14:textId="77777777" w:rsidR="00E456BD" w:rsidRDefault="00E456BD" w:rsidP="00E456BD">
      <w:r>
        <w:t>Ministrstvo za okolje, podnebje in energijo bo v okviru svojega finančnega načrta prerazporedilo pravice porabe v višini približno treh milijonov evrov, ki bodo namenjene plačilu odvoza, obdelave in predelave odpadkov, nastalih ob lanskih poplavah.</w:t>
      </w:r>
    </w:p>
    <w:p w14:paraId="6CD6A380" w14:textId="77777777" w:rsidR="00E456BD" w:rsidRDefault="00E456BD" w:rsidP="00E456BD"/>
    <w:p w14:paraId="014B4F87" w14:textId="77777777" w:rsidR="00E456BD" w:rsidRDefault="00E456BD" w:rsidP="00E456BD">
      <w:r>
        <w:t xml:space="preserve">Ministrstvo za vzgojo in izobraževanje bo znotraj svojega finančnega načrta prerazporedilo pravice porabe v višini približno treh milijonov evrov za sofinanciranje subvencij za malice in kosila. </w:t>
      </w:r>
    </w:p>
    <w:p w14:paraId="4136A26B" w14:textId="77777777" w:rsidR="00E456BD" w:rsidRDefault="00E456BD" w:rsidP="00E456BD"/>
    <w:p w14:paraId="6801BB6F" w14:textId="77777777" w:rsidR="00E456BD" w:rsidRDefault="00E456BD" w:rsidP="00E456BD">
      <w:r>
        <w:t xml:space="preserve">Ministrstvu za zunanje in evropske zadeve bomo prerazporedili pravice porabe v višini približno dveh milijonov evrov, ki bodo namenjene tudi širitvi diplomatsko-konzularne mreže. </w:t>
      </w:r>
    </w:p>
    <w:p w14:paraId="286315E3" w14:textId="35F251F9" w:rsidR="00D2472F" w:rsidRDefault="00D2472F" w:rsidP="00D2472F">
      <w:pPr>
        <w:pStyle w:val="Vir"/>
      </w:pPr>
      <w:r w:rsidRPr="00D2472F">
        <w:t>Vir: Ministrstvo za finance</w:t>
      </w:r>
    </w:p>
    <w:p w14:paraId="70B18869" w14:textId="150E8713" w:rsidR="00023DD7" w:rsidRDefault="00023DD7" w:rsidP="00023DD7">
      <w:pPr>
        <w:pStyle w:val="Naslov2"/>
      </w:pPr>
      <w:r>
        <w:lastRenderedPageBreak/>
        <w:t xml:space="preserve">Uvrstitev projekta 2570-24-0058 Nakup novih vozil za potniški promet v veljavni Načrt razvojnih programov 2024-2027 </w:t>
      </w:r>
    </w:p>
    <w:p w14:paraId="3CDF606C" w14:textId="77777777" w:rsidR="00023DD7" w:rsidRDefault="00023DD7" w:rsidP="00023DD7">
      <w:r>
        <w:t xml:space="preserve">Vlada je sprejela Sklep, da se v veljavni Načrt razvojnih programov 2024-2027 uvrsti nov projekt: 2570-24-0058 Nakup novih vozil za potniški promet. </w:t>
      </w:r>
    </w:p>
    <w:p w14:paraId="6082E51A" w14:textId="77777777" w:rsidR="00023DD7" w:rsidRDefault="00023DD7" w:rsidP="00023DD7"/>
    <w:p w14:paraId="189BF66E" w14:textId="77777777" w:rsidR="00023DD7" w:rsidRDefault="00023DD7" w:rsidP="00023DD7">
      <w:r>
        <w:t xml:space="preserve">Za izvajanje javnih pozivov je treba v Načrt razvojnih programov uvrstiti </w:t>
      </w:r>
      <w:proofErr w:type="gramStart"/>
      <w:r>
        <w:t>nov</w:t>
      </w:r>
      <w:proofErr w:type="gramEnd"/>
      <w:r>
        <w:t xml:space="preserve"> projekt 2570-24-0058 Nakup novih vozil za potniški promet. Javni pozivi se izvajajo skladno z veljavnim Odlokom o Programu porabe sredstev Sklada za podnebne spremembe, in sicer za področje: </w:t>
      </w:r>
      <w:proofErr w:type="gramStart"/>
      <w:r>
        <w:t>2</w:t>
      </w:r>
      <w:proofErr w:type="gramEnd"/>
      <w:r>
        <w:t xml:space="preserve"> Trajnostna mobilnost, ukrep 2.2 Brezemisijska vozila ter polnilna in oskrbovalna infrastruktura za brezemisijska vozila. Pravna podlaga za dodelitev sredstev je opredeljena v 183. členu Zakona o varstvu okolja (ZVO-2) ter v 42. in 43. členu Zakona o infrastrukturi za alternativna goriva in spodbujanju prehoda na alternativna goriva v prometu (ZIAG). </w:t>
      </w:r>
    </w:p>
    <w:p w14:paraId="61570B26" w14:textId="77777777" w:rsidR="00023DD7" w:rsidRDefault="00023DD7" w:rsidP="00023DD7"/>
    <w:p w14:paraId="3249A796" w14:textId="4475414D" w:rsidR="00023DD7" w:rsidRDefault="00023DD7" w:rsidP="00023DD7">
      <w:r>
        <w:t xml:space="preserve">Ključni namen </w:t>
      </w:r>
      <w:proofErr w:type="gramStart"/>
      <w:r>
        <w:t>investicije</w:t>
      </w:r>
      <w:proofErr w:type="gramEnd"/>
      <w:r>
        <w:t xml:space="preserve"> je zmanjšanje emisij TGP v sektorju promet, kar je opredeljeno že v NEPN-u (do leta 2030 doseči vsaj 21-odstotni delež obnovljivih virov v prometu). Glavni cilj </w:t>
      </w:r>
      <w:proofErr w:type="gramStart"/>
      <w:r>
        <w:t>investicije</w:t>
      </w:r>
      <w:proofErr w:type="gramEnd"/>
      <w:r>
        <w:t xml:space="preserve"> je spodbujanje nakupa novih vozil brez emisij za širšo uveljavitev teh vozil. Pomemben cilj je tudi povečanje uporabe javnega potniškega prometa, ki ga spodbuja nakup novih vozil brez emisij. S sodobnimi avtobusi se bo lahko povečalo število prepeljanih potnikov v javnem potniškem prometu ter tako izboljšalo trajnostno mobilnost prebivalcev.</w:t>
      </w:r>
    </w:p>
    <w:p w14:paraId="59CBABFB" w14:textId="4EAF0639" w:rsidR="002E1733" w:rsidRDefault="00023DD7" w:rsidP="00023DD7">
      <w:pPr>
        <w:pStyle w:val="Vir"/>
      </w:pPr>
      <w:r>
        <w:t>Vir: Ministrstvo za okolje, podnebje in energijo</w:t>
      </w:r>
    </w:p>
    <w:p w14:paraId="29160CB2" w14:textId="241776F3" w:rsidR="00A925EA" w:rsidRDefault="00A925EA" w:rsidP="00A925EA">
      <w:pPr>
        <w:pStyle w:val="Naslov2"/>
      </w:pPr>
      <w:r>
        <w:t>Vlada v veljavni Načrt razvojnih programov uvrstila trinajst projektov s področja železniške in cestne infrastrukture</w:t>
      </w:r>
    </w:p>
    <w:p w14:paraId="4E5E1C27" w14:textId="77777777" w:rsidR="00A925EA" w:rsidRDefault="00A925EA" w:rsidP="00A925EA">
      <w:r>
        <w:t>Direkcija RS za infrastrukturo je skladno z Zakonom o železniškem prometu med drugim pristojna tudi za opravljanje nalog razvoja javne železniške infrastrukture, strokovno tehničnih, organizacijskih, razvojnih in upravnih nalog s področja gradenj in nadgradenj javne železniške infrastrukture ter tudi za financiranje obveznih gospodarskih javnih služb na področju železniškega prometa.</w:t>
      </w:r>
    </w:p>
    <w:p w14:paraId="0B6AF191" w14:textId="77777777" w:rsidR="00A925EA" w:rsidRDefault="00A925EA" w:rsidP="00A925EA"/>
    <w:p w14:paraId="20C202A6" w14:textId="77777777" w:rsidR="00A925EA" w:rsidRDefault="00A925EA" w:rsidP="00A925EA">
      <w:r>
        <w:t>Vzdrževanje, obratovanje in obnavljanje javne železniške infrastrukture je obvezna gospodarska javna služba, ki se izvaja na podlagi Zakona o železniškem prometu in Uredbe o načinu opravljanja obvezne gospodarske javne službe vzdrževanja, obratovanja in obnavljanja javne železniške infrastrukture. Gospodarsko javno službo opravlja upravljavec na podlagi pogodbe o opravljanju gospodarske javne službe.</w:t>
      </w:r>
    </w:p>
    <w:p w14:paraId="4DEC4BE8" w14:textId="77777777" w:rsidR="00A925EA" w:rsidRDefault="00A925EA" w:rsidP="00A925EA"/>
    <w:p w14:paraId="7D28E68F" w14:textId="77777777" w:rsidR="00A925EA" w:rsidRDefault="00A925EA" w:rsidP="00A925EA">
      <w:r>
        <w:t xml:space="preserve">Nujnost izvedbe obnovitvenih del je pogojena z infrastrukturno dotrajanimi odseki železniški prog, ki se kažejo v dotrajanosti materialov zgornjega ustroja, kot uničena in zdrobljena tirna greda, na več mestih so blatna mesta, kar vpliva na stabilnost tira, </w:t>
      </w:r>
      <w:proofErr w:type="gramStart"/>
      <w:r>
        <w:t>ipd</w:t>
      </w:r>
      <w:proofErr w:type="gramEnd"/>
      <w:r>
        <w:t xml:space="preserve">… Sanacija objektov z izvedbo rednih vzdrževalnih del zaradi dotrajanosti ni več možna, na posameznih mestih je potrebna celovita sanacija zgornjega in spodnjega ustroja. Za zagotavljanje varnosti železniškega prometa je </w:t>
      </w:r>
      <w:proofErr w:type="gramStart"/>
      <w:r>
        <w:t>potrebno</w:t>
      </w:r>
      <w:proofErr w:type="gramEnd"/>
      <w:r>
        <w:t xml:space="preserve"> stanje objektov čim prej sanirati, v nasprotnem primeru bo potrebno uvesti ukrepe vpeljave počasne vožnje oziroma obravnavani odsek in tir zapreti za odvijanje železniškega prometa. </w:t>
      </w:r>
    </w:p>
    <w:p w14:paraId="2521EFA4" w14:textId="77777777" w:rsidR="00A925EA" w:rsidRDefault="00A925EA" w:rsidP="00A925EA"/>
    <w:p w14:paraId="21F32B70" w14:textId="77777777" w:rsidR="00A925EA" w:rsidRDefault="00A925EA" w:rsidP="00A925EA">
      <w:r>
        <w:t xml:space="preserve">Na omrežju železniških prog v RS je namreč še vedno veliko </w:t>
      </w:r>
      <w:proofErr w:type="spellStart"/>
      <w:r>
        <w:t>nenadgrajenih</w:t>
      </w:r>
      <w:proofErr w:type="spellEnd"/>
      <w:r>
        <w:t xml:space="preserve"> in </w:t>
      </w:r>
      <w:proofErr w:type="spellStart"/>
      <w:r>
        <w:t>neobnovljenih</w:t>
      </w:r>
      <w:proofErr w:type="spellEnd"/>
      <w:r>
        <w:t xml:space="preserve"> odsekov prog, katerih stanje se zaradi pretečenih normalnih </w:t>
      </w:r>
      <w:proofErr w:type="gramStart"/>
      <w:r>
        <w:t>eksploatacijskih</w:t>
      </w:r>
      <w:proofErr w:type="gramEnd"/>
      <w:r>
        <w:t xml:space="preserve"> dob rapidno poslabšuje. Na podlagi zagotavljanja proračunskih finančnih sredstev na področju investicijskega vzdrževanja JŽI bo nivo objektov zgornjega in spodnjega ustroja železniških prog ter SV, </w:t>
      </w:r>
      <w:proofErr w:type="gramStart"/>
      <w:r>
        <w:t>TK</w:t>
      </w:r>
      <w:proofErr w:type="gramEnd"/>
      <w:r>
        <w:t xml:space="preserve"> in EE naprav ostal na nivoju, ki še zagotavlja varnost in urejenost železniškega prometa.</w:t>
      </w:r>
    </w:p>
    <w:p w14:paraId="08D63EC2" w14:textId="77777777" w:rsidR="00A925EA" w:rsidRDefault="00A925EA" w:rsidP="00A925EA"/>
    <w:p w14:paraId="1E324E81" w14:textId="77777777" w:rsidR="00A925EA" w:rsidRDefault="00A925EA" w:rsidP="00A925EA">
      <w:r>
        <w:t xml:space="preserve">V sklopu upravljanja z JŽI mora upravljavec JŽI zagotavljati varno delovanje in odvijanje železniškega prometa na JŽI v času, ko se na njej izvajajo </w:t>
      </w:r>
      <w:proofErr w:type="gramStart"/>
      <w:r>
        <w:t>investicijska</w:t>
      </w:r>
      <w:proofErr w:type="gramEnd"/>
      <w:r>
        <w:t xml:space="preserve"> dela. Za zagotavljanje varnega odvijanja </w:t>
      </w:r>
      <w:r>
        <w:lastRenderedPageBreak/>
        <w:t>prometa upravljavec JŽI v času izvajanja del na JŽI uvede zapore ali počasne vožnje, ki predstavljajo oviro v prometu in za prevoznike predstavljajo spremenjeno uporabo naročene vlakovne poti. Zaradi uvedbe teh ovir v prometu prevoznikom nastanejo posledice v obliki zamud, preusmeritve vlakov na obvozno pot ali odpovedi vlakovne poti z ali brez nadomestne vlakovne poti oziroma nadomestnega prevoza. Ti primeri za prevoznike predstavljajo strošek, saj ne morejo uporabiti naročenih vlakovnih poti na običajen način, zato jim je upravljavec JŽI dolžan poravnati nadomestilo za nastalo škodo.</w:t>
      </w:r>
    </w:p>
    <w:p w14:paraId="0AFA5CEB" w14:textId="77777777" w:rsidR="00A925EA" w:rsidRDefault="00A925EA" w:rsidP="00A925EA"/>
    <w:p w14:paraId="0CEE5279" w14:textId="41CB63BC" w:rsidR="002E1733" w:rsidRDefault="00A925EA" w:rsidP="00A925EA">
      <w:r>
        <w:t>Tabeli s podrobnimi podatki o posameznih projektih sta na voljo na Ministrstvu za infrastrukturo.</w:t>
      </w:r>
    </w:p>
    <w:p w14:paraId="07C2CB28" w14:textId="53A80F63" w:rsidR="00A925EA" w:rsidRDefault="00A925EA" w:rsidP="00A925EA">
      <w:pPr>
        <w:pStyle w:val="Vir"/>
      </w:pPr>
      <w:r w:rsidRPr="00A925EA">
        <w:t>Vir: Ministrstvo za infrastrukturo</w:t>
      </w:r>
    </w:p>
    <w:p w14:paraId="2BBB1E20" w14:textId="55EF93C1" w:rsidR="00FA1E4D" w:rsidRDefault="00FA1E4D" w:rsidP="00FA1E4D">
      <w:pPr>
        <w:pStyle w:val="Naslov2"/>
      </w:pPr>
      <w:r>
        <w:t>Vlada palestinskemu civilnemu prebivalstvu v Gazi namenila tretji sklop materialne pomoči v obliki hrane in sanitetnih pripomočkov</w:t>
      </w:r>
    </w:p>
    <w:p w14:paraId="78774388" w14:textId="6970DB3F" w:rsidR="00042843" w:rsidRDefault="00042843" w:rsidP="00042843">
      <w:r>
        <w:t xml:space="preserve">Vlada Republike Slovenije je odločila, da se palestinskemu civilnemu prebivalstvu, prizadetemu zaradi vojne v Gazi, preko Jordanije nudi </w:t>
      </w:r>
      <w:proofErr w:type="gramStart"/>
      <w:r>
        <w:t>materialno pomoč</w:t>
      </w:r>
      <w:proofErr w:type="gramEnd"/>
      <w:r>
        <w:t xml:space="preserve"> v obliki hrane in sanitetnih pripomočkov. Ocenjena vrednost materialne pomoči znaša do 532.538 evrov in jo zagotovita Ministrstvo za obrambo v višini do 492.538 evrov ter Ministrstvo za zunanje in evropske zadeve v višini do 40.000 evrov. Letalski prevoz materialne pomoči se bo izvedel z letalom C17 v okviru razpoložljivih ur naleta v okviru zmogljivosti strateškega zračnega transporta (SAC – </w:t>
      </w:r>
      <w:proofErr w:type="spellStart"/>
      <w:proofErr w:type="gramStart"/>
      <w:r>
        <w:t>Strategic</w:t>
      </w:r>
      <w:proofErr w:type="spellEnd"/>
      <w:r>
        <w:t xml:space="preserve">  </w:t>
      </w:r>
      <w:proofErr w:type="spellStart"/>
      <w:proofErr w:type="gramEnd"/>
      <w:r>
        <w:t>Airlift</w:t>
      </w:r>
      <w:proofErr w:type="spellEnd"/>
      <w:r>
        <w:t xml:space="preserve"> </w:t>
      </w:r>
      <w:proofErr w:type="spellStart"/>
      <w:r>
        <w:t>Capability</w:t>
      </w:r>
      <w:proofErr w:type="spellEnd"/>
      <w:r>
        <w:t xml:space="preserve">). Vlada Republike Slovenije je ob tem še naložila Ministrstvu za obrambo, da prouči možnost napotitve helikopterja Slovenske vojske za prevoz humanitarne pomoči, </w:t>
      </w:r>
      <w:proofErr w:type="gramStart"/>
      <w:r>
        <w:t xml:space="preserve">v  </w:t>
      </w:r>
      <w:proofErr w:type="gramEnd"/>
      <w:r>
        <w:t>kolikor bo, ko bodo to dopuščale varnostne razmere, vzpostavljen helikopterski humanitarni zračni most med Jordanijo in Gazo.</w:t>
      </w:r>
    </w:p>
    <w:p w14:paraId="1266A8A7" w14:textId="77777777" w:rsidR="00042843" w:rsidRDefault="00042843" w:rsidP="00042843"/>
    <w:p w14:paraId="0760C60B" w14:textId="77777777" w:rsidR="00042843" w:rsidRDefault="00042843" w:rsidP="00042843">
      <w:r>
        <w:t xml:space="preserve">Varnostne in humanitarne razmere na območju Gaze so izjemno slabe in se še poslabšujejo. Primanjkuje vode, hrane, elektrike in goriva, širijo se bolezni, omejene so zdravstvene in bolnišnične zmogljivosti, zaradi česar je civilno prebivalstvo zelo ogroženo, še zlasti ženske, otroci in druge ranljive skupine. </w:t>
      </w:r>
    </w:p>
    <w:p w14:paraId="269A5064" w14:textId="77777777" w:rsidR="00042843" w:rsidRDefault="00042843" w:rsidP="00042843"/>
    <w:p w14:paraId="090ACF3E" w14:textId="701D9A21" w:rsidR="00042843" w:rsidRDefault="00042843" w:rsidP="00042843">
      <w:r>
        <w:t xml:space="preserve">Republika Slovenija se zaveda nujnosti humanitarne pomoči palestinskemu civilnemu prebivalstvu, prizadetemu zaradi vojne v Gazi, kar sta posebej izpostavila </w:t>
      </w:r>
      <w:proofErr w:type="gramStart"/>
      <w:r>
        <w:t>predsednik Vlade</w:t>
      </w:r>
      <w:proofErr w:type="gramEnd"/>
      <w:r>
        <w:t xml:space="preserve"> Republike Slovenije dr. Robert Golob in jordanski kralj Abdulah II. ob njunem dvostranskem srečanju ob robu 60. münchenske varnostne konference. </w:t>
      </w:r>
    </w:p>
    <w:p w14:paraId="7EBD38DD" w14:textId="77777777" w:rsidR="00042843" w:rsidRDefault="00042843" w:rsidP="00042843"/>
    <w:p w14:paraId="3C3B7118" w14:textId="77777777" w:rsidR="00042843" w:rsidRDefault="00042843" w:rsidP="00042843">
      <w:r>
        <w:t xml:space="preserve">Republika Slovenija je kot odgovorna nestalna članica Varnostnega sveta Organizacije združenih narodov zavezana nuditi pomoč civilnemu prebivalstvu, ki trpi ob vojaških spopadih. Od začetka </w:t>
      </w:r>
      <w:proofErr w:type="gramStart"/>
      <w:r>
        <w:t>konflikta</w:t>
      </w:r>
      <w:proofErr w:type="gramEnd"/>
      <w:r>
        <w:t xml:space="preserve"> je palestinskemu civilnemu prebivalstvu že dvakrat namenila materialno pomoč v obliki hrane in opreme za začasno namestitev, in sicer 22. februarja 2024 in 14. marca 2024. </w:t>
      </w:r>
    </w:p>
    <w:p w14:paraId="4F6E7478" w14:textId="77777777" w:rsidR="00042843" w:rsidRDefault="00042843" w:rsidP="00042843"/>
    <w:p w14:paraId="5B76F5C3" w14:textId="37040D6D" w:rsidR="00042843" w:rsidRDefault="00042843" w:rsidP="00042843">
      <w:r>
        <w:t xml:space="preserve">Republika Slovenija bo namenila dodatno materialno pomoč palestinskemu civilnemu prebivalstvu, prizadetemu zaradi vojne v Gazi, ki bo do pomoči potrebnim prepeljana preko Jordanije. Pošiljko bo v Amannu prevzela jordanska humanitarna organizacija Jordan </w:t>
      </w:r>
      <w:proofErr w:type="spellStart"/>
      <w:r>
        <w:t>Hashemite</w:t>
      </w:r>
      <w:proofErr w:type="spellEnd"/>
      <w:r>
        <w:t xml:space="preserve"> Charity </w:t>
      </w:r>
      <w:proofErr w:type="spellStart"/>
      <w:r>
        <w:t>Organisation</w:t>
      </w:r>
      <w:proofErr w:type="spellEnd"/>
      <w:r>
        <w:t xml:space="preserve">, Amman, Jordan, ki jo je predlagalo jordansko ministrstvo za zunanje zadeve. </w:t>
      </w:r>
    </w:p>
    <w:p w14:paraId="7DBF0F54" w14:textId="77777777" w:rsidR="00042843" w:rsidRDefault="00042843" w:rsidP="00042843"/>
    <w:p w14:paraId="25BC1363" w14:textId="77777777" w:rsidR="00042843" w:rsidRDefault="00042843" w:rsidP="00042843">
      <w:r>
        <w:t>Materialna pomoč bo zagotovljena iz materialnih zalog, s katerimi razpolagata Ministrstvo za obrambo in Slovenska vojska ter bo obsegala:</w:t>
      </w:r>
    </w:p>
    <w:p w14:paraId="3B4078D5" w14:textId="290F09AD" w:rsidR="00042843" w:rsidRDefault="00042843" w:rsidP="00042843">
      <w:pPr>
        <w:pStyle w:val="Odstavekseznama"/>
        <w:numPr>
          <w:ilvl w:val="0"/>
          <w:numId w:val="11"/>
        </w:numPr>
      </w:pPr>
      <w:r>
        <w:t>do 13.340 kompletov suhih dnevnih obrokov v vrednosti do 470.400 evrov in</w:t>
      </w:r>
    </w:p>
    <w:p w14:paraId="3368623D" w14:textId="16710824" w:rsidR="00042843" w:rsidRDefault="00042843" w:rsidP="00042843">
      <w:pPr>
        <w:pStyle w:val="Odstavekseznama"/>
        <w:numPr>
          <w:ilvl w:val="0"/>
          <w:numId w:val="11"/>
        </w:numPr>
      </w:pPr>
      <w:r>
        <w:t xml:space="preserve">do 56.160 kosov sadno-žitnih ploščic v vrednosti do 22.138 evrov. </w:t>
      </w:r>
    </w:p>
    <w:p w14:paraId="468D965A" w14:textId="77777777" w:rsidR="00042843" w:rsidRDefault="00042843" w:rsidP="00042843"/>
    <w:p w14:paraId="40CDCC84" w14:textId="49B6159B" w:rsidR="00042843" w:rsidRDefault="00042843" w:rsidP="00042843">
      <w:r>
        <w:t xml:space="preserve">Materialna pomoč bo zagotovljena tudi v obliki hrane (mleko v prahu in drugi prehranski izdelki) ter sanitetnih pripomočkov v okviru strateškega partnerstva Ministrstva za evropske in zunanje zadeve s </w:t>
      </w:r>
      <w:proofErr w:type="gramStart"/>
      <w:r>
        <w:t>Slovensko  Karitas</w:t>
      </w:r>
      <w:proofErr w:type="gramEnd"/>
      <w:r>
        <w:t xml:space="preserve"> v vrednosti do 40.000 evrov. Skupna vrednost materialne pomoči bo tako znašala do 532.538 evrov. Prevoz materialne pomoči bo izveden z uporabo letala C17 v okviru razpoložljivih ur </w:t>
      </w:r>
      <w:r>
        <w:lastRenderedPageBreak/>
        <w:t xml:space="preserve">naleta v pobudi </w:t>
      </w:r>
      <w:proofErr w:type="spellStart"/>
      <w:r>
        <w:t>Strategic</w:t>
      </w:r>
      <w:proofErr w:type="spellEnd"/>
      <w:r>
        <w:t xml:space="preserve"> </w:t>
      </w:r>
      <w:proofErr w:type="spellStart"/>
      <w:r>
        <w:t>Airlift</w:t>
      </w:r>
      <w:proofErr w:type="spellEnd"/>
      <w:r>
        <w:t xml:space="preserve"> </w:t>
      </w:r>
      <w:proofErr w:type="spellStart"/>
      <w:r>
        <w:t>Capability</w:t>
      </w:r>
      <w:proofErr w:type="spellEnd"/>
      <w:r>
        <w:t xml:space="preserve">. Tudi tokrat bo zagotovljeno spremstvo pošiljke materialnih sredstev s predstavniki Republike Slovenije. Prevoz pomoči bo izveden predvidoma v prvi polovici novembra 2024. Ob predaji pomoči bo poskrbljeno za ustrezno vidnost in prepoznavnost materialne pomoči Republike Slovenije. </w:t>
      </w:r>
    </w:p>
    <w:p w14:paraId="322BCB48" w14:textId="77777777" w:rsidR="00042843" w:rsidRDefault="00042843" w:rsidP="00042843"/>
    <w:p w14:paraId="21F789DF" w14:textId="55224F23" w:rsidR="00FA1E4D" w:rsidRDefault="00042843" w:rsidP="00042843">
      <w:r>
        <w:t>Skupna vrednost materialne pomoči, ki jo je Republika Slovenija namenila palestinskemu civilnemu prebivalstvu, skupaj s prevozom znaša 2.144.668 evrov.</w:t>
      </w:r>
    </w:p>
    <w:p w14:paraId="40633BF7" w14:textId="612843BF" w:rsidR="00993AC2" w:rsidRDefault="00FA1E4D" w:rsidP="00FA1E4D">
      <w:pPr>
        <w:pStyle w:val="Vir"/>
      </w:pPr>
      <w:r w:rsidRPr="00FA1E4D">
        <w:t>Vir: Ministrstvo za obrambo</w:t>
      </w:r>
    </w:p>
    <w:p w14:paraId="1F2B02F7" w14:textId="217335E2" w:rsidR="00463A98" w:rsidRDefault="00463A98" w:rsidP="00463A98">
      <w:pPr>
        <w:pStyle w:val="Naslov2"/>
      </w:pPr>
      <w:r>
        <w:t>Vlada imenovala Boštjana Škrleca za nacionalnega predstavnika v Eurojustu</w:t>
      </w:r>
    </w:p>
    <w:p w14:paraId="181EE6CE" w14:textId="77777777" w:rsidR="00463A98" w:rsidRDefault="00463A98" w:rsidP="00463A98">
      <w:r>
        <w:t>Vlada je na današnji seji izdala odločbo o imenovanju vrhovnega državnega tožilca Boštjana Škrleca za nacionalnega predstavnika v Agenciji Evropske unije za pravosodno sodelovanje v kazenskih zadevah – Eurojust. Škrlec je sicer aktualni nacionalni predstavnik Republike Slovenije v Eurojustu.</w:t>
      </w:r>
    </w:p>
    <w:p w14:paraId="748919B7" w14:textId="77777777" w:rsidR="00463A98" w:rsidRDefault="00463A98" w:rsidP="00463A98">
      <w:r>
        <w:t xml:space="preserve">Nacionalnega predstavnika v Eurojustu imenuje Vlada na predlog Državnotožilskega sveta, po predhodnem mnenju generalnega državnega tožilca. </w:t>
      </w:r>
    </w:p>
    <w:p w14:paraId="3F2AB113" w14:textId="77777777" w:rsidR="00463A98" w:rsidRDefault="00463A98" w:rsidP="00463A98"/>
    <w:p w14:paraId="4AAC7A1D" w14:textId="5DDB3FC8" w:rsidR="00463A98" w:rsidRDefault="00463A98" w:rsidP="00463A98">
      <w:r>
        <w:t>Za nacionalnega predstavnika v Eurojustu je lahko imenovan vrhovni ali višji državni tožilec ali okrožni državni tožilec, ki izpolnjuje pogoje za imenovanje v naziv višjega državnega tožilca in izkaže z javno priznanim preizkusom potrjeno višjo raven znanja najmanj enega uradnega jezika Evropske unije, ki je delovni jezik v Eurojustu. Nacionalni predstavnik v Eurojustu se za izvajanje pooblastil in strokovnih nalog Eurojusta imenuje za pet let, po poteku navedene dobe pa je lahko še enkrat ponovno imenovan.</w:t>
      </w:r>
    </w:p>
    <w:p w14:paraId="40864F51" w14:textId="55D59575" w:rsidR="00524AAD" w:rsidRDefault="00463A98" w:rsidP="00463A98">
      <w:pPr>
        <w:pStyle w:val="Vir"/>
      </w:pPr>
      <w:r>
        <w:t>Vir: Ministrstvo za pravosodje</w:t>
      </w:r>
    </w:p>
    <w:p w14:paraId="5F7FA854" w14:textId="70DD0F8B" w:rsidR="00180031" w:rsidRDefault="00180031" w:rsidP="00180031">
      <w:pPr>
        <w:pStyle w:val="Naslov2"/>
      </w:pPr>
      <w:r>
        <w:t>Vlada imenovala predstavnike ustanovitelja v dva sveta javnih vzgojno-izobraževalnih zavodov</w:t>
      </w:r>
    </w:p>
    <w:p w14:paraId="03E2DCFB" w14:textId="77777777" w:rsidR="00180031" w:rsidRDefault="00180031" w:rsidP="00180031">
      <w:r>
        <w:t>Vlada je v svet javnega vzgojno-izobraževalnega zavoda »Dijaški dom Ivana Cankarja Ljubljana« za mandatno dobo štirih let, od ustanovitvene seje z možnostjo ponovnega imenovanja, imenujeta predstavnika ustanovitelja Ireno Marinko in Majo Grošelj.</w:t>
      </w:r>
    </w:p>
    <w:p w14:paraId="31444833" w14:textId="77777777" w:rsidR="00180031" w:rsidRDefault="00180031" w:rsidP="00180031"/>
    <w:p w14:paraId="23929D27" w14:textId="77777777" w:rsidR="00180031" w:rsidRDefault="00180031" w:rsidP="00180031">
      <w:r>
        <w:t>V svet javnega vzgojno-izobraževalnega zavoda Gimnazija Škofja Loka je za preostanek mandata, do 14. oktobra 2028, vlada kot predstavnika ustanovitelja medtem imenovala Jana Goršeta in Majo Grošelj.</w:t>
      </w:r>
    </w:p>
    <w:p w14:paraId="58B11231" w14:textId="0319B222" w:rsidR="00180031" w:rsidRDefault="00180031" w:rsidP="00180031">
      <w:pPr>
        <w:pStyle w:val="Vir"/>
      </w:pPr>
      <w:r>
        <w:t>Vir: Ministrstvo za vzgojo in izobraževanje</w:t>
      </w:r>
    </w:p>
    <w:p w14:paraId="77E33093" w14:textId="4007CE8F" w:rsidR="00DB1423" w:rsidRDefault="00DB1423" w:rsidP="00DB1423">
      <w:pPr>
        <w:pStyle w:val="Naslov2"/>
      </w:pPr>
      <w:r>
        <w:t>Zamenjava v nadzornem svetu JŠRIPS</w:t>
      </w:r>
    </w:p>
    <w:p w14:paraId="530945E3" w14:textId="6B21954A" w:rsidR="00DB1423" w:rsidRDefault="00DB1423" w:rsidP="00DB1423">
      <w:r>
        <w:t>Vlada je izdala odločbo o razrešitvi mag. Katje Rihar Bajuk z mesta članice nadzornega sveta Javnega štipendijskega, razvojnega, invalidskega in preživninskega sklada Republike Slovenije (JŠRIPS)</w:t>
      </w:r>
      <w:proofErr w:type="gramStart"/>
      <w:r>
        <w:t>,</w:t>
      </w:r>
      <w:proofErr w:type="gramEnd"/>
      <w:r>
        <w:t xml:space="preserve"> kot predstavnice Ministrstva za delo, družino, socialne zadeve in enake možnosti.</w:t>
      </w:r>
    </w:p>
    <w:p w14:paraId="25CB08B5" w14:textId="77777777" w:rsidR="00DB1423" w:rsidRDefault="00DB1423" w:rsidP="00DB1423"/>
    <w:p w14:paraId="7919C92A" w14:textId="764C7C5E" w:rsidR="00DB1423" w:rsidRDefault="00DB1423" w:rsidP="00DB1423">
      <w:r>
        <w:t xml:space="preserve">Vlada od 8. </w:t>
      </w:r>
      <w:proofErr w:type="gramStart"/>
      <w:r>
        <w:t xml:space="preserve">novembra  </w:t>
      </w:r>
      <w:proofErr w:type="gramEnd"/>
      <w:r>
        <w:t>2024 do 7. novembra 2028 za članico nadzornega sveta Javnega štipendijskega, razvojnega, invalidskega in preživninskega sklada Republike Slovenije za mandatno dobo štirih let imenuje Niko Juvan, kot predstavnico Ministrstva za delo, družino, socialne zadeve in enake možnosti.</w:t>
      </w:r>
    </w:p>
    <w:p w14:paraId="6CDEA298" w14:textId="6D47400C" w:rsidR="00524AAD" w:rsidRDefault="00DB1423" w:rsidP="00DB1423">
      <w:pPr>
        <w:pStyle w:val="Vir"/>
      </w:pPr>
      <w:r>
        <w:t>Vir: Ministrstvo za delo, družino, socialne zadeve in enake možnosti</w:t>
      </w:r>
    </w:p>
    <w:p w14:paraId="7C6105BD" w14:textId="5B000254" w:rsidR="00524AAD" w:rsidRDefault="003F58B8" w:rsidP="003F58B8">
      <w:pPr>
        <w:pStyle w:val="Naslov2"/>
      </w:pPr>
      <w:r>
        <w:lastRenderedPageBreak/>
        <w:t>S</w:t>
      </w:r>
      <w:r w:rsidR="00524AAD">
        <w:t>prememb</w:t>
      </w:r>
      <w:r>
        <w:t>a</w:t>
      </w:r>
      <w:r w:rsidR="00524AAD">
        <w:t xml:space="preserve"> </w:t>
      </w:r>
      <w:r>
        <w:t>s</w:t>
      </w:r>
      <w:r w:rsidR="00524AAD">
        <w:t>klepa o razrešitvi in imenovanju članov ter namestnikov članov v Ekonomsko-socialni svet</w:t>
      </w:r>
    </w:p>
    <w:p w14:paraId="0EA3C346" w14:textId="77777777" w:rsidR="003F58B8" w:rsidRDefault="003F58B8" w:rsidP="003F58B8">
      <w:r>
        <w:t xml:space="preserve">Vlada Republike Slovenije je na današnji seji sprejela Sklep o spremembi Sklepa o razrešitvi in imenovanju članov ter namestnikov članov v Ekonomsko-socialni svet. </w:t>
      </w:r>
    </w:p>
    <w:p w14:paraId="3B871698" w14:textId="77777777" w:rsidR="003F58B8" w:rsidRDefault="003F58B8" w:rsidP="003F58B8"/>
    <w:p w14:paraId="487A879B" w14:textId="77777777" w:rsidR="003F58B8" w:rsidRDefault="003F58B8" w:rsidP="003F58B8">
      <w:r>
        <w:t>Vlada Republike Slovenije je v Ekonomsko-socialni svet imenovala Srečka Đurova – državnega sekretarja v Ministrstvu za kohezijo in regionalni razvoj, namestnika člana.</w:t>
      </w:r>
    </w:p>
    <w:p w14:paraId="1FB11C9A" w14:textId="77777777" w:rsidR="003F58B8" w:rsidRDefault="003F58B8" w:rsidP="003F58B8"/>
    <w:p w14:paraId="68A30ADF" w14:textId="77777777" w:rsidR="003F58B8" w:rsidRDefault="003F58B8" w:rsidP="003F58B8">
      <w:r>
        <w:t xml:space="preserve">Ministrstvo za kohezijo in regionalni razvoj je na podlagi drugega odstavka 5. člena spremenjenih Pravil o delovanju Ekonomsko-socialnega sveta podalo predlog o imenovanju še drugega namestnika svojega člana v Ekonomsko-socialnem svetu. Imenovanje namestnika člana je potrebno zaradi nemotenega delovanja Ekonomsko-socialnega sveta. </w:t>
      </w:r>
    </w:p>
    <w:p w14:paraId="51E4FF6D" w14:textId="2600716F" w:rsidR="003F58B8" w:rsidRDefault="003F58B8" w:rsidP="003F58B8">
      <w:pPr>
        <w:pStyle w:val="Vir"/>
      </w:pPr>
      <w:r w:rsidRPr="003F58B8">
        <w:t>Vir: Generalni sekretariat vlade</w:t>
      </w:r>
    </w:p>
    <w:p w14:paraId="273A4F41" w14:textId="7BC14174" w:rsidR="002E4A64" w:rsidRDefault="002E4A64" w:rsidP="002E4A64">
      <w:pPr>
        <w:pStyle w:val="Naslov2"/>
      </w:pPr>
      <w:r>
        <w:t>Sprememba članstva v delovni skupini za obravnavo vseh vrst nasilja</w:t>
      </w:r>
    </w:p>
    <w:p w14:paraId="13659D85" w14:textId="77777777" w:rsidR="002E4A64" w:rsidRDefault="002E4A64" w:rsidP="002E4A64">
      <w:r>
        <w:t>V Delovni skupini vlade za preučitev stanja učinkovitosti obravnave primerov vseh vrst nasilja (nasilje v družini, femicid, spolne zlorabe žensk in otrok, medvrstniško nasilje) se z mesta članice razreši Eva Vodnik in namesto nje imenuje Denis Kordež, državni sekretar, Ministrstvo za zdravje.</w:t>
      </w:r>
    </w:p>
    <w:p w14:paraId="1D046096" w14:textId="3C58A985" w:rsidR="00524AAD" w:rsidRDefault="002E4A64" w:rsidP="002E4A64">
      <w:pPr>
        <w:pStyle w:val="Vir"/>
      </w:pPr>
      <w:r>
        <w:t>Vir: Ministrstvo za notranje zadeve</w:t>
      </w:r>
    </w:p>
    <w:p w14:paraId="75C5C4CE" w14:textId="0886CE33" w:rsidR="00D70249" w:rsidRDefault="00D70249" w:rsidP="00D70249">
      <w:pPr>
        <w:pStyle w:val="Naslov2"/>
      </w:pPr>
      <w:r>
        <w:t xml:space="preserve">Pritožba koncesionarja PREMI - </w:t>
      </w:r>
      <w:proofErr w:type="gramStart"/>
      <w:r>
        <w:t>LINK</w:t>
      </w:r>
      <w:proofErr w:type="gramEnd"/>
      <w:r>
        <w:t>, inženiring, d. o. o., zoper odločbo Ministrstva za zdravje zavrnjena</w:t>
      </w:r>
    </w:p>
    <w:p w14:paraId="3F1BFE35" w14:textId="77777777" w:rsidR="00D70249" w:rsidRDefault="00D70249" w:rsidP="00D70249"/>
    <w:p w14:paraId="42EFC3FE" w14:textId="77777777" w:rsidR="00D70249" w:rsidRDefault="00D70249" w:rsidP="00D70249">
      <w:r>
        <w:t xml:space="preserve">Vlada Republike Slovenije je na današnji redni seji izdala odločbo o pritožbi gospodarske družbe PREMI - </w:t>
      </w:r>
      <w:proofErr w:type="gramStart"/>
      <w:r>
        <w:t>LINK</w:t>
      </w:r>
      <w:proofErr w:type="gramEnd"/>
      <w:r>
        <w:t>, inženiring, d. o. o., zoper nadomestno odločbo Ministrstva za zdravje glede podaljšanja koncesije.</w:t>
      </w:r>
    </w:p>
    <w:p w14:paraId="5E2502FC" w14:textId="77777777" w:rsidR="00D70249" w:rsidRDefault="00D70249" w:rsidP="00D70249"/>
    <w:p w14:paraId="033EBC52" w14:textId="19409872" w:rsidR="00D70249" w:rsidRDefault="00D70249" w:rsidP="00D70249">
      <w:r>
        <w:t xml:space="preserve">Pritožba koncesionarja PREMI - </w:t>
      </w:r>
      <w:proofErr w:type="gramStart"/>
      <w:r>
        <w:t>LINK</w:t>
      </w:r>
      <w:proofErr w:type="gramEnd"/>
      <w:r>
        <w:t xml:space="preserve">, inženiring, d. o. o., je zavrnjena, ker je Ministrstvo za zdravje pri odločanju o podaljšanju koncesije za dve leti (in ne za petnajst let), pravilno uporabilo veljavno zakonodajo, in sicer Zakon o zdravstveni dejavnosti (ZZDej) in Zakon o nujnih ukrepih za zagotovitev stabilnosti zdravstvenega sistema (ZNUSZSZ). </w:t>
      </w:r>
    </w:p>
    <w:p w14:paraId="405A28D4" w14:textId="77777777" w:rsidR="00D70249" w:rsidRDefault="00D70249" w:rsidP="00D70249"/>
    <w:p w14:paraId="18CB4F7D" w14:textId="4CF078E1" w:rsidR="00D70249" w:rsidRDefault="00D70249" w:rsidP="00D70249">
      <w:r>
        <w:t>Odločba ministrstva je temeljila na pravilno ugotovljenem dejanskem stanju, veljavnem pravu in ustrezno izvedenem postopku, zato jo je Vlada Republike Slovenije potrdila kot zakonito in pritožbo zavrnila kot neutemeljeno.</w:t>
      </w:r>
    </w:p>
    <w:p w14:paraId="55EAB2C0" w14:textId="4AB51CA5" w:rsidR="00524AAD" w:rsidRDefault="00D70249" w:rsidP="00D70249">
      <w:pPr>
        <w:pStyle w:val="Vir"/>
      </w:pPr>
      <w:r>
        <w:t>Vir: Ministrstvo za zdravje</w:t>
      </w:r>
    </w:p>
    <w:p w14:paraId="71F7FE1A" w14:textId="58E86031" w:rsidR="00993AC2" w:rsidRDefault="00256C20" w:rsidP="00256C20">
      <w:pPr>
        <w:pStyle w:val="Naslov2"/>
      </w:pPr>
      <w:r>
        <w:t>S</w:t>
      </w:r>
      <w:r w:rsidR="00993AC2">
        <w:t>klep o ustanovitvi Medresorske tehnične skupine za kibernetsko varnost za dvig odpornosti informacijsko komunikacijskih sistemov državne uprave</w:t>
      </w:r>
    </w:p>
    <w:p w14:paraId="0C535749" w14:textId="77777777" w:rsidR="00256C20" w:rsidRDefault="00256C20" w:rsidP="00256C20">
      <w:r w:rsidRPr="00256C20">
        <w:t xml:space="preserve">Vlada Republike Slovenije je sprejela Sklep o ustanovitvi Medresorske tehnične skupine za kibernetsko varnost za dvig odpornosti informacijsko komunikacijskih sistemov državne uprave. Vodenje medresorske tehnične skupine bo izvajal Urad Vlade Republike Slovenije za informacijsko varnost. </w:t>
      </w:r>
    </w:p>
    <w:p w14:paraId="1454BAEA" w14:textId="77777777" w:rsidR="00256C20" w:rsidRDefault="00256C20" w:rsidP="00256C20">
      <w:r w:rsidRPr="00256C20">
        <w:t xml:space="preserve">Z </w:t>
      </w:r>
      <w:proofErr w:type="gramStart"/>
      <w:r w:rsidRPr="00256C20">
        <w:t>aktivnostmi</w:t>
      </w:r>
      <w:proofErr w:type="gramEnd"/>
      <w:r w:rsidRPr="00256C20">
        <w:t xml:space="preserve"> medresorske tehnične skupine se želi dvigniti odpornost informacijsko komunikacijskih sistemov državne uprave, ki so v upravljanju ministrstva, pristojnega za upravljanje informacijsko-komunikacijskih sistemov. Slednje je v državni upravi pristojno za upravljanje informacijsko </w:t>
      </w:r>
      <w:r w:rsidRPr="00256C20">
        <w:lastRenderedPageBreak/>
        <w:t xml:space="preserve">komunikacijske infrastrukture, razvoj skupnih informacijskih rešitev ter njihovo tehnološko, procesno in organizacijsko skladnost s </w:t>
      </w:r>
      <w:proofErr w:type="gramStart"/>
      <w:r w:rsidRPr="00256C20">
        <w:t>centralnim</w:t>
      </w:r>
      <w:proofErr w:type="gramEnd"/>
      <w:r w:rsidRPr="00256C20">
        <w:t xml:space="preserve"> informacijsko komunikacijskim sistemom. </w:t>
      </w:r>
    </w:p>
    <w:p w14:paraId="5BB1ACFF" w14:textId="77777777" w:rsidR="00256C20" w:rsidRDefault="00256C20" w:rsidP="00256C20"/>
    <w:p w14:paraId="4A91FC7C" w14:textId="119351B1" w:rsidR="00256C20" w:rsidRPr="00256C20" w:rsidRDefault="00256C20" w:rsidP="00256C20">
      <w:r w:rsidRPr="00256C20">
        <w:t xml:space="preserve">Za namen analize stanja varnosti informacijskih sistemov, omrežij in podatkovnih virov informacijsko komunikacijskih sistemov državne uprave, bo delovna skupina oblikovala predloge za zaščito pred kibernetskimi grožnjami, izdelovala analize stanja obstoječih kibernetskih tveganj znotraj informacijsko komunikacijskih sistemov državne uprave, predlagala vpeljavo varnostnih politik, smernic in postopkov za upravljanje z varnostjo informacijskih sistemov, oblikovala predloge za implementacijo varnostnih rešitev in predlagala izvajanje nadzora nad dogodki in odziv na incidente. </w:t>
      </w:r>
    </w:p>
    <w:p w14:paraId="66387BEF" w14:textId="3610356C" w:rsidR="00524AAD" w:rsidRPr="00524AAD" w:rsidRDefault="00256C20" w:rsidP="00256C20">
      <w:pPr>
        <w:pStyle w:val="Vir"/>
      </w:pPr>
      <w:r>
        <w:t>Vir: Urad za informacijsko varnost</w:t>
      </w:r>
    </w:p>
    <w:sectPr w:rsidR="00524AAD" w:rsidRPr="00524AAD"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D17C" w14:textId="77777777" w:rsidR="00663646" w:rsidRDefault="00663646" w:rsidP="00750D01">
      <w:pPr>
        <w:spacing w:line="240" w:lineRule="auto"/>
      </w:pPr>
      <w:r>
        <w:separator/>
      </w:r>
    </w:p>
  </w:endnote>
  <w:endnote w:type="continuationSeparator" w:id="0">
    <w:p w14:paraId="6F738AD7" w14:textId="77777777" w:rsidR="00663646" w:rsidRDefault="0066364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5655" w14:textId="77777777" w:rsidR="00663646" w:rsidRDefault="00663646" w:rsidP="00750D01">
      <w:pPr>
        <w:spacing w:line="240" w:lineRule="auto"/>
      </w:pPr>
      <w:r>
        <w:separator/>
      </w:r>
    </w:p>
  </w:footnote>
  <w:footnote w:type="continuationSeparator" w:id="0">
    <w:p w14:paraId="20B20C62" w14:textId="77777777" w:rsidR="00663646" w:rsidRDefault="0066364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3CE"/>
    <w:multiLevelType w:val="hybridMultilevel"/>
    <w:tmpl w:val="E6A033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DC791D"/>
    <w:multiLevelType w:val="hybridMultilevel"/>
    <w:tmpl w:val="9D520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3D30B2"/>
    <w:multiLevelType w:val="hybridMultilevel"/>
    <w:tmpl w:val="2108874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896EA8"/>
    <w:multiLevelType w:val="hybridMultilevel"/>
    <w:tmpl w:val="C9FA059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033DBF"/>
    <w:multiLevelType w:val="hybridMultilevel"/>
    <w:tmpl w:val="294EFE8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553EE8"/>
    <w:multiLevelType w:val="hybridMultilevel"/>
    <w:tmpl w:val="483816D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B559F9"/>
    <w:multiLevelType w:val="hybridMultilevel"/>
    <w:tmpl w:val="BB067BC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734B1E"/>
    <w:multiLevelType w:val="hybridMultilevel"/>
    <w:tmpl w:val="85021ED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676246A"/>
    <w:multiLevelType w:val="hybridMultilevel"/>
    <w:tmpl w:val="C67AD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6A5E8D"/>
    <w:multiLevelType w:val="hybridMultilevel"/>
    <w:tmpl w:val="32D0E1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0"/>
  </w:num>
  <w:num w:numId="2" w16cid:durableId="1906378022">
    <w:abstractNumId w:val="3"/>
  </w:num>
  <w:num w:numId="3" w16cid:durableId="657730367">
    <w:abstractNumId w:val="6"/>
  </w:num>
  <w:num w:numId="4" w16cid:durableId="860246329">
    <w:abstractNumId w:val="5"/>
  </w:num>
  <w:num w:numId="5" w16cid:durableId="216551293">
    <w:abstractNumId w:val="2"/>
  </w:num>
  <w:num w:numId="6" w16cid:durableId="183642010">
    <w:abstractNumId w:val="9"/>
  </w:num>
  <w:num w:numId="7" w16cid:durableId="169224286">
    <w:abstractNumId w:val="7"/>
  </w:num>
  <w:num w:numId="8" w16cid:durableId="1355031292">
    <w:abstractNumId w:val="8"/>
  </w:num>
  <w:num w:numId="9" w16cid:durableId="1458337109">
    <w:abstractNumId w:val="1"/>
  </w:num>
  <w:num w:numId="10" w16cid:durableId="395518293">
    <w:abstractNumId w:val="0"/>
  </w:num>
  <w:num w:numId="11" w16cid:durableId="114925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3DD7"/>
    <w:rsid w:val="000318E4"/>
    <w:rsid w:val="0003543D"/>
    <w:rsid w:val="00042843"/>
    <w:rsid w:val="00076DF7"/>
    <w:rsid w:val="00097B85"/>
    <w:rsid w:val="000C59BF"/>
    <w:rsid w:val="00110B8F"/>
    <w:rsid w:val="001602C9"/>
    <w:rsid w:val="00180031"/>
    <w:rsid w:val="001B01DD"/>
    <w:rsid w:val="001B0904"/>
    <w:rsid w:val="001F51BC"/>
    <w:rsid w:val="00203F5F"/>
    <w:rsid w:val="00215140"/>
    <w:rsid w:val="00227385"/>
    <w:rsid w:val="00231021"/>
    <w:rsid w:val="00256C20"/>
    <w:rsid w:val="002E1733"/>
    <w:rsid w:val="002E4A64"/>
    <w:rsid w:val="00356814"/>
    <w:rsid w:val="00361255"/>
    <w:rsid w:val="0036706E"/>
    <w:rsid w:val="00374A28"/>
    <w:rsid w:val="003847C8"/>
    <w:rsid w:val="003877EB"/>
    <w:rsid w:val="0039662C"/>
    <w:rsid w:val="003B0CF2"/>
    <w:rsid w:val="003E17B6"/>
    <w:rsid w:val="003E19F8"/>
    <w:rsid w:val="003E5106"/>
    <w:rsid w:val="003E6170"/>
    <w:rsid w:val="003F58B8"/>
    <w:rsid w:val="00415527"/>
    <w:rsid w:val="00463A98"/>
    <w:rsid w:val="00475C61"/>
    <w:rsid w:val="004A5C11"/>
    <w:rsid w:val="004B7346"/>
    <w:rsid w:val="004D1005"/>
    <w:rsid w:val="00506B3A"/>
    <w:rsid w:val="00522637"/>
    <w:rsid w:val="00524AAD"/>
    <w:rsid w:val="00545779"/>
    <w:rsid w:val="005515BD"/>
    <w:rsid w:val="005C1523"/>
    <w:rsid w:val="005E0165"/>
    <w:rsid w:val="005E1ABB"/>
    <w:rsid w:val="005E36DF"/>
    <w:rsid w:val="00634EFA"/>
    <w:rsid w:val="006443A9"/>
    <w:rsid w:val="00663646"/>
    <w:rsid w:val="007130E1"/>
    <w:rsid w:val="0073796B"/>
    <w:rsid w:val="00750D01"/>
    <w:rsid w:val="007669A3"/>
    <w:rsid w:val="00781345"/>
    <w:rsid w:val="007961E2"/>
    <w:rsid w:val="007A6DC1"/>
    <w:rsid w:val="007B0ADD"/>
    <w:rsid w:val="008009CC"/>
    <w:rsid w:val="008336E7"/>
    <w:rsid w:val="00846D4B"/>
    <w:rsid w:val="008624E8"/>
    <w:rsid w:val="00874EA4"/>
    <w:rsid w:val="008B7AF2"/>
    <w:rsid w:val="008D5781"/>
    <w:rsid w:val="008F691A"/>
    <w:rsid w:val="00902C2B"/>
    <w:rsid w:val="00905C96"/>
    <w:rsid w:val="009174DA"/>
    <w:rsid w:val="00943A64"/>
    <w:rsid w:val="009540E4"/>
    <w:rsid w:val="00993AC2"/>
    <w:rsid w:val="009C2C98"/>
    <w:rsid w:val="009C2D77"/>
    <w:rsid w:val="009D10D1"/>
    <w:rsid w:val="009E4986"/>
    <w:rsid w:val="00A06971"/>
    <w:rsid w:val="00A30052"/>
    <w:rsid w:val="00A35633"/>
    <w:rsid w:val="00A52720"/>
    <w:rsid w:val="00A60A37"/>
    <w:rsid w:val="00A7412B"/>
    <w:rsid w:val="00A83E76"/>
    <w:rsid w:val="00A925EA"/>
    <w:rsid w:val="00AD1AFD"/>
    <w:rsid w:val="00AE6CD6"/>
    <w:rsid w:val="00B247E9"/>
    <w:rsid w:val="00B60F58"/>
    <w:rsid w:val="00B753A8"/>
    <w:rsid w:val="00B84862"/>
    <w:rsid w:val="00BA2A5E"/>
    <w:rsid w:val="00BA743D"/>
    <w:rsid w:val="00C228F5"/>
    <w:rsid w:val="00C4342D"/>
    <w:rsid w:val="00C458C2"/>
    <w:rsid w:val="00CA5624"/>
    <w:rsid w:val="00D045C8"/>
    <w:rsid w:val="00D2472F"/>
    <w:rsid w:val="00D2634F"/>
    <w:rsid w:val="00D70249"/>
    <w:rsid w:val="00D7373E"/>
    <w:rsid w:val="00D95BC6"/>
    <w:rsid w:val="00DB1423"/>
    <w:rsid w:val="00E02AB3"/>
    <w:rsid w:val="00E06BAE"/>
    <w:rsid w:val="00E14AAE"/>
    <w:rsid w:val="00E2036F"/>
    <w:rsid w:val="00E3507E"/>
    <w:rsid w:val="00E44CA8"/>
    <w:rsid w:val="00E456BD"/>
    <w:rsid w:val="00E7132A"/>
    <w:rsid w:val="00E77CFB"/>
    <w:rsid w:val="00E948BD"/>
    <w:rsid w:val="00EA6C65"/>
    <w:rsid w:val="00F01966"/>
    <w:rsid w:val="00F37961"/>
    <w:rsid w:val="00F50B0E"/>
    <w:rsid w:val="00F539E2"/>
    <w:rsid w:val="00F706EC"/>
    <w:rsid w:val="00F737DC"/>
    <w:rsid w:val="00F744B5"/>
    <w:rsid w:val="00F93A56"/>
    <w:rsid w:val="00F96947"/>
    <w:rsid w:val="00FA1E4D"/>
    <w:rsid w:val="00FA792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11426</Words>
  <Characters>65130</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2024-11-06T14:52:00Z</dcterms:created>
  <dcterms:modified xsi:type="dcterms:W3CDTF">2024-11-07T13:31:00Z</dcterms:modified>
</cp:coreProperties>
</file>