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7DC2BFD9" w:rsidR="0073796B" w:rsidRPr="0039662C" w:rsidRDefault="00A60A37" w:rsidP="0039662C">
      <w:pPr>
        <w:pStyle w:val="Naslov1"/>
      </w:pPr>
      <w:r>
        <w:t>1</w:t>
      </w:r>
      <w:r w:rsidR="009A41AA">
        <w:t>3</w:t>
      </w:r>
      <w:r w:rsidR="00ED0388">
        <w:t>6</w:t>
      </w:r>
      <w:r w:rsidR="0073796B" w:rsidRPr="0039662C">
        <w:t>. redna seja Vlade Republike Slovenije</w:t>
      </w:r>
    </w:p>
    <w:p w14:paraId="27F30B92" w14:textId="1919D6D9" w:rsidR="0073796B" w:rsidRDefault="00ED0388" w:rsidP="008B7AF2">
      <w:pPr>
        <w:pStyle w:val="DatumSZJ"/>
      </w:pPr>
      <w:r>
        <w:t>16</w:t>
      </w:r>
      <w:r w:rsidR="00390DF7">
        <w:t>.</w:t>
      </w:r>
      <w:r w:rsidR="0073796B" w:rsidRPr="008B7AF2">
        <w:t xml:space="preserve"> </w:t>
      </w:r>
      <w:r w:rsidR="00F21123">
        <w:t>januar</w:t>
      </w:r>
      <w:r w:rsidR="0073796B" w:rsidRPr="008B7AF2">
        <w:t xml:space="preserve"> 202</w:t>
      </w:r>
      <w:r w:rsidR="00F21123">
        <w:t>5</w:t>
      </w:r>
    </w:p>
    <w:p w14:paraId="4CA7676D" w14:textId="71CE55DE" w:rsidR="00D528C1" w:rsidRDefault="00D528C1" w:rsidP="00AB4B39">
      <w:pPr>
        <w:pStyle w:val="Naslov2"/>
      </w:pPr>
      <w:r>
        <w:t>Uredba o metodologiji in normativih za določanje ocenjenih vrednosti, povezanih z odstranitvijo objektov ter nadomestitvenimi objekti</w:t>
      </w:r>
    </w:p>
    <w:p w14:paraId="6B40546F" w14:textId="77777777" w:rsidR="00D528C1" w:rsidRDefault="00D528C1" w:rsidP="00D528C1">
      <w:r>
        <w:t>Vlada Republike Slovenije je izdala Uredbo o metodologiji in normativih za določanje ocenjenih vrednosti, povezanih z odstranitvijo objektov ter nadomestitvenimi objekti.</w:t>
      </w:r>
    </w:p>
    <w:p w14:paraId="1DF40496" w14:textId="77777777" w:rsidR="00D528C1" w:rsidRDefault="00D528C1" w:rsidP="00D528C1"/>
    <w:p w14:paraId="4A949115" w14:textId="77777777" w:rsidR="003A1E85" w:rsidRDefault="00D528C1" w:rsidP="00D528C1">
      <w:r>
        <w:t xml:space="preserve">V skladu s </w:t>
      </w:r>
      <w:proofErr w:type="spellStart"/>
      <w:r>
        <w:t>157.a</w:t>
      </w:r>
      <w:proofErr w:type="spellEnd"/>
      <w:r>
        <w:t xml:space="preserve"> členom Zakona o interventnih ukrepih za odpravo posledic poplav in zemeljskih plazov iz avgusta 2023 je </w:t>
      </w:r>
      <w:r w:rsidR="003A1E85">
        <w:t>v</w:t>
      </w:r>
      <w:r>
        <w:t xml:space="preserve">lada, na predlog vladne službe za obnovo in ministrstva, pristojnega za odpravo posledic naravnih nesreč, dolžna določiti metodologijo in normative za določanje cen pri izračunu ocenjene vrednosti za projektantske in gradbene storitve pri gradnji nadomestitvenih objektov. </w:t>
      </w:r>
    </w:p>
    <w:p w14:paraId="3F722720" w14:textId="77777777" w:rsidR="003A1E85" w:rsidRDefault="003A1E85" w:rsidP="00D528C1"/>
    <w:p w14:paraId="3D4F0F7A" w14:textId="77777777" w:rsidR="003A1E85" w:rsidRDefault="00D528C1" w:rsidP="00D528C1">
      <w:r>
        <w:t xml:space="preserve">Metodologija in normativi za določanje pri izračunu ocenjene vrednosti se nanaša na javna naročila, katerih predmet se nanaša na odstranitev objektov, za katere je vlada sprejela sklep iz </w:t>
      </w:r>
      <w:proofErr w:type="spellStart"/>
      <w:r>
        <w:t>151.c</w:t>
      </w:r>
      <w:proofErr w:type="spellEnd"/>
      <w:r>
        <w:t xml:space="preserve"> člena ZIUOPZP, in objektov na nepremičninah, pridobljenih na podlagi 212. člena ZUreP-3 v postopku razlastitve, in na nadomestitvene objekte, kot so opredeljeni v 4. členu Zakona o obnovi, razvoju in zagotavljanju finančnih sredstev. </w:t>
      </w:r>
    </w:p>
    <w:p w14:paraId="431EBF66" w14:textId="77777777" w:rsidR="003A1E85" w:rsidRDefault="003A1E85" w:rsidP="00D528C1"/>
    <w:p w14:paraId="3560B573" w14:textId="1D117E15" w:rsidR="00D528C1" w:rsidRDefault="00D528C1" w:rsidP="00D528C1">
      <w:r>
        <w:t>Z uredbo je določena metodologija in normativi za določitev razvite uporabne površine objekta ter za izračun ocenjene vrednosti storitev projektiranja, gradbenih, obrtnih in inštalacijskih del, nadzora nad gradnjo, storitev koordinacije za varnost in zdravje pri delu, odstranitve objekta, nadzora nad odstranitvijo objekta ter metodologija za določanje razlik v ceni.</w:t>
      </w:r>
    </w:p>
    <w:p w14:paraId="67CA0942" w14:textId="5A1DD724" w:rsidR="00ED0388" w:rsidRDefault="00D528C1" w:rsidP="00AB4B39">
      <w:pPr>
        <w:pStyle w:val="Vir"/>
      </w:pPr>
      <w:r>
        <w:t>Vir: Služba vlade za obnovo po poplavah in plazovih</w:t>
      </w:r>
    </w:p>
    <w:p w14:paraId="067D9F0A" w14:textId="5291D671" w:rsidR="00F15B9D" w:rsidRDefault="00F15B9D" w:rsidP="00F15B9D">
      <w:pPr>
        <w:pStyle w:val="Naslov2"/>
      </w:pPr>
      <w:r>
        <w:t>Uredba o izvajanju Uredbe (EU) o določitvi ukrepov za visoko raven interoperabilnosti javnega sektorja v Uniji</w:t>
      </w:r>
    </w:p>
    <w:p w14:paraId="01327479" w14:textId="77777777" w:rsidR="00F15B9D" w:rsidRDefault="00F15B9D" w:rsidP="00F15B9D">
      <w:r>
        <w:t>Vlada Republike Slovenije je sprejela Uredbo za izvajanje evropske uredbe, ki določa ukrepe za visoko raven interoperabilnosti javnega sektorja v Uniji. Uredba določa Ministrstvo za digitalno preobrazbo kot pristojni organ za izvajanje te evropske uredbe in kot enotno kontaktno točko. Na podlagi sprejete uredbe bo ministrstvo zagotavljalo podporo in usmeritve za državne organe ter deležnike pri izboljšanju povezljivosti in učinkovitosti javnih storitev. Z izvajanjem uredbe bo Slovenija prispevala k boljšemu delovanju notranjega trga, digitalni preobrazbi in bolj dostopnim javnim storitvam.</w:t>
      </w:r>
    </w:p>
    <w:p w14:paraId="30BA127A" w14:textId="07AAE49B" w:rsidR="00ED0388" w:rsidRDefault="00F15B9D" w:rsidP="00F15B9D">
      <w:pPr>
        <w:pStyle w:val="Vir"/>
      </w:pPr>
      <w:r>
        <w:t>Vir: Ministrstvo za digitalno preobrazbo</w:t>
      </w:r>
    </w:p>
    <w:p w14:paraId="032F1C21" w14:textId="721BD11A" w:rsidR="007E19F7" w:rsidRDefault="007E19F7" w:rsidP="00771297">
      <w:pPr>
        <w:pStyle w:val="Naslov2"/>
      </w:pPr>
      <w:r>
        <w:t>Uredba o izvajanju uredbe (EU) o geografskih označbah za vino, žgane pijače in kmetijske proizvode ter zajamčenih tradicionalnih posebnostih in neobveznih navedbah kakovosti za kmetijske proizvode</w:t>
      </w:r>
    </w:p>
    <w:p w14:paraId="5EA41719" w14:textId="77777777" w:rsidR="007E19F7" w:rsidRDefault="007E19F7" w:rsidP="007E19F7">
      <w:r>
        <w:t xml:space="preserve">Vlada je izdala Uredbo o izvajanju uredbe (EU) o geografskih označbah za vino, žgane pijače in kmetijske proizvode ter zajamčenih tradicionalnih posebnostih in neobveznih navedbah kakovosti za kmetijske proizvode. </w:t>
      </w:r>
    </w:p>
    <w:p w14:paraId="58170E85" w14:textId="77777777" w:rsidR="007E19F7" w:rsidRDefault="007E19F7" w:rsidP="007E19F7"/>
    <w:p w14:paraId="0794E880" w14:textId="77777777" w:rsidR="007E19F7" w:rsidRDefault="007E19F7" w:rsidP="007E19F7">
      <w:r>
        <w:t xml:space="preserve">Uredba je bila pripravljena zaradi sprejetja nove Uredbe (EU) 2024/1143 Evropskega parlamenta in Sveta z dne 11. aprila 2024 o geografskih označbah za vino, žgane pijače in kmetijske proizvode ter zajamčenih tradicionalnih posebnostih in neobveznih navedbah kakovosti za kmetijske proizvode, ki združuje postopke registracije oziroma zaščite imen za kmetijske proizvode, živila, žgane pijače in vina, ki so bili do sedaj urejeni vsak v svoji zakonodaji. </w:t>
      </w:r>
    </w:p>
    <w:p w14:paraId="76A8245A" w14:textId="77777777" w:rsidR="007E19F7" w:rsidRDefault="007E19F7" w:rsidP="007E19F7"/>
    <w:p w14:paraId="2B879731" w14:textId="77777777" w:rsidR="007E19F7" w:rsidRDefault="007E19F7" w:rsidP="007E19F7"/>
    <w:p w14:paraId="0BC00E71" w14:textId="77777777" w:rsidR="007E19F7" w:rsidRDefault="007E19F7" w:rsidP="007E19F7">
      <w:r>
        <w:t>Uredba določa pristojne organe in kazenske določbe za vino, žgane pijače in kmetijske proizvode. V njej je določen tudi postopek registracije geografskih označb za vino in postopek spremembe specifikacij vina.</w:t>
      </w:r>
    </w:p>
    <w:p w14:paraId="6B930C35" w14:textId="61F6BE25" w:rsidR="00ED0388" w:rsidRDefault="007E19F7" w:rsidP="007E19F7">
      <w:pPr>
        <w:pStyle w:val="Vir"/>
      </w:pPr>
      <w:r>
        <w:t>Vir: Ministrstvo za kmetijstvo, gozdarstvo in prehrano</w:t>
      </w:r>
    </w:p>
    <w:p w14:paraId="542E5C7B" w14:textId="7BD8EC94" w:rsidR="000A0418" w:rsidRDefault="000A0418" w:rsidP="000A0418">
      <w:pPr>
        <w:pStyle w:val="Naslov2"/>
      </w:pPr>
      <w:r>
        <w:t>Vlada o spremembah sklepa o ustanovitvi Agencije za javni nadzor nad revidiranjem</w:t>
      </w:r>
    </w:p>
    <w:p w14:paraId="119EB739" w14:textId="77777777" w:rsidR="000A0418" w:rsidRDefault="000A0418" w:rsidP="000A0418">
      <w:r>
        <w:t>Vlada je na današnji seji sprejela sklep o spremembah sklepa o ustanovitvi Agencije za javni nadzor nad revidiranjem.</w:t>
      </w:r>
    </w:p>
    <w:p w14:paraId="2A59D182" w14:textId="77777777" w:rsidR="000A0418" w:rsidRDefault="000A0418" w:rsidP="000A0418"/>
    <w:p w14:paraId="10E7C5B3" w14:textId="1F9B7810" w:rsidR="000A0418" w:rsidRDefault="000A0418" w:rsidP="000A0418">
      <w:r>
        <w:t>Zakon o spremembah in dopolnitvah Zakona o revidiranju določa (ZRev-2C), da vlada uskladi sklep o ustanovitvi Agencije za javni nadzor nad revidiranjem s spremenjenimi določbami Zakona o revidiranju v dveh mesecih po začetku veljavnosti. ZRev-2C je bil objavljen 4. oktobra 2024 in je začel veljati petnajsti dan po objavi v Uradnem listu. Spremembe sklepa se nanašajo se na področje nalog Agencije za javni nadzor nad revidiranjem, na imenovanje članov strokovnega sveta agencije ter sestavo in naloge strokovnega sveta agencije.</w:t>
      </w:r>
    </w:p>
    <w:p w14:paraId="03484631" w14:textId="26981C27" w:rsidR="00ED0388" w:rsidRDefault="000A0418" w:rsidP="000A0418">
      <w:pPr>
        <w:pStyle w:val="Vir"/>
      </w:pPr>
      <w:r>
        <w:t>Vir: Ministrstvo za finance</w:t>
      </w:r>
    </w:p>
    <w:p w14:paraId="2A3B2062" w14:textId="6A7F66B3" w:rsidR="008276F5" w:rsidRDefault="008276F5" w:rsidP="008276F5">
      <w:pPr>
        <w:pStyle w:val="Naslov2"/>
      </w:pPr>
      <w:r>
        <w:t>Odstranitev nezakonito odloženih odpadkov kot posledice nelegalnih prehodov državne meje</w:t>
      </w:r>
    </w:p>
    <w:p w14:paraId="36C06569" w14:textId="61D51B9B" w:rsidR="008276F5" w:rsidRPr="008276F5" w:rsidRDefault="008276F5" w:rsidP="008276F5">
      <w:r>
        <w:t>Vlada je sprejela spremembo sklepa o plačilu za odstranitev nezakonito odloženih odpadkov kot posledice nelegalnih prehodov državne meje, s katero je obdobje povračila stroškov podaljšala do 31. decembra 2026.</w:t>
      </w:r>
    </w:p>
    <w:p w14:paraId="0DFF2C63" w14:textId="77777777" w:rsidR="008276F5" w:rsidRDefault="008276F5" w:rsidP="008276F5"/>
    <w:p w14:paraId="11569122" w14:textId="101506AF" w:rsidR="008276F5" w:rsidRDefault="008276F5" w:rsidP="008276F5">
      <w:r>
        <w:t>Vlada Republike Slovenije je dne 17. 5. 2019 sprejela sklep,s katerim je odločila, da za odstranitev nezakonito odloženih odpadkov, ki so posledica nezakonitih prehodov meje, občinam povrne stroške odstranitve teh odpadkov v skladu s predpisom, ki določa metodologijo za oblikovanje cen storitev obveznih gospodarskih javnih služb varstva okolja. Vlada je omenjeni sklep nazadnje podaljšala na  85. redni seji z dne 21. 12. 2023 do konca leta 2024.</w:t>
      </w:r>
    </w:p>
    <w:p w14:paraId="410A7D8C" w14:textId="77777777" w:rsidR="008276F5" w:rsidRDefault="008276F5" w:rsidP="008276F5"/>
    <w:p w14:paraId="4A7F468A" w14:textId="77777777" w:rsidR="008276F5" w:rsidRDefault="008276F5" w:rsidP="008276F5">
      <w:r>
        <w:t>Povračilo stroškov odstranitve odpadkov koordinira in izvaja Urad Vlade RS za oskrbo in integracijo migrantov ob pomoči Ministrstva za naravne vire in prostor.</w:t>
      </w:r>
    </w:p>
    <w:p w14:paraId="0FC1FE71" w14:textId="77777777" w:rsidR="008276F5" w:rsidRDefault="008276F5" w:rsidP="008276F5"/>
    <w:p w14:paraId="204AF484" w14:textId="77777777" w:rsidR="008276F5" w:rsidRDefault="008276F5" w:rsidP="008276F5">
      <w:r>
        <w:t xml:space="preserve">Vir: Urad Vlade RS za oskrbo in integracijo migrantov </w:t>
      </w:r>
    </w:p>
    <w:p w14:paraId="4DBEC027" w14:textId="77777777" w:rsidR="00ED0388" w:rsidRDefault="00ED0388" w:rsidP="00ED0388"/>
    <w:p w14:paraId="020986AA" w14:textId="2E667A75" w:rsidR="00AB4B39" w:rsidRDefault="00AB4B39" w:rsidP="00AB4B39">
      <w:pPr>
        <w:pStyle w:val="Naslov2"/>
      </w:pPr>
      <w:r>
        <w:t>Prvo poročilo o izvajanju ukrepov in projektov povezanih z odpravo posledic poplav in zemeljskih plazov iz avgusta 2023</w:t>
      </w:r>
    </w:p>
    <w:p w14:paraId="427FE9EB" w14:textId="7A8035A1" w:rsidR="00AB4B39" w:rsidRDefault="00AB4B39" w:rsidP="00AB4B39">
      <w:r>
        <w:t xml:space="preserve">Vlada Republike Slovenije se je na današnji seji seznanila s </w:t>
      </w:r>
      <w:r w:rsidR="003135DB">
        <w:t>p</w:t>
      </w:r>
      <w:r>
        <w:t>rvim poročilom o izvajanju ukrepov in projektov povezanih z odpravo posledic poplav in zemeljskih plazov iz avgusta 2023.</w:t>
      </w:r>
    </w:p>
    <w:p w14:paraId="403DC520" w14:textId="77777777" w:rsidR="00AB4B39" w:rsidRDefault="00AB4B39" w:rsidP="00AB4B39"/>
    <w:p w14:paraId="5793DEA3" w14:textId="77777777" w:rsidR="003135DB" w:rsidRDefault="00AB4B39" w:rsidP="00AB4B39">
      <w:r>
        <w:lastRenderedPageBreak/>
        <w:t xml:space="preserve">Poročilo je, skladno s 129. členom Zakona o obnovi, razvoju in zagotavljanju finančnih sredstev, pripravila Služba za obnovo po poplavah in plazovih na podlagi informacij resornih ministrstev in organov. </w:t>
      </w:r>
    </w:p>
    <w:p w14:paraId="0F2EAEC1" w14:textId="77777777" w:rsidR="003135DB" w:rsidRDefault="003135DB" w:rsidP="00AB4B39"/>
    <w:p w14:paraId="1CC0248F" w14:textId="5ED0E6AF" w:rsidR="00AB4B39" w:rsidRDefault="00AB4B39" w:rsidP="00AB4B39">
      <w:r>
        <w:t xml:space="preserve">Poročilo povzema izvajanje projektov oziroma ukrepov za obnovo in razvoj ter spremljajočih preventivnih protipoplavnih in </w:t>
      </w:r>
      <w:proofErr w:type="spellStart"/>
      <w:r>
        <w:t>protiplazovnih</w:t>
      </w:r>
      <w:proofErr w:type="spellEnd"/>
      <w:r>
        <w:t xml:space="preserve"> projektov oziroma ukrepov, ki so vključeni v finančne načrte pristojnih resorjev. Podatki v poročilu se nanašajo na obdobje od sprejetja Državnega načrta zaščite in reševanje ob poplavah, ki je bil aktiviran 4. 8. 2023, do 31. 8. 2024, z namenom, da se zajame enoletno obdobje, v katero so vključena izplačila kratkoročnih ukrepov za nujno pomoč fizičnim in pravnim osebam po poplavah in zemeljskih plazovih. </w:t>
      </w:r>
    </w:p>
    <w:p w14:paraId="29DE7648" w14:textId="124743D0" w:rsidR="00ED0388" w:rsidRDefault="00AB4B39" w:rsidP="00AB4B39">
      <w:pPr>
        <w:pStyle w:val="Vir"/>
      </w:pPr>
      <w:r>
        <w:t>Vir: Služba vlade za obnovo po poplavah in plazovih</w:t>
      </w:r>
    </w:p>
    <w:p w14:paraId="6A2C4875" w14:textId="579BBDF1" w:rsidR="0019638B" w:rsidRDefault="0019638B" w:rsidP="0019638B">
      <w:pPr>
        <w:pStyle w:val="Naslov2"/>
      </w:pPr>
      <w:r>
        <w:t>Vlada dala soglasje k zaključnemu računu Zavoda za zdravstveno zavarovanje Slovenije za leto 2023</w:t>
      </w:r>
    </w:p>
    <w:p w14:paraId="3FE0C984" w14:textId="77777777" w:rsidR="0019638B" w:rsidRDefault="0019638B" w:rsidP="0019638B">
      <w:r>
        <w:t>Vlada Republike Slovenije je na današnji seji dala soglasje k Revidiranemu Letnemu poročilu – zaključnemu računu Zavoda za zdravstveno zavarovanje Slovenije (ZZZS) za leto 2023. ZZZS je v letu 2023 realiziral prihodke v višini 4.318.455.722 evrov in odhodke v višini 4.394.729.865 evrov. Poslovno leto 2023 je zaključil s presežkom odhodkov nad prihodki v višini 76.274.143 evrov, ki ga je pokril iz sredstev rezervnega sklada in presežka prihodkov nad odhodki iz preteklih let v okviru splošnega sklada za drugo.</w:t>
      </w:r>
    </w:p>
    <w:p w14:paraId="2D9FB1E2" w14:textId="77777777" w:rsidR="0019638B" w:rsidRDefault="0019638B" w:rsidP="0019638B"/>
    <w:p w14:paraId="6277F847" w14:textId="77777777" w:rsidR="0019638B" w:rsidRDefault="0019638B" w:rsidP="0019638B">
      <w:r>
        <w:t>Celotni prihodki ZZZS v letu 2023 so znašali 4.318.455.722 evrov in so nominalno za 9,6 % ali za 377.484.446 evrov večji v primerjavi z letom 2022 predvsem zaradi večjih prihodkov od prispevkov in transfernih prihodkov iz državnega proračuna. V primerjavi z načrtovanimi prihodki so manjši za 1,3 %, predvsem zaradi manjših transferjev iz proračuna (za 68.348.740 evrov) in prihodkov na podlagi EU zakonodaje in sporazumov o socialnem zavarovanju z drugimi državami (za 3.194.870 evrov). Nekateri prihodki so bili večji od načrtovanih (prihodki od prispevkov za 7.577.059 evrov in prihodki od sklenjenih dogovorov o ceni in povračilu stroškov za zdravila za 3.663.174 evrov).</w:t>
      </w:r>
    </w:p>
    <w:p w14:paraId="2F7C9914" w14:textId="77777777" w:rsidR="0019638B" w:rsidRDefault="0019638B" w:rsidP="0019638B"/>
    <w:p w14:paraId="5A097393" w14:textId="77777777" w:rsidR="0019638B" w:rsidRDefault="0019638B" w:rsidP="0019638B">
      <w:r>
        <w:t>Celotni odhodki so v letu 2023 znašali 4.394.729.865 evrov in so za 344.590.339 evrov ali za 8,5 % večji kot leta 2022. Največjo nominalno rast odhodkov izkazujejo obresti od zadolževanja (125,6 %), sledijo odhodki za cepiva (54,4 %), odhodki za zdravljenje v tujini (31,5 %), odhodki za medicinske pripomočke (18 %), odhodki osnovnega zdravstvenega varstva (15,2 %), odhodki mednarodnega zavarovanja (13,8 %), odhodki za zdravila (13,3 %), odhodki specialističnega ambulantnega in bolnišničnega zdravljenja (12,1 %) in odhodki dejavnosti socialnih zavodov (10 %).</w:t>
      </w:r>
    </w:p>
    <w:p w14:paraId="37A3AA0A" w14:textId="77777777" w:rsidR="0019638B" w:rsidRDefault="0019638B" w:rsidP="0019638B"/>
    <w:p w14:paraId="1CBF2118" w14:textId="77777777" w:rsidR="0019638B" w:rsidRDefault="0019638B" w:rsidP="0019638B">
      <w:r>
        <w:t>Realizirani odhodki v letu 2023 so bili v okviru načrtovanih vrednosti. Odhodki za zdravstvene dejavnosti pomenijo 84,9 % vseh odhodkov ZZZS. Porabljena sredstva za ta namen znašajo 3.729.601.964 evrov in so za 12,9 % večja kot v letu 2022.</w:t>
      </w:r>
    </w:p>
    <w:p w14:paraId="6B6558ED" w14:textId="77777777" w:rsidR="0019638B" w:rsidRDefault="0019638B" w:rsidP="0019638B"/>
    <w:p w14:paraId="2A1179AE" w14:textId="77777777" w:rsidR="0019638B" w:rsidRDefault="0019638B" w:rsidP="0019638B">
      <w:r>
        <w:t>Računsko sodišče je izvedlo revizijo računovodskih izkazov in pravilnosti poslovanja ZZZS. O računovodskih izkazih zavoda je za leto 2023 izreklo pozitivno mnenje, o pravilnosti poslovanja zavoda v letu 2023 pa je Računsko sodišče izreklo mnenje s pridržkom. Zavod je nepravilnosti odpravil med revizijo, zato Računsko sodišče odzivnega poročila ni zahtevalo.</w:t>
      </w:r>
    </w:p>
    <w:p w14:paraId="16D31E37" w14:textId="71268428" w:rsidR="00ED0388" w:rsidRDefault="0019638B" w:rsidP="0019638B">
      <w:pPr>
        <w:pStyle w:val="Vir"/>
      </w:pPr>
      <w:r>
        <w:t>Vir: Ministrstvo za zdravje</w:t>
      </w:r>
    </w:p>
    <w:p w14:paraId="688DA0B5" w14:textId="67C2F737" w:rsidR="004A4585" w:rsidRDefault="004A4585" w:rsidP="004A4585">
      <w:pPr>
        <w:pStyle w:val="Naslov2"/>
      </w:pPr>
      <w:r>
        <w:t>Slovenija bo podpisala memorandum za dostop do globalnih navigacijskih podatkov</w:t>
      </w:r>
    </w:p>
    <w:p w14:paraId="73F388B3" w14:textId="77777777" w:rsidR="004A4585" w:rsidRDefault="004A4585" w:rsidP="004A4585">
      <w:r>
        <w:lastRenderedPageBreak/>
        <w:t>Vlada se je danes seznanila z Informacijo o nameravanem podpisu memoranduma o soglasju med ministrstvi za obrambo o globalnem navigacijskem satelitskem sistemu merjenja časa in razdalje (</w:t>
      </w:r>
      <w:proofErr w:type="spellStart"/>
      <w:r>
        <w:t>Navigation</w:t>
      </w:r>
      <w:proofErr w:type="spellEnd"/>
      <w:r>
        <w:t xml:space="preserve"> System </w:t>
      </w:r>
      <w:proofErr w:type="spellStart"/>
      <w:r>
        <w:t>with</w:t>
      </w:r>
      <w:proofErr w:type="spellEnd"/>
      <w:r>
        <w:t xml:space="preserve"> </w:t>
      </w:r>
      <w:proofErr w:type="spellStart"/>
      <w:r>
        <w:t>Timing</w:t>
      </w:r>
      <w:proofErr w:type="spellEnd"/>
      <w:r>
        <w:t xml:space="preserve"> and </w:t>
      </w:r>
      <w:proofErr w:type="spellStart"/>
      <w:r>
        <w:t>Ranging</w:t>
      </w:r>
      <w:proofErr w:type="spellEnd"/>
      <w:r>
        <w:t xml:space="preserve"> – NAVSTAR). </w:t>
      </w:r>
    </w:p>
    <w:p w14:paraId="60D028B8" w14:textId="77777777" w:rsidR="004A4585" w:rsidRDefault="004A4585" w:rsidP="004A4585"/>
    <w:p w14:paraId="2CB7180D" w14:textId="77777777" w:rsidR="004A4585" w:rsidRDefault="004A4585" w:rsidP="004A4585">
      <w:r>
        <w:t>Ob podpisu memoranduma bo Republika Slovenija podala izjavo, da bo tajne podatke izmenjevala samo v okviru zavezništva oziroma z državami, s katerimi ima sklenjene dvostranske sporazume o izmenjavi in varovanju tajnih podatkov. Prav tako bo Republika Slovenija ob podpisu podala izjavo, da bo nadzorovane podatke brez stopnje tajnosti varovala skladno z zakonodajo, ki ureja dostop do informacij javnega značaja.</w:t>
      </w:r>
    </w:p>
    <w:p w14:paraId="07227235" w14:textId="77777777" w:rsidR="004A4585" w:rsidRDefault="004A4585" w:rsidP="004A4585"/>
    <w:p w14:paraId="4F8419AB" w14:textId="77777777" w:rsidR="004A4585" w:rsidRDefault="004A4585" w:rsidP="004A4585">
      <w:r>
        <w:t xml:space="preserve">Navedeni globalni navigacijski satelitski sistem, bolj znan kot Globalni sistem za določanje položaja (Global </w:t>
      </w:r>
      <w:proofErr w:type="spellStart"/>
      <w:r>
        <w:t>Positioning</w:t>
      </w:r>
      <w:proofErr w:type="spellEnd"/>
      <w:r>
        <w:t xml:space="preserve"> System – GPS), ki ga je razvilo obrambno ministrstvo Združenih držav Amerike, uporabnike oskrbuje z dvema navigacijskima kodama, in sicer kodo natančnega določanja položaja (</w:t>
      </w:r>
      <w:proofErr w:type="spellStart"/>
      <w:r>
        <w:t>Precise</w:t>
      </w:r>
      <w:proofErr w:type="spellEnd"/>
      <w:r>
        <w:t xml:space="preserve"> </w:t>
      </w:r>
      <w:proofErr w:type="spellStart"/>
      <w:r>
        <w:t>Positioning</w:t>
      </w:r>
      <w:proofErr w:type="spellEnd"/>
      <w:r>
        <w:t xml:space="preserve"> Service – PPS) in kodo standardnega določanja položaja (Standard </w:t>
      </w:r>
      <w:proofErr w:type="spellStart"/>
      <w:r>
        <w:t>Positioning</w:t>
      </w:r>
      <w:proofErr w:type="spellEnd"/>
      <w:r>
        <w:t xml:space="preserve"> Service – SPS). </w:t>
      </w:r>
    </w:p>
    <w:p w14:paraId="19D99ABA" w14:textId="77777777" w:rsidR="004A4585" w:rsidRDefault="004A4585" w:rsidP="004A4585"/>
    <w:p w14:paraId="4C1190BC" w14:textId="77777777" w:rsidR="004A4585" w:rsidRDefault="004A4585" w:rsidP="004A4585">
      <w:r>
        <w:t>Koda standardnega določanja položaja je dostopna vsem uporabnikom naprav GPS, dostop do kode natančnega določanja položaja pa je nadzorovan s kriptografskimi mehanizmi in je namenjen le določenim uporabnikom. Poleg Združenih držav Amerike kot lastnice navedenega navigacijskega satelitskega sistema imajo možnost uporabe kode PPS tudi vse države članice Nata.</w:t>
      </w:r>
    </w:p>
    <w:p w14:paraId="58EA5ADB" w14:textId="77777777" w:rsidR="004A4585" w:rsidRDefault="004A4585" w:rsidP="004A4585"/>
    <w:p w14:paraId="31AC663E" w14:textId="77777777" w:rsidR="004A4585" w:rsidRDefault="004A4585" w:rsidP="004A4585">
      <w:r>
        <w:t>Z memorandumom o soglasju med ministrstvi za obrambo o globalnem navigacijskem satelitskem sistemu NAVSTAR V so določeni postopki za dostop posamezne države članice Nata do navigacijskih podatkov PPS v lasti Združenih držav Amerike. Memorandum NAVSTAR V bo nadomestil obstoječega, ki mu je veljavnost potekla konec leta 2024.</w:t>
      </w:r>
    </w:p>
    <w:p w14:paraId="39DE245D" w14:textId="3DDB1477" w:rsidR="00ED0388" w:rsidRDefault="004A4585" w:rsidP="004A4585">
      <w:pPr>
        <w:pStyle w:val="Vir"/>
      </w:pPr>
      <w:r>
        <w:t>Vir: Ministrstvo za obrambo</w:t>
      </w:r>
    </w:p>
    <w:p w14:paraId="42D8A2C8" w14:textId="65979261" w:rsidR="004A4585" w:rsidRDefault="004A4585" w:rsidP="004A4585">
      <w:pPr>
        <w:pStyle w:val="Naslov2"/>
      </w:pPr>
      <w:r>
        <w:t>Slovenija bo podpisala memorandum o Družini ročnih raketnih sistemov za evropske vojske</w:t>
      </w:r>
    </w:p>
    <w:p w14:paraId="1F09D01F" w14:textId="77777777" w:rsidR="004A4585" w:rsidRDefault="004A4585" w:rsidP="004A4585">
      <w:r>
        <w:t>Vlada se je na današnji seji seznanila z namero podpisa Memoranduma o soglasju med Ministrstvom za obrambo Italijanske Republike, Ministrstvom za obrambo Republike Slovenije in Ministrstvom za obrambo Kraljevine Španije o Družini ročnih raketnih sistemov za evropske vojske (</w:t>
      </w:r>
      <w:proofErr w:type="spellStart"/>
      <w:r>
        <w:t>Shoulder</w:t>
      </w:r>
      <w:proofErr w:type="spellEnd"/>
      <w:r>
        <w:t xml:space="preserve"> </w:t>
      </w:r>
      <w:proofErr w:type="spellStart"/>
      <w:r>
        <w:t>Launched</w:t>
      </w:r>
      <w:proofErr w:type="spellEnd"/>
      <w:r>
        <w:t xml:space="preserve"> Family for </w:t>
      </w:r>
      <w:proofErr w:type="spellStart"/>
      <w:r>
        <w:t>European</w:t>
      </w:r>
      <w:proofErr w:type="spellEnd"/>
      <w:r>
        <w:t xml:space="preserve"> </w:t>
      </w:r>
      <w:proofErr w:type="spellStart"/>
      <w:r>
        <w:t>Armies</w:t>
      </w:r>
      <w:proofErr w:type="spellEnd"/>
      <w:r>
        <w:t xml:space="preserve"> – SHOLFEA).</w:t>
      </w:r>
    </w:p>
    <w:p w14:paraId="5681F2C7" w14:textId="77777777" w:rsidR="004A4585" w:rsidRDefault="004A4585" w:rsidP="004A4585"/>
    <w:p w14:paraId="524B9B00" w14:textId="77777777" w:rsidR="004A4585" w:rsidRDefault="004A4585" w:rsidP="004A4585">
      <w:r>
        <w:t>Na razpisu Evropskega obrambnega sklada (</w:t>
      </w:r>
      <w:proofErr w:type="spellStart"/>
      <w:r>
        <w:t>European</w:t>
      </w:r>
      <w:proofErr w:type="spellEnd"/>
      <w:r>
        <w:t xml:space="preserve"> </w:t>
      </w:r>
      <w:proofErr w:type="spellStart"/>
      <w:r>
        <w:t>Defence</w:t>
      </w:r>
      <w:proofErr w:type="spellEnd"/>
      <w:r>
        <w:t xml:space="preserve"> Fund – EDF) s projektom Družina ročnih raketnih sistemov za evropske vojske SHOLFEA sodeluje konzorcij podjetij iz Italije, Španije in Slovenije. Špansko podjetje je vodilno v konzorciju, v katerem iz naše države sodeluje podjetje Guardiaris, računalniške aplikacije in simulacije d.o.o. S projektom SHOLFEA naj bi zagotovili podporo pehotnim enotam evropskih vojsk, in sicer z razvojem sistema ročnega oziroma ramenskega protitankovskega lanserja, namenjenega za uporabo v pehotnih enotah na razdaljah od 300 do 2000 metrov.</w:t>
      </w:r>
    </w:p>
    <w:p w14:paraId="39863F9E" w14:textId="77777777" w:rsidR="004A4585" w:rsidRDefault="004A4585" w:rsidP="004A4585"/>
    <w:p w14:paraId="6E436A76" w14:textId="77777777" w:rsidR="004A4585" w:rsidRDefault="004A4585" w:rsidP="004A4585">
      <w:r>
        <w:t>Memorandum o soglasju obrambnih ministrstev o Družini ročnih raketnih sistemov za evropske vojske bo urejal finančna in pravna razmerja med sodelujočimi državami v projektu. Celotna vrednost projekta SHOLFEA je ocenjena na 3.097.603,34 evrov, pri čemer bo iz evropskega proračuna sofinanciranje znašalo 2.774.309,30 evrov, preostanek sredstev pa bodo prispevale sodelujoče države. Slovensko Ministrstvo za obrambo bo na podlagi pogodbe o sofinanciranju, ki bo sklenjena s podjetjem Guardiaris, sofinanciralo izvedbo projekta SHOLFEA v skupni višini 30.000 evrov, in sicer 15.000 evrov letos in enak znesek v letu 2026.</w:t>
      </w:r>
    </w:p>
    <w:p w14:paraId="2B581772" w14:textId="77777777" w:rsidR="004A4585" w:rsidRDefault="004A4585" w:rsidP="004A4585">
      <w:pPr>
        <w:pStyle w:val="Vir"/>
      </w:pPr>
      <w:r>
        <w:t>Vir: Ministrstvo za obrambo</w:t>
      </w:r>
    </w:p>
    <w:p w14:paraId="01A409C9" w14:textId="7CC1DC13" w:rsidR="000F1D0D" w:rsidRDefault="000F1D0D" w:rsidP="00563AAE">
      <w:pPr>
        <w:pStyle w:val="Naslov2"/>
      </w:pPr>
      <w:r>
        <w:lastRenderedPageBreak/>
        <w:t>Poročilo Medresorske delovne skupine za preprečevanje goljufivih in zavajajočih praks v Republiki Sloveniji na področju agroživilske verige za leto 2023</w:t>
      </w:r>
    </w:p>
    <w:p w14:paraId="38D72B36" w14:textId="6AD262FF" w:rsidR="000F1D0D" w:rsidRDefault="000F1D0D" w:rsidP="000F1D0D">
      <w:r>
        <w:t xml:space="preserve">Vlada se je seznanila s </w:t>
      </w:r>
      <w:r w:rsidR="00563AAE">
        <w:t>p</w:t>
      </w:r>
      <w:r>
        <w:t>oročilom Medresorske delovne skupine za preprečevanje goljufivih in zavajajočih praks v Republiki Sloveniji na področju agroživilske verige za leto 2023.</w:t>
      </w:r>
    </w:p>
    <w:p w14:paraId="31A18D03" w14:textId="77777777" w:rsidR="000F1D0D" w:rsidRDefault="000F1D0D" w:rsidP="000F1D0D"/>
    <w:p w14:paraId="1DAB7021" w14:textId="6572E046" w:rsidR="000F1D0D" w:rsidRDefault="000F1D0D" w:rsidP="000F1D0D">
      <w:r>
        <w:t xml:space="preserve">Medresorska delovna skupina za preprečevanje goljufivih in zavajajočih praks v Republiki Sloveniji na področju agroživilske verige je bila ustanovljena z nalogo vzpostavitve učinkovitega sistema boja proti goljufivim in zavajajočim praksam ter tesnejšega medresorskega sodelovanja med pristojnimi organi na področju hrane, učinkovitega povezovanja z organi pregona, policijo in tožilstvom v Sloveniji ter tudi povezovanja z inštitucijami na mednarodni ravni, kot so Evropska komisija – OLAF, Europol, </w:t>
      </w:r>
      <w:proofErr w:type="spellStart"/>
      <w:r>
        <w:t>Empakt</w:t>
      </w:r>
      <w:proofErr w:type="spellEnd"/>
      <w:r>
        <w:t xml:space="preserve"> in Eurojust. </w:t>
      </w:r>
    </w:p>
    <w:p w14:paraId="54F952C4" w14:textId="77777777" w:rsidR="000F1D0D" w:rsidRDefault="000F1D0D" w:rsidP="000F1D0D"/>
    <w:p w14:paraId="7BE90C8E" w14:textId="77777777" w:rsidR="000F1D0D" w:rsidRDefault="000F1D0D" w:rsidP="000F1D0D">
      <w:r>
        <w:t>Delovna skupina je pripravila strategijo dela v okviru boja proti goljufivim in zavajajočim praksam v agroživilski verigi. Strategija nadzora 2023 opisuje prednostne naloge in ukrepe za preprečevanje, odkrivanje in pregon storilcev kaznivih dejanj.</w:t>
      </w:r>
    </w:p>
    <w:p w14:paraId="36939E3F" w14:textId="77777777" w:rsidR="000F1D0D" w:rsidRDefault="000F1D0D" w:rsidP="000F1D0D"/>
    <w:p w14:paraId="582A97B3" w14:textId="77777777" w:rsidR="000F1D0D" w:rsidRDefault="000F1D0D" w:rsidP="000F1D0D">
      <w:r>
        <w:t xml:space="preserve">V letu 2023 se je Delovna skupina sestala na štirih sejah. Na sejah so člani obravnavali sum goljufije na več področjih: sum na nedovoljeno trgovino z divjačinskim mesom, goljufije na področju prometa z vinom, goljufije pri prodaji sadja in zelenjave na stojnicah, goljufije na področju prehranskih dopolnil, nelegalno trgovino s pasjimi mladiči in goljufije pri mednarodni trgovini z lesom. </w:t>
      </w:r>
    </w:p>
    <w:p w14:paraId="750A8C6F" w14:textId="77777777" w:rsidR="000F1D0D" w:rsidRDefault="000F1D0D" w:rsidP="000F1D0D"/>
    <w:p w14:paraId="30BA796F" w14:textId="77777777" w:rsidR="000F1D0D" w:rsidRDefault="000F1D0D" w:rsidP="000F1D0D">
      <w:r>
        <w:t xml:space="preserve">Podanih je bilo več predlogov za spremembe zakonodaje na področju boja proti goljufijam pri prodaji sadja in zelenjave na stojnicah. Uprava za varno hrano, veterinarstvo in varstvo rastlin je zaradi bolj učinkovitega prepoznavanja in obravnavanja goljufivih praks v zvezi s hrano, v okviru priprave novega Zakona o hrani, predlagala ustanovitev nacionalne skupine za preprečevanje goljufivih in zavajajočih praks, podobno kot je sistem boja proti goljufivim praksam urejen v nekaterih drugih državah (Danska, Nizozemska, Škotska). </w:t>
      </w:r>
    </w:p>
    <w:p w14:paraId="014E0C98" w14:textId="7CD15B95" w:rsidR="000717CD" w:rsidRDefault="000F1D0D" w:rsidP="000F1D0D">
      <w:pPr>
        <w:pStyle w:val="Vir"/>
      </w:pPr>
      <w:r>
        <w:t>Vir: Ministrstvo za kmetijstvo, gozdarstvo in prehrano</w:t>
      </w:r>
    </w:p>
    <w:p w14:paraId="4610B3F8" w14:textId="080209BE" w:rsidR="00AF02AC" w:rsidRDefault="00EB493C" w:rsidP="00AF02AC">
      <w:pPr>
        <w:pStyle w:val="Naslov2"/>
      </w:pPr>
      <w:r>
        <w:t>Vlada sprejela p</w:t>
      </w:r>
      <w:r w:rsidR="00AF02AC">
        <w:t xml:space="preserve">redlog </w:t>
      </w:r>
      <w:r>
        <w:t xml:space="preserve">novele </w:t>
      </w:r>
      <w:r w:rsidR="00AF02AC">
        <w:t>Zakona o zdravstveni dejavnosti</w:t>
      </w:r>
    </w:p>
    <w:p w14:paraId="4CC3A7FD" w14:textId="781E98CD" w:rsidR="00AF02AC" w:rsidRDefault="00AF02AC" w:rsidP="00AF02AC">
      <w:r>
        <w:t>Vlada Republike Slovenije je določila besedilo predloga zakona o spremembah in dopolnitvah Zakona o zdravstveni dejavnosti in ga poslala v obravnavo Državnemu zboru po rednem zakonodajnem postopku.</w:t>
      </w:r>
    </w:p>
    <w:p w14:paraId="09106A7B" w14:textId="77777777" w:rsidR="00AF02AC" w:rsidRDefault="00AF02AC" w:rsidP="00AF02AC"/>
    <w:p w14:paraId="55D1B4CB" w14:textId="77777777" w:rsidR="00AF02AC" w:rsidRDefault="00AF02AC" w:rsidP="00AF02AC">
      <w:r>
        <w:t xml:space="preserve">Predlog novele Zakona o zdravstveni dejavnosti (ZZDej) med drugim nadgrajuje pogoje za izdajo soglasij za delo izven javnega zavoda, in sicer bodo zaposleni v javnih zdravstvenih zavodih (JZZ) pogodbe o zaposlitvi s krajšim delovnim časom ali podjemne pogodbe lahko sklepali le pri drugem JZZ ali koncesionarju (ne pa pri čistem zasebniku). Pogoji za izdajo soglasja pa bodo, da JZZ nima potrebe po dodatnem dopolnilnem delu, da delavec v celoti izpolnjuje svoje delovne obveznosti in ne odklanja nadurnega dela, dežurstva, stalne pripravljenosti in vključevanja v neprekinjeno zdravstveno varstvo ter da ima JZZ za to vrsto dejavnosti realiziran celoten program. Soglasje za delo drugje bo, ne glede na izpolnjevanje pogojev, lahko izdano za delo na fakultetah, za zagotavljanje zdravstvenega varstva na javnih prireditvah, za delo v okviru mobilnega paliativnega tima, pri Rdečem križu, Slovenia </w:t>
      </w:r>
      <w:proofErr w:type="spellStart"/>
      <w:r>
        <w:t>Transplantu</w:t>
      </w:r>
      <w:proofErr w:type="spellEnd"/>
      <w:r>
        <w:t>, gorski reševalni službi, gasilcih, civilni zaščiti) in za opravljanje neprekinjenega zdravstvenega varstva v drugem javnem zavodu.</w:t>
      </w:r>
    </w:p>
    <w:p w14:paraId="6911ADDB" w14:textId="77777777" w:rsidR="00AF02AC" w:rsidRDefault="00AF02AC" w:rsidP="00AF02AC"/>
    <w:p w14:paraId="664789CA" w14:textId="36573E6C" w:rsidR="00AF02AC" w:rsidRDefault="00AF02AC" w:rsidP="00AF02AC">
      <w:r>
        <w:t xml:space="preserve">Zdravstveni delavci, zaposleni v javnem sektorju, torej ne bodo več mogli dobiti soglasja za izvajanje samoplačniških zdravstvenih storitev pri kateremkoli drugem delodajalcu. Predlog novele ponuja možnost sklepanja podjemnih pogodb z lastnim zaposlenim, s tem da bodo te pogodbe davčno razbremenjene. Podjemne pogodbe bodo možne le za storitve iz seznama, ki jih določi minister za </w:t>
      </w:r>
      <w:r w:rsidR="009C56F4">
        <w:lastRenderedPageBreak/>
        <w:t>zdravje</w:t>
      </w:r>
      <w:r>
        <w:t xml:space="preserve">, in le za tiste, ki so 100-odstotno zaposleni v javnem zavodu. Delavci, zaposleni v JZZ, bodo lahko tržno dejavnost opravljali le pri lastnem delodajalcu, če bo zavod izpolnjeval pogoje in tovrstno dejavnost organiziral.  Bodo pa JZZ na terciarnem nivoju lahko izjemoma sklepali pogodbe o zaposlitvah s krajšim delovnim časom z vrhunskimi strokovnjaki, zaposlenimi pri zasebnikih, ki na določenih področjih v zdravstvu opravljajo nove metode zdravljenja. Seznam teh storitev bo sprejel minister za zdravje. </w:t>
      </w:r>
    </w:p>
    <w:p w14:paraId="617E056A" w14:textId="77777777" w:rsidR="00AF02AC" w:rsidRDefault="00AF02AC" w:rsidP="00AF02AC"/>
    <w:p w14:paraId="3AA29717" w14:textId="77777777" w:rsidR="00AF02AC" w:rsidRDefault="00AF02AC" w:rsidP="00AF02AC">
      <w:r>
        <w:t>Uvaja tudi merjenje dnevne delovne obremenitve zdravstvenih delavcev, kar bo tudi podlaga za soglasja za delo izven matičnega JZZ in sklepanje podjemnih pogodb. Merjenje bo zajemalo vse oblike dela in delovnega časa, enotno metodologijo bo določilo Ministrstvo za zdravje.</w:t>
      </w:r>
    </w:p>
    <w:p w14:paraId="0A8B1032" w14:textId="77777777" w:rsidR="00AF02AC" w:rsidRDefault="00AF02AC" w:rsidP="00AF02AC"/>
    <w:p w14:paraId="13F9028B" w14:textId="77777777" w:rsidR="00AF02AC" w:rsidRDefault="00AF02AC" w:rsidP="00AF02AC">
      <w:r>
        <w:t>Predlog novele jasno opredeljuje javno zdravstveno službo, njene izvajalce in JZZ, ko izvajajo javno in tudi tržno zdravstveno dejavnost, ter določa, da se dobiček JZZ porabi za opravljanje in razvoj zdravstvene dejavnosti. Opredeljuje tudi tržno zdravstveno dejavnost in pogoje zanjo.</w:t>
      </w:r>
    </w:p>
    <w:p w14:paraId="52E340B2" w14:textId="77777777" w:rsidR="00AF02AC" w:rsidRDefault="00AF02AC" w:rsidP="00AF02AC">
      <w:r>
        <w:t>Uvajajo se zdravstvene regije in predvideva povezovanje JZZ za opravljanje skupnih zadev in uresničevanje skupnih interesov oziroma za namen celostne zdravstvene obravnave in boljše dostopnosti do zdravstvenih storitev.</w:t>
      </w:r>
    </w:p>
    <w:p w14:paraId="7335E153" w14:textId="77777777" w:rsidR="00AF02AC" w:rsidRDefault="00AF02AC" w:rsidP="00AF02AC"/>
    <w:p w14:paraId="7512263C" w14:textId="77777777" w:rsidR="00AF02AC" w:rsidRDefault="00AF02AC" w:rsidP="00AF02AC">
      <w:r>
        <w:t>Natančno določa pogoje za imenovanje in razrešitev direktorja, strokovnega direktorja, vodij organizacijskih enot v zdravstvenih zavodih in članov sveta zavoda ter njihove pristojnosti.</w:t>
      </w:r>
    </w:p>
    <w:p w14:paraId="5451BA04" w14:textId="77777777" w:rsidR="00AF02AC" w:rsidRDefault="00AF02AC" w:rsidP="00AF02AC">
      <w:r>
        <w:t>Novela ureja področje koncesij, in sicer jih veže na pravni status in dejanskega lastnika izvajalca zdravstvene dejavnosti v času izdaje koncesijske odločbe – če se ta spremeni, se koncesija odvzame. Ukinja avtomatično podaljševanje koncesij in določa pogoje za njihovo pridobitev.</w:t>
      </w:r>
    </w:p>
    <w:p w14:paraId="5E5A0CC9" w14:textId="77777777" w:rsidR="00AF02AC" w:rsidRDefault="00AF02AC" w:rsidP="00AF02AC"/>
    <w:p w14:paraId="3FA952FC" w14:textId="77777777" w:rsidR="00AF02AC" w:rsidRDefault="00AF02AC" w:rsidP="00AF02AC">
      <w:r>
        <w:t>Določa organizacijo in zagotavljanje neprekinjenega zdravstvenega varstva in vanj vključuje vse zdravstvene delavce, zaposlene v javni zdravstveni mreži (torej vključno s koncesionarji), ki opravljajo zdravstvene storitve na področju, ki sodi v okvir dejavnosti neprekinjenega zdravstvenega varstva.</w:t>
      </w:r>
    </w:p>
    <w:p w14:paraId="5DE170D3" w14:textId="77777777" w:rsidR="00AF02AC" w:rsidRDefault="00AF02AC" w:rsidP="00AF02AC"/>
    <w:p w14:paraId="2CB24258" w14:textId="77777777" w:rsidR="00AF02AC" w:rsidRDefault="00AF02AC" w:rsidP="00AF02AC">
      <w:r>
        <w:t>Novela ureja področje koncesij, in sicer prepoveduje pravni promet z njimi in jih veže na izvajalca zdravstvene dejavnosti, njegov pravni status in dejanskega lastnika v času izdaje koncesijske odločbe – če se ta spremeni, se koncesija odvzame. Ukinja avtomatično podaljševanje koncesij in določa pogoje za njihovo pridobitev.</w:t>
      </w:r>
    </w:p>
    <w:p w14:paraId="4DA7EED4" w14:textId="77777777" w:rsidR="00AF02AC" w:rsidRDefault="00AF02AC" w:rsidP="00AF02AC"/>
    <w:p w14:paraId="3E821215" w14:textId="77777777" w:rsidR="00AF02AC" w:rsidRDefault="00AF02AC" w:rsidP="00AF02AC">
      <w:r>
        <w:t>Določa organizacijo in zagotavljanje neprekinjenega zdravstvenega varstva in vanj vključuje vse zdravstvene delavce, zaposlene v javni zdravstveni mreži (torej vključno s koncesionarji), ki opravljajo zdravstvene storitve na področju, ki sodi v okvir dejavnosti neprekinjenega zdravstvenega varstva.</w:t>
      </w:r>
    </w:p>
    <w:p w14:paraId="3268F36F" w14:textId="2146DAA0" w:rsidR="00290375" w:rsidRDefault="00AF02AC" w:rsidP="00AF02AC">
      <w:pPr>
        <w:pStyle w:val="Vir"/>
      </w:pPr>
      <w:r w:rsidRPr="00AF02AC">
        <w:t>Vir: Ministrstvo za zdravje</w:t>
      </w:r>
    </w:p>
    <w:p w14:paraId="1911564C" w14:textId="2315C27A" w:rsidR="00D909D2" w:rsidRDefault="00D909D2" w:rsidP="00D909D2">
      <w:pPr>
        <w:pStyle w:val="Naslov2"/>
      </w:pPr>
      <w:r>
        <w:t>Predlog</w:t>
      </w:r>
      <w:r w:rsidR="00563AAE">
        <w:t xml:space="preserve"> </w:t>
      </w:r>
      <w:r>
        <w:t>Zakona o začasni zaščiti razseljenih oseb</w:t>
      </w:r>
    </w:p>
    <w:p w14:paraId="2D37E8F0" w14:textId="77777777" w:rsidR="00D909D2" w:rsidRDefault="00D909D2" w:rsidP="00D909D2">
      <w:r>
        <w:t>Vlada Republike Slovenije je določila besedilo predloga Zakona o začasni zaščiti razseljenih oseb in ga pošlje v obravnavo državnemu zboru.</w:t>
      </w:r>
    </w:p>
    <w:p w14:paraId="54F016C7" w14:textId="77777777" w:rsidR="00D909D2" w:rsidRDefault="00D909D2" w:rsidP="00D909D2"/>
    <w:p w14:paraId="19A6B719" w14:textId="77777777" w:rsidR="00D909D2" w:rsidRDefault="00D909D2" w:rsidP="00D909D2">
      <w:r>
        <w:t>Trenutno veljavni Zakon o začasni zaščiti razseljenih oseb, ki je bil sprejet leta 2005 se je v praksi izkazal za pomanjkljivega in zastarelega, ob tem pa je pomanjkljivo prenesel Direktivo 2001/55/ES. Prav tako ne upošteva vseh sprememb v razvoju instituta mednarodne zaščite, ki je po namenu primerljiv institutu začasne zaščite.</w:t>
      </w:r>
    </w:p>
    <w:p w14:paraId="2BCAF5A7" w14:textId="77777777" w:rsidR="00D909D2" w:rsidRDefault="00D909D2" w:rsidP="00D909D2"/>
    <w:p w14:paraId="243ECAA8" w14:textId="77777777" w:rsidR="00D909D2" w:rsidRDefault="00D909D2" w:rsidP="00D909D2">
      <w:r>
        <w:t xml:space="preserve">V Evropski uniji je trenutno do začasne zaščite upravičenih približno 4,19 milijona razseljenih oseb iz Ukrajine. Skupno število registracij oseb, ki uživajo začasno zaščito, ostaja stabilno z rahlim stalnim </w:t>
      </w:r>
      <w:r>
        <w:lastRenderedPageBreak/>
        <w:t>trendom naraščanja. O stalni vrnitvi domov v Ukrajino poroča le malo oseb, saj tamkajšnje razmere ne omogočajo vrnitve na varen in trajen način.</w:t>
      </w:r>
    </w:p>
    <w:p w14:paraId="17F15158" w14:textId="77777777" w:rsidR="00D909D2" w:rsidRDefault="00D909D2" w:rsidP="00D909D2"/>
    <w:p w14:paraId="1FCA6D4B" w14:textId="77777777" w:rsidR="00D909D2" w:rsidRDefault="00D909D2" w:rsidP="00D909D2">
      <w:r>
        <w:t>Poglavitni cilj predloga zakona je uvedba rešitev za blažitev preobremenjenosti pristojnih državnih organov, vključenih v postopke začasne zaščite. S tem bi bil omogočen tudi hitrejši dostop oseb z začasno zaščito do pravic iz tega statusa ter celostna ureditev pravic in dolžnosti oseb z začasno zaščito v Republiki Sloveniji, ki omogoča hitrejši sprejem in integracijo oseb z začasno zaščito v slovensko družbo.</w:t>
      </w:r>
    </w:p>
    <w:p w14:paraId="33CFA54C" w14:textId="77777777" w:rsidR="00D909D2" w:rsidRDefault="00D909D2" w:rsidP="00D909D2"/>
    <w:p w14:paraId="4005204A" w14:textId="77777777" w:rsidR="00D909D2" w:rsidRDefault="00D909D2" w:rsidP="00D909D2">
      <w:r>
        <w:t>S predlogom zakona za uvedbo začasne zaščite v Republiki Sloveniji ni več treba sprejeti posebnega sklepa. Namesto tega se uporablja sprejeti izvedbeni sklep Sveta Evropske unije, s katerim se ugotovi obstoj množičnega prihoda razseljenih oseb in se uvede začasna zaščita ter učinkuje neposredno v vseh državah članicah.</w:t>
      </w:r>
    </w:p>
    <w:p w14:paraId="1FB47BE5" w14:textId="77777777" w:rsidR="00D909D2" w:rsidRDefault="00D909D2" w:rsidP="00D909D2"/>
    <w:p w14:paraId="6A01BED4" w14:textId="77777777" w:rsidR="00D909D2" w:rsidRDefault="00D909D2" w:rsidP="00D909D2">
      <w:r>
        <w:t>Odpravljajo se tudi pomanjkljivosti, ki so se pokazale v praksi:</w:t>
      </w:r>
    </w:p>
    <w:p w14:paraId="6002C586" w14:textId="5611EE59" w:rsidR="00D909D2" w:rsidRDefault="00D909D2" w:rsidP="00D909D2">
      <w:pPr>
        <w:pStyle w:val="Odstavekseznama"/>
        <w:numPr>
          <w:ilvl w:val="0"/>
          <w:numId w:val="12"/>
        </w:numPr>
      </w:pPr>
      <w:r>
        <w:t>nadaljnja uskladitev z Direktivo 2001/55/ES,</w:t>
      </w:r>
    </w:p>
    <w:p w14:paraId="65607ED8" w14:textId="33CA0570" w:rsidR="00D909D2" w:rsidRDefault="00D909D2" w:rsidP="00D909D2">
      <w:pPr>
        <w:pStyle w:val="Odstavekseznama"/>
        <w:numPr>
          <w:ilvl w:val="0"/>
          <w:numId w:val="12"/>
        </w:numPr>
      </w:pPr>
      <w:r>
        <w:t xml:space="preserve">poenostavitev in hitrejša izvedba postopka priznanja statusa začasne zaščite, vključno z jasnejšo ureditvijo ob vzporednosti postopka začasne zaščite in postopka mednarodne zaščite, </w:t>
      </w:r>
    </w:p>
    <w:p w14:paraId="41EF0427" w14:textId="4EB0DE84" w:rsidR="00D909D2" w:rsidRDefault="00D909D2" w:rsidP="00D909D2">
      <w:pPr>
        <w:pStyle w:val="Odstavekseznama"/>
        <w:numPr>
          <w:ilvl w:val="0"/>
          <w:numId w:val="12"/>
        </w:numPr>
      </w:pPr>
      <w:r>
        <w:t>podrobnejša ureditev razlogov prenehanja statusa začasne zaščite,</w:t>
      </w:r>
    </w:p>
    <w:p w14:paraId="097F244A" w14:textId="434E33C8" w:rsidR="00D909D2" w:rsidRDefault="00D909D2" w:rsidP="00D909D2">
      <w:pPr>
        <w:pStyle w:val="Odstavekseznama"/>
        <w:numPr>
          <w:ilvl w:val="0"/>
          <w:numId w:val="12"/>
        </w:numPr>
      </w:pPr>
      <w:r>
        <w:t>jasnejša določitev razmerja med začasno zaščito in mednarodno zaščito ter razmerja med začasno zaščito do postopkov po Zakonu o tujcih,</w:t>
      </w:r>
    </w:p>
    <w:p w14:paraId="6D9FCF5F" w14:textId="242F26BE" w:rsidR="00D909D2" w:rsidRDefault="00D909D2" w:rsidP="00D909D2">
      <w:pPr>
        <w:pStyle w:val="Odstavekseznama"/>
        <w:numPr>
          <w:ilvl w:val="0"/>
          <w:numId w:val="12"/>
        </w:numPr>
      </w:pPr>
      <w:r>
        <w:t>jasnejša delitev pristojnosti za izvedbo posameznih dejanj v postopku priznanja začasne zaščite in odgovornosti za zagotovitev pravic osebam z začasno zaščito,</w:t>
      </w:r>
    </w:p>
    <w:p w14:paraId="26E35AF6" w14:textId="3EA58DF0" w:rsidR="00D909D2" w:rsidRDefault="00D909D2" w:rsidP="00D909D2">
      <w:pPr>
        <w:pStyle w:val="Odstavekseznama"/>
        <w:numPr>
          <w:ilvl w:val="0"/>
          <w:numId w:val="12"/>
        </w:numPr>
      </w:pPr>
      <w:r>
        <w:t xml:space="preserve">ureditev pravic prosilcev za začasno zaščito in jasnejša ureditev pravic osebam z začasno zaščito, </w:t>
      </w:r>
    </w:p>
    <w:p w14:paraId="7B25551F" w14:textId="77777777" w:rsidR="00D909D2" w:rsidRDefault="00D909D2" w:rsidP="00D909D2">
      <w:pPr>
        <w:pStyle w:val="Odstavekseznama"/>
        <w:numPr>
          <w:ilvl w:val="0"/>
          <w:numId w:val="12"/>
        </w:numPr>
      </w:pPr>
      <w:r>
        <w:t>vzpostavitev pravne podlage za deljenje podatkov o osebah z začasno zaščito za preprečitev dvojnih statusov v državah članicah in v pridruženih državah k izvajanju, uporabi in razvoju schengenskega pravnega reda.</w:t>
      </w:r>
    </w:p>
    <w:p w14:paraId="623F8A95" w14:textId="77777777" w:rsidR="00D909D2" w:rsidRDefault="00D909D2" w:rsidP="00D909D2">
      <w:pPr>
        <w:pStyle w:val="Vir"/>
      </w:pPr>
      <w:r>
        <w:t>Vir: Ministrstvo za notranje zadeve</w:t>
      </w:r>
    </w:p>
    <w:p w14:paraId="7B318130" w14:textId="5FE69936" w:rsidR="00E560C6" w:rsidRDefault="00E560C6" w:rsidP="00E560C6">
      <w:pPr>
        <w:pStyle w:val="Naslov2"/>
      </w:pPr>
      <w:r>
        <w:t>Zakon o spremembah in dopolnitvah Zakona o spodbujanju digitalne vključenosti</w:t>
      </w:r>
    </w:p>
    <w:p w14:paraId="7397D572" w14:textId="77777777" w:rsidR="00E560C6" w:rsidRDefault="00E560C6" w:rsidP="00E560C6">
      <w:r>
        <w:t>Vlada Republike Slovenije je na današnji 136. redni seji sprejela predlog zakona o spremembah Zakona o spodbujanju digitalne vključenosti.</w:t>
      </w:r>
    </w:p>
    <w:p w14:paraId="22E47199" w14:textId="77777777" w:rsidR="00E560C6" w:rsidRDefault="00E560C6" w:rsidP="00E560C6"/>
    <w:p w14:paraId="30E6C5BD" w14:textId="77777777" w:rsidR="00E560C6" w:rsidRDefault="00E560C6" w:rsidP="00E560C6">
      <w:r>
        <w:t>Zakon o spremembah in dopolnitvah Zakona o spodbujanju digitalne vključenosti, ki je pričel veljati 18. aprila 2023, je uvedel mehanizem za zagotavljanje dostopa do računalniške opreme kot nov ukrep za spodbujanje digitalne vključenosti. Ta mehanizem, ki ga je v skladu z zakonom vzpostavil Javni štipendijski, razvojni, invalidski in preživninski sklad Republike Slovenije, je omogočal izposojo računalniške opreme ranljivim skupinam prebivalstva.</w:t>
      </w:r>
    </w:p>
    <w:p w14:paraId="203C9E42" w14:textId="77777777" w:rsidR="00E560C6" w:rsidRDefault="00E560C6" w:rsidP="00E560C6"/>
    <w:p w14:paraId="508FFF1A" w14:textId="77777777" w:rsidR="00E560C6" w:rsidRDefault="00E560C6" w:rsidP="00E560C6">
      <w:r>
        <w:t>Kljub dobrim namenom je mehanizem naletel na operativne izzive. Ob velikem številu prispelih vlog (več kot 20.000) se je izkazal za preveč okornega, administrativno zahtevnega in počasnega. To je otežilo delovanje javnega sklada in bistveno podaljšalo čas obdelave vlog ter izdaje odločb o dodelitvi opreme.</w:t>
      </w:r>
    </w:p>
    <w:p w14:paraId="3F3A59F8" w14:textId="77777777" w:rsidR="00E560C6" w:rsidRDefault="00E560C6" w:rsidP="00E560C6"/>
    <w:p w14:paraId="3C9A4A8C" w14:textId="77777777" w:rsidR="00E560C6" w:rsidRDefault="00E560C6" w:rsidP="00E560C6">
      <w:r>
        <w:t>Zato predlog zakona, ki ga je vlada danes sprejela, predlaga spremembe, s katerimi se ukinja omenjeni mehanizem, upravičencem pa se računalnike dodeli v trajno last, takoj po vročitvi.</w:t>
      </w:r>
    </w:p>
    <w:p w14:paraId="062AB355" w14:textId="77777777" w:rsidR="00E560C6" w:rsidRDefault="00E560C6" w:rsidP="00E560C6">
      <w:pPr>
        <w:pStyle w:val="Vir"/>
      </w:pPr>
      <w:r>
        <w:t>Vir: Ministrstvo za digitalno preobrazbo</w:t>
      </w:r>
    </w:p>
    <w:p w14:paraId="7A602181" w14:textId="63B7D5D5" w:rsidR="00ED0388" w:rsidRDefault="00ED0388" w:rsidP="003D50B7">
      <w:pPr>
        <w:pStyle w:val="Naslov2"/>
      </w:pPr>
      <w:r>
        <w:lastRenderedPageBreak/>
        <w:t>Predlog zakona o ratifikaciji Konvencije o zmanjšanju števila oseb brez državljanstva</w:t>
      </w:r>
    </w:p>
    <w:p w14:paraId="2EC9D67E" w14:textId="6C040301" w:rsidR="003D50B7" w:rsidRDefault="003D50B7" w:rsidP="003D50B7">
      <w:r>
        <w:t>Vlada Republike Slovenije je določila besedilo predloga  Zakona o ratifikaciji Konvencije o zmanjšanju števila oseb brez državljanstva iz leta 1961, in ga predloži državnemu zboru.</w:t>
      </w:r>
    </w:p>
    <w:p w14:paraId="10367917" w14:textId="77777777" w:rsidR="003D50B7" w:rsidRDefault="003D50B7" w:rsidP="003D50B7"/>
    <w:p w14:paraId="14D02E9E" w14:textId="77777777" w:rsidR="003D50B7" w:rsidRDefault="003D50B7" w:rsidP="003D50B7">
      <w:r>
        <w:t xml:space="preserve">Konvencija je ključen mednarodnopravni instrument, ki določa pravila za podelitev in prenehanje državljanstva z namenom preprečevanja novih primerov </w:t>
      </w:r>
      <w:proofErr w:type="spellStart"/>
      <w:r>
        <w:t>apatridnosti</w:t>
      </w:r>
      <w:proofErr w:type="spellEnd"/>
      <w:r>
        <w:t xml:space="preserve">. S pristopom h konvenciji je Slovenija pokazala  svojo zavezanost k človekovim pravicam in humanitarnim standardom, vključno s pravico do državljanstva. Slovenija se s tem zavezuje, da bo zagotovila, da se v Sloveniji nihče ne bo rodil brez državljanstva in da nobena odrasla oseba ne bo postala oseba brez državljanstva, hkrati pa prispeva k izkoreninjenju </w:t>
      </w:r>
      <w:proofErr w:type="spellStart"/>
      <w:r>
        <w:t>apatridnosti</w:t>
      </w:r>
      <w:proofErr w:type="spellEnd"/>
      <w:r>
        <w:t xml:space="preserve"> na svetovni ravni.</w:t>
      </w:r>
    </w:p>
    <w:p w14:paraId="74D00D00" w14:textId="5375DF4A" w:rsidR="003D50B7" w:rsidRDefault="003D50B7" w:rsidP="003D50B7">
      <w:pPr>
        <w:pStyle w:val="Vir"/>
      </w:pPr>
      <w:r>
        <w:t>Vir: Ministrstvo za zunanje in evropske zadeve</w:t>
      </w:r>
    </w:p>
    <w:p w14:paraId="678AADB0" w14:textId="1FFE7845" w:rsidR="0016061E" w:rsidRDefault="0016061E" w:rsidP="0016061E">
      <w:pPr>
        <w:pStyle w:val="Naslov2"/>
      </w:pPr>
      <w:r>
        <w:t>Vlada določila besedilo predloga Resolucije o preprečevanju korupcije v Republiki Sloveniji</w:t>
      </w:r>
    </w:p>
    <w:p w14:paraId="0EFC059E" w14:textId="77777777" w:rsidR="0016061E" w:rsidRDefault="0016061E" w:rsidP="0016061E">
      <w:r>
        <w:t>Vlada je na današnji seji določila besedilo predloga Resolucije o preprečevanju korupcije v Republiki Sloveniji in ga pošlje v obravnavo Državnemu zboru Republike Slovenije.</w:t>
      </w:r>
    </w:p>
    <w:p w14:paraId="7CBDC6CC" w14:textId="77777777" w:rsidR="0016061E" w:rsidRDefault="0016061E" w:rsidP="0016061E"/>
    <w:p w14:paraId="75704401" w14:textId="178079B9" w:rsidR="0016061E" w:rsidRDefault="0016061E" w:rsidP="0016061E">
      <w:r>
        <w:t xml:space="preserve">Predlog nove Resolucije nadomešča Resolucijo iz leta 2004. V skladu z Zakonom o integriteti in preprečevanju korupcije (ZIntPK) Komisija za preprečevanje korupcije (KPK) pripravlja resolucijo in njene spremembe ter jih predlaga v obravnavo vladi, ki jih predloži v sprejem državnemu zboru. </w:t>
      </w:r>
    </w:p>
    <w:p w14:paraId="6EEDD0BF" w14:textId="77777777" w:rsidR="0016061E" w:rsidRDefault="0016061E" w:rsidP="0016061E">
      <w:r>
        <w:t xml:space="preserve">Resolucija v vsebinskem delu opredeljuje pet vrst ciljev, in sicer: 1. cilje oziroma usmeritve, ki veljajo za družbo na splošno (javni sektor, zasebni sektor, civilno družbo in splošno javnost); 2. cilje, ki veljajo za javni in zasebni sektor; 3. cilje, ki veljajo zgolj za javni sektor; 4. cilje na posebej izpostavljenih področjih; ter 5. cilje za posamezna področja delovanja države in družbe. Skupaj je opredeljenih 77 ciljev. </w:t>
      </w:r>
    </w:p>
    <w:p w14:paraId="0BF2D52F" w14:textId="77777777" w:rsidR="0016061E" w:rsidRDefault="0016061E" w:rsidP="0016061E"/>
    <w:p w14:paraId="346E2F4A" w14:textId="36CA5A31" w:rsidR="0016061E" w:rsidRDefault="0016061E" w:rsidP="0016061E">
      <w:r>
        <w:t>Osnovni cilji resolucije so usmerjeni preventivno: dolgoročna in trajna odprava pogojev za nastanek in razvoj korupcije, vzpostavitev ustreznega pravnega in institucionalnega okolja za preprečevanje korupcije, dosledna uveljavitev odgovornosti za nezakonita dejanja, izgradnja splošno sprejemljivega sistema ničelne tolerance do vseh korupcijskih ravnanj skozi razne oblike izobraževanj in učinkovita uporaba mednarodno uveljavljenih standardov na tem področju. Za učinkovit boj proti korupciji in vzpostavljanje ničelne tolerance do korupcije v družbi pa morajo biti vanj vključeni in v njem aktivno sodelovati deležniki iz javnega in zasebnega sektorja, civilne družbe, medijev in splošne javnosti.</w:t>
      </w:r>
    </w:p>
    <w:p w14:paraId="02190620" w14:textId="77777777" w:rsidR="0016061E" w:rsidRDefault="0016061E" w:rsidP="0016061E">
      <w:r>
        <w:t>V skladu z ZIntPK uresničevanje resolucije spremlja KPK na podlagi akcijskega načrta, ki ga v sodelovanju z nosilci ukrepov iz resolucije sprejme v roku treh mesecev po sprejemu resolucije ali njenih sprememb.</w:t>
      </w:r>
    </w:p>
    <w:p w14:paraId="6C2F8B5B" w14:textId="150C9DBE" w:rsidR="00ED0388" w:rsidRDefault="0016061E" w:rsidP="0016061E">
      <w:pPr>
        <w:pStyle w:val="Vir"/>
      </w:pPr>
      <w:r>
        <w:t>Vir: Ministrstvo za pravosodje</w:t>
      </w:r>
    </w:p>
    <w:p w14:paraId="32944BF7" w14:textId="7CA9A3DC" w:rsidR="00737E70" w:rsidRDefault="00737E70" w:rsidP="00F46B9D">
      <w:pPr>
        <w:pStyle w:val="Naslov2"/>
      </w:pPr>
      <w:r>
        <w:t>Informacija o ukrepih za centralizacijo objavljanja predpisov in drugih aktov ter nov način izdajanja in objavljanja uradnega lista Republike Slovenije</w:t>
      </w:r>
    </w:p>
    <w:p w14:paraId="083271DB" w14:textId="77777777" w:rsidR="00737E70" w:rsidRDefault="00737E70" w:rsidP="00737E70">
      <w:r>
        <w:t>Vlada Republike Slovenije se je na svoji 136. redni seji dne 16. 1. 2025 seznanila z Informacijo o ukrepih za centralizacijo objavljanja predpisov in drugih aktov ter nov način izdajanja in objavljanja uradnega lista Republike Slovenije.</w:t>
      </w:r>
    </w:p>
    <w:p w14:paraId="12468DD7" w14:textId="77777777" w:rsidR="00737E70" w:rsidRDefault="00737E70" w:rsidP="00737E70"/>
    <w:p w14:paraId="37BC3C2F" w14:textId="77777777" w:rsidR="00737E70" w:rsidRDefault="00737E70" w:rsidP="00737E70">
      <w:r>
        <w:t xml:space="preserve">V informaciji so predstavljeni različni, a medsebojno tesno povezani ukrepi, s katerimi se uresničujejo cilji vzpostavitve enotne digitalne platforme </w:t>
      </w:r>
      <w:proofErr w:type="spellStart"/>
      <w:r>
        <w:t>eZakonodaja</w:t>
      </w:r>
      <w:proofErr w:type="spellEnd"/>
      <w:r>
        <w:t xml:space="preserve"> in Registra pravnih aktov lokalnih skupnosti, ki se financirata iz Načrta za okrevanje in odpornost. Ključni ukrepi so naslednji:</w:t>
      </w:r>
    </w:p>
    <w:p w14:paraId="4B5DB110" w14:textId="32A1D34D" w:rsidR="00737E70" w:rsidRDefault="00737E70" w:rsidP="00F46B9D">
      <w:pPr>
        <w:pStyle w:val="Odstavekseznama"/>
        <w:numPr>
          <w:ilvl w:val="0"/>
          <w:numId w:val="14"/>
        </w:numPr>
      </w:pPr>
      <w:r>
        <w:lastRenderedPageBreak/>
        <w:t xml:space="preserve">priprava, izdajanje in objavljanje predpisov in drugih aktov skozi nov informacijski sistem izdajatelja uradnega lista, ki bo za vse predlagatelje objav brezplačno (storitev objave se ne zaračunava); </w:t>
      </w:r>
    </w:p>
    <w:p w14:paraId="645E926B" w14:textId="441F8A53" w:rsidR="00737E70" w:rsidRDefault="00737E70" w:rsidP="00F46B9D">
      <w:pPr>
        <w:pStyle w:val="Odstavekseznama"/>
        <w:numPr>
          <w:ilvl w:val="0"/>
          <w:numId w:val="14"/>
        </w:numPr>
      </w:pPr>
      <w:r>
        <w:t>centraliziran sistem izdajanja za državne organe, nosilce javnih pooblastil in lokalne skupnosti, s čimer se zagotovi dostop do zakonodaje tako na državni kot tudi na lokalni ravni na enotnem spletišču Pravno-informacijski sistem Republike Slovenije;</w:t>
      </w:r>
    </w:p>
    <w:p w14:paraId="1B240A62" w14:textId="0DC63BEE" w:rsidR="00737E70" w:rsidRDefault="00737E70" w:rsidP="00F46B9D">
      <w:pPr>
        <w:pStyle w:val="Odstavekseznama"/>
        <w:numPr>
          <w:ilvl w:val="0"/>
          <w:numId w:val="14"/>
        </w:numPr>
      </w:pPr>
      <w:r>
        <w:t>zagotovitev enotnosti uradnega lista in njegovo izdajanje po načelu »en akt – ena izdaja«, vključno s prenosom objavljanja namenskih objav (t. i. razglasnih vsebin) na namenska spletišča, kjer se storitve objavljanja ne zaračunavajo;</w:t>
      </w:r>
    </w:p>
    <w:p w14:paraId="50AF2093" w14:textId="7B04A974" w:rsidR="00737E70" w:rsidRDefault="00737E70" w:rsidP="00F46B9D">
      <w:pPr>
        <w:pStyle w:val="Odstavekseznama"/>
        <w:numPr>
          <w:ilvl w:val="0"/>
          <w:numId w:val="14"/>
        </w:numPr>
      </w:pPr>
      <w:r>
        <w:t xml:space="preserve">prenos portala javnih naročil in </w:t>
      </w:r>
      <w:proofErr w:type="spellStart"/>
      <w:r>
        <w:t>eRevizija</w:t>
      </w:r>
      <w:proofErr w:type="spellEnd"/>
      <w:r>
        <w:t xml:space="preserve"> v upravljanje na državni organ, s čimer bo omogočena konsolidacija portala </w:t>
      </w:r>
      <w:proofErr w:type="spellStart"/>
      <w:r>
        <w:t>eJN</w:t>
      </w:r>
      <w:proofErr w:type="spellEnd"/>
      <w:r>
        <w:t xml:space="preserve"> in portala javnih naročil.</w:t>
      </w:r>
    </w:p>
    <w:p w14:paraId="69819279" w14:textId="77777777" w:rsidR="00737E70" w:rsidRDefault="00737E70" w:rsidP="00737E70"/>
    <w:p w14:paraId="09F545A4" w14:textId="2ADD1B74" w:rsidR="000717CD" w:rsidRDefault="00737E70" w:rsidP="00737E70">
      <w:r>
        <w:t>Za uveljavitev teh ukrepov je Vlada Republike Slovenije sprejela sklep, da Ministrstvo za javno upravo in Služba Vlade Republike Slovenije za zakonodajo pripravita predlog ustavne spremembe 154. člena Ustave Republike Slovenije in ga predložita vladi v obravnavo v enem mesecu. Služba Vlade Republike Slovenije za zakonodajo pa pripravi še predlog zakonske ureditve novega načina izdajanja uradnega lista in ga predloži v vladno obravnavo do konca marca 2025.</w:t>
      </w:r>
    </w:p>
    <w:p w14:paraId="286715EB" w14:textId="19E695AF" w:rsidR="00F46B9D" w:rsidRDefault="00F46B9D" w:rsidP="00F46B9D">
      <w:pPr>
        <w:pStyle w:val="Vir"/>
      </w:pPr>
      <w:r w:rsidRPr="00F46B9D">
        <w:t>Vir: Služba Vlade Republike Slovenije za zakonodajo</w:t>
      </w:r>
    </w:p>
    <w:p w14:paraId="0647D414" w14:textId="560D1F7E" w:rsidR="009E0AEF" w:rsidRDefault="009E0AEF" w:rsidP="009E0AEF">
      <w:pPr>
        <w:pStyle w:val="Naslov2"/>
      </w:pPr>
      <w:r>
        <w:t>Odgovor na pobudo Komisije Državnega sveta RS za kmetijstvo, gozdarstvo in prehrano za odklonilno stališče RS do Prostotrgovinskega sporazuma med EU in trgovinskim blokom Mercosur s ciljem zaščite slovenskega potrošnika, kmetijstva, okolja in trajnostnega razvoja</w:t>
      </w:r>
    </w:p>
    <w:p w14:paraId="6377E81F" w14:textId="707E5703" w:rsidR="009E0AEF" w:rsidRDefault="009E0AEF" w:rsidP="009E0AEF">
      <w:r>
        <w:t>Vlada  je sprejela Odgovor na pobudo Komisije Državnega sveta za kmetijstvo, gozdarstvo in prehrano (za odklonilno stališče Republike Slovenije do Prostotrgovinskega sporazuma med EU in trgovinskim blokom Mercosur s ciljem zaščite slovenskega potrošnika, kmetijstva, okolja in trajnostnega razvoja.</w:t>
      </w:r>
    </w:p>
    <w:p w14:paraId="0A10CAA0" w14:textId="77777777" w:rsidR="009E0AEF" w:rsidRDefault="009E0AEF" w:rsidP="009E0AEF"/>
    <w:p w14:paraId="413A1C0A" w14:textId="2522084C" w:rsidR="009E0AEF" w:rsidRDefault="009E0AEF" w:rsidP="009E0AEF">
      <w:r>
        <w:t xml:space="preserve">Komisija v pobudi poudarja, da naj Republika Slovenija (RS) zavzame odklonilno stališče, če ta sporazum za vse kmetijske pridelke in živila, ki bodo predmet trgovinske liberalizacije, ne zagotavlja spoštovanja veljavnih standardov EU, ki veljajo za domače pridelovalce, na področju varstva hrane, kakovosti proizvodnje, varstva okolja, dobrobiti živali ter ne vzpostavlja učinkovitih mehanizmov za zaščito zdravja potrošnikov, prehranske suverenosti ter konkurenčnosti kmetijstva EU. </w:t>
      </w:r>
    </w:p>
    <w:p w14:paraId="6D528326" w14:textId="77777777" w:rsidR="009E0AEF" w:rsidRDefault="009E0AEF" w:rsidP="009E0AEF"/>
    <w:p w14:paraId="117E28A4" w14:textId="6ED45CE4" w:rsidR="009E0AEF" w:rsidRDefault="009E0AEF" w:rsidP="009E0AEF">
      <w:r>
        <w:t>Vlada odgovarja, da besedilo sporazuma še preučuje. RS bo končno stališče glede sporazuma sprejela šele, ko bo prejela slovensko različico končne verzije sporazuma.</w:t>
      </w:r>
    </w:p>
    <w:p w14:paraId="2FE9DB58" w14:textId="77777777" w:rsidR="009E0AEF" w:rsidRDefault="009E0AEF" w:rsidP="009E0AEF"/>
    <w:p w14:paraId="3990888D" w14:textId="77777777" w:rsidR="009E0AEF" w:rsidRDefault="009E0AEF" w:rsidP="009E0AEF">
      <w:r>
        <w:t xml:space="preserve">Slovenija, kot izvozno usmerjeno gospodarstvo, v splošnem podpira sklepanje novih in poglobitev ter razširitev obstoječih trgovinskih sporazumov EU s tretjimi državami, saj sporazumi prinašajo nove izvozne priložnosti za slovensko gospodarstvo in so lahko vir novih delovnih mest. Slovenija je takšna izhodišča zavzela tudi v pogajanjih z Mercosur državami. </w:t>
      </w:r>
    </w:p>
    <w:p w14:paraId="78D34AEE" w14:textId="77777777" w:rsidR="009E0AEF" w:rsidRDefault="009E0AEF" w:rsidP="009E0AEF"/>
    <w:p w14:paraId="5CEE9820" w14:textId="25A51531" w:rsidR="009E0AEF" w:rsidRDefault="009E0AEF" w:rsidP="009E0AEF">
      <w:r>
        <w:t xml:space="preserve">Slovenija je v trgovinskih pogajanjih z državami Mercosur ves čas poudarjala, da EU na račun ofenzivnih gospodarskih interesov ne sme škodovati evropskemu kmetijskemu sektorju. Skladno s tem je Slovenija z nekaterimi drugimi, enako mislečimi državami članicami, nasprotovala popolni liberalizaciji trgovine s kmetijskimi proizvodi. Evropska komisija (EK) je v pogajanjih te zahteve upoštevala. Dogovor v kmetijstvu tako vključuje mehanizem, ki omogoča, da se bodo občutljivi kmetijski proizvodi, kot na primer govedina, uvažali v EU samo v okviru upravljanih carinskih kvot, kar bo preprečilo tveganje, da bi kateri koli proizvod preplavil trg EU in s tem ogrozil preživetje kmetov v EU. </w:t>
      </w:r>
    </w:p>
    <w:p w14:paraId="484EF3A5" w14:textId="77777777" w:rsidR="009E0AEF" w:rsidRDefault="009E0AEF" w:rsidP="009E0AEF"/>
    <w:p w14:paraId="17E5C9A0" w14:textId="77777777" w:rsidR="009E0AEF" w:rsidRDefault="009E0AEF" w:rsidP="009E0AEF">
      <w:r>
        <w:lastRenderedPageBreak/>
        <w:t>Trgovinski sporazum bo vključeval tudi dvostranski zaščitni mehanizem, ki bo omogočal uvedbo začasnih ukrepov v primeru nepričakovanega in znatnega povečanja uvoza, ki bi lahko povzročil resno škodo domači industriji, vključno s kmetijstvom. Zaradi visokih carin v državah Mercosur so evropski proizvodi na južno ameriških trgih v tem trenutku bistveno dražji. Sporazum tako predstavlja tudi priložnosti za izvoz agroživilskih proizvodov na trge držav Mercosur, saj bodo takoj oziroma postopoma odpravljene sedanje visoke carine za uvoz, kot na primer za vino in sire. Trgovinski sporazum bo poleg odprave carin odpravil tudi druge trgovinske ovire, kot so na primer nejasna pravila in zapleteni administrativni predpisi in postopki, kar bo olajšalo izvoz evropskim proizvajalcem.</w:t>
      </w:r>
    </w:p>
    <w:p w14:paraId="6574B9F1" w14:textId="77777777" w:rsidR="009E0AEF" w:rsidRDefault="009E0AEF" w:rsidP="009E0AEF"/>
    <w:p w14:paraId="4A0E42F1" w14:textId="0DC1D2D9" w:rsidR="009E0AEF" w:rsidRDefault="009E0AEF" w:rsidP="009E0AEF">
      <w:r>
        <w:t>Vlada poudarja, da noben trgovinski sporazum EU s tretjimi državami, tako tudi ne sporazum z državami Mercosur, ne spreminja evropskih standardov glede varnosti hrane. Vsa uvožena hrana mora ustrezati veljavnim sanitarnim in fitosanitarnim standardom EU. EU bo še naprej neodvisno odločala o standardih varne hrane, kot na primer o najvišjih dovoljenih vrednostih ostankov pesticidov. Sporazum vključuje tudi previdnostno načelo, ki EU omogoča, da sprejme lastne ukrepe za zaščito zdravja državljanov EU, kadar znanstveni dokazi o tem, ali je uvožena hrana varna ali ne, niso prepričljivi.</w:t>
      </w:r>
    </w:p>
    <w:p w14:paraId="202B0313" w14:textId="77777777" w:rsidR="009E0AEF" w:rsidRDefault="009E0AEF" w:rsidP="009E0AEF"/>
    <w:p w14:paraId="2D21BC7B" w14:textId="77777777" w:rsidR="009E0AEF" w:rsidRDefault="009E0AEF" w:rsidP="009E0AEF">
      <w:r>
        <w:t>V zaključku pogajanj decembra 2024 so bile v sporazum vključene okrepljene zaveze držav Mercosur glede trajnosti vključno z zavezami o učinkovitem izvajanju pariškega podnebnega sporazuma. Sporazum vsebuje tudi pravne zaveze držav Mercosur za zaustavitev krčenja gozdov. Obveznosti iz uredbe EU glede krčenja in degradacije gozdov, ki prepoveduje uvoz nekaterih kmetijskih proizvodov, pridelanih na kmetijskih zemljiščih, ki izvirajo iz krčenja in degradacije gozdov, bodo polno zavezujoče tudi za države Mercosur od 30. 12. 2025 dalje, ko se bo začela izvajati navedena uredba. V sporazumu je organizacijam civilne družbe omogočena tudi dejavna vloga pri nadzorovanju izvajanja sporazuma z vidika izvajanja trajnostnih zavez.</w:t>
      </w:r>
    </w:p>
    <w:p w14:paraId="25A1B044" w14:textId="02488697" w:rsidR="00ED0388" w:rsidRDefault="009E0AEF" w:rsidP="009E0AEF">
      <w:pPr>
        <w:pStyle w:val="Vir"/>
      </w:pPr>
      <w:r>
        <w:t>Vir: Ministrstvo za kmetijstvo, gozdarstvo in prehrano</w:t>
      </w:r>
    </w:p>
    <w:p w14:paraId="654DEE25" w14:textId="7BEDA73E" w:rsidR="007D1FE4" w:rsidRDefault="007D1FE4" w:rsidP="007D1FE4">
      <w:pPr>
        <w:pStyle w:val="Naslov2"/>
      </w:pPr>
      <w:r>
        <w:t xml:space="preserve">Trinajsto poročilo o napredku pri koriščenju sredstev evropske kohezijske politike v programskem obdobju 2014–2020 in 2021–2027 </w:t>
      </w:r>
    </w:p>
    <w:p w14:paraId="53B807A7" w14:textId="62060D65" w:rsidR="007D1FE4" w:rsidRDefault="007D1FE4" w:rsidP="007D1FE4">
      <w:r>
        <w:t>Vlada Republike Slovenije se je seznanila s 13 poročilom o napredku pri koriščenju sredstev evropske kohezijske politike, ki zajema obdobje od 1. do 31. decembra 2024. Ministrstvo za kohezijo in regionalni razvoj (MKRR) je kot organ upravljanja do 31. decembra 2024 izdalo za 791,3 milijona evrov (EU del) odločitev o podpori. V poročanem obdobju za 54,7 mio evrov (EU del). Do 31. decembra 2024 je bilo potrjenih operacij v skupni vrednosti 521,4 mio evrov (EU del), izplačil iz proračuna pa 74,2 mio evrov (EU del), kar predstavlja 2 % glede na pravice porabe. Ministrstvo za finance je v vlogi organa za računovodenje do 31. 12. 2024 v Bruselj posredovalo 4 zahtevke za vmesno plačilo v skupni višini 34,8 mio evrov.</w:t>
      </w:r>
    </w:p>
    <w:p w14:paraId="560A62D0" w14:textId="77777777" w:rsidR="007D1FE4" w:rsidRDefault="007D1FE4" w:rsidP="007D1FE4"/>
    <w:p w14:paraId="677DBAE6" w14:textId="77777777" w:rsidR="007D1FE4" w:rsidRDefault="007D1FE4" w:rsidP="007D1FE4">
      <w:r>
        <w:t>MKRR je na podlagi pregleda napredka pri izvajanju načrtovanih ukrepov na ministrstvih, vključenih v izvajanje evropske kohezijske politike, in na podlagi pregleda absorpcijske sposobnosti terena za ukrepe, ki jih omogoča uredba STEP (platforma za strateške tehnologije za Evropo), pripravilo izhodišča za spremembo Programa evropske kohezijske politike v obdobju 2021–2027 (PEKP 2021-2027). Vlada RS se je v oktobru seznanila z izhodišči za spremembo in naložila MKRR da pripravi spremembo PEKP 2021–2027 v sodelovanju s posredniškimi telesi, ga tehnično uskladi z EK in predloži Vladi RS v sprejem najkasneje do konca februarja 2025.</w:t>
      </w:r>
    </w:p>
    <w:p w14:paraId="17B4859F" w14:textId="5D77F4A0" w:rsidR="00ED0388" w:rsidRDefault="007D1FE4" w:rsidP="007D1FE4">
      <w:pPr>
        <w:pStyle w:val="Vir"/>
      </w:pPr>
      <w:r>
        <w:t>Vir: Ministrstvo za kohezijo in regionalni razvoj</w:t>
      </w:r>
    </w:p>
    <w:p w14:paraId="7DF06658" w14:textId="27DEE579" w:rsidR="00385511" w:rsidRDefault="00385511" w:rsidP="00385511">
      <w:pPr>
        <w:pStyle w:val="Naslov2"/>
      </w:pPr>
      <w:r>
        <w:t>Vlada o odprtju proračunske postavke pri ministrstvu za okolje</w:t>
      </w:r>
    </w:p>
    <w:p w14:paraId="4D7FF2D6" w14:textId="77777777" w:rsidR="00385511" w:rsidRDefault="00385511" w:rsidP="00385511">
      <w:r>
        <w:lastRenderedPageBreak/>
        <w:t>Vlada je danes sklenila, da pri Ministrstvu za okolje, podnebje in energijo odpre proračunsko postavko za nadomestilo Termoelektrarni Šoštanj za izvajanje gospodarske javne službe skladno z Zakonom o prehodnem financiranju pospešenega in pravičnega izstopa iz premoga.</w:t>
      </w:r>
    </w:p>
    <w:p w14:paraId="4093CBEA" w14:textId="77777777" w:rsidR="00385511" w:rsidRDefault="00385511" w:rsidP="00385511"/>
    <w:p w14:paraId="0102B77D" w14:textId="77777777" w:rsidR="00385511" w:rsidRDefault="00385511" w:rsidP="00385511">
      <w:r>
        <w:t>Sredstva za pokrivanje obveznosti na omenjeni postavki se v letu 2025 zagotovijo v okviru državnega proračuna.</w:t>
      </w:r>
    </w:p>
    <w:p w14:paraId="2AF11765" w14:textId="6045E3F7" w:rsidR="000717CD" w:rsidRPr="000717CD" w:rsidRDefault="00385511" w:rsidP="00385511">
      <w:pPr>
        <w:pStyle w:val="Vir"/>
      </w:pPr>
      <w:r>
        <w:t>Vir: Ministrstvo za finance</w:t>
      </w:r>
    </w:p>
    <w:p w14:paraId="6F952AA4" w14:textId="35E287A9" w:rsidR="00417B8A" w:rsidRDefault="00417B8A" w:rsidP="00417B8A">
      <w:pPr>
        <w:pStyle w:val="Naslov2"/>
      </w:pPr>
      <w:r>
        <w:t xml:space="preserve">Spremenjena vrednost in datum zaključka projekta UKC LJ - ES stavbe UKC </w:t>
      </w:r>
      <w:proofErr w:type="spellStart"/>
      <w:r>
        <w:t>Hospital</w:t>
      </w:r>
      <w:proofErr w:type="spellEnd"/>
      <w:r>
        <w:t xml:space="preserve"> COVID-19</w:t>
      </w:r>
    </w:p>
    <w:p w14:paraId="3AD5C808" w14:textId="77777777" w:rsidR="00417B8A" w:rsidRDefault="00417B8A" w:rsidP="00417B8A">
      <w:r>
        <w:t xml:space="preserve">Vlada Republike Slovenije je sprejela sklep, da se v veljavnem Načrtu razvojnih programov 2025–2028 spremenita vrednost in datum zaključka projekta 2711-21-0055 UKC LJ - ES stavbe UKC </w:t>
      </w:r>
      <w:proofErr w:type="spellStart"/>
      <w:r>
        <w:t>Hospital</w:t>
      </w:r>
      <w:proofErr w:type="spellEnd"/>
      <w:r>
        <w:t xml:space="preserve"> COVID-19.</w:t>
      </w:r>
    </w:p>
    <w:p w14:paraId="3667A11D" w14:textId="77777777" w:rsidR="00417B8A" w:rsidRDefault="00417B8A" w:rsidP="00417B8A"/>
    <w:p w14:paraId="409CB6F1" w14:textId="77777777" w:rsidR="00417B8A" w:rsidRDefault="00417B8A" w:rsidP="00417B8A">
      <w:r>
        <w:t xml:space="preserve">Vrednost projekta se spremeni na podlagi novelacije investicijske dokumentacije, ki je pripravljena zaradi nepredvidenih in dodatnih del, predvsem izvedbe ukrepov za krepitev potresne odpornosti in varnosti stavbe </w:t>
      </w:r>
      <w:proofErr w:type="spellStart"/>
      <w:r>
        <w:t>Hospital</w:t>
      </w:r>
      <w:proofErr w:type="spellEnd"/>
      <w:r>
        <w:t xml:space="preserve"> UKC Ljubljana, kar predstavlja nujno prilagoditev novim standardom potresne varnosti. Dela za zagotovitev potresne odpornosti objekta vključujejo:</w:t>
      </w:r>
    </w:p>
    <w:p w14:paraId="57231A7C" w14:textId="77777777" w:rsidR="00417B8A" w:rsidRDefault="00417B8A" w:rsidP="00417B8A"/>
    <w:p w14:paraId="78BBE634" w14:textId="6B8F112B" w:rsidR="00417B8A" w:rsidRDefault="00417B8A" w:rsidP="00417B8A">
      <w:pPr>
        <w:pStyle w:val="Odstavekseznama"/>
        <w:numPr>
          <w:ilvl w:val="0"/>
          <w:numId w:val="11"/>
        </w:numPr>
      </w:pPr>
      <w:r>
        <w:t>preglede osnovne konstrukcije, ki so potrebni za delo projektanta konstrukcij,</w:t>
      </w:r>
    </w:p>
    <w:p w14:paraId="5B7B4CF4" w14:textId="3C728F58" w:rsidR="00417B8A" w:rsidRDefault="00417B8A" w:rsidP="00417B8A">
      <w:pPr>
        <w:pStyle w:val="Odstavekseznama"/>
        <w:numPr>
          <w:ilvl w:val="0"/>
          <w:numId w:val="11"/>
        </w:numPr>
      </w:pPr>
      <w:r>
        <w:t>izdelavo potrebnih izračunov in projektne dokumentacije za izvedbo,</w:t>
      </w:r>
    </w:p>
    <w:p w14:paraId="2444146B" w14:textId="522A57C9" w:rsidR="00417B8A" w:rsidRDefault="00417B8A" w:rsidP="00417B8A">
      <w:pPr>
        <w:pStyle w:val="Odstavekseznama"/>
        <w:numPr>
          <w:ilvl w:val="0"/>
          <w:numId w:val="11"/>
        </w:numPr>
      </w:pPr>
      <w:r>
        <w:t>izdelavo popisov del s projektantskimi pred-izmerami,</w:t>
      </w:r>
    </w:p>
    <w:p w14:paraId="62D0164D" w14:textId="52B07AD4" w:rsidR="00417B8A" w:rsidRDefault="00417B8A" w:rsidP="00417B8A">
      <w:pPr>
        <w:pStyle w:val="Odstavekseznama"/>
        <w:numPr>
          <w:ilvl w:val="0"/>
          <w:numId w:val="11"/>
        </w:numPr>
      </w:pPr>
      <w:r>
        <w:t>izvedbo del izboljšanja potresne odpornosti objekta po popisu.</w:t>
      </w:r>
    </w:p>
    <w:p w14:paraId="63F4621C" w14:textId="77777777" w:rsidR="00417B8A" w:rsidRDefault="00417B8A" w:rsidP="00417B8A"/>
    <w:p w14:paraId="3164B9B8" w14:textId="77777777" w:rsidR="00417B8A" w:rsidRDefault="00417B8A" w:rsidP="00417B8A">
      <w:r>
        <w:t>Izhodiščna vrednost projekta je bila 49.843.880 evrov, trenutno sprejeta vrednost projekta znaša 56.700.874,93 evrov. Nova vrednost projekta se spremeni na 74.454.146 evrov.</w:t>
      </w:r>
    </w:p>
    <w:p w14:paraId="003590C1" w14:textId="77777777" w:rsidR="00417B8A" w:rsidRDefault="00417B8A" w:rsidP="00417B8A"/>
    <w:p w14:paraId="21FEE57A" w14:textId="77777777" w:rsidR="00417B8A" w:rsidRDefault="00417B8A" w:rsidP="00417B8A">
      <w:r>
        <w:t>Skladno z dodatnimi in nepredvidenimi deli se v dogovoru z izvajalcem rok za izvedbo ukrepov in del za izboljšanje potresne varnosti objekta podaljša do 31. decembra 2028.</w:t>
      </w:r>
    </w:p>
    <w:p w14:paraId="10C7E0ED" w14:textId="4AB636FD" w:rsidR="00417B8A" w:rsidRDefault="00417B8A" w:rsidP="00417B8A">
      <w:pPr>
        <w:pStyle w:val="Vir"/>
      </w:pPr>
      <w:r>
        <w:t>Vir: Ministrstvo za zdravje</w:t>
      </w:r>
    </w:p>
    <w:p w14:paraId="69592271" w14:textId="3D1184E7" w:rsidR="00D1530C" w:rsidRDefault="00D1530C" w:rsidP="00D1530C">
      <w:pPr>
        <w:pStyle w:val="Naslov2"/>
      </w:pPr>
      <w:r>
        <w:t>Spremembe in dopolnitve Memoranduma o soglasju glede sheme financiranja študija na College of Europe za slovenske državljane</w:t>
      </w:r>
    </w:p>
    <w:p w14:paraId="458F61F0" w14:textId="77777777" w:rsidR="00D1530C" w:rsidRDefault="00D1530C" w:rsidP="00D1530C">
      <w:r>
        <w:t>Vlada se je seznanila s spremembami in dopolnitvami Memoranduma o soglasju glede sheme financiranja študija na College of Europe za slovenske državljane ter pooblastila ministra za visoko šolstvo, znanost in inovacije dr. Igorja Papiča, da ga podpiše.</w:t>
      </w:r>
    </w:p>
    <w:p w14:paraId="28AD0A82" w14:textId="77777777" w:rsidR="00D1530C" w:rsidRDefault="00D1530C" w:rsidP="00D1530C">
      <w:r>
        <w:t xml:space="preserve"> </w:t>
      </w:r>
    </w:p>
    <w:p w14:paraId="1178DA4C" w14:textId="77777777" w:rsidR="00D1530C" w:rsidRDefault="00D1530C" w:rsidP="00D1530C">
      <w:r>
        <w:t>Spremembe in dopolnitve Memoranduma med drugim vključujejo spremembo višine šolnine, dodatno lokacijo izvajanja programa ter v povezavi s tem povečanje števila študentk in študentov za financiranje šolnine do skupaj petim.</w:t>
      </w:r>
    </w:p>
    <w:p w14:paraId="7EB000E1" w14:textId="1D464036" w:rsidR="00A807B2" w:rsidRDefault="00D1530C" w:rsidP="00D1530C">
      <w:pPr>
        <w:pStyle w:val="Vir"/>
      </w:pPr>
      <w:r>
        <w:t>Vir: Ministrstvo za visoko šolstvo, znanost in inovacije</w:t>
      </w:r>
    </w:p>
    <w:p w14:paraId="6318573A" w14:textId="1788FFD8" w:rsidR="0008140B" w:rsidRDefault="0008140B" w:rsidP="0008140B">
      <w:pPr>
        <w:pStyle w:val="Naslov2"/>
      </w:pPr>
      <w:r>
        <w:t>Vlada se je seznanila z revidiranim Letnim poročilom družbe 2TDK</w:t>
      </w:r>
    </w:p>
    <w:p w14:paraId="55433CE4" w14:textId="77777777" w:rsidR="0008140B" w:rsidRDefault="0008140B" w:rsidP="0008140B">
      <w:r>
        <w:t xml:space="preserve">Vlada Republike Slovenije se je v vlogi skupščine družbe 2TDK seznanila z revidiranim Letnim poročilom družbe za leto 2023 ter sprejela ustrezne sklepe. </w:t>
      </w:r>
    </w:p>
    <w:p w14:paraId="0F83DDEF" w14:textId="77777777" w:rsidR="0008140B" w:rsidRDefault="0008140B" w:rsidP="0008140B"/>
    <w:p w14:paraId="50E5CAE7" w14:textId="77777777" w:rsidR="0008140B" w:rsidRDefault="0008140B" w:rsidP="0008140B">
      <w:r>
        <w:lastRenderedPageBreak/>
        <w:t xml:space="preserve">Seznanila se je tudi s Poročilom nadzornega sveta in sprejela sklepe odločitvi o bilančni izgubi družbe 2TDK, d. o. o., v višini 2.358.230,25 evra po stanju na dan 31. 12. 2023, ki se pokrije s čistim dobičkom v prihodnjih obračunskih letih. </w:t>
      </w:r>
    </w:p>
    <w:p w14:paraId="1AA5D8C9" w14:textId="77777777" w:rsidR="0008140B" w:rsidRDefault="0008140B" w:rsidP="0008140B"/>
    <w:p w14:paraId="677A5AD4" w14:textId="77777777" w:rsidR="0008140B" w:rsidRDefault="0008140B" w:rsidP="0008140B">
      <w:r>
        <w:t>Vlada je upravi in nadzornemu svetu družbe podelila razrešnice za poslovno leto 2023 ter določila višine sredstev za izobraževanje članov nadzornega sveta in članov komisij nadzornega sveta za leto 2025.</w:t>
      </w:r>
    </w:p>
    <w:p w14:paraId="24DA48CE" w14:textId="5BFB5F9D" w:rsidR="00ED0388" w:rsidRDefault="0008140B" w:rsidP="0008140B">
      <w:pPr>
        <w:pStyle w:val="Vir"/>
      </w:pPr>
      <w:r>
        <w:t>Vir: Ministrstvo za infrastrukturo</w:t>
      </w:r>
    </w:p>
    <w:p w14:paraId="764E29B7" w14:textId="524FF365" w:rsidR="0099372E" w:rsidRDefault="0099372E" w:rsidP="0099372E">
      <w:pPr>
        <w:pStyle w:val="Naslov2"/>
      </w:pPr>
      <w:r>
        <w:t>Vlada soglašala z razrešitvijo direktorice javnega zavoda Hiša za otroke</w:t>
      </w:r>
    </w:p>
    <w:p w14:paraId="24FD954B" w14:textId="77777777" w:rsidR="0099372E" w:rsidRDefault="0099372E" w:rsidP="0099372E">
      <w:r>
        <w:t>Vlada je na današnji seji dala soglasje k razrešitvi Simone Mikec z mesta direktorice javnega zavoda Hiša za otroke.</w:t>
      </w:r>
    </w:p>
    <w:p w14:paraId="03C87923" w14:textId="77777777" w:rsidR="0099372E" w:rsidRDefault="0099372E" w:rsidP="0099372E"/>
    <w:p w14:paraId="2F551AA4" w14:textId="1104E4C1" w:rsidR="0099372E" w:rsidRDefault="0099372E" w:rsidP="0099372E">
      <w:r>
        <w:t xml:space="preserve">Simona Mikec je 24. 12. 2024 podala odstopno izjavo, s katero je predlagala oziroma zahtevala razrešitev z mesta direktorice Javnega zavoda Hiša za otroke iz osebnih razlogov. </w:t>
      </w:r>
    </w:p>
    <w:p w14:paraId="5C916557" w14:textId="77777777" w:rsidR="0099372E" w:rsidRDefault="0099372E" w:rsidP="0099372E"/>
    <w:p w14:paraId="6EEBC87D" w14:textId="3CDBEFF5" w:rsidR="0099372E" w:rsidRDefault="0099372E" w:rsidP="0099372E">
      <w:r>
        <w:t xml:space="preserve">Svet zavoda je na svoji 17. seji dne 27. 12. 2024 sprejel sklep, da se Simono Mikec razreši z mesta direktorice Javnega zavoda Hiša za otroke. Razrešitev stopi v veljavo z dnem podaje soglasja Vlade Republike Slovenije. </w:t>
      </w:r>
    </w:p>
    <w:p w14:paraId="430076C2" w14:textId="6677451D" w:rsidR="00ED0388" w:rsidRDefault="0099372E" w:rsidP="0099372E">
      <w:pPr>
        <w:pStyle w:val="Vir"/>
      </w:pPr>
      <w:r>
        <w:t>Vir: Ministrstvo za pravosodje</w:t>
      </w:r>
    </w:p>
    <w:p w14:paraId="32744F5B" w14:textId="77777777" w:rsidR="00ED0388" w:rsidRDefault="00ED0388" w:rsidP="00ED0388"/>
    <w:p w14:paraId="33151C7E" w14:textId="77777777" w:rsidR="00ED0388" w:rsidRDefault="00ED0388" w:rsidP="00ED0388">
      <w:r>
        <w:t xml:space="preserve"> </w:t>
      </w:r>
    </w:p>
    <w:p w14:paraId="4BF2DDB9" w14:textId="77777777" w:rsidR="00ED0388" w:rsidRDefault="00ED0388" w:rsidP="00ED0388"/>
    <w:p w14:paraId="74B16A1C" w14:textId="77777777" w:rsidR="00ED0388" w:rsidRPr="00ED0388" w:rsidRDefault="00ED0388" w:rsidP="00ED0388"/>
    <w:sectPr w:rsidR="00ED0388" w:rsidRPr="00ED0388"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D4F32" w14:textId="77777777" w:rsidR="00AB1DC2" w:rsidRDefault="00AB1DC2" w:rsidP="00750D01">
      <w:pPr>
        <w:spacing w:line="240" w:lineRule="auto"/>
      </w:pPr>
      <w:r>
        <w:separator/>
      </w:r>
    </w:p>
  </w:endnote>
  <w:endnote w:type="continuationSeparator" w:id="0">
    <w:p w14:paraId="24EB0154" w14:textId="77777777" w:rsidR="00AB1DC2" w:rsidRDefault="00AB1DC2"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65BCA" w14:textId="77777777" w:rsidR="00AB1DC2" w:rsidRDefault="00AB1DC2" w:rsidP="00750D01">
      <w:pPr>
        <w:spacing w:line="240" w:lineRule="auto"/>
      </w:pPr>
      <w:r>
        <w:separator/>
      </w:r>
    </w:p>
  </w:footnote>
  <w:footnote w:type="continuationSeparator" w:id="0">
    <w:p w14:paraId="31B86551" w14:textId="77777777" w:rsidR="00AB1DC2" w:rsidRDefault="00AB1DC2"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459768C"/>
    <w:multiLevelType w:val="hybridMultilevel"/>
    <w:tmpl w:val="4D5E973A"/>
    <w:lvl w:ilvl="0" w:tplc="5044B500">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 w15:restartNumberingAfterBreak="0">
    <w:nsid w:val="400E1B76"/>
    <w:multiLevelType w:val="hybridMultilevel"/>
    <w:tmpl w:val="20107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4E670C3"/>
    <w:multiLevelType w:val="hybridMultilevel"/>
    <w:tmpl w:val="E3CE0C0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CE00EA"/>
    <w:multiLevelType w:val="hybridMultilevel"/>
    <w:tmpl w:val="EF1EEAA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7B861487"/>
    <w:multiLevelType w:val="hybridMultilevel"/>
    <w:tmpl w:val="32F2F29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11"/>
  </w:num>
  <w:num w:numId="2" w16cid:durableId="984821814">
    <w:abstractNumId w:val="7"/>
  </w:num>
  <w:num w:numId="3" w16cid:durableId="150218247">
    <w:abstractNumId w:val="0"/>
  </w:num>
  <w:num w:numId="4" w16cid:durableId="1026903286">
    <w:abstractNumId w:val="9"/>
  </w:num>
  <w:num w:numId="5" w16cid:durableId="231817878">
    <w:abstractNumId w:val="2"/>
  </w:num>
  <w:num w:numId="6" w16cid:durableId="2110814889">
    <w:abstractNumId w:val="12"/>
  </w:num>
  <w:num w:numId="7" w16cid:durableId="695153758">
    <w:abstractNumId w:val="3"/>
  </w:num>
  <w:num w:numId="8" w16cid:durableId="853298866">
    <w:abstractNumId w:val="6"/>
  </w:num>
  <w:num w:numId="9" w16cid:durableId="1789348953">
    <w:abstractNumId w:val="1"/>
  </w:num>
  <w:num w:numId="10" w16cid:durableId="389502705">
    <w:abstractNumId w:val="4"/>
  </w:num>
  <w:num w:numId="11" w16cid:durableId="273833434">
    <w:abstractNumId w:val="8"/>
  </w:num>
  <w:num w:numId="12" w16cid:durableId="1093238551">
    <w:abstractNumId w:val="10"/>
  </w:num>
  <w:num w:numId="13" w16cid:durableId="91709802">
    <w:abstractNumId w:val="13"/>
  </w:num>
  <w:num w:numId="14" w16cid:durableId="721440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717CD"/>
    <w:rsid w:val="00076DF7"/>
    <w:rsid w:val="0008140B"/>
    <w:rsid w:val="00085D04"/>
    <w:rsid w:val="00087069"/>
    <w:rsid w:val="00097B85"/>
    <w:rsid w:val="000A0418"/>
    <w:rsid w:val="000F1D0D"/>
    <w:rsid w:val="00110B8F"/>
    <w:rsid w:val="0013016C"/>
    <w:rsid w:val="001602C9"/>
    <w:rsid w:val="0016061E"/>
    <w:rsid w:val="0019638B"/>
    <w:rsid w:val="001B01DD"/>
    <w:rsid w:val="001B42F9"/>
    <w:rsid w:val="001C3560"/>
    <w:rsid w:val="001E5C28"/>
    <w:rsid w:val="001F51BC"/>
    <w:rsid w:val="00203F5F"/>
    <w:rsid w:val="0021123D"/>
    <w:rsid w:val="00215140"/>
    <w:rsid w:val="00231021"/>
    <w:rsid w:val="002501CE"/>
    <w:rsid w:val="00290375"/>
    <w:rsid w:val="00304F24"/>
    <w:rsid w:val="003135DB"/>
    <w:rsid w:val="0032428F"/>
    <w:rsid w:val="00346E22"/>
    <w:rsid w:val="00357DC0"/>
    <w:rsid w:val="00361255"/>
    <w:rsid w:val="003847C8"/>
    <w:rsid w:val="00385511"/>
    <w:rsid w:val="003877EB"/>
    <w:rsid w:val="00390DF7"/>
    <w:rsid w:val="0039662C"/>
    <w:rsid w:val="003A1E85"/>
    <w:rsid w:val="003D50B7"/>
    <w:rsid w:val="003D64D8"/>
    <w:rsid w:val="003E17B6"/>
    <w:rsid w:val="003E5133"/>
    <w:rsid w:val="003E6170"/>
    <w:rsid w:val="00415527"/>
    <w:rsid w:val="00417B8A"/>
    <w:rsid w:val="004403EC"/>
    <w:rsid w:val="00447B57"/>
    <w:rsid w:val="00460370"/>
    <w:rsid w:val="004A4585"/>
    <w:rsid w:val="004A7CAD"/>
    <w:rsid w:val="004B7346"/>
    <w:rsid w:val="00522637"/>
    <w:rsid w:val="00527AA5"/>
    <w:rsid w:val="005314D7"/>
    <w:rsid w:val="005515BD"/>
    <w:rsid w:val="00563AAE"/>
    <w:rsid w:val="0059143B"/>
    <w:rsid w:val="005C1523"/>
    <w:rsid w:val="005E1ABB"/>
    <w:rsid w:val="00614FFD"/>
    <w:rsid w:val="006274BB"/>
    <w:rsid w:val="00634EFA"/>
    <w:rsid w:val="0066249C"/>
    <w:rsid w:val="006C1B31"/>
    <w:rsid w:val="006F21F8"/>
    <w:rsid w:val="007130E1"/>
    <w:rsid w:val="00717E59"/>
    <w:rsid w:val="0073796B"/>
    <w:rsid w:val="00737E70"/>
    <w:rsid w:val="00750D01"/>
    <w:rsid w:val="007669A3"/>
    <w:rsid w:val="00771297"/>
    <w:rsid w:val="00781345"/>
    <w:rsid w:val="007B0ADD"/>
    <w:rsid w:val="007D1FE4"/>
    <w:rsid w:val="007D7F70"/>
    <w:rsid w:val="007E198F"/>
    <w:rsid w:val="007E19F7"/>
    <w:rsid w:val="008170E7"/>
    <w:rsid w:val="008276F5"/>
    <w:rsid w:val="008336E7"/>
    <w:rsid w:val="00847AD3"/>
    <w:rsid w:val="008624E8"/>
    <w:rsid w:val="00893D09"/>
    <w:rsid w:val="008B7AF2"/>
    <w:rsid w:val="008C296E"/>
    <w:rsid w:val="00905C96"/>
    <w:rsid w:val="009174DA"/>
    <w:rsid w:val="00943939"/>
    <w:rsid w:val="009540E4"/>
    <w:rsid w:val="00974186"/>
    <w:rsid w:val="00983241"/>
    <w:rsid w:val="009900DE"/>
    <w:rsid w:val="0099372E"/>
    <w:rsid w:val="009A41AA"/>
    <w:rsid w:val="009C2C98"/>
    <w:rsid w:val="009C2D77"/>
    <w:rsid w:val="009C56F4"/>
    <w:rsid w:val="009D10D1"/>
    <w:rsid w:val="009E0AEF"/>
    <w:rsid w:val="00A06971"/>
    <w:rsid w:val="00A30052"/>
    <w:rsid w:val="00A34FC4"/>
    <w:rsid w:val="00A445DF"/>
    <w:rsid w:val="00A456A4"/>
    <w:rsid w:val="00A5415F"/>
    <w:rsid w:val="00A60A37"/>
    <w:rsid w:val="00A67305"/>
    <w:rsid w:val="00A7412B"/>
    <w:rsid w:val="00A807B2"/>
    <w:rsid w:val="00AB1DC2"/>
    <w:rsid w:val="00AB4B39"/>
    <w:rsid w:val="00AD1AFD"/>
    <w:rsid w:val="00AE6CD6"/>
    <w:rsid w:val="00AF02AC"/>
    <w:rsid w:val="00B1327B"/>
    <w:rsid w:val="00B47F61"/>
    <w:rsid w:val="00B60F58"/>
    <w:rsid w:val="00B70F5B"/>
    <w:rsid w:val="00B753A8"/>
    <w:rsid w:val="00B80325"/>
    <w:rsid w:val="00B84862"/>
    <w:rsid w:val="00BA743D"/>
    <w:rsid w:val="00BB73C0"/>
    <w:rsid w:val="00BC3699"/>
    <w:rsid w:val="00BE5C43"/>
    <w:rsid w:val="00BF4C33"/>
    <w:rsid w:val="00C3152B"/>
    <w:rsid w:val="00C354D9"/>
    <w:rsid w:val="00C458C2"/>
    <w:rsid w:val="00CA4680"/>
    <w:rsid w:val="00CA5624"/>
    <w:rsid w:val="00CC37B3"/>
    <w:rsid w:val="00D1530C"/>
    <w:rsid w:val="00D528C1"/>
    <w:rsid w:val="00D650E2"/>
    <w:rsid w:val="00D7373E"/>
    <w:rsid w:val="00D909D2"/>
    <w:rsid w:val="00D9208E"/>
    <w:rsid w:val="00D95BC6"/>
    <w:rsid w:val="00DE199D"/>
    <w:rsid w:val="00DE27BA"/>
    <w:rsid w:val="00E02AB3"/>
    <w:rsid w:val="00E14AAE"/>
    <w:rsid w:val="00E2036F"/>
    <w:rsid w:val="00E3507E"/>
    <w:rsid w:val="00E560C6"/>
    <w:rsid w:val="00E632B3"/>
    <w:rsid w:val="00E7132A"/>
    <w:rsid w:val="00E83E60"/>
    <w:rsid w:val="00E86C78"/>
    <w:rsid w:val="00E948BD"/>
    <w:rsid w:val="00EB493C"/>
    <w:rsid w:val="00EC012E"/>
    <w:rsid w:val="00ED0388"/>
    <w:rsid w:val="00ED72F7"/>
    <w:rsid w:val="00F01966"/>
    <w:rsid w:val="00F15B9D"/>
    <w:rsid w:val="00F21123"/>
    <w:rsid w:val="00F23144"/>
    <w:rsid w:val="00F46B9D"/>
    <w:rsid w:val="00F84CF5"/>
    <w:rsid w:val="00F93A56"/>
    <w:rsid w:val="00FA792D"/>
    <w:rsid w:val="00FC2D38"/>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basedOn w:val="Privzetapisavaodstavka"/>
    <w:uiPriority w:val="99"/>
    <w:unhideWhenUsed/>
    <w:rsid w:val="00BC3699"/>
    <w:rPr>
      <w:color w:val="0563C1" w:themeColor="hyperlink"/>
      <w:u w:val="single"/>
    </w:rPr>
  </w:style>
  <w:style w:type="character" w:styleId="Nerazreenaomemba">
    <w:name w:val="Unresolved Mention"/>
    <w:basedOn w:val="Privzetapisavaodstavka"/>
    <w:uiPriority w:val="99"/>
    <w:semiHidden/>
    <w:unhideWhenUsed/>
    <w:rsid w:val="00BC3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5556</Words>
  <Characters>31675</Characters>
  <Application>Microsoft Office Word</Application>
  <DocSecurity>0</DocSecurity>
  <Lines>263</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2025-01-14T14:55:00Z</dcterms:created>
  <dcterms:modified xsi:type="dcterms:W3CDTF">2025-01-16T15:20:00Z</dcterms:modified>
</cp:coreProperties>
</file>