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6DCB8192" w:rsidR="0073796B" w:rsidRPr="0039662C" w:rsidRDefault="00A60A37" w:rsidP="0039662C">
      <w:pPr>
        <w:pStyle w:val="Naslov1"/>
      </w:pPr>
      <w:r>
        <w:t>1</w:t>
      </w:r>
      <w:r w:rsidR="009A41AA">
        <w:t>3</w:t>
      </w:r>
      <w:r w:rsidR="00D14EEC">
        <w:t>8</w:t>
      </w:r>
      <w:r w:rsidR="0073796B" w:rsidRPr="0039662C">
        <w:t>. redna seja Vlade Republike Slovenije</w:t>
      </w:r>
    </w:p>
    <w:p w14:paraId="27F30B92" w14:textId="4F4858CE" w:rsidR="0073796B" w:rsidRDefault="00D14EEC" w:rsidP="008B7AF2">
      <w:pPr>
        <w:pStyle w:val="DatumSZJ"/>
      </w:pPr>
      <w:r>
        <w:t>2</w:t>
      </w:r>
      <w:r w:rsidR="007F6EF7">
        <w:t>2</w:t>
      </w:r>
      <w:r>
        <w:t>.</w:t>
      </w:r>
      <w:r w:rsidR="0073796B" w:rsidRPr="008B7AF2">
        <w:t xml:space="preserve"> </w:t>
      </w:r>
      <w:r w:rsidR="00F21123">
        <w:t>januar</w:t>
      </w:r>
      <w:r w:rsidR="0073796B" w:rsidRPr="008B7AF2">
        <w:t xml:space="preserve"> 202</w:t>
      </w:r>
      <w:r w:rsidR="00F21123">
        <w:t>5</w:t>
      </w:r>
    </w:p>
    <w:p w14:paraId="508D7192" w14:textId="2B2D5A2C" w:rsidR="00DB45EC" w:rsidRDefault="00DB45EC" w:rsidP="00DB45EC">
      <w:pPr>
        <w:pStyle w:val="Naslov2"/>
      </w:pPr>
      <w:r>
        <w:t>Vlada o spremembah in dopolnitvah uredbe o sistemu opazovanja, obveščanja in alarmiranja</w:t>
      </w:r>
    </w:p>
    <w:p w14:paraId="68A8160C" w14:textId="77777777" w:rsidR="00DB45EC" w:rsidRDefault="00DB45EC" w:rsidP="00DB45EC">
      <w:r>
        <w:t xml:space="preserve">Vlada Republike Slovenije je na današnji seji izdala Uredbo o spremembah in dopolnitvah Uredbe o organizaciji in delovanju sistema opazovanja, obveščanja in alarmiranja. Uredba bo objavljena v Uradnem listu Republike Slovenije. </w:t>
      </w:r>
    </w:p>
    <w:p w14:paraId="1362B656" w14:textId="77777777" w:rsidR="00DB45EC" w:rsidRDefault="00DB45EC" w:rsidP="00DB45EC"/>
    <w:p w14:paraId="4CF9AAE7" w14:textId="77777777" w:rsidR="00DB45EC" w:rsidRDefault="00DB45EC" w:rsidP="00DB45EC">
      <w:r>
        <w:t xml:space="preserve">Z novo uredbo se opredelita stopnji kritičnosti dogodka, za kateri mora sistem javnega obveščanja in alarmiranja s posredovanjem opozorilnih obvestil omogočati različne vrste alarmiranja. </w:t>
      </w:r>
    </w:p>
    <w:p w14:paraId="211E3976" w14:textId="77777777" w:rsidR="00DB45EC" w:rsidRDefault="00DB45EC" w:rsidP="00DB45EC"/>
    <w:p w14:paraId="1F8F19AB" w14:textId="77777777" w:rsidR="00DB45EC" w:rsidRDefault="00DB45EC" w:rsidP="00DB45EC">
      <w:r>
        <w:t xml:space="preserve">Uredba usklajuje Uredbo o organizaciji in delovanju sistema opazovanja, obveščanja in alarmiranja z določbo tretjega odstavka 3. člena Uredbe o vzpostavitvi in zagotavljanju sistema javnega obveščanja in alarmiranja prek javnih mobilnih omrežij (uredba o zagotavljanju sistema alarmiranja preko javnih mobilnih omrežij). Uskladitev bo tako omogočila možnost pošiljanja opozorilnih obvestil preko javnih mobilnih omrežij ter določila pristojnost in način obveščanja in alarmiranja prebivalcev preko javnih mobilnih omrežij. </w:t>
      </w:r>
    </w:p>
    <w:p w14:paraId="391357CB" w14:textId="4FD878A1" w:rsidR="007D6165" w:rsidRDefault="00DB45EC" w:rsidP="00DB45EC">
      <w:pPr>
        <w:pStyle w:val="Vir"/>
      </w:pPr>
      <w:r>
        <w:t>Vir: Ministrstvo za obrambo</w:t>
      </w:r>
    </w:p>
    <w:p w14:paraId="55DA7EFD" w14:textId="4C8DDFE6" w:rsidR="00471334" w:rsidRDefault="00471334" w:rsidP="00471334">
      <w:pPr>
        <w:pStyle w:val="Naslov2"/>
      </w:pPr>
      <w:r>
        <w:t>Uredba o spremembah Uredbe o dopolnilnih dejavnostih na kmetiji</w:t>
      </w:r>
    </w:p>
    <w:p w14:paraId="40BDEC75" w14:textId="77777777" w:rsidR="00471334" w:rsidRDefault="00471334" w:rsidP="00471334">
      <w:r>
        <w:t>Vlada Republike Slovenije je izdala Uredbo o spremembah uredbe o dopolnilnih dejavnostih na kmetiji.</w:t>
      </w:r>
    </w:p>
    <w:p w14:paraId="51250F35" w14:textId="77777777" w:rsidR="00471334" w:rsidRDefault="00471334" w:rsidP="00471334"/>
    <w:p w14:paraId="15C541C4" w14:textId="77777777" w:rsidR="00471334" w:rsidRDefault="00471334" w:rsidP="00471334">
      <w:r>
        <w:t xml:space="preserve">Kmetijska dejavnost obsega pridelovanje kmetijskih rastlin oziroma živinorejo ter storitve za rastlinsko pridelavo oziroma živinorejo. Tej osnovni dejavnosti sledijo tudi dopolnilne dejavnosti na kmetiji, katerih cilj je izboljšanje dohodkovnega položaja kmetije in zagotavljanje ter ustvarjanje novih delovnih mest na kmetiji. Vrste dopolnilnih dejavnosti in pogoji so določeni z Uredbo o dopolnilnih dejavnostih na kmetiji. </w:t>
      </w:r>
    </w:p>
    <w:p w14:paraId="4B78CA0E" w14:textId="77777777" w:rsidR="00471334" w:rsidRDefault="00471334" w:rsidP="00471334"/>
    <w:p w14:paraId="73EC4A5B" w14:textId="77777777" w:rsidR="00471334" w:rsidRDefault="00471334" w:rsidP="00471334">
      <w:r>
        <w:t>Z novelo uredbe se spreminjajo šifre in nazivi statistične klasifikacije gospodarskih dejavnosti, kot so opredeljeni v Uredbi o standardni klasifikaciji dejavnosti in se je začela uporabljati 1. januarja 2025. Spremembe so potrebne zaradi uskladitve posamezne vrste dopolnilnih dejavnosti na kmetiji z novo klasifikacijo gospodarskih dejavnosti. S spremembo uredbe se obenem zagotavlja tudi skladnost razvrstitve gospodarske dejavnosti v okviru postopka registracije dopolnilnih dejavnosti na kmetiji.</w:t>
      </w:r>
    </w:p>
    <w:p w14:paraId="65DFD389" w14:textId="4AED8C01" w:rsidR="007D6165" w:rsidRDefault="00471334" w:rsidP="00471334">
      <w:pPr>
        <w:pStyle w:val="Vir"/>
      </w:pPr>
      <w:r>
        <w:t>Vir: Ministrstvo za kmetijstvo, gozdarstvo in prehrano</w:t>
      </w:r>
    </w:p>
    <w:p w14:paraId="658057B4" w14:textId="2C2BCBF1" w:rsidR="002420B2" w:rsidRDefault="002420B2" w:rsidP="002420B2">
      <w:pPr>
        <w:pStyle w:val="Naslov2"/>
      </w:pPr>
      <w:r>
        <w:t>Odlok o določitvi degradiranega okolja in programa ukrepov za izboljšanje kakovosti okolja na območju vrtcev, šol in javnih igrišč v občinah Črna na Koroškem, Mežica, Prevalje, Ravne na Koroškem in Dravograd</w:t>
      </w:r>
    </w:p>
    <w:p w14:paraId="3F3D23D1" w14:textId="77777777" w:rsidR="002420B2" w:rsidRDefault="002420B2" w:rsidP="002420B2">
      <w:r>
        <w:t>Vlada je izdala Odlok o določitvi degradiranega okolja in programa ukrepov za izboljšanje kakovosti okolja na območju vrtcev, šol in javnih igrišč v občinah Črna na Koroškem, Mežica, Prevalje, Ravne na Koroškem in Dravograd in ga objavi v Uradnem listu Republike Slovenije.</w:t>
      </w:r>
    </w:p>
    <w:p w14:paraId="2793EF21" w14:textId="77777777" w:rsidR="002420B2" w:rsidRDefault="002420B2" w:rsidP="002420B2"/>
    <w:p w14:paraId="71499589" w14:textId="77777777" w:rsidR="002420B2" w:rsidRDefault="002420B2" w:rsidP="002420B2">
      <w:r>
        <w:lastRenderedPageBreak/>
        <w:t>S tem odlokom se navedena območja, ki sodijo v prvo stopnjo obremenjenosti, uradno določijo kot degradirano okolje. Meje degradiranega območja so natančno opredeljene s parcelnimi številkami. Razvrstitev območij v prvo stopnjo obremenjenosti okolja zaradi onesnaženosti tal z nevarnimi snovmi je podrobno opredeljena v Odredbi o razvrstitvi območij občin Črna na Koroškem, Mežica, Prevalje, Ravne na Koroškem in Dravograd v stopnje obremenjenosti okolja zaradi onesnaženosti tal z nevarnimi snovmi.</w:t>
      </w:r>
    </w:p>
    <w:p w14:paraId="5FA20464" w14:textId="77777777" w:rsidR="002420B2" w:rsidRDefault="002420B2" w:rsidP="002420B2"/>
    <w:p w14:paraId="2EFA8CBA" w14:textId="6DD8773E" w:rsidR="002420B2" w:rsidRDefault="002420B2" w:rsidP="002420B2">
      <w:r>
        <w:t xml:space="preserve">Mežiška dolina je zaradi dolgoletne rudarske dejavnosti in industrije močno onesnažena s svincem in drugimi toksičnimi kovinami, kot sta kadmij in cink. Kljub večletnim prizadevanjem za izboljšanje kakovosti okolja ter uspešnemu programu ukrepov, ki se je izvajal od leta 2007 do 2022, so avgustovske poplave leta 2023 močno poslabšale stanje na prizadetih območjih. Po poplavah so se ponovno pojavila kritična onesnažena območja, sanirana zemlja je bila odplaknjena, povečalo se je prašenje zaradi obnovitvenih del, kar pomeni dodatno okoljsko obremenitev. Ker se bo na teh območjih odpravljala tudi onesnaženost, ki je posledica poplav v letu 2023, bo eden izmed virov financiranja programa tudi Sklad za obnovo Slovenije. V skladu s tem je bil navedeni odlok ter Program ukrepov pripravljen na podlagi Zakona o varstvu okolja ter Zakona o obnovi, razvoju in zagotavljanju finančnih sredstev. </w:t>
      </w:r>
    </w:p>
    <w:p w14:paraId="171CB8C5" w14:textId="77777777" w:rsidR="002420B2" w:rsidRDefault="002420B2" w:rsidP="002420B2"/>
    <w:p w14:paraId="5CF57B08" w14:textId="246378C4" w:rsidR="002420B2" w:rsidRDefault="002420B2" w:rsidP="002420B2">
      <w:r>
        <w:t>Ministrstvo za okolje, podnebje in energijo je v sodelovanju z Agencijo RS za okolje, Nacionalnim inštitutom za javno zdravje – Območna enota Ravne na Koroškem in občinami Črna na Koroškem, Mežica, Prevalje, Ravne na Koroškem in Dravograd pripravilo Program ukrepov, kjer so podrobneje določeni ukrepi za sanacijo degradiranega okolja, izvajalci ukrepov, viri financiranja in ocena stroškov po letih. Izvajanje programa bo trajalo 10 let, od leta 2025 do 2034. V Programu ukrepov so tudi podrobneje opisani viri onesnaženja ter analiza stanja.</w:t>
      </w:r>
    </w:p>
    <w:p w14:paraId="5EE0C8EF" w14:textId="77777777" w:rsidR="002420B2" w:rsidRDefault="002420B2" w:rsidP="002420B2"/>
    <w:p w14:paraId="507DDC57" w14:textId="43E90E92" w:rsidR="002420B2" w:rsidRDefault="002420B2" w:rsidP="002420B2">
      <w:r>
        <w:t>Program ukrepov vsebuje konkretne rešitve za zmanjšanje onesnaženja, vključno z:</w:t>
      </w:r>
    </w:p>
    <w:p w14:paraId="077AC7CE" w14:textId="6245D21F" w:rsidR="002420B2" w:rsidRDefault="002420B2" w:rsidP="002420B2">
      <w:pPr>
        <w:pStyle w:val="Odstavekseznama"/>
        <w:numPr>
          <w:ilvl w:val="0"/>
          <w:numId w:val="10"/>
        </w:numPr>
      </w:pPr>
      <w:r>
        <w:t>omejitvijo dvigovanja prašnih delcev,</w:t>
      </w:r>
    </w:p>
    <w:p w14:paraId="0C4FE748" w14:textId="3500773F" w:rsidR="002420B2" w:rsidRDefault="002420B2" w:rsidP="002420B2">
      <w:pPr>
        <w:pStyle w:val="Odstavekseznama"/>
        <w:numPr>
          <w:ilvl w:val="0"/>
          <w:numId w:val="10"/>
        </w:numPr>
      </w:pPr>
      <w:r>
        <w:t>sanacijo onesnaženih tal na javnih površinah,</w:t>
      </w:r>
    </w:p>
    <w:p w14:paraId="70686688" w14:textId="42EE7FCF" w:rsidR="002420B2" w:rsidRDefault="002420B2" w:rsidP="002420B2">
      <w:pPr>
        <w:pStyle w:val="Odstavekseznama"/>
        <w:numPr>
          <w:ilvl w:val="0"/>
          <w:numId w:val="10"/>
        </w:numPr>
      </w:pPr>
      <w:r>
        <w:t>zagotavljanjem varnega okolja za otroke v vrtcih in šolah,</w:t>
      </w:r>
    </w:p>
    <w:p w14:paraId="70326424" w14:textId="3445848F" w:rsidR="002420B2" w:rsidRDefault="002420B2" w:rsidP="002420B2">
      <w:pPr>
        <w:pStyle w:val="Odstavekseznama"/>
        <w:numPr>
          <w:ilvl w:val="0"/>
          <w:numId w:val="10"/>
        </w:numPr>
      </w:pPr>
      <w:r>
        <w:t>spremljanjem učinkovitosti ukrepov s strani Agencije RS za okolje in NIJZ.</w:t>
      </w:r>
    </w:p>
    <w:p w14:paraId="5838B947" w14:textId="77777777" w:rsidR="002420B2" w:rsidRDefault="002420B2" w:rsidP="002420B2"/>
    <w:p w14:paraId="1328D0E8" w14:textId="77777777" w:rsidR="002420B2" w:rsidRDefault="002420B2" w:rsidP="002420B2"/>
    <w:p w14:paraId="1FE30E47" w14:textId="7FA3D8B0" w:rsidR="002420B2" w:rsidRDefault="002420B2" w:rsidP="002420B2">
      <w:r>
        <w:t>Predvidoma do poletja 2025 se bo program dopolnil še z dodatnimi ukrepi:</w:t>
      </w:r>
    </w:p>
    <w:p w14:paraId="64A783E5" w14:textId="76720D72" w:rsidR="002420B2" w:rsidRDefault="002420B2" w:rsidP="002420B2">
      <w:pPr>
        <w:pStyle w:val="Odstavekseznama"/>
        <w:numPr>
          <w:ilvl w:val="0"/>
          <w:numId w:val="11"/>
        </w:numPr>
      </w:pPr>
      <w:r>
        <w:t>»Preplastitve nekaterih makadamskih površin, po katerih se gibljejo in zadržujejo otroci«,</w:t>
      </w:r>
    </w:p>
    <w:p w14:paraId="097BDAAF" w14:textId="45DA783E" w:rsidR="002420B2" w:rsidRDefault="002420B2" w:rsidP="002420B2">
      <w:pPr>
        <w:pStyle w:val="Odstavekseznama"/>
        <w:numPr>
          <w:ilvl w:val="0"/>
          <w:numId w:val="11"/>
        </w:numPr>
      </w:pPr>
      <w:r>
        <w:t xml:space="preserve">»Sanacija </w:t>
      </w:r>
      <w:proofErr w:type="spellStart"/>
      <w:r>
        <w:t>hald</w:t>
      </w:r>
      <w:proofErr w:type="spellEnd"/>
      <w:r>
        <w:t>« in</w:t>
      </w:r>
    </w:p>
    <w:p w14:paraId="6F813407" w14:textId="19EF1230" w:rsidR="002420B2" w:rsidRDefault="002420B2" w:rsidP="002420B2">
      <w:pPr>
        <w:pStyle w:val="Odstavekseznama"/>
        <w:numPr>
          <w:ilvl w:val="0"/>
          <w:numId w:val="11"/>
        </w:numPr>
      </w:pPr>
      <w:r>
        <w:t xml:space="preserve">»Zamenjava onesnažene zemljine in </w:t>
      </w:r>
      <w:proofErr w:type="spellStart"/>
      <w:r>
        <w:t>zasejanje</w:t>
      </w:r>
      <w:proofErr w:type="spellEnd"/>
      <w:r>
        <w:t xml:space="preserve"> trave / polaganje rastlinske prevleke na javnih površinah kjer se zadržujejo otroci« (za dodatna igrišča, ki sedaj še niso določena za sanacijo, saj analize o onesnaženosti še niso bile narejene).</w:t>
      </w:r>
    </w:p>
    <w:p w14:paraId="4AB5E32F" w14:textId="77777777" w:rsidR="002420B2" w:rsidRDefault="002420B2" w:rsidP="002420B2"/>
    <w:p w14:paraId="3ED9589E" w14:textId="1B4E5E09" w:rsidR="002420B2" w:rsidRDefault="002420B2" w:rsidP="002420B2">
      <w:r>
        <w:t>Izvajanje programa bo usklajevalo Ministrstvo za okolje, podnebje in energijo, ki bo pripravljalo tudi letno poročilo o izvajanju, podatke o stanju tal, podzemnih in površinskih vodah pa bo spremljala Agencija Republike Slovenije za okolje.</w:t>
      </w:r>
    </w:p>
    <w:p w14:paraId="13D1F2FA" w14:textId="3329775F" w:rsidR="007D6165" w:rsidRDefault="002420B2" w:rsidP="002420B2">
      <w:pPr>
        <w:pStyle w:val="Vir"/>
      </w:pPr>
      <w:r>
        <w:t>Vir: Ministrstvo za okolje, podnebje in energijo</w:t>
      </w:r>
    </w:p>
    <w:p w14:paraId="1B949DB4" w14:textId="365AB724" w:rsidR="003F0DBD" w:rsidRDefault="003F0DBD" w:rsidP="003518C7">
      <w:pPr>
        <w:pStyle w:val="Naslov2"/>
      </w:pPr>
      <w:r>
        <w:t xml:space="preserve">Vlada potrdila končno oceno neposredne škode zaradi poplav in zemeljskih plazov </w:t>
      </w:r>
    </w:p>
    <w:p w14:paraId="2F72D5F0" w14:textId="77777777" w:rsidR="003F0DBD" w:rsidRDefault="003F0DBD" w:rsidP="003518C7">
      <w:pPr>
        <w:pStyle w:val="Naslov2"/>
      </w:pPr>
      <w:r>
        <w:t>med 12. in 15. septembrom 2024</w:t>
      </w:r>
    </w:p>
    <w:p w14:paraId="2B854762" w14:textId="77777777" w:rsidR="003F0DBD" w:rsidRDefault="003F0DBD" w:rsidP="003F0DBD">
      <w:r>
        <w:t xml:space="preserve">Vlada Republike Slovenije je na današnji seji potrdila končno oceno neposredne škode na stvareh zaradi posledic poplav in zemeljskih plazov med 12. in 15. septembrom 2024, ki so prizadela občine v Koroški, Obalni, Podravski, Severnoprimorski, Vzhodnoštajerski, </w:t>
      </w:r>
      <w:proofErr w:type="spellStart"/>
      <w:r>
        <w:t>Zahodnoštajerski</w:t>
      </w:r>
      <w:proofErr w:type="spellEnd"/>
      <w:r>
        <w:t xml:space="preserve"> in Zasavski regiji, ter skupno znaša 9.395.497,64 evra škode, ki jo je 13. januarja 2025 verificirala Državna komisija za ocenjevanje škode ob naravnih in drugih nesrečah. Od skupnega zneska neposredne škode znaša </w:t>
      </w:r>
      <w:r>
        <w:lastRenderedPageBreak/>
        <w:t>škoda na kmetijskih zemljiščih 764.423,21 evra, delna škoda na stavbah 311.044,84 evra, na gradbeno inženirskih objektih 1.041.634,25 evra, na gozdnih cestah 53.926,54 evra in na vodotokih 7.224.468,80 evra.</w:t>
      </w:r>
    </w:p>
    <w:p w14:paraId="33104FB9" w14:textId="77777777" w:rsidR="003F0DBD" w:rsidRDefault="003F0DBD" w:rsidP="003F0DBD"/>
    <w:p w14:paraId="13CF2CE0" w14:textId="77777777" w:rsidR="003F0DBD" w:rsidRDefault="003F0DBD" w:rsidP="003F0DBD">
      <w:r>
        <w:t>Sestavni del končne ocene sta priloga 1, v kateri je izkazan pregled neposredne škode na stvareh po regijah in občinah (kmetijska zemljišča, delna škoda na stavbah, gradbeno-inženirski objekti, vodotoki in gozdne ceste) in priloga 2, v kateri je izkazan pregled stroškov občinskih komisij.</w:t>
      </w:r>
    </w:p>
    <w:p w14:paraId="0DF9377D" w14:textId="77777777" w:rsidR="003F0DBD" w:rsidRDefault="003F0DBD" w:rsidP="003F0DBD"/>
    <w:p w14:paraId="2CD26D09" w14:textId="77777777" w:rsidR="003F0DBD" w:rsidRDefault="003F0DBD" w:rsidP="003F0DBD">
      <w:r>
        <w:t>Končna ocena neposredne škode presega 0,3 promile načrtovanih prihodkov državnega proračuna za leto 2024. Tako je dosežen limit za uporabo sredstev državnega proračuna v skladu z Zakonom o odpravi posledic naravnih nesreč.</w:t>
      </w:r>
    </w:p>
    <w:p w14:paraId="1FADB5B5" w14:textId="77777777" w:rsidR="003F0DBD" w:rsidRDefault="003F0DBD" w:rsidP="003F0DBD"/>
    <w:p w14:paraId="6620A683" w14:textId="77777777" w:rsidR="003F0DBD" w:rsidRDefault="003F0DBD" w:rsidP="003F0DBD">
      <w:r>
        <w:t>Pristojna ministrstva v skladu s tem sklepom pripravijo program odprave posledic neposredne škode v skladu z določbami Zakona o odpravi posledic naravnih nesreč.</w:t>
      </w:r>
    </w:p>
    <w:p w14:paraId="0DA0CD8E" w14:textId="77777777" w:rsidR="003F0DBD" w:rsidRDefault="003F0DBD" w:rsidP="003F0DBD"/>
    <w:p w14:paraId="6CFA6B84" w14:textId="77777777" w:rsidR="003F0DBD" w:rsidRDefault="003F0DBD" w:rsidP="003F0DBD">
      <w:r>
        <w:t>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O ponovni oceni škode mora Ministrstvo za naravne vire in prostor seznaniti Vlado Republike Slovenije ob predložitvi programa za odpravo posledic nesreče.</w:t>
      </w:r>
    </w:p>
    <w:p w14:paraId="5DFBAA3A" w14:textId="77777777" w:rsidR="003F0DBD" w:rsidRDefault="003F0DBD" w:rsidP="003F0DBD"/>
    <w:p w14:paraId="1ABE55E7" w14:textId="77777777" w:rsidR="003F0DBD" w:rsidRDefault="003F0DBD" w:rsidP="003F0DBD">
      <w:r>
        <w:t>Uprava Republike Slovenije za zaščito in reševanje bo digitalno prenesla zapisnike in drugo dokumentacijo o oceni neposredne škode na stvareh zaradi posledic poplav in zemeljskih plazov med 12. in 15. septembrom 2024, Ministrstvu za naravne vire in prostor.</w:t>
      </w:r>
    </w:p>
    <w:p w14:paraId="02BF4986" w14:textId="77777777" w:rsidR="003F0DBD" w:rsidRDefault="003F0DBD" w:rsidP="003F0DBD"/>
    <w:p w14:paraId="12F248CD" w14:textId="3F22B11E" w:rsidR="003F0DBD" w:rsidRDefault="003F0DBD" w:rsidP="003F0DBD">
      <w:r w:rsidRPr="003F0DBD">
        <w:t>Vlada Republike Slovenije je potrdila stroške ocenjevanja škode zaradi posledic poplav in zemeljskih plazov med 12. in 15. septembrom 2024, ki</w:t>
      </w:r>
      <w:r>
        <w:t xml:space="preserve"> </w:t>
      </w:r>
      <w:r w:rsidRPr="003F0DBD">
        <w:t xml:space="preserve"> so jo opravile občinske komisije in Uprava Republike Slovenije za zaščito in reševanje v skupni višini 1.668,00 evra, in se pokrijejo iz proračunske rezerve.</w:t>
      </w:r>
    </w:p>
    <w:p w14:paraId="69550E2A" w14:textId="31BC459C" w:rsidR="007D6165" w:rsidRDefault="003F0DBD" w:rsidP="003F0DBD">
      <w:pPr>
        <w:pStyle w:val="Vir"/>
      </w:pPr>
      <w:r w:rsidRPr="003F0DBD">
        <w:t>Vir: Ministrstvo za obrambo</w:t>
      </w:r>
    </w:p>
    <w:p w14:paraId="551C2CE7" w14:textId="3DE80DC0" w:rsidR="00734B05" w:rsidRDefault="00734B05" w:rsidP="00734B05">
      <w:pPr>
        <w:pStyle w:val="Naslov2"/>
      </w:pPr>
      <w:r>
        <w:t xml:space="preserve">Vlada odgovorila na poziv Varuha človekovih pravic Republike Slovenije </w:t>
      </w:r>
    </w:p>
    <w:p w14:paraId="7E1963B3" w14:textId="77777777" w:rsidR="00734B05" w:rsidRDefault="00734B05" w:rsidP="00734B05">
      <w:r>
        <w:t>Vlada je s strani Varuha človekovih pravic Republike Slovenije v seznanitev prejela izvedbo zaključkov posveta Pomanjkljivosti v sistemu pomoči otrokom in mladostnikom v stiski – poziv strokovnih centrov k ukrepanju, ki ga je  11. 11. 2024 v Državnem svetu Republike Slovenije na pobudo strokovnih centrov za otroke s čustvenimi in vedenjskimi težavami ter motnjami organiziralo Združenje vodstvenih delavcev ČVM in Varuha v sodelovanju z Državnim svetom Republike Slovenije in Ministrstvom za vzgojo in izobraževanje. Varuh vladi predlaga, da na podlagi izvedbe zaključkov navedenega posveta sprejme in izvede ustrezne ukrepe.</w:t>
      </w:r>
    </w:p>
    <w:p w14:paraId="2F12D2D9" w14:textId="77777777" w:rsidR="00734B05" w:rsidRDefault="00734B05" w:rsidP="00734B05"/>
    <w:p w14:paraId="002F9C63" w14:textId="77777777" w:rsidR="00734B05" w:rsidRDefault="00734B05" w:rsidP="00734B05">
      <w:r>
        <w:t>Vlada je v odgovoru na prvi zaključek, da institucija ne sme biti prvi odgovor in da je potrebno poskrbeti za pravočasno prepoznavo rizičnih skupin ter učinkovitejšo obravnavo v skupnosti pojasnila, da Ministrstvo za delo, družino, socialne zadeve in enake možnosti v okviru kohezijskih sredstev OP 2021 – 2028 pripravlja ukrep, ki bo naslavljal tri ključne potrebe Centrov za socialno delo, in sicer:</w:t>
      </w:r>
    </w:p>
    <w:p w14:paraId="3D8F355E" w14:textId="6E8C4360" w:rsidR="00734B05" w:rsidRDefault="00734B05" w:rsidP="00734B05">
      <w:pPr>
        <w:pStyle w:val="Odstavekseznama"/>
        <w:numPr>
          <w:ilvl w:val="0"/>
          <w:numId w:val="13"/>
        </w:numPr>
      </w:pPr>
      <w:r>
        <w:t xml:space="preserve">povečanje števila usposobljenega kadra za neposredno delo z družinami na terenu, </w:t>
      </w:r>
    </w:p>
    <w:p w14:paraId="39FF21DB" w14:textId="32D5DBB4" w:rsidR="00734B05" w:rsidRDefault="00734B05" w:rsidP="0081110A">
      <w:pPr>
        <w:pStyle w:val="Odstavekseznama"/>
        <w:numPr>
          <w:ilvl w:val="0"/>
          <w:numId w:val="13"/>
        </w:numPr>
      </w:pPr>
      <w:r>
        <w:t xml:space="preserve">zagotavljanje specifičnih znanj, veščin, pristopov za delo z ljudmi, </w:t>
      </w:r>
    </w:p>
    <w:p w14:paraId="0BC29418" w14:textId="085C8758" w:rsidR="00734B05" w:rsidRDefault="00734B05" w:rsidP="0081110A">
      <w:pPr>
        <w:pStyle w:val="Odstavekseznama"/>
        <w:numPr>
          <w:ilvl w:val="0"/>
          <w:numId w:val="13"/>
        </w:numPr>
      </w:pPr>
      <w:r>
        <w:t>zagotavljanje ustrezne strokovne podpore ter razbremenitev kadra.</w:t>
      </w:r>
    </w:p>
    <w:p w14:paraId="49BC47D3" w14:textId="77777777" w:rsidR="0081110A" w:rsidRDefault="0081110A" w:rsidP="00734B05"/>
    <w:p w14:paraId="42B825C6" w14:textId="7F7F17AD" w:rsidR="00734B05" w:rsidRDefault="00734B05" w:rsidP="00734B05">
      <w:r>
        <w:lastRenderedPageBreak/>
        <w:t>Cilji ukrepa bodo tudi uvedba znanstveno dokazano učinkovitih programov za krepitev starševskih kompetenc, za soočanje z zahtevnejšimi vedenjskimi odkloni pri otrocih, ki bi jih pri delu s starši in otroki uporabljali CSD-ji, usposabljanje in dodatne zaposlitve na CSD, na področju storitve pomoči družini za dom ter spodbujanje in promoviranje koncepta »pozitivnega starševstva«.</w:t>
      </w:r>
    </w:p>
    <w:p w14:paraId="2D8DFA97" w14:textId="77777777" w:rsidR="00734B05" w:rsidRDefault="00734B05" w:rsidP="00734B05"/>
    <w:p w14:paraId="3AD34EA5" w14:textId="77777777" w:rsidR="00734B05" w:rsidRDefault="00734B05" w:rsidP="00734B05">
      <w:r>
        <w:t xml:space="preserve">V odgovoru na zaključek, da institucija ne sme biti edini dom in da bi bilo potrebno zagotoviti več strokovne podpore družinam v njihovem okolju ter več rejniških družin, pojasnjuje, da MDDSZ že vrsto let financira programe v podporo družini. Centri za družine predstavljajo prostor druženja različnih generacij, kakovostno krepitev socialnih vlog posameznika, podporo pri lažjem usklajevanju družinskega in poklicnega življenja, izboljšanju medsebojnih odnosov ter starševskih kompetenc in prostor za izmenjavo dobrih praks ter pozitivnih izkušenj. </w:t>
      </w:r>
    </w:p>
    <w:p w14:paraId="73BA7A68" w14:textId="77777777" w:rsidR="0081110A" w:rsidRDefault="0081110A" w:rsidP="00734B05"/>
    <w:p w14:paraId="577CD6F9" w14:textId="571C4CC8" w:rsidR="00734B05" w:rsidRDefault="00734B05" w:rsidP="00734B05">
      <w:r>
        <w:t xml:space="preserve">V okviru kohezijskih sredstev OP 2021 – 2028 MDDSZ financira tudi projekte Večgeneracijskih centrov+, kateri v okviru svojih programskih aktivnosti med drugim zagotavljajo tudi vsebine za otroke in mladostnike na način, da zagotavljajo prostor za druženje in medgeneracijsko povezovanje, informiranje o storitvah in različnih možnostih pomoči za starejše, delavnice za razvijanje novih veščin in znanj, predavanja o različnih tematikah (npr. s področja zdravja), kulturne in športne dejavnosti, pogovorne skupine za lajšanje težav ter svetovanje uporabnikom v stiski idr. </w:t>
      </w:r>
    </w:p>
    <w:p w14:paraId="4045D648" w14:textId="77777777" w:rsidR="0081110A" w:rsidRDefault="0081110A" w:rsidP="00734B05"/>
    <w:p w14:paraId="6B4FEFC9" w14:textId="53F6DB3F" w:rsidR="00734B05" w:rsidRDefault="00734B05" w:rsidP="00734B05">
      <w:r>
        <w:t>Na MDDZS z namenom izboljšanja stanja na področju izvajanja rejniške dejavnosti pripravljajo prenovo sistema izvajanja rejniške dejavnosti, ki je izjemno kompleksna. V ta namen so predvidene spremembe in dopolnitve Zakona o izvajanju rejniške dejavnosti. Po mnenju MDDSZ je le z naborom različnih sistemskih ukrepov, ki posredno in neposredno naslavljajo vprašanja sistemske ureditve posamezne vrste namestitve otrok v institucionalno varstvo, mogoče celovito naslavljati problematiko, povezano z zagotavljanjem ustrezne pomoči otrokom in mladostnikom v stiski.</w:t>
      </w:r>
    </w:p>
    <w:p w14:paraId="74AEF059" w14:textId="77777777" w:rsidR="00734B05" w:rsidRDefault="00734B05" w:rsidP="00734B05"/>
    <w:p w14:paraId="764769C2" w14:textId="77777777" w:rsidR="00734B05" w:rsidRDefault="00734B05" w:rsidP="00734B05">
      <w:r>
        <w:t>Vlada v odgovoru na zaključek, da je potrebno vzpostaviti sistem, ki starše ali zakonite zastopnike zavezuje in obvezuje k sodelovanju pri skrbi za otroka, staršem in skrbnikom pa obenem zagotoviti raznolike in učinkovite načine podpore poudarja, da otroci v skladu z Ustavo RS uživajo posebno varstvo in skrb. Država zagotavlja varstvo otrokom vselej, kadar je ogrožen njihov zdrav razvoj in kadar to zahtevajo druge koristi otrok. Sistemska ureditev ukrepov za varstvo koristi otroka v DZ temelji na tem, da imajo starši pred vsemi drugimi pravico in obveznost varovati pravice in koristi otroka, poleg tega pri izbiri ukrepa velja načelo najmilejšega ukrepa.</w:t>
      </w:r>
    </w:p>
    <w:p w14:paraId="2189CAF2" w14:textId="77777777" w:rsidR="0081110A" w:rsidRDefault="0081110A" w:rsidP="00734B05"/>
    <w:p w14:paraId="2CB1392E" w14:textId="523A4C31" w:rsidR="00734B05" w:rsidRDefault="00734B05" w:rsidP="00734B05">
      <w:r>
        <w:t>V okviru kazenskopravne obravnave mladoletnikov pa je treba izpostaviti, da je kazenska odgovornosti individualna, za kaznivo dejanje se lahko kazenska sankcija izreče le storilcu, čigar kazenska odgovornost je bila ugotovljena s pravnomočno sodno odločbo.</w:t>
      </w:r>
    </w:p>
    <w:p w14:paraId="25EB5D60" w14:textId="77777777" w:rsidR="00734B05" w:rsidRDefault="00734B05" w:rsidP="00734B05">
      <w:r>
        <w:t xml:space="preserve">Ob upoštevanju teh omejitev je Ministrstvo za pravosodje pripravilo osnutek predloga Zakona o obravnavanju mladoletnikov zaradi kaznivih dejanj, ki je bil 8. 1. 2025 poslan v javno razpravo. </w:t>
      </w:r>
    </w:p>
    <w:p w14:paraId="5169E02D" w14:textId="77777777" w:rsidR="00734B05" w:rsidRDefault="00734B05" w:rsidP="00734B05"/>
    <w:p w14:paraId="65C9EFF1" w14:textId="77777777" w:rsidR="00734B05" w:rsidRDefault="00734B05" w:rsidP="00734B05">
      <w:r>
        <w:t>V odgovoru na zaključek, da za otroke in mladostnike s hudimi težavami na področju duševnega zdravja potrebujemo diagnostični oddelek za otroke in mladostnike, ki storijo hudo dejanje, kjer je zagotovljena bio-psiho-socialna ocena motnje kot tudi forenzični oddelek in sicer za mladostnike, povzročitelje kaznivih dejanj, ki imajo diagnosticirano duševno motnjo, na ta način pa lahko zagotovimo varnost vsem, vlada pojasnjuje, da Ministrstvo za pravosodje trenutno pripravlja predlog projekta za ustanovitev in pilotno delovanje Centra za mladoletnike z zgoraj navedenimi pristojnostmi. Gre za institucijo, ki bo imela širše pristojnosti, ne le izvajanje diagnostičnih postopkov, zato ime diagnostični center po oceni strokovnjakov, ki sodelujejo pri pripravi strokovnih podlag za oblikovanje te institucije ni ustrezno.</w:t>
      </w:r>
    </w:p>
    <w:p w14:paraId="074E3294" w14:textId="77777777" w:rsidR="0081110A" w:rsidRDefault="0081110A" w:rsidP="00734B05"/>
    <w:p w14:paraId="0F06E957" w14:textId="3E3B62E8" w:rsidR="00734B05" w:rsidRDefault="00734B05" w:rsidP="00734B05">
      <w:r>
        <w:t xml:space="preserve">Kar zadeva oblikovanje forenzičnega psihiatričnega oddelka za mladoletnike, pa je treba pojasniti, da že veljavna zakonodaja določa kot eno izmed kazenskih sankcij varnostni ukrep obveznega </w:t>
      </w:r>
      <w:r>
        <w:lastRenderedPageBreak/>
        <w:t xml:space="preserve">psihiatričnega zdravljenja in varstva v zdravstvenem zavodu, ki se lahko pod določenimi pogoji izreče neprištevnemu ali bistveno zmanjšano prištevnemu mladoletniku. </w:t>
      </w:r>
    </w:p>
    <w:p w14:paraId="17325A97" w14:textId="77777777" w:rsidR="00734B05" w:rsidRDefault="00734B05" w:rsidP="00734B05"/>
    <w:p w14:paraId="01CA1E3D" w14:textId="77777777" w:rsidR="00734B05" w:rsidRDefault="00734B05" w:rsidP="00734B05">
      <w:r>
        <w:t>Glede predloga 5. točke zaključkov Posveta o otrocih s čustvenimi in vedenjskimi motnjami, ki govori o tem, da bi se uvedlo obvezno zdravljenje za vse mladoletne uživalce drog pred namestitvijo v strokovni center, Ministrstvo za zdravje odgovarja, da to niti zakonsko niti strokovno ni utemeljeno v takšni obliki, kot je predlagana. Na Ministrstvu za zdravje poudarjajo, da je potrebna kompleksna psihosocialna obravnava, pri kateri je treba zagotoviti učinkovito in usklajeno delovanje različnih institucij, od socialnega varstva, pravosodja, vzgoje ter zdravstva. Ključni cilj je, da se mladostnika opolnomoči in podpre pri soočanju in spremembi škodljivega vedenja in spodbudi k prevzemanju odgovornosti za pozitivne spremembe svojega življenja.</w:t>
      </w:r>
    </w:p>
    <w:p w14:paraId="6B73E44D" w14:textId="77777777" w:rsidR="0081110A" w:rsidRDefault="0081110A" w:rsidP="00734B05"/>
    <w:p w14:paraId="41F6B34C" w14:textId="5DF71881" w:rsidR="00734B05" w:rsidRDefault="00734B05" w:rsidP="00734B05">
      <w:r>
        <w:t xml:space="preserve">Glede predloga, da bi se mladostnike vključevalo v programe zdravljenja prisilno, pa je treba izpostaviti, da je prisilno psihiatrično zdravljenje možno samo v res izrednih okoliščinah, kjer oseba ogroža sebe ali druge, skladno s konkretnimi določbami in pogoji Zakona o duševnem zdravju ter je za to potrebna sodna odločba in izvedensko mnenje psihiatrične stroke. </w:t>
      </w:r>
    </w:p>
    <w:p w14:paraId="304939BD" w14:textId="77777777" w:rsidR="00734B05" w:rsidRDefault="00734B05" w:rsidP="00734B05">
      <w:r>
        <w:t>Potrebno je intenzivirati sodelovanje med posameznimi strokovnimi službami in posameznimi strokovnimi delavci, ki skrbijo za konkretnega mladoletnika. Priložnost je tudi v okviru uvajanja intenzivnih skupin skladno z ZOOMTVI, kjer je možno bolj poglobljeno nuditi podporo ob obravnavi zlorab ali odvisnosti od PAS ter dodatno usposobiti strokovne delavce v teh skupinah.</w:t>
      </w:r>
    </w:p>
    <w:p w14:paraId="0438CAF3" w14:textId="77777777" w:rsidR="00734B05" w:rsidRDefault="00734B05" w:rsidP="00734B05"/>
    <w:p w14:paraId="11CE841A" w14:textId="77777777" w:rsidR="00734B05" w:rsidRDefault="00734B05" w:rsidP="00734B05">
      <w:r>
        <w:t xml:space="preserve">Vlada v odgovoru na zaključek, da mora biti dolžina vseh kazenskih postopkov za mladoletne skrajšana na najkrajši možni rok in da mora biti učinkovit ukrep čim hitrejši poudarja, da je v predlogu Zakona o sodiščih, ki je trenutno v zaključni fazi usklajevanja, predvideno, da se lahko pri okrožnih sodiščih po vzoru družinskih sodišč ustanovijo posebni oddelki za mladoletnike, predlog ZOMZKD pa postopke proti mladoletnikom opredeljuje kot prednostne in od vseh strokovnih udeležencev v postopku zahteva posebej hitro postopanje. </w:t>
      </w:r>
    </w:p>
    <w:p w14:paraId="3AAE9949" w14:textId="77777777" w:rsidR="00734B05" w:rsidRDefault="00734B05" w:rsidP="00734B05"/>
    <w:p w14:paraId="573B5611" w14:textId="77777777" w:rsidR="00734B05" w:rsidRDefault="00734B05" w:rsidP="00734B05">
      <w:r>
        <w:t>V odzivu na zaključek, da je potrebno ustrezno programsko, kadrovsko in arhitekturno urediti delovanje intenzivnih skupin, vlada poudarja, da so intenzivne skupine za strokovne centre nova oblika skupin, ki jo je uvedel Zakon o obravnavi otrok in mladostnikov s čustvenimi in vedenjskimi težavami in motnjami v vzgoji in izobraževanju. Intenzivna skupina za razliko od drugih vrst skupin, ki jih strokovni centri pri svojem delu z otroki in mladostniki lahko oblikujejo, zagotavlja bolj specializirano in individualno pomoč otroku ali mladostniku, kjer so vključeni do trije otroci oziroma mladostniki, kar predstavlja tudi višjo stopnjo varnosti s stalno prisotnostjo strokovnih delavcev. Namenjena je predvsem začasnemu umiku otroka ali mladostnika iz zavoda, hkrati pa mu omogoča nadaljevanje izobraževanja in intenzivno strokovno pomoč.</w:t>
      </w:r>
    </w:p>
    <w:p w14:paraId="20A657DA" w14:textId="77777777" w:rsidR="0081110A" w:rsidRDefault="0081110A" w:rsidP="00734B05"/>
    <w:p w14:paraId="1A61AE22" w14:textId="580A5D33" w:rsidR="00734B05" w:rsidRDefault="00734B05" w:rsidP="00734B05">
      <w:r>
        <w:t xml:space="preserve">Končni cilj je uspešna vključitev v socialno okolje, tako družinsko kot širše. Program intenzivne skupine otroku ali mladostniku omogoča, da z rednim delom in sodelovanjem hitreje napreduje in se tudi hitreje vrne v npr. vzgojno skupino v strokovnem centru. </w:t>
      </w:r>
    </w:p>
    <w:p w14:paraId="14B7FBA1" w14:textId="77777777" w:rsidR="0081110A" w:rsidRDefault="0081110A" w:rsidP="00734B05"/>
    <w:p w14:paraId="30620DAB" w14:textId="2885165F" w:rsidR="00734B05" w:rsidRDefault="00734B05" w:rsidP="00734B05">
      <w:r>
        <w:t xml:space="preserve">Za delo v intenzivni skupini se zagotavlja več strokovnih delavcev kot v ostalih oblikah skupin. </w:t>
      </w:r>
    </w:p>
    <w:p w14:paraId="3CB31F41" w14:textId="77777777" w:rsidR="00734B05" w:rsidRDefault="00734B05" w:rsidP="00734B05">
      <w:r>
        <w:t xml:space="preserve">Ministrstvo za vzgojo in izobraževanje z zagotavljanjem sredstev za zaposlitev novega strokovnega kadra in nakupom ali najemom novih namestitvenih kapacitet (stanovanja, hiše) omogoča strokovnim centrom oblikovanje in delovanje tako vzgojnih, stanovanjskih kot tudi intenzivnih skupin in mladinskega stanovanja. </w:t>
      </w:r>
    </w:p>
    <w:p w14:paraId="4BC4799E" w14:textId="77777777" w:rsidR="0081110A" w:rsidRDefault="0081110A" w:rsidP="00734B05"/>
    <w:p w14:paraId="3EC2DB0D" w14:textId="713CFD0B" w:rsidR="00734B05" w:rsidRDefault="00734B05" w:rsidP="00734B05">
      <w:r>
        <w:t>MVI tudi prepoznava potrebo po pripravi smernic za novogradnje in prenove strokovnih centrov, ki so arhitekturno zasnovane po vzoru iz drugih držav, in ki obravnavajo otroke s podobno problematiko. Zagotovo pa so predhodno potrebne dodatne študije in analize, ki bodo predvidele in umestile ustrezne arhitekturne zasnove strokovnih centrov v naše okolje.</w:t>
      </w:r>
    </w:p>
    <w:p w14:paraId="37BA6247" w14:textId="77777777" w:rsidR="0081110A" w:rsidRDefault="00734B05" w:rsidP="0081110A">
      <w:pPr>
        <w:pStyle w:val="Vir"/>
      </w:pPr>
      <w:r>
        <w:lastRenderedPageBreak/>
        <w:t>Vir: Ministrstvo za vzgojo in izobraževanje</w:t>
      </w:r>
    </w:p>
    <w:p w14:paraId="616744DF" w14:textId="420CFD46" w:rsidR="00F32677" w:rsidRPr="00F32677" w:rsidRDefault="00F32677" w:rsidP="0081110A">
      <w:pPr>
        <w:pStyle w:val="Naslov2"/>
      </w:pPr>
      <w:r w:rsidRPr="00F32677">
        <w:t>Vlada o odprtju proračunskih postavk pri ministrstvu za solidarno prihodnost</w:t>
      </w:r>
    </w:p>
    <w:p w14:paraId="4FFA2B39" w14:textId="77777777" w:rsidR="00F32677" w:rsidRDefault="00F32677" w:rsidP="00F32677">
      <w:r>
        <w:t>Vlada je danes sklenila, da za namen izvajanja dolgotrajne oskrbe pri Ministrstvu za solidarno prihodnost odpre nove proračunske postavke, skladno z Zakonom o začasnih ukrepih za izboljšanje kadrovskih in delovnih pogojev ter zmogljivosti pri izvajalcih socialnovarstvenih storitev in dolgotrajne oskrbe.</w:t>
      </w:r>
    </w:p>
    <w:p w14:paraId="4B5912D5" w14:textId="77777777" w:rsidR="00F32677" w:rsidRDefault="00F32677" w:rsidP="00F32677"/>
    <w:p w14:paraId="33344926" w14:textId="77777777" w:rsidR="00F32677" w:rsidRDefault="00F32677" w:rsidP="00F32677">
      <w:r>
        <w:t>Sredstva za proračunske postavke v višini 4,8 milijonov evrov se v letu 2025 zagotovijo s prerazporeditvijo pravic porabe znotraj finančnega načrta Ministrstva za solidarno prihodnost.</w:t>
      </w:r>
    </w:p>
    <w:p w14:paraId="6385B03F" w14:textId="77E7137D" w:rsidR="007D6165" w:rsidRDefault="00F32677" w:rsidP="00F32677">
      <w:pPr>
        <w:pStyle w:val="Vir"/>
      </w:pPr>
      <w:r>
        <w:t>Vir: Ministrstvo za finance</w:t>
      </w:r>
    </w:p>
    <w:p w14:paraId="43588A7A" w14:textId="248E149F" w:rsidR="00914D07" w:rsidRDefault="00914D07" w:rsidP="00914D07">
      <w:pPr>
        <w:pStyle w:val="Naslov2"/>
      </w:pPr>
      <w:r>
        <w:t>Poročilo o delu Sveta Vlade Republike Slovenije za korporativno upravljanje v letu 2024</w:t>
      </w:r>
    </w:p>
    <w:p w14:paraId="36C550E6" w14:textId="361040B3" w:rsidR="00914D07" w:rsidRDefault="00914D07" w:rsidP="00914D07">
      <w:r>
        <w:t xml:space="preserve">Vlada Republike Slovenije se je seznanila s poročilom o delu Sveta Vlade Republike Slovenije za korporativno upravljanje v letu 2024. Vlada Republike Slovenije je leta 2019 z namenom izboljšanja korporativnega upravljanja v Republiki Sloveniji ustanovila Svet Vlade Republike Slovenije za korporativno upravljanje, kar bi se odrazilo v dvigu konkurenčnosti in prepoznavnosti slovenskega gospodarstva. Svet o svojem delu enkrat letno poroča vladi. </w:t>
      </w:r>
    </w:p>
    <w:p w14:paraId="4ABD5495" w14:textId="77777777" w:rsidR="00914D07" w:rsidRDefault="00914D07" w:rsidP="00914D07"/>
    <w:p w14:paraId="5C62A77A" w14:textId="77777777" w:rsidR="00914D07" w:rsidRDefault="00914D07" w:rsidP="00914D07">
      <w:r>
        <w:t xml:space="preserve">Svet se v letu 2024 ni sestal, saj so bile že v letu 2023 oblikovane usmeritve in stališča do posameznih vprašanj s področja korporativnega upravljanja, predvsem v povezavi z Zakonom o gospodarskih družbah, zato v letu 2024 ni bilo potrebe po sklicu nove seje. </w:t>
      </w:r>
    </w:p>
    <w:p w14:paraId="48CD70DA" w14:textId="77777777" w:rsidR="00914D07" w:rsidRDefault="00914D07" w:rsidP="00914D07"/>
    <w:p w14:paraId="4FBFDADF" w14:textId="751885AF" w:rsidR="00914D07" w:rsidRDefault="00914D07" w:rsidP="00914D07">
      <w:r>
        <w:t>Gre za strokovno in posvetovalno telo, ki vladi nudi pomoč pri odločanju o zadevah s področja korporativnega upravljanja v Republiki Sloveniji. Oblikuje predloge za razvoj in izboljšanje korporativnega upravljanja, sprejema usmeritve za pripravo predlogov sprememb predpisov, oblikuje stališča do posameznih vprašanj s področja korporativnega upravljanja in sorodnih področij ter svetuje pri oblikovanju politik in sprememb predpisov, ki vplivajo na korporativno upravljanje in sorodna področja.</w:t>
      </w:r>
    </w:p>
    <w:p w14:paraId="20FC2FD3" w14:textId="77777777" w:rsidR="00914D07" w:rsidRDefault="00914D07" w:rsidP="00914D07"/>
    <w:p w14:paraId="0E3C77E7" w14:textId="0C6F32CA" w:rsidR="00914D07" w:rsidRDefault="00914D07" w:rsidP="00914D07">
      <w:r>
        <w:t xml:space="preserve">Na sejah v letu 2023 se je seznanil z aktivnostmi Ministrstva za gospodarstvo, turizem in šport (MGTŠ) na področju priprave Predloga zakona o spremembah in dopolnitvah Zakona o gospodarskih družbah (ZGD-1M). Seznanil se je tudi s prenosom treh direktiv: direktive glede poročanja podjetij o trajnostnosti, direktive glede razkritja določenih davčnih informacij v zvezi z dohodki nekaterih podjetij in podružnic ter direktive o zagotavljanju uravnotežene zastopanosti spolov med direktorji družb, ki trgujejo na borzi. Pri obravnavi izhodišč za predlog ZGD-1M je MGTŠ predstavilo dileme, ki so nastale na strokovni ravni v zvezi z določenimi predlogi deležnikov, temu pa je sledila razprava in izmenjava mnenj članov. Združenje nadzornikov Slovenije je svetu predstavilo tudi Kodeks upravljanja za družbe s kapitalsko udeležbo lokalnih skupnosti in njegovo implementacijo. Na zadnji seji pa je MGTŠ predstavilo predlog sprememb in dopolnitev ZGD-1M, preden je bil predlog posredovan v javno obravnavo. </w:t>
      </w:r>
    </w:p>
    <w:p w14:paraId="3541E6B2" w14:textId="77777777" w:rsidR="00914D07" w:rsidRDefault="00914D07" w:rsidP="00914D07"/>
    <w:p w14:paraId="40D0990F" w14:textId="05C36D39" w:rsidR="00914D07" w:rsidRDefault="00914D07" w:rsidP="00914D07">
      <w:r>
        <w:t>Svet sestavljajo predstavniki MGTŠ, Ministrstva za finance, Agencije za trg vrednostnih papirjev, Agencije za zavarovalni nadzor, Agencije za javni nadzor nad revidiranjem, Banke Slovenije, Slovenskega državnega holdinga, d. d., Gospodarske zbornice Slovenije, Ljubljanske borze, d. d., Združenja nadzornikov Slovenije in stroke.</w:t>
      </w:r>
    </w:p>
    <w:p w14:paraId="6D3DC887" w14:textId="1D8C9A82" w:rsidR="007D6165" w:rsidRDefault="00914D07" w:rsidP="00914D07">
      <w:pPr>
        <w:pStyle w:val="Vir"/>
      </w:pPr>
      <w:r>
        <w:t>Vir: Ministrstvo za gospodarstvo, turizem in šport</w:t>
      </w:r>
    </w:p>
    <w:p w14:paraId="589368F0" w14:textId="679C41E6" w:rsidR="0029188C" w:rsidRDefault="0029188C" w:rsidP="0029188C">
      <w:pPr>
        <w:pStyle w:val="Naslov2"/>
      </w:pPr>
      <w:r>
        <w:lastRenderedPageBreak/>
        <w:t xml:space="preserve">Vlada sprejela mnenje o pobudi Piratske stranke </w:t>
      </w:r>
    </w:p>
    <w:p w14:paraId="314BFF1D" w14:textId="77777777" w:rsidR="0029188C" w:rsidRDefault="0029188C" w:rsidP="0029188C">
      <w:r>
        <w:t>Vlada Republike Slovenije je sprejela mnenje v zvezi s pobudo politične stranke Piratska stranka Slovenije za začetek postopka za oceno ustavnosti Zakona o volitvah v Državni zbor in ga pošlje Državnemu zboru (ZVD).</w:t>
      </w:r>
    </w:p>
    <w:p w14:paraId="4B86D06E" w14:textId="77777777" w:rsidR="0029188C" w:rsidRDefault="0029188C" w:rsidP="0029188C"/>
    <w:p w14:paraId="0DF6DE16" w14:textId="77777777" w:rsidR="0029188C" w:rsidRDefault="0029188C" w:rsidP="0029188C">
      <w:r>
        <w:t>Politična stranka Parati je na Ustavno sodišče vložila pobudo za oceno ustavnosti Zakona o volitvah v državni zbor, ker naj bi bil ta zaradi obstoja protiustavne pravne praznine v neskladju s pravicami in načeli iz 43. člena Ustave in 3. člena Prvega protokola k Evropski konvenciji o varstvu človekovih pravic (EKČP).</w:t>
      </w:r>
    </w:p>
    <w:p w14:paraId="52B2A877" w14:textId="77777777" w:rsidR="0029188C" w:rsidRDefault="0029188C" w:rsidP="0029188C"/>
    <w:p w14:paraId="2AF5B918" w14:textId="77777777" w:rsidR="0029188C" w:rsidRDefault="0029188C" w:rsidP="0029188C">
      <w:r>
        <w:t>Vlada ocenjuje, da je ZVDZ skladen z Ustavo in z EKČP in zagotavlja učinkovito izvajanje pasivne volilne pravice glede oddaje podpore kandidaturi. Volivcem je omogočeno, da lahko na katerikoli upravni enoti ne glede na kraj stalnega prebivališča v dovolj dolgem obdobju (od dneva, ki je določen za začetek volilnih opravil, do dneva, ki je določen za predložitev list kandidatov), potrdijo obrazec podpore in ga nato izročijo/pošljejo predlagatelju kandidature. Ustava zakonodajalca ne zavezuje, da določi vse možne načine oziroma oblike glasovanja oziroma izražanja volje posameznika, ki jih omogoča sodobna informacijska tehnologija, še posebej ne glede na vsa kibernetska tveganja in zahteve po varstvu osebnih podatkov.</w:t>
      </w:r>
    </w:p>
    <w:p w14:paraId="2FCA9BB8" w14:textId="77777777" w:rsidR="0029188C" w:rsidRDefault="0029188C" w:rsidP="0029188C"/>
    <w:p w14:paraId="0AC4BF0F" w14:textId="77777777" w:rsidR="0029188C" w:rsidRDefault="0029188C" w:rsidP="0029188C">
      <w:r>
        <w:t>Sicer si vlada prizadeva za vzpostavitev čim več varnih elektronskih storitev javne uprave in tudi za njihovo čim večjo uporabo. Naklonjena je tudi razmisleku o digitalizaciji posameznih faz volilnega postopka, vključno s postopkom dajanja podpor kandidaturam, vendar ob hkratnem zagotavljanju kibernetske varnosti volilnih postopkov in varstva osebnih podatkov volivcev.</w:t>
      </w:r>
    </w:p>
    <w:p w14:paraId="38E2546D" w14:textId="77777777" w:rsidR="0029188C" w:rsidRDefault="0029188C" w:rsidP="0029188C"/>
    <w:p w14:paraId="5DCDB95B" w14:textId="77777777" w:rsidR="0029188C" w:rsidRDefault="0029188C" w:rsidP="0029188C">
      <w:r>
        <w:t>Vlada meni, da v Zakonu o volitvah v Državni zbor ni neustavnih pravnih praznin, zato predlaga Državnemu zboru, da v tem postopku ustavnosodne presoje predlaga Ustavnemu sodišču, da zaradi vsebinske skladnosti Zakona o volitvah v Državni zbor z določbami Ustave Republike Slovenije in z Evropsko konvencijo o človekovih pravicah, pobudo zavrne.</w:t>
      </w:r>
    </w:p>
    <w:p w14:paraId="7B363395" w14:textId="77777777" w:rsidR="0029188C" w:rsidRDefault="0029188C" w:rsidP="0029188C">
      <w:pPr>
        <w:pStyle w:val="Vir"/>
      </w:pPr>
      <w:r>
        <w:t>Vir: Ministrstvo za javno upravo</w:t>
      </w:r>
    </w:p>
    <w:p w14:paraId="12D6A425" w14:textId="21537C1B" w:rsidR="003903B2" w:rsidRDefault="003903B2" w:rsidP="003903B2">
      <w:pPr>
        <w:pStyle w:val="Naslov2"/>
      </w:pPr>
      <w:r>
        <w:t>Vlada sprejela stališče Republike Slovenije k zadevi Skupaj varnejši</w:t>
      </w:r>
    </w:p>
    <w:p w14:paraId="45993C48" w14:textId="648F44AE" w:rsidR="003903B2" w:rsidRDefault="003903B2" w:rsidP="003903B2">
      <w:r>
        <w:t>Vlada Republike Slovenije je na današnji seji sprejela stališče Republike Slovenije k zadevi Skupaj varnejši: krepitev evropske civilne in vojaške pripravljenosti - poročilo Saulija Niinistöja, nekdanjega predsednika Republike Finske, kot posebnega svetovalca predsednice Evropske komisije, ki se glasi:</w:t>
      </w:r>
    </w:p>
    <w:p w14:paraId="22AA7325" w14:textId="77777777" w:rsidR="003903B2" w:rsidRDefault="003903B2" w:rsidP="003903B2"/>
    <w:p w14:paraId="001015E2" w14:textId="77777777" w:rsidR="003903B2" w:rsidRDefault="003903B2" w:rsidP="003903B2">
      <w:r>
        <w:t xml:space="preserve">Republika Slovenija pozdravlja iniciativo, pripravljeno poročilo in razmislek Evropske komisije in držav članic glede naslednjih korakov v zvezi z odzivanjem na krize na ravni celotne Evropske unije. </w:t>
      </w:r>
    </w:p>
    <w:p w14:paraId="04241E80" w14:textId="77777777" w:rsidR="003903B2" w:rsidRDefault="003903B2" w:rsidP="003903B2"/>
    <w:p w14:paraId="78B2CC18" w14:textId="77777777" w:rsidR="003903B2" w:rsidRDefault="003903B2" w:rsidP="003903B2">
      <w:r>
        <w:t>V Republiki Sloveniji imamo dobro razvit sistem nacionalne varnosti. Nacionalno varnost gradimo na preteklih izkušnjah in vključujemo novosti. Številne aktivnosti slonijo prav na vse-vladnem in vse-družbenem pristopu. To pomeni, da se v področje varnosti in obrambe vključujejo vsa pristojna ministrstva in vladne službe, posamezne gospodarske družbe posebnega pomena za obrambo in organi/telesa, ki sodelujejo v procesu kriznega upravljanja in vodenja v državi. V okviru obrambnega sistema si prizadevamo zagotavljati kontinuiteto načrtovanja, priprave zakonodajnih in drugih predpisov in usklajenost postopkov v vseh delih sistema nacionalne varnosti, torej v okviru civilne obrambe, vojaške obrambe, varstva pred naravnimi in drugimi nesrečami, vključno z zdravstvenimi krizami, ter notranje varnosti, vključno s kibernetskimi napadi. Rešitve na nacionalni ravni pa se upošteva in skuša čim bolj približati tudi skupnim rešitvam ter zavezam v Natu in Evropski uniji.</w:t>
      </w:r>
    </w:p>
    <w:p w14:paraId="7E4CBA08" w14:textId="77777777" w:rsidR="003903B2" w:rsidRDefault="003903B2" w:rsidP="003903B2"/>
    <w:p w14:paraId="6EFDDC8F" w14:textId="6089C2B6" w:rsidR="007D6165" w:rsidRDefault="003903B2" w:rsidP="003903B2">
      <w:r>
        <w:lastRenderedPageBreak/>
        <w:t>V izgradnji pripravljenosti, zmogljivosti za odzivanje in odpornosti Evropske unije na prihodnje krize je le-to nujno povezovati in uskladiti z aktivnostmi v Natu, saj so številne države tako članice Evropske unije kot tudi Nata, nabor zmogljivosti pa obstaja zgolj v okviru zmožnosti posameznih držav.</w:t>
      </w:r>
    </w:p>
    <w:p w14:paraId="1C034480" w14:textId="50D0070B" w:rsidR="007D6165" w:rsidRDefault="003903B2" w:rsidP="003903B2">
      <w:pPr>
        <w:pStyle w:val="Vir"/>
      </w:pPr>
      <w:r w:rsidRPr="003903B2">
        <w:t>Vir: Ministrstvo za obrambo</w:t>
      </w:r>
    </w:p>
    <w:p w14:paraId="3C7A1604" w14:textId="5516CA1B" w:rsidR="001B2FCF" w:rsidRDefault="001B2FCF" w:rsidP="001B2FCF">
      <w:pPr>
        <w:pStyle w:val="Naslov2"/>
      </w:pPr>
      <w:r>
        <w:t>Vlada sprejela pobudo za sklenitev pogodb med Republiko Slovenijo in Združenimi Arabskimi Emirati o izročitvi in o medsebojni pravni pomoči v kazenskih zadevah</w:t>
      </w:r>
    </w:p>
    <w:p w14:paraId="73B937D9" w14:textId="43DD8D89" w:rsidR="001B2FCF" w:rsidRDefault="001B2FCF" w:rsidP="001B2FCF">
      <w:r>
        <w:t>Vlada je na današnji seji sprejela pobudo za sklenitev pogodb med Republiko Slovenijo in Združenimi Arabskimi Emirati o izročitvi in o medsebojni pravni pomoči v kazenskih zadevah.</w:t>
      </w:r>
    </w:p>
    <w:p w14:paraId="7A3267C2" w14:textId="77777777" w:rsidR="001B2FCF" w:rsidRDefault="001B2FCF" w:rsidP="001B2FCF"/>
    <w:p w14:paraId="23A08761" w14:textId="3A265D9C" w:rsidR="001B2FCF" w:rsidRDefault="001B2FCF" w:rsidP="001B2FCF">
      <w:r>
        <w:t>Pobuda bo dala pogajalski okvir za pogajanja o sklenitvi pogodb o izročitvi in  o medsebojni pravni pomoči v kazenskih zadevah med Slovenijo in Združenimi arabskimi emirati. S pogodbama bodo olajšani in pospešeni postopki izročitve in postopki pravosodnega sodelovanja v kazenskih zadevah. Sodelovanje na področju izročitvenih postopkov po teh pogodbah naj bi obsegalo kategorije, opredeljene v primerljivih pogodbah, ki jih je sklenila Republika Slovenija, in so aktualne na področju pravosodnega sodelovanja v izročitvenih in kazenskih zadevah.</w:t>
      </w:r>
    </w:p>
    <w:p w14:paraId="3AFFE523" w14:textId="60765E57" w:rsidR="007D6165" w:rsidRDefault="001B2FCF" w:rsidP="001B2FCF">
      <w:pPr>
        <w:pStyle w:val="Vir"/>
      </w:pPr>
      <w:r>
        <w:t>Vir: Ministrstvo za pravosodje</w:t>
      </w:r>
    </w:p>
    <w:p w14:paraId="1ACAACCE" w14:textId="47ABDD5B" w:rsidR="008454EE" w:rsidRDefault="008454EE" w:rsidP="008454EE">
      <w:pPr>
        <w:pStyle w:val="Naslov2"/>
      </w:pPr>
      <w:r>
        <w:t>Letni prispevek Republike Slovenije za storitve sekretariata Regionalne koordinacijske skupine (RCG) za leti 2024 in 2025</w:t>
      </w:r>
    </w:p>
    <w:p w14:paraId="73C955C9" w14:textId="77777777" w:rsidR="008454EE" w:rsidRDefault="008454EE" w:rsidP="008454EE">
      <w:r>
        <w:t xml:space="preserve">Vlada se je seznanila prispevkom Republike Slovenije za storitve sekretariata Regionalne koordinacijske skupine (RCG) za leti 2024 in 2025 v skupni višini 1.624,00 evra. Sredstva za realizacijo prispevka iz prejšnje točke zagotovi Ministrstvo za kmetijstvo, gozdarstvo in prehrano s proračunskih postavk Evropskega sklad za pomorstvo, ribištvo in akvakulturo 21-27– EU, v višini 70 % in Evropskega sklad za pomorstvo, ribištvo in akvakulturo 21-27– slovenska udeležba, v višini 30 %. </w:t>
      </w:r>
    </w:p>
    <w:p w14:paraId="0DED0013" w14:textId="77777777" w:rsidR="008454EE" w:rsidRDefault="008454EE" w:rsidP="008454EE"/>
    <w:p w14:paraId="58289CB6" w14:textId="77777777" w:rsidR="008454EE" w:rsidRDefault="008454EE" w:rsidP="008454EE">
      <w:r>
        <w:t>Regionalne koordinacijske skupine za zbiranje podatkov o ribištvu (v nadaljnjem besedilu RCG) se ustanovijo za vsako geografsko območje in jih je šest. Nad njimi je kot krovna organizacija Sekretariat RCG. Slovenija nastopa v okviru skupine RCG za Sredozemlje in Črno morje, v okviru katere se na sestankih usklajuje zbiranje podatkov v zvezi z ribolovom.</w:t>
      </w:r>
    </w:p>
    <w:p w14:paraId="2910DAB8" w14:textId="77777777" w:rsidR="008454EE" w:rsidRDefault="008454EE" w:rsidP="008454EE"/>
    <w:p w14:paraId="06A38E34" w14:textId="77777777" w:rsidR="008454EE" w:rsidRDefault="008454EE" w:rsidP="008454EE">
      <w:r>
        <w:t>Ocenjuje se, da je v interesu Republike Slovenije, da predstavniki slovenskega ribiškega sektorja v prihodnje sodelujejo v RCG. Zato RS v letih 2024 in 2025 podpre delovanje RCG s prispevkom v višini 1.624,00 evrov.</w:t>
      </w:r>
    </w:p>
    <w:p w14:paraId="3ACD77EC" w14:textId="4B930DB3" w:rsidR="007D6165" w:rsidRDefault="008454EE" w:rsidP="008454EE">
      <w:pPr>
        <w:pStyle w:val="Vir"/>
      </w:pPr>
      <w:r>
        <w:t>Vir: Ministrstvo za kmetijstvo, gozdarstvo in prehrano</w:t>
      </w:r>
    </w:p>
    <w:p w14:paraId="0FB130ED" w14:textId="2CCAEF7D" w:rsidR="008D6E20" w:rsidRDefault="008D6E20" w:rsidP="008D6E20">
      <w:pPr>
        <w:pStyle w:val="Naslov2"/>
      </w:pPr>
      <w:r>
        <w:t xml:space="preserve">Vlada sprejela </w:t>
      </w:r>
      <w:r w:rsidR="008D5F99">
        <w:t>m</w:t>
      </w:r>
      <w:r>
        <w:t xml:space="preserve">nenje o </w:t>
      </w:r>
      <w:r w:rsidR="008D5F99">
        <w:t>p</w:t>
      </w:r>
      <w:r>
        <w:t xml:space="preserve">redlogu zakona o spremembah in dopolnitvi Zakona o osnovni šoli </w:t>
      </w:r>
    </w:p>
    <w:p w14:paraId="1936C35C" w14:textId="35D8AC6B" w:rsidR="008D6E20" w:rsidRDefault="008D6E20" w:rsidP="008D6E20">
      <w:r>
        <w:t xml:space="preserve">Vlada je sprejela </w:t>
      </w:r>
      <w:r w:rsidR="008D5F99">
        <w:t>m</w:t>
      </w:r>
      <w:r>
        <w:t xml:space="preserve">nenje o </w:t>
      </w:r>
      <w:r w:rsidR="008D5F99">
        <w:t>p</w:t>
      </w:r>
      <w:r>
        <w:t>redlogu zakona o spremembah in dopolnitvi Zakona o osnovni šoli, ki ga je Državnemu zboru predložila skupina poslank in poslancev s prvopodpisano Jelko Godec.</w:t>
      </w:r>
    </w:p>
    <w:p w14:paraId="08EE8911" w14:textId="77777777" w:rsidR="008D6E20" w:rsidRDefault="008D6E20" w:rsidP="008D6E20"/>
    <w:p w14:paraId="64F14CA1" w14:textId="4F366A55" w:rsidR="008D6E20" w:rsidRDefault="008D6E20" w:rsidP="008D6E20">
      <w:r>
        <w:t>Poslanska skupina Slovenske demokratske stranke je v zakonodajni postopek vložila predlog</w:t>
      </w:r>
      <w:r w:rsidR="008D5F99">
        <w:t xml:space="preserve"> </w:t>
      </w:r>
      <w:r>
        <w:t xml:space="preserve">Zakona o spremembah in dopolnitvah Zakona o osnovni šoli, s katerim predlaga uvedbo obveznega predmeta računalništva in informatike v osnovne šole. Predmet naj bi se postopoma uvedel v vse razrede od 1. do 9. razreda, pri čemer bi s poskusnim uvajanjem začeli v šolskem letu 2027/2028, obvezna izvedba pa bi sledila v letih 2030/2031. Predlagatelji poudarjajo, da je znanje računalništva in informatike ključno za sledenje tehnološkim in digitalnim trendom in da tovrstna znanja omogočajo uspešno vključevanje mladih v sodobno družbo in trg dela. </w:t>
      </w:r>
    </w:p>
    <w:p w14:paraId="0B720A12" w14:textId="77777777" w:rsidR="008D6E20" w:rsidRDefault="008D6E20" w:rsidP="008D6E20"/>
    <w:p w14:paraId="18159CC6" w14:textId="420D1882" w:rsidR="008D6E20" w:rsidRDefault="008D6E20" w:rsidP="008D6E20">
      <w:r>
        <w:t>Vlada uvodoma pojasnjuje, da pojem digitalnega izobraževanja zajema razvoj digitalnih kompetenc učencev in smiselno pedagoško rabo digitalnih tehnologij. Slovenija na tem področju uporablja dva ključna pristopa. Prvi temelji na prečnih digitalnih vsebinah, kar pomeni, da so aktivnosti, ki spodbujajo razvoj digitalnih veščin vključene v učne načrte vseh predmetov po celotni izobraževalni vertikali osnovne šole. V okviru prenove sistema vzgoje in izobraževanja poteka tudi prenova učnih načrtov obveznih in izbirnih predmetov v osnovni šoli, ki med skupne cilje umešča tudi razvijanje digitalnih kompetenc. Skupni cilji naslavljajo pet področij: jezik, državljanstvo, kulturo in umetnost, trajnostni razvoj, zdravje in dobrobit, digitalno kompetentnost ter podjetnost. S tem pristopom se digitalne kompetence vključujejo v vse predmete, kar prispeva k razvoju ključnih veščin učencev in jih pripravi na izzive sodobne družbe.</w:t>
      </w:r>
    </w:p>
    <w:p w14:paraId="5FB4D098" w14:textId="77777777" w:rsidR="008D6E20" w:rsidRDefault="008D6E20" w:rsidP="008D6E20"/>
    <w:p w14:paraId="102C1B12" w14:textId="30F91C06" w:rsidR="008D6E20" w:rsidRDefault="008D6E20" w:rsidP="008D6E20">
      <w:r>
        <w:t>Skupni cilj digitalna kompetentnost obsega razvijanje zmožnosti uporabe digitalnih tehnologij za pridobivanje, vrednotenje in ustvarjanje informacij ter za učinkovito in odgovorno komuniciranje v digitalnem okolju. Evropski okvir digitalnih kompetenc opredeljuje pet ključnih področij: informacijsko in podatkovno pismenost, komuniciranje in sodelovanje, ustvarjanje digitalnih vsebin, varnost ter reševanje problemov. Ta področja zajemajo veščine, kot so iskanje in upravljanje informacij, ustvarjanje digitalnih vsebin, varovanje zasebnosti ter kritično in ustvarjalno reševanje tehničnih izzivov.</w:t>
      </w:r>
    </w:p>
    <w:p w14:paraId="153129D2" w14:textId="77777777" w:rsidR="008D6E20" w:rsidRDefault="008D6E20" w:rsidP="008D6E20"/>
    <w:p w14:paraId="07172B6E" w14:textId="36B33CD3" w:rsidR="008D6E20" w:rsidRDefault="008D6E20" w:rsidP="008D6E20">
      <w:r>
        <w:t>Drugi pristop k poučevanju digitalnih veščin temelji na naboru obveznih in neobveznih izbirnih predmetov s področja računalništva in informatike. Osnovnošolci lahko izbirajo med naslednjimi obveznimi izbirnimi predmeti: klaviatura in računalnik, računalništvo – urejanje besedil, računalništvo – računalniška omrežja, računalništvo – multimedija, robotika v tehniki, elektronika z robotiko in informacijsko opismenjevanje. Poleg tega imajo učenci možnost obiskovanja neobveznega izbirnega predmeta računalništvo, ki se izvaja od 4. do 9. razreda.</w:t>
      </w:r>
    </w:p>
    <w:p w14:paraId="0F2B18BB" w14:textId="77777777" w:rsidR="008D6E20" w:rsidRDefault="008D6E20" w:rsidP="008D6E20"/>
    <w:p w14:paraId="1EE9BCAE" w14:textId="036079E1" w:rsidR="008D6E20" w:rsidRDefault="008D6E20" w:rsidP="008D6E20">
      <w:r>
        <w:t xml:space="preserve">Za šole, ki so že vključene ali se bodo vključile v prenovljeni razširjeni program osnovnošolskega izobraževanja, </w:t>
      </w:r>
      <w:proofErr w:type="spellStart"/>
      <w:r>
        <w:t>kurikulum</w:t>
      </w:r>
      <w:proofErr w:type="spellEnd"/>
      <w:r>
        <w:t xml:space="preserve"> prinaša posebne vsebine, namenjene razvijanju digitalnih veščin, in sicer z uporabo raznovrstnih informacijsko-komunikacijskih orodij ter aplikacij. Te vsebine vključujejo sodelovanje, sporazumevanje, reševanje problemov, odločanje idr.</w:t>
      </w:r>
    </w:p>
    <w:p w14:paraId="07B3DAF7" w14:textId="77777777" w:rsidR="008D6E20" w:rsidRDefault="008D6E20" w:rsidP="008D6E20"/>
    <w:p w14:paraId="07F82F03" w14:textId="27306C34" w:rsidR="008D6E20" w:rsidRDefault="008D6E20" w:rsidP="008D6E20">
      <w:r>
        <w:t>Vlada poudarja, da so znanja in veščine s področja računalništva in informatike sistemsko že umeščena v slovenski osnovnošolski izobraževalni sistem. Učenci se z njimi srečujejo na različne načine: neposredno skozi posamezne predmete obveznega programa in vsebine razširjenega programa. Na področju vzgoje in izobraževanja poteka prenova programov, ki vključuje tudi prenovo ključnih programskih dokumentov, kar za področje osnovnošolskega izobraževanja predstavlja prenovo učnih načrtov in umeščanje petih skupnih ciljev, med njimi tudi digitalno kompetentnost, kar dodatno krepi digitalno pismenost skozi celoten vzgojno-izobraževalni proces.</w:t>
      </w:r>
    </w:p>
    <w:p w14:paraId="5651351E" w14:textId="77777777" w:rsidR="008D6E20" w:rsidRDefault="008D6E20" w:rsidP="008D6E20"/>
    <w:p w14:paraId="72AF83BB" w14:textId="046F97A5" w:rsidR="008D6E20" w:rsidRDefault="008D6E20" w:rsidP="008D6E20">
      <w:r>
        <w:t xml:space="preserve">Vlada se zavzema za oblikovanje celostnih rešitev, ki bodo pripomogle tako k izboljšanju kakovosti vzgoje in izobraževanja ter dobrobiti učencev in ocenjuje, da predlagane spremembe predstavljajo nepopolne, to je parcialne rešitve, zato predloga zakona ne podpira. </w:t>
      </w:r>
    </w:p>
    <w:p w14:paraId="4768F54F" w14:textId="0B443655" w:rsidR="007D6165" w:rsidRDefault="008D6E20" w:rsidP="008D6E20">
      <w:pPr>
        <w:pStyle w:val="Vir"/>
      </w:pPr>
      <w:r>
        <w:t>Vir: Ministrstvo za vzgojo in izobraževanje</w:t>
      </w:r>
    </w:p>
    <w:p w14:paraId="226554CC" w14:textId="5C34A923" w:rsidR="00A81FFB" w:rsidRDefault="00A81FFB" w:rsidP="00A81FFB">
      <w:pPr>
        <w:pStyle w:val="Naslov2"/>
      </w:pPr>
      <w:r>
        <w:t>Vlada sprejela predlog Zakona priznavanju poklicnih kvalifikacij v zdravstvu</w:t>
      </w:r>
    </w:p>
    <w:p w14:paraId="790C1505" w14:textId="77777777" w:rsidR="00A81FFB" w:rsidRDefault="00A81FFB" w:rsidP="00A81FFB">
      <w:r>
        <w:t>Vlada Republike Slovenije je na današnji seji sprejela predlog Zakona priznavanju poklicnih kvalifikacij v zdravstvu in ga poslala v obravnavo Državnemu zboru po rednem postopku. Predlog zakona bo poenotil in celostno uredil postopke priznavanja poklicnih kvalifikacij v enem predpisu z namenom, da se postopek priznavanja poklicne kvalifikacije olajša, pospeši in racionalizira.</w:t>
      </w:r>
    </w:p>
    <w:p w14:paraId="5F8F6969" w14:textId="77777777" w:rsidR="00A81FFB" w:rsidRDefault="00A81FFB" w:rsidP="00A81FFB"/>
    <w:p w14:paraId="1BCBC015" w14:textId="77777777" w:rsidR="00A81FFB" w:rsidRDefault="00A81FFB" w:rsidP="00A81FFB">
      <w:r>
        <w:t xml:space="preserve">Predlog zakona določa pogoje in postopek priznavanja poklicne kvalifikacije za opravljanje reguliranega poklica na področju zdravstvene dejavnosti v Republiki Sloveniji za osebe, ki so v tretji državi končale formalno izobraževanje ali v tretji državi pridobile poklicno kvalifikacijo, in za osebe, ki so v državah članicah EU, državah Evropskega gospodarskega prostora ali v Švicarski konfederaciji pridobile le formalno izobrazbo, ne pa polne poklicne kvalifikacije. </w:t>
      </w:r>
    </w:p>
    <w:p w14:paraId="72949E6C" w14:textId="77777777" w:rsidR="00A81FFB" w:rsidRDefault="00A81FFB" w:rsidP="00A81FFB">
      <w:r>
        <w:t>S predlogom zakona se bo:</w:t>
      </w:r>
    </w:p>
    <w:p w14:paraId="4A8E894C" w14:textId="334D79FD" w:rsidR="00A81FFB" w:rsidRDefault="00A81FFB" w:rsidP="00A81FFB">
      <w:pPr>
        <w:pStyle w:val="Odstavekseznama"/>
        <w:numPr>
          <w:ilvl w:val="0"/>
          <w:numId w:val="12"/>
        </w:numPr>
      </w:pPr>
      <w:r>
        <w:t>poenotilo in poenostavilo postopke priznavanja tujih kvalifikacij, kar bo skrajšalo čas obravnave in zmanjšalo stroške za kandidate.</w:t>
      </w:r>
    </w:p>
    <w:p w14:paraId="0A1F6F66" w14:textId="0DF9CC1C" w:rsidR="00A81FFB" w:rsidRDefault="00A81FFB" w:rsidP="00A81FFB">
      <w:pPr>
        <w:pStyle w:val="Odstavekseznama"/>
        <w:numPr>
          <w:ilvl w:val="0"/>
          <w:numId w:val="12"/>
        </w:numPr>
      </w:pPr>
      <w:r>
        <w:t>uvedlo enotna pravila za priznanje poklicnih kvalifikacij za vse zdravstvene poklice, kar pomeni, da se bodo poenotili tudi pogoji, vloge in upravne takse. To bo zmanjšalo birokratske zaplete in dodano pospešilo proces priznanja kvalifikacij.</w:t>
      </w:r>
    </w:p>
    <w:p w14:paraId="14606590" w14:textId="21814FAA" w:rsidR="00A81FFB" w:rsidRDefault="00A81FFB" w:rsidP="00A81FFB">
      <w:pPr>
        <w:pStyle w:val="Odstavekseznama"/>
        <w:numPr>
          <w:ilvl w:val="0"/>
          <w:numId w:val="12"/>
        </w:numPr>
      </w:pPr>
      <w:r>
        <w:t>omogočil začasni vpis tujih zdravstvenih delavcev za izvajanje demonstracijskih operacij – to so operacije oz posegi, ki jih izvajajo tuji zdravstveni delavci z namenom prikaza novih tehnik, metod ali tehnologij. Te operacije so namenjene izobraževanju in usposabljanju slovenskih zdravstvenih delavcev, kar bo izboljšalo dostopnost do naprednih medicinskih postopkov in zagotovilo kakovostno obravnavo pacientov.</w:t>
      </w:r>
    </w:p>
    <w:p w14:paraId="15A509D0" w14:textId="3BA94859" w:rsidR="00A81FFB" w:rsidRDefault="00A81FFB" w:rsidP="00A81FFB">
      <w:pPr>
        <w:pStyle w:val="Odstavekseznama"/>
        <w:numPr>
          <w:ilvl w:val="0"/>
          <w:numId w:val="12"/>
        </w:numPr>
      </w:pPr>
      <w:r>
        <w:t>Slovenski jezik se bo preverjal ob prijavi na strokovni izpit, in ne že v začetni fazi postopka.</w:t>
      </w:r>
    </w:p>
    <w:p w14:paraId="777625FC" w14:textId="77777777" w:rsidR="00A81FFB" w:rsidRDefault="00A81FFB" w:rsidP="00A81FFB"/>
    <w:p w14:paraId="0A9C21F2" w14:textId="77777777" w:rsidR="00A81FFB" w:rsidRDefault="00A81FFB" w:rsidP="00A81FFB">
      <w:r>
        <w:t>Kljub poenostavitvam postopkov pa bo preverjanje strokovnosti, znanja in kakovosti kandidatov ostalo na visoki ravni. Izvedenci bodo natančno presojali izobraževalne programe in delovne izkušnje kandidatov, kar bo zagotovilo, da v slovenski zdravstveni sistem vstopajo le ustrezno usposobljeni strokovnjaki.</w:t>
      </w:r>
    </w:p>
    <w:p w14:paraId="774C03C0" w14:textId="22CEFBE2" w:rsidR="007D6165" w:rsidRDefault="00A81FFB" w:rsidP="00A81FFB">
      <w:pPr>
        <w:pStyle w:val="Vir"/>
      </w:pPr>
      <w:r>
        <w:t>Vir: Ministrstvo za zdravje</w:t>
      </w:r>
    </w:p>
    <w:p w14:paraId="14784472" w14:textId="334D430E" w:rsidR="00BB5386" w:rsidRDefault="00BB5386" w:rsidP="00BB5386">
      <w:pPr>
        <w:pStyle w:val="Naslov2"/>
      </w:pPr>
      <w:r>
        <w:t xml:space="preserve">Vlada je določila besedilo predloga Zakona o medicinskih pripomočkih </w:t>
      </w:r>
    </w:p>
    <w:p w14:paraId="66864845" w14:textId="0D168B02" w:rsidR="00BB5386" w:rsidRDefault="00BB5386" w:rsidP="00BB5386">
      <w:r>
        <w:t xml:space="preserve">Vlada Republike Slovenije je na današnji seji sprejela predlog Zakona o medicinskih pripomočkih in ga poslala v obravnavo Državnemu zboru po rednem postopku. Predlog zakona dopolnjuje zakonodajo Evropske unije (EU) in podrobneje ureja področje medicinskih pripomočkov, dodatkov za medicinske pripomočke, pripomočkov brez medicinskega namena ter in vitro diagnostičnih medicinskih pripomočkov. </w:t>
      </w:r>
    </w:p>
    <w:p w14:paraId="488F77ED" w14:textId="77777777" w:rsidR="00BB5386" w:rsidRDefault="00BB5386" w:rsidP="00BB5386"/>
    <w:p w14:paraId="42F8986A" w14:textId="085A6073" w:rsidR="00BB5386" w:rsidRDefault="00BB5386" w:rsidP="00BB5386">
      <w:r>
        <w:t xml:space="preserve">S predlogom zakona se zagotavlja kakovostne, varne, učinkovite in skladne pripomočke na trgu Republike Slovenije. Navedeno bo izvedljivo z ustrezno nacionalno implementacijo EU predpisov in ureditvijo določenih vidikov preskrbe z medicinskimi pripomočki. </w:t>
      </w:r>
    </w:p>
    <w:p w14:paraId="55FBE1C3" w14:textId="77777777" w:rsidR="00BB5386" w:rsidRDefault="00BB5386" w:rsidP="00BB5386"/>
    <w:p w14:paraId="3B10EC14" w14:textId="4C3A99D2" w:rsidR="00BB5386" w:rsidRDefault="00BB5386" w:rsidP="00BB5386">
      <w:r>
        <w:t>Predlog zakona poleg izvajanja EU uredb opredeljuje subjekte pri omogočanju dostopnosti medicinskih pripomočkov, vključno z njihovimi obveznostmi pri prodaji medicinskih pripomočkov pacientom in obveznostmi zdravstvenih ustanov ter ponovno uporabo pripomočkov. Poleg tega predlog zakona določa tudi jasna pravila o uporabi slovenskega jezika, podrobnosti glede oglaševanja pripomočkov in vlogo deležnikov v izrednih razmerah. Za izvajanje nalog se v predlogu zakona določa tudi pristojni organ in sredstva za njegovo delovanje.</w:t>
      </w:r>
    </w:p>
    <w:p w14:paraId="133D86DF" w14:textId="77777777" w:rsidR="00BB5386" w:rsidRDefault="00BB5386" w:rsidP="00BB5386"/>
    <w:p w14:paraId="3A6BD70E" w14:textId="77777777" w:rsidR="00BB5386" w:rsidRDefault="00BB5386" w:rsidP="00BB5386">
      <w:r>
        <w:t>Z namenom zagotavljanja varnosti pacientov se določa vloga ter obveznosti deležnikov pri spremljanju učinkovitosti in varnosti (»</w:t>
      </w:r>
      <w:proofErr w:type="spellStart"/>
      <w:r>
        <w:t>vigilance</w:t>
      </w:r>
      <w:proofErr w:type="spellEnd"/>
      <w:r>
        <w:t>«) ter sankcije, če pride do kršitev nacionalnih ali EU predpisov.</w:t>
      </w:r>
    </w:p>
    <w:p w14:paraId="2F737191" w14:textId="5625F6D9" w:rsidR="007D6165" w:rsidRDefault="00BB5386" w:rsidP="00BB5386">
      <w:pPr>
        <w:pStyle w:val="Vir"/>
      </w:pPr>
      <w:r>
        <w:t>Vir: Ministrstvo za zdravje</w:t>
      </w:r>
    </w:p>
    <w:p w14:paraId="241EB36E" w14:textId="5CA307AB" w:rsidR="000F51A6" w:rsidRDefault="000F51A6" w:rsidP="000F51A6">
      <w:pPr>
        <w:pStyle w:val="Naslov2"/>
      </w:pPr>
      <w:r>
        <w:t>Vlada sprejela predlog novele Zakona o zdravilih</w:t>
      </w:r>
    </w:p>
    <w:p w14:paraId="48D64CEA" w14:textId="1E633420" w:rsidR="000F51A6" w:rsidRDefault="000F51A6" w:rsidP="000F51A6">
      <w:r>
        <w:lastRenderedPageBreak/>
        <w:t>Vlada Republike Slovenije je na današnji seji določila besedilo predloga Zakona o spremembah in dopolnitvah Zakona o zdravilih ter ga poslala v obravnavo Državnemu zboru Republike Slovenije po rednem postopku.</w:t>
      </w:r>
    </w:p>
    <w:p w14:paraId="6051918F" w14:textId="77777777" w:rsidR="000F51A6" w:rsidRDefault="000F51A6" w:rsidP="000F51A6"/>
    <w:p w14:paraId="344A1203" w14:textId="77777777" w:rsidR="000F51A6" w:rsidRDefault="000F51A6" w:rsidP="000F51A6">
      <w:r>
        <w:t>S predlogom novele Zakona o zdravilih želimo zagotoviti, da so vsa zdravila na trgu varna, kakovostna in učinkovita, ter vzpostaviti boljši nadzor nad njihovim prometom, proizvodnjo in distribucijo.</w:t>
      </w:r>
    </w:p>
    <w:p w14:paraId="18A1C89F" w14:textId="77777777" w:rsidR="000F51A6" w:rsidRDefault="000F51A6" w:rsidP="000F51A6"/>
    <w:p w14:paraId="119A32D6" w14:textId="77777777" w:rsidR="000F51A6" w:rsidRDefault="000F51A6" w:rsidP="000F51A6">
      <w:r>
        <w:t xml:space="preserve">Predlog novele Zakona o zdravilih usklajuje nacionalno zakonodajo s pravom Evropske unije in vključuje prenos Direktive 2017/1572/EU, ki ureja in določa pravila za dobro proizvodno prakso za zdravila za uporabo v humani medicini ter ureja izvajanje Uredbe 2022/123/EU, ki podrobneje ureja okrepljeno vlogo Evropske agencije za zdravila (EMA) pri pripravljenosti na krize in kriznem upravljanju na področju zdravil in medicinskih pripomočkov, na način, da se Javni agenciji za zdravila in medicinske pripomočke (JAZMP) podeli pristojnost za izvajanje te uredbe. </w:t>
      </w:r>
    </w:p>
    <w:p w14:paraId="639D029F" w14:textId="77777777" w:rsidR="000F51A6" w:rsidRDefault="000F51A6" w:rsidP="000F51A6"/>
    <w:p w14:paraId="197A8786" w14:textId="77777777" w:rsidR="000F51A6" w:rsidRDefault="000F51A6" w:rsidP="000F51A6">
      <w:r>
        <w:t xml:space="preserve">Za boljše obvladovanje tveganj pomanjkanja zdravil na trgu so v noveli dopolnitve namenjene zagotavljanju dostopnosti zdravil ter njihove varnosti, učinkovitosti in kakovosti. Predlog novele med drugim uvaja sistemsko ureditev zagotavljanja in financiranja zdravil v izjemnih razmerah. </w:t>
      </w:r>
    </w:p>
    <w:p w14:paraId="0CADD987" w14:textId="77777777" w:rsidR="000F51A6" w:rsidRDefault="000F51A6" w:rsidP="000F51A6"/>
    <w:p w14:paraId="047ECC37" w14:textId="77777777" w:rsidR="000F51A6" w:rsidRDefault="000F51A6" w:rsidP="000F51A6">
      <w:r>
        <w:t xml:space="preserve">Novela vključuje tudi ureditev uradnih kontrol kakovosti učinkovin, ki se uporabljajo v magistralnih zdravilih, s čimer se dodatno zagotavlja kakovost in varnost teh zdravil ter celostno ureja in dopolnjuje področje uporabe </w:t>
      </w:r>
      <w:proofErr w:type="spellStart"/>
      <w:r>
        <w:t>nerutinsko</w:t>
      </w:r>
      <w:proofErr w:type="spellEnd"/>
      <w:r>
        <w:t xml:space="preserve"> pripravljenih zdravil za napredno zdravljenje. </w:t>
      </w:r>
    </w:p>
    <w:p w14:paraId="60355F1A" w14:textId="0F6D07FD" w:rsidR="007D6165" w:rsidRDefault="000F51A6" w:rsidP="000F51A6">
      <w:pPr>
        <w:pStyle w:val="Vir"/>
      </w:pPr>
      <w:r>
        <w:t>Vir: Ministrstvo za zdravje</w:t>
      </w:r>
    </w:p>
    <w:p w14:paraId="080E96CD" w14:textId="7DCB3E9F" w:rsidR="0086309C" w:rsidRDefault="0086309C" w:rsidP="0086309C">
      <w:pPr>
        <w:pStyle w:val="Naslov2"/>
      </w:pPr>
      <w:r>
        <w:t>Vlada podala soglasje k Finančnemu načrtu Zavoda za zdravstveno zavarovanje Slovenije za leto 2025</w:t>
      </w:r>
    </w:p>
    <w:p w14:paraId="6C0B37F8" w14:textId="77777777" w:rsidR="0086309C" w:rsidRDefault="0086309C" w:rsidP="0086309C">
      <w:r>
        <w:t>Vlada Republike Slovenije je na današnji seji dala soglasje k Finančnemu načrtu Zavoda za zdravstveno zavarovanje Slovenije (ZZZS) za leto 2025, ki ga je decembra 2024 sprejela Skupščina ZZZS.</w:t>
      </w:r>
    </w:p>
    <w:p w14:paraId="056F0322" w14:textId="77777777" w:rsidR="0086309C" w:rsidRDefault="0086309C" w:rsidP="0086309C"/>
    <w:p w14:paraId="0ED7E155" w14:textId="77777777" w:rsidR="0086309C" w:rsidRDefault="0086309C" w:rsidP="0086309C">
      <w:r>
        <w:t>Finančni načrt ZZZS za leto 2025 načrtuje prihodke v višini 6.008 milijonov evrov in odhodke v višini 5.860 milijonov evrov. Pričakovani rezultat poslovanja ZZZS v letu 2025 torej predvideva presežek prihodkov nad odhodki v višini 148 milijonov evrov.</w:t>
      </w:r>
    </w:p>
    <w:p w14:paraId="0AEC3347" w14:textId="77777777" w:rsidR="0086309C" w:rsidRDefault="0086309C" w:rsidP="0086309C"/>
    <w:p w14:paraId="2277E384" w14:textId="77777777" w:rsidR="0086309C" w:rsidRDefault="0086309C" w:rsidP="0086309C">
      <w:r>
        <w:t xml:space="preserve">Glavnina prihodkov in odhodkov je pričakovana iz naslova obveznega zdravstvenega zavarovanja (OZZ), in sicer oboje v višini 5750 milijonov evrov, medtem ko je 258 milijonov evrov prihodkov predvidenih iz obveznega zavarovanja za dolgotrajno oskrbo (OZDO), za katerega so predvideni odhodki v višini 110 milijonov evrov. </w:t>
      </w:r>
    </w:p>
    <w:p w14:paraId="6C6005AF" w14:textId="77777777" w:rsidR="0086309C" w:rsidRDefault="0086309C" w:rsidP="0086309C"/>
    <w:p w14:paraId="3AC6F666" w14:textId="77777777" w:rsidR="0086309C" w:rsidRDefault="0086309C" w:rsidP="0086309C">
      <w:r>
        <w:t>Prihodki vključujejo tudi 397,1 milijona evrov transferjev iz državnega proračuna za kritje določenih odhodkov OZZ ter 2,5 milijona evrov za povračilo stroškov za vzpostavitev pogojev za uvedbo dolgotrajne oskrbe.</w:t>
      </w:r>
    </w:p>
    <w:p w14:paraId="7DE76937" w14:textId="77777777" w:rsidR="0086309C" w:rsidRDefault="0086309C" w:rsidP="0086309C"/>
    <w:p w14:paraId="31BC4BBB" w14:textId="77777777" w:rsidR="0086309C" w:rsidRDefault="0086309C" w:rsidP="0086309C">
      <w:r>
        <w:t xml:space="preserve">Finančni načrt vključuje tudi pričakovano rast prihodkov in stroškov, ki je povezana z napovedano plačno reformo v javnem sektorju, investicijami v zdravstvene storitve ter uvajanjem novih programov in zdravil. </w:t>
      </w:r>
    </w:p>
    <w:p w14:paraId="42185395" w14:textId="1FB21C61" w:rsidR="007D6165" w:rsidRDefault="0086309C" w:rsidP="0086309C">
      <w:pPr>
        <w:pStyle w:val="Vir"/>
      </w:pPr>
      <w:r>
        <w:t>Vir: Ministrstvo za zdravje</w:t>
      </w:r>
    </w:p>
    <w:p w14:paraId="34F5822D" w14:textId="3FC4E56B" w:rsidR="00AB4E6E" w:rsidRDefault="00AB4E6E" w:rsidP="00AB4E6E">
      <w:pPr>
        <w:pStyle w:val="Naslov2"/>
      </w:pPr>
      <w:r>
        <w:t>Vlada soglaša s finančnim načrtom Zavoda za pokojninsko in invalidsko zavarovanje Slovenije</w:t>
      </w:r>
    </w:p>
    <w:p w14:paraId="2D235140" w14:textId="77777777" w:rsidR="00AB4E6E" w:rsidRDefault="00AB4E6E" w:rsidP="00AB4E6E">
      <w:r>
        <w:lastRenderedPageBreak/>
        <w:t xml:space="preserve">Vlada je dala soglasje k Finančnemu načrtu Zavoda za pokojninsko in invalidsko zavarovanje Slovenije (ZPIZ) za leto 2025. </w:t>
      </w:r>
    </w:p>
    <w:p w14:paraId="3EF0C80F" w14:textId="77777777" w:rsidR="00AB4E6E" w:rsidRDefault="00AB4E6E" w:rsidP="00AB4E6E"/>
    <w:p w14:paraId="3637D00D" w14:textId="77777777" w:rsidR="00AB4E6E" w:rsidRDefault="00AB4E6E" w:rsidP="00AB4E6E">
      <w:r>
        <w:t xml:space="preserve">Zavod opredeljuje svoje finančno poslovanje s finančnim načrtom. V njem se načrtujejo prihodki iz naslova prispevkov in drugih virov ter odhodki za zagotavljanje pravic in za izvajanje zavarovanja ter drugih obveznosti, vključno z opredelitvijo sredstev, ki jih zagotavlja državni proračun. Finančni načrt tako zajema vse načrtovane prihodke in odhodke zavoda, ki bodo plačani v dobro in izplačani v breme zavoda v koledarskem letu. Po tretjem odstavku 165. člena Zakona o pokojninskem in invalidskem zavarovanju (ZPIZ-2) finančni načrt sprejme Svet zavoda, Vlada Republike Slovenije pa k njemu poda soglasje. </w:t>
      </w:r>
    </w:p>
    <w:p w14:paraId="16354C15" w14:textId="77777777" w:rsidR="00AB4E6E" w:rsidRDefault="00AB4E6E" w:rsidP="00AB4E6E"/>
    <w:p w14:paraId="15B46E70" w14:textId="77777777" w:rsidR="00AB4E6E" w:rsidRDefault="00AB4E6E" w:rsidP="00AB4E6E">
      <w:r>
        <w:t>Skupni prihodki zavoda so načrtovani v višini 8.369.578.419 evrov in bodo za 6,4 odstotka višji kot v oceni 2024. Skupni odhodki zavoda so za leto 2025 načrtovani v višini 8.369.578.419 evrov in bodo za 6,4 odstotka višji, kot v oceni 2024, kar pomeni, da ne presegajo višine, določene v veljavnem Okviru za leto 2025.</w:t>
      </w:r>
    </w:p>
    <w:p w14:paraId="520BF529" w14:textId="45FD89FE" w:rsidR="007D6165" w:rsidRDefault="00AB4E6E" w:rsidP="00AB4E6E">
      <w:pPr>
        <w:pStyle w:val="Vir"/>
      </w:pPr>
      <w:r>
        <w:t>Vir: Ministrstvo za delo, družino, socialne zadeve in enake možnosti.</w:t>
      </w:r>
    </w:p>
    <w:p w14:paraId="5C083149" w14:textId="6FC1D9EC" w:rsidR="00867AB4" w:rsidRDefault="00867AB4" w:rsidP="00867AB4">
      <w:pPr>
        <w:pStyle w:val="Naslov2"/>
      </w:pPr>
      <w:r>
        <w:t>Vlada soglaša s kandidaturo Smučarske zveze Slovenije za organizacijo Svetovnega prvenstva v para biatlonu na Pokljuki</w:t>
      </w:r>
    </w:p>
    <w:p w14:paraId="0D92DF32" w14:textId="77777777" w:rsidR="00867AB4" w:rsidRDefault="00867AB4" w:rsidP="00867AB4">
      <w:r>
        <w:t>Vlada soglaša s kandidaturo Smučarske zveze Slovenije pri Mednarodni biatlonski zvezi (IBU) za organizacijo IBU Svetovnega prvenstva v para biatlonu, ki bo od 4. do 9. februarja 2025 na Pokljuki. Prav tako je Smučarski zvezi Slovenije podala soglasje za sofinanciranje organizacije svetovnega prvenstva, ki bo izvedeno skladno z letnim programom športa v Republiki Sloveniji za leto 2025 in na podlagi Pravilnika o sofinanciranju izvajanja letnega programa športa na državni ravni.</w:t>
      </w:r>
    </w:p>
    <w:p w14:paraId="2AA66222" w14:textId="77777777" w:rsidR="00867AB4" w:rsidRDefault="00867AB4" w:rsidP="00867AB4"/>
    <w:p w14:paraId="56894379" w14:textId="21CC0346" w:rsidR="00867AB4" w:rsidRDefault="00867AB4" w:rsidP="00867AB4">
      <w:r>
        <w:t xml:space="preserve">V skladu  z Zakonom o športu morajo kandidati za organizacijo velikih mednarodnih športnih prireditev v Republiki Sloveniji pred vložitvijo kandidature za svetovna prvenstva pri mednarodni športni zvezi pridobiti vladno soglasje h kandidaturi in morebitnemu sofinanciranju iz državnih sredstev. </w:t>
      </w:r>
    </w:p>
    <w:p w14:paraId="07D60FC4" w14:textId="77777777" w:rsidR="00867AB4" w:rsidRDefault="00867AB4" w:rsidP="00867AB4"/>
    <w:p w14:paraId="6AEE6FA4" w14:textId="4C0F73B0" w:rsidR="00867AB4" w:rsidRDefault="00867AB4" w:rsidP="00867AB4">
      <w:r>
        <w:t>Organizator je že prejel pogojno soglasje IBU za organizacijo svetovnega prvenstva, pod pogojem pridobitve soglasja Vlade Republike Slovenije. Zaradi časovne stiske in pomembnosti prireditve je le-to že vključil v koledar. Do meseca maja 2024 je bila namreč pristojnost organizacije svetovnega prvenstva v para biatlonu pod skupno organizacijo Mednarodne smučarske zveze (FIS) in IBU. Šele na mednarodnem kongresu IBU, ki je potekal od 26. do 29. septembra 2024, pa je bil sprejet dogovor, da koordinacijo svetovnih prvenstev v para biatlonu v celoti prevzame IBU. Zaradi bližajoče se zimske sezone in časovnih omejitev ni bilo več mogoče izvesti popolnega kandidacijskega postopka. Član izvršnega odbora IBU Tim Farčnik je zato predlagal kandidaturo Pokljuke, ki je že prej sodelovala v pogovorih s FIS in izrazila pripravljenost za sodelovanje. Na podlagi teh dogovorov je organizator prejel pogojno soglasje za organizacijo prireditve, pod pogojem pridobitve soglasja Vlade Republike Slovenije.</w:t>
      </w:r>
    </w:p>
    <w:p w14:paraId="19E9CE41" w14:textId="77777777" w:rsidR="00867AB4" w:rsidRDefault="00867AB4" w:rsidP="00867AB4"/>
    <w:p w14:paraId="583DDBFD" w14:textId="3A278A1A" w:rsidR="00867AB4" w:rsidRDefault="00867AB4" w:rsidP="00867AB4">
      <w:r>
        <w:t xml:space="preserve">Na podlagi sprejeta vladnega sklepa bo Smučarska zveza Slovenije lahko organizirala prireditev ter kandidirala na javnem razpisu v letu 2025 za sofinanciranje v okviru sofinanciranja izvajanja letnega programa športa na državni ravni, kot to določa Pravilnik o sofinanciranju izvajanja letnega športa na državni ravni. </w:t>
      </w:r>
    </w:p>
    <w:p w14:paraId="2310A824" w14:textId="616FB785" w:rsidR="007D6165" w:rsidRDefault="00867AB4" w:rsidP="00867AB4">
      <w:pPr>
        <w:pStyle w:val="Vir"/>
      </w:pPr>
      <w:r>
        <w:t>Vir: Ministrstvo za gospodarstvo, turizem in šport</w:t>
      </w:r>
    </w:p>
    <w:p w14:paraId="06C7E86F" w14:textId="7A17BE40" w:rsidR="004513FE" w:rsidRDefault="004513FE" w:rsidP="004513FE">
      <w:pPr>
        <w:pStyle w:val="Naslov2"/>
      </w:pPr>
      <w:r w:rsidRPr="004513FE">
        <w:t>Informacija o Javnem razpisu za spodbujanje investicij za gospodarsko prestrukturiranje v zasavski in Savinjsko–Šaleški premogovni regiji v okviru sklada za pravični prehod v obdobju 2024–2027</w:t>
      </w:r>
    </w:p>
    <w:p w14:paraId="30D01093" w14:textId="3E2CA43F" w:rsidR="00EF6B0C" w:rsidRDefault="00EF6B0C" w:rsidP="00EF6B0C">
      <w:r>
        <w:lastRenderedPageBreak/>
        <w:t>Vlada se je na današnji seji seznanila z informacijo MGTŠ o javnem razpisu za spodbujanje investicij za gospodarsko prestrukturiranje v Zasavski in Savinjsko-Šaleški premogovni regiji v okviru Sklada za pravični prehod v obdobju 2024–2027.</w:t>
      </w:r>
      <w:r>
        <w:t xml:space="preserve"> </w:t>
      </w:r>
      <w:r>
        <w:t>Kot je na seji vlade povedal predsednik vlade dr. Robert Golob, je Savinjsko-Š</w:t>
      </w:r>
      <w:r>
        <w:t>a</w:t>
      </w:r>
      <w:r>
        <w:t>l</w:t>
      </w:r>
      <w:r>
        <w:t>e</w:t>
      </w:r>
      <w:r>
        <w:t xml:space="preserve">ška premogovna regija dovolj pretrpela in trpi tudi danes. Naloga vlade je, da za območji premogovnih regij ustvari nova, kakovostna delovna mesta in jima omogoči razvoj. Predsednik vlade je ob tem poudaril, da je zaradi reševanja teh izzivov še toliko bolj pomembno, da se kakršnekoli nepravilnosti pri vodenju postopkov z javnimi razpisi za njuno prestrukturiranje takoj razrešijo. </w:t>
      </w:r>
    </w:p>
    <w:p w14:paraId="39189ECF" w14:textId="77777777" w:rsidR="00EF6B0C" w:rsidRDefault="00EF6B0C" w:rsidP="00EF6B0C">
      <w:r>
        <w:t xml:space="preserve"> </w:t>
      </w:r>
    </w:p>
    <w:p w14:paraId="71EC6679" w14:textId="60AABB73" w:rsidR="00EF6B0C" w:rsidRDefault="00EF6B0C" w:rsidP="00EF6B0C">
      <w:r>
        <w:t>Ministrstvu za gospodarstvo, turizem in šport je Vlada naložila, da izdela podrobnejše smernice in kriterije za pripravo razpisov za dodeljevanje javnih sredstev iz Programa ukrepov za spodbujanje podjetništva in konkurenčnosti in Vlado z njimi seznani.</w:t>
      </w:r>
    </w:p>
    <w:p w14:paraId="19E56FEE" w14:textId="410775F6" w:rsidR="00EF6B0C" w:rsidRDefault="00EF6B0C" w:rsidP="00EF6B0C">
      <w:pPr>
        <w:pStyle w:val="Vir"/>
      </w:pPr>
      <w:r w:rsidRPr="00EF6B0C">
        <w:t>Vir: Ministrstvo za gospodarstvo, turizem in šport</w:t>
      </w:r>
    </w:p>
    <w:p w14:paraId="1B4FA91B" w14:textId="7C4C4E40" w:rsidR="002A48E1" w:rsidRDefault="002A48E1" w:rsidP="00090AE7">
      <w:pPr>
        <w:pStyle w:val="Naslov2"/>
      </w:pPr>
      <w:r>
        <w:t xml:space="preserve">Informacija o nameravani nadgradnji strojne opreme novega slovenskega superračunalnika </w:t>
      </w:r>
    </w:p>
    <w:p w14:paraId="2415DBE1" w14:textId="6F2E7FCB" w:rsidR="00090AE7" w:rsidRDefault="00090AE7" w:rsidP="00090AE7">
      <w:r>
        <w:t xml:space="preserve">Vlada se je seznanila z informacijo, da bo v primeru uspešne slovenske prijave na razpis EU Skupnega podjetja </w:t>
      </w:r>
      <w:proofErr w:type="spellStart"/>
      <w:r>
        <w:t>EuroHPC</w:t>
      </w:r>
      <w:proofErr w:type="spellEnd"/>
      <w:r>
        <w:t xml:space="preserve"> za dobavo in vzpostavitev novega superračunalnika, po dveh letih njegovega delovanja sledila nadgradnja z novo strojno opremo.</w:t>
      </w:r>
    </w:p>
    <w:p w14:paraId="75A10766" w14:textId="77777777" w:rsidR="00090AE7" w:rsidRDefault="00090AE7" w:rsidP="00090AE7"/>
    <w:p w14:paraId="3DA5CAE4" w14:textId="77777777" w:rsidR="00090AE7" w:rsidRDefault="00090AE7" w:rsidP="00090AE7">
      <w:r>
        <w:t>Superračunalniška oprema namreč zastara že v dveh do treh letih in v nekaterih primerih postane neuporabna za določena področja umetne inteligence. Zato je smiselno investicije načrtovati tako, da omogočajo kontinuirano posodabljanje ključnih komponent, kar zagotavlja konkurenčnost tako na področju umetne inteligence kot tudi v znanosti, industriji in javnih storitvah.</w:t>
      </w:r>
    </w:p>
    <w:p w14:paraId="1C6569F7" w14:textId="77777777" w:rsidR="00090AE7" w:rsidRDefault="00090AE7" w:rsidP="00090AE7"/>
    <w:p w14:paraId="799EFA19" w14:textId="77777777" w:rsidR="00090AE7" w:rsidRDefault="00090AE7" w:rsidP="00090AE7">
      <w:r>
        <w:t xml:space="preserve">Če bo slovenska prijava izbrana in potrjena za sofinanciranje, vlada predlaga izvedbo prve faze projekta superračunalnika s tovarno umetne inteligence v finančnem obsegu do 100 milijonov evrov (do 50.000.000,00 evrov nacionalnih sredstev, do 50.000.000,00 evrov pa znaša predvideno sofinanciranje EU Skupnega podjetja </w:t>
      </w:r>
      <w:proofErr w:type="spellStart"/>
      <w:r>
        <w:t>EuroHPC</w:t>
      </w:r>
      <w:proofErr w:type="spellEnd"/>
      <w:r>
        <w:t>). V prvi fazi bo projekt obsegal nakup, dobavo, vzpostavitev delovanja in delovanje superračunalnika ter vzpostavitev in delovanje tovarne umetne inteligence.</w:t>
      </w:r>
    </w:p>
    <w:p w14:paraId="62ED9B53" w14:textId="77777777" w:rsidR="00090AE7" w:rsidRDefault="00090AE7" w:rsidP="00090AE7"/>
    <w:p w14:paraId="506C9DF0" w14:textId="77777777" w:rsidR="00090AE7" w:rsidRDefault="00090AE7" w:rsidP="00090AE7">
      <w:r>
        <w:t xml:space="preserve">Druga faza projekta bo namenjena nadgradnji strojne opreme superračunalnika, pridobljenega v prvi fazi, z najnovejšimi grafičnimi procesnimi enotami. Ta faza bo izvedena po dveh letih delovanja superračunalnika in bo imela finančni obseg do 50 milijonov evrov, od tega do 25 milijonov evrov iz nacionalnih sredstev in do 25 milijonov evrov predvidenega sofinanciranja EU Skupnega podjetja </w:t>
      </w:r>
      <w:proofErr w:type="spellStart"/>
      <w:r>
        <w:t>EuroHPC</w:t>
      </w:r>
      <w:proofErr w:type="spellEnd"/>
      <w:r>
        <w:t>. V tej fazi bo nabavljena naprednejša tehnologija, ki bo zagotavljala nadaljnjo konkurenčnost superračunalnika in tovarne umetne inteligence.</w:t>
      </w:r>
    </w:p>
    <w:p w14:paraId="71F3D168" w14:textId="77777777" w:rsidR="00090AE7" w:rsidRDefault="00090AE7" w:rsidP="00090AE7"/>
    <w:p w14:paraId="31B57F17" w14:textId="77777777" w:rsidR="00090AE7" w:rsidRDefault="00090AE7" w:rsidP="00090AE7">
      <w:r>
        <w:t xml:space="preserve">Celotna vrednost projekta znaša do 150 milijonov evrov, od tega do 75 milijonov evrov iz nacionalnih sredstev in do 75 milijonov evrov predvidenega sofinanciranja EU Skupnega podjetja </w:t>
      </w:r>
      <w:proofErr w:type="spellStart"/>
      <w:r>
        <w:t>EuroHPC</w:t>
      </w:r>
      <w:proofErr w:type="spellEnd"/>
      <w:r>
        <w:t>.</w:t>
      </w:r>
    </w:p>
    <w:p w14:paraId="1AD95605" w14:textId="77777777" w:rsidR="00090AE7" w:rsidRDefault="00090AE7" w:rsidP="00090AE7"/>
    <w:p w14:paraId="1EC5CE4B" w14:textId="77777777" w:rsidR="00090AE7" w:rsidRDefault="00090AE7" w:rsidP="00090AE7">
      <w:r>
        <w:t>Skupni cilj projekta je zagotavljanje vrhunske superračunalniške infrastrukture in spodbujanje razvoja umetne inteligence v Sloveniji.</w:t>
      </w:r>
    </w:p>
    <w:p w14:paraId="286AF278" w14:textId="65583372" w:rsidR="00090AE7" w:rsidRDefault="00090AE7" w:rsidP="00090AE7">
      <w:pPr>
        <w:pStyle w:val="Vir"/>
      </w:pPr>
      <w:r>
        <w:t>Vir: Ministrstvo za digitalno preobrazbo</w:t>
      </w:r>
    </w:p>
    <w:p w14:paraId="7CB80BCE" w14:textId="796BD064" w:rsidR="00A175CA" w:rsidRDefault="00A175CA" w:rsidP="00A175CA">
      <w:pPr>
        <w:pStyle w:val="Naslov2"/>
      </w:pPr>
      <w:r>
        <w:t>Vlada je na mesto direktorja Javnega zavoda Krajinski park Ljubljansko barje imenovala Janeza Kastelica</w:t>
      </w:r>
    </w:p>
    <w:p w14:paraId="7DEBE07C" w14:textId="77777777" w:rsidR="00A175CA" w:rsidRDefault="00A175CA" w:rsidP="00A175CA">
      <w:r>
        <w:lastRenderedPageBreak/>
        <w:t>Vlada Republike Slovenije je izdala odločbo o imenovanju Janeza Kastelica za direktorja Javnega zavoda Krajinski park Ljubljansko barje za mandatno dobo štirih let, in sicer od 30. 1. 2025 do 29. 1. 2029, z možnostjo ponovnega imenovanja.</w:t>
      </w:r>
    </w:p>
    <w:p w14:paraId="5D0FE67D" w14:textId="77777777" w:rsidR="00A175CA" w:rsidRDefault="00A175CA" w:rsidP="00A175CA"/>
    <w:p w14:paraId="460A238D" w14:textId="77777777" w:rsidR="00A175CA" w:rsidRDefault="00A175CA" w:rsidP="00A175CA">
      <w:r>
        <w:t>Komisija za vodenje izbirnega postopka je po presoji strokovne usposobljenosti iz predložene dokumentacije in na podlagi razgovorov ocenila, da je najprimernejši kandidat Janez Kastelic in ga ministru predlagala za imenovanje na mesto direktorja omenjenega javnega zavoda. K imenovanju je pozitivno mnenje podal tudi svet zavoda, zato je minister za naravne vire in prostor vladi predlagal njegovo imenovanje.</w:t>
      </w:r>
    </w:p>
    <w:p w14:paraId="0E029F68" w14:textId="77777777" w:rsidR="00A175CA" w:rsidRDefault="00A175CA" w:rsidP="00A175CA"/>
    <w:p w14:paraId="15AA21B0" w14:textId="77777777" w:rsidR="00A175CA" w:rsidRDefault="00A175CA" w:rsidP="00A175CA">
      <w:r>
        <w:t>Janez Kastelic je univerzitetni diplomirani inženir gozdarstva in Javni zavod Krajinski park Ljubljansko barje vodi tudi trenutno. S to odločbo je ponovno imenovan na mesto direktorja zavoda.</w:t>
      </w:r>
    </w:p>
    <w:p w14:paraId="706C40AD" w14:textId="3ADB2CA9" w:rsidR="007D6165" w:rsidRDefault="00A175CA" w:rsidP="00A175CA">
      <w:pPr>
        <w:pStyle w:val="Vir"/>
      </w:pPr>
      <w:r>
        <w:t>Vir: Ministrstvo za naravne vire in prostor</w:t>
      </w:r>
    </w:p>
    <w:p w14:paraId="7DDC275A" w14:textId="5BCC47E6" w:rsidR="00126770" w:rsidRDefault="00126770" w:rsidP="00126770">
      <w:pPr>
        <w:pStyle w:val="Naslov2"/>
      </w:pPr>
      <w:r>
        <w:t>Vlada imenovala novega vršilca dolžnosti generalnega direktorja Direktorata za letalski in pomorski promet</w:t>
      </w:r>
    </w:p>
    <w:p w14:paraId="561E1167" w14:textId="77777777" w:rsidR="00126770" w:rsidRDefault="00126770" w:rsidP="00126770">
      <w:r>
        <w:t>Vlada je izdala odločbo o razrešitvi dosedanjega vršilca dolžnosti generalnega direktorja Direktorata za letalski in pomorski promet v Ministrstvu za infrastrukturo in imenovala novega vršilca dolžnosti generalnega direktorja tega direktorata.</w:t>
      </w:r>
    </w:p>
    <w:p w14:paraId="5A8E71B0" w14:textId="77777777" w:rsidR="00126770" w:rsidRDefault="00126770" w:rsidP="00126770"/>
    <w:p w14:paraId="25AC528B" w14:textId="77777777" w:rsidR="00126770" w:rsidRDefault="00126770" w:rsidP="00126770">
      <w:r>
        <w:t xml:space="preserve">Dosedanji vršilec dolžnosti generalnega direktorja Robert Latin je ministrici za infrastrukturo podal odstopno izjavo, v kateri je navedel, da želi razrešitev s položaja vršilca dolžnosti generalnega direktorja Direktorata za letalski in pomorski promet v Ministrstvu za infrastrukturo. </w:t>
      </w:r>
    </w:p>
    <w:p w14:paraId="5EE75DA9" w14:textId="77777777" w:rsidR="00126770" w:rsidRDefault="00126770" w:rsidP="00126770"/>
    <w:p w14:paraId="6D00FAF4" w14:textId="77777777" w:rsidR="00126770" w:rsidRDefault="00126770" w:rsidP="00126770">
      <w:r>
        <w:t xml:space="preserve">Ministrica za infrastrukturo je zato vladi predlagala njegovo razrešitev, za novega vršilca dolžnosti direktorja pa je predlagala Tomaža Pečnika, in sicer do imenovanja novega generalnega direktorja Direktorata za letalski in pomorski promet po opravljenem natečajnem postopku, vendar največ za šest mesecev, to je najdlje do 22. 7. 2025. </w:t>
      </w:r>
    </w:p>
    <w:p w14:paraId="59A84552" w14:textId="77777777" w:rsidR="00126770" w:rsidRDefault="00126770" w:rsidP="00126770"/>
    <w:p w14:paraId="27783D2C" w14:textId="77777777" w:rsidR="00126770" w:rsidRDefault="00126770" w:rsidP="00126770">
      <w:r>
        <w:t>Tomaž Pečnik izpolnjuje pogoje za vršilca dolžnosti generalnega direktorja Direktorata za letalski in pomorski promet v Ministrstvu za infrastrukturo. Na svoji poklicni poti je opravljal veliko strokovnih in vodstvenih  del v panogi letalstva, tudi v družbah Adria Airways in Adria Airways Tehnika.</w:t>
      </w:r>
    </w:p>
    <w:p w14:paraId="2A0DC85D" w14:textId="4ACF876B" w:rsidR="007D6165" w:rsidRDefault="00126770" w:rsidP="00126770">
      <w:pPr>
        <w:pStyle w:val="Vir"/>
      </w:pPr>
      <w:r>
        <w:t>Vir: Ministrstvo za infrastrukturo</w:t>
      </w:r>
    </w:p>
    <w:p w14:paraId="53FA74CD" w14:textId="237D03BD" w:rsidR="001B2FCF" w:rsidRDefault="001B2FCF" w:rsidP="001B2FCF">
      <w:pPr>
        <w:pStyle w:val="Naslov2"/>
      </w:pPr>
      <w:r>
        <w:t>Vlada imenovala Anito Veternik za namestnico nacionalnega predstavnika v Eurojust-u</w:t>
      </w:r>
    </w:p>
    <w:p w14:paraId="538EBBFE" w14:textId="77777777" w:rsidR="001B2FCF" w:rsidRDefault="001B2FCF" w:rsidP="001B2FCF">
      <w:r>
        <w:t>Vlada je na današnji seji  izdala odločbo o imenovanju okrožne državne tožilke Anite Veternik za namestnico nacionalnega predstavnika v Agenciji Evropske unije za pravosodno sodelovanje v kazenskih zadevah – Eurojust. Odločba se objavi v Uradnem listu Republike Slovenije.</w:t>
      </w:r>
    </w:p>
    <w:p w14:paraId="54A63606" w14:textId="25CEF297" w:rsidR="007D6165" w:rsidRPr="001B2FCF" w:rsidRDefault="001B2FCF" w:rsidP="001B2FCF">
      <w:pPr>
        <w:pStyle w:val="Vir"/>
        <w:rPr>
          <w:rStyle w:val="tevilkastrani"/>
        </w:rPr>
      </w:pPr>
      <w:r w:rsidRPr="001B2FCF">
        <w:rPr>
          <w:rStyle w:val="tevilkastrani"/>
        </w:rPr>
        <w:t>Vir: Ministrstvo za pravosodje</w:t>
      </w:r>
    </w:p>
    <w:p w14:paraId="26FB32F5" w14:textId="45D7A131" w:rsidR="00B62369" w:rsidRDefault="00B62369" w:rsidP="00B62369">
      <w:pPr>
        <w:pStyle w:val="Naslov2"/>
      </w:pPr>
      <w:r>
        <w:t>Vlada podala soglasje k imenovanju direktorja Splošne bolnišnice Trbovlje</w:t>
      </w:r>
    </w:p>
    <w:p w14:paraId="3179C742" w14:textId="77777777" w:rsidR="00B62369" w:rsidRDefault="00B62369" w:rsidP="00B62369">
      <w:r>
        <w:t xml:space="preserve">Vlada Republike Slovenije je na današnji seji dala soglasje k imenovanju mag. Marjana Podgorška za direktorja javnega zdravstvenega zavoda Splošna bolnišnica Trbovlje za mandatno dobo štirih let, in sicer od 1. februarja 2025 do 31. januarja 2029, z možnostjo ponovnega imenovanja. </w:t>
      </w:r>
    </w:p>
    <w:p w14:paraId="7171A5E6" w14:textId="27DE01D9" w:rsidR="007D6165" w:rsidRDefault="00B62369" w:rsidP="00B62369">
      <w:pPr>
        <w:pStyle w:val="Vir"/>
      </w:pPr>
      <w:r>
        <w:t>Vir: Ministrstvo za zdravje</w:t>
      </w:r>
    </w:p>
    <w:p w14:paraId="1E15317E" w14:textId="77777777" w:rsidR="00787674" w:rsidRDefault="00787674" w:rsidP="00787674">
      <w:pPr>
        <w:pStyle w:val="Naslov2"/>
      </w:pPr>
      <w:r>
        <w:lastRenderedPageBreak/>
        <w:t>Imenovanje predstavnikov ustanovitelja v Svet javnega socialnovarstvenega zavoda Dom starejših občanov Ilirska Bistrica</w:t>
      </w:r>
    </w:p>
    <w:p w14:paraId="7B0D656F" w14:textId="77777777" w:rsidR="00787674" w:rsidRDefault="00787674" w:rsidP="00787674">
      <w:r>
        <w:t>Vlada je sprejela sklep, da se v svet javnega socialnovarstvenega zavoda Doma starejših občanov Ilirska Bistrica za mandatno dobo štirih let, od ustanovitvene seje sveta zavoda, kot predstavniki ustanovitelja imenujejo: Nevenka Tomšič, Marjan Tavčar, Mag. Damijana Hrabar, Helena Bohl Gombač, Urška Blazinšek.</w:t>
      </w:r>
    </w:p>
    <w:p w14:paraId="4BF94032" w14:textId="77777777" w:rsidR="00787674" w:rsidRDefault="00787674" w:rsidP="00787674"/>
    <w:p w14:paraId="34209528" w14:textId="77777777" w:rsidR="00787674" w:rsidRDefault="00787674" w:rsidP="00787674">
      <w:r>
        <w:t>Na podlagi Sklepa o ustanovitvi javnega socialnovarstvenega zavoda Doma starejših občanov Ilirska Bistrica svet zavoda 9 članov, in sicer 5 predstavnikov ustanovitelja, 2 predstavnika delavcev, 1 predstavnik oskrbovancev in 1 predstavnik lokalne skupnosti.</w:t>
      </w:r>
    </w:p>
    <w:p w14:paraId="6106F4F3" w14:textId="77777777" w:rsidR="00787674" w:rsidRDefault="00787674" w:rsidP="00787674"/>
    <w:p w14:paraId="62EFEAD0" w14:textId="77777777" w:rsidR="00787674" w:rsidRDefault="00787674" w:rsidP="00787674">
      <w:r>
        <w:t>Mandat sveta zavoda traja 4 leta in začne teči od njegove konstitutivne seje. Ker sedanjim predstavnikom ustanovitelja v svetu javnega socialnovarstvenega zavoda Doma starejših občanov Ilirska Bistrica 24. 1. 2025 poteče mandat, pristojni organ imenuje nove predstavnike ustanovitelja v navedeni organ.</w:t>
      </w:r>
    </w:p>
    <w:p w14:paraId="25FBD85F" w14:textId="291013EB" w:rsidR="00787674" w:rsidRDefault="00787674" w:rsidP="00787674">
      <w:pPr>
        <w:pStyle w:val="Vir"/>
      </w:pPr>
      <w:r>
        <w:t>Vir: Ministrstvo za solidarno prihodnost</w:t>
      </w:r>
    </w:p>
    <w:p w14:paraId="530F87A2" w14:textId="07D31334" w:rsidR="00787674" w:rsidRDefault="00787674" w:rsidP="00787674">
      <w:pPr>
        <w:pStyle w:val="Naslov2"/>
      </w:pPr>
      <w:r>
        <w:t>Imenovanje predstavnikov ustanovitelja v Svet javnega socialnovarstvenega zavoda Dom starejših občanov Ljubljana Bežigrad</w:t>
      </w:r>
    </w:p>
    <w:p w14:paraId="60C17CA9" w14:textId="77777777" w:rsidR="00787674" w:rsidRDefault="00787674" w:rsidP="00787674">
      <w:r>
        <w:t xml:space="preserve">Vlada je sprejela sklep, da se v svet javnega socialnovarstvenega zavoda Doma starejših občanov Ljubljana - Bežigrad za mandatno dobo štirih let, od ustanovitvene seje sveta zavoda, kot predstavniki ustanovitelja imenujejo: Lena Marković </w:t>
      </w:r>
      <w:proofErr w:type="spellStart"/>
      <w:r>
        <w:t>Vukina</w:t>
      </w:r>
      <w:proofErr w:type="spellEnd"/>
      <w:r>
        <w:t xml:space="preserve">, Miha Papež, Avguština Zupančič, Janja Žlogar Piano, Monika Naumovski, Igor </w:t>
      </w:r>
      <w:proofErr w:type="spellStart"/>
      <w:r>
        <w:t>Gomerčić</w:t>
      </w:r>
      <w:proofErr w:type="spellEnd"/>
      <w:r>
        <w:t>.</w:t>
      </w:r>
    </w:p>
    <w:p w14:paraId="79D854A7" w14:textId="77777777" w:rsidR="00787674" w:rsidRDefault="00787674" w:rsidP="00787674"/>
    <w:p w14:paraId="7B349522" w14:textId="77777777" w:rsidR="00787674" w:rsidRDefault="00787674" w:rsidP="00787674">
      <w:r>
        <w:t>Na podlagi Sklepa o ustanovitvi socialnovarstvenega zavoda Doma starejših občanov Ljubljana – Bežigrad sestavlja svet zavoda 10 članov, in sicer 6 predstavnikov ustanovitelja, 2 predstavnika delavcev, 1 predstavnik oskrbovancev in 1 predstavnik lokalne skupnosti.</w:t>
      </w:r>
    </w:p>
    <w:p w14:paraId="2B4A2CF8" w14:textId="77777777" w:rsidR="00787674" w:rsidRDefault="00787674" w:rsidP="00787674"/>
    <w:p w14:paraId="57ABE40F" w14:textId="77777777" w:rsidR="00787674" w:rsidRDefault="00787674" w:rsidP="00787674">
      <w:r>
        <w:t>Mandat sveta zavoda traja 4 leta in začne teči od njegove konstitutivne seje. Ker sedanjim predstavnikom ustanovitelja v svetu javnega socialnovarstvenega zavoda Doma starejših občanov Ljubljana - Bežigrad 16. 3. 2025 poteče mandat, pristojni organ imenuje nove predstavnike ustanovitelja v navedeni organ.</w:t>
      </w:r>
    </w:p>
    <w:p w14:paraId="6255C545" w14:textId="7858F59A" w:rsidR="00787674" w:rsidRDefault="00787674" w:rsidP="00787674">
      <w:pPr>
        <w:pStyle w:val="Vir"/>
      </w:pPr>
      <w:r>
        <w:t>Vir: Ministrstvo za solidarno prihodnost</w:t>
      </w:r>
    </w:p>
    <w:p w14:paraId="642B0FCD" w14:textId="77777777" w:rsidR="00787674" w:rsidRDefault="00787674" w:rsidP="00787674">
      <w:pPr>
        <w:pStyle w:val="Naslov2"/>
      </w:pPr>
      <w:r>
        <w:t>Imenovanje predstavnikov ustanovitelja v Svet javnega socialnovarstvenega zavoda Dom upokojencev Polzela</w:t>
      </w:r>
    </w:p>
    <w:p w14:paraId="14A286E8" w14:textId="77777777" w:rsidR="00787674" w:rsidRDefault="00787674" w:rsidP="00787674">
      <w:r>
        <w:t>Vlada je sprejela sklep, da se v svet javnega socialnovarstvenega zavoda Doma upokojencev Polzela za mandatno dobo štirih let, od ustanovitvene seje sveta zavoda, kot predstavniki ustanovitelja imenujejo: Tadej Fijavž,</w:t>
      </w:r>
    </w:p>
    <w:p w14:paraId="3A1E33B2" w14:textId="77777777" w:rsidR="00787674" w:rsidRDefault="00787674" w:rsidP="00787674">
      <w:r>
        <w:t>mag. Marjan Močnik, Suzana Vombek, Mihaela Anclin, Sergej Ocvirk.</w:t>
      </w:r>
    </w:p>
    <w:p w14:paraId="33B1FD18" w14:textId="77777777" w:rsidR="00787674" w:rsidRDefault="00787674" w:rsidP="00787674"/>
    <w:p w14:paraId="4E475BDB" w14:textId="77777777" w:rsidR="00787674" w:rsidRDefault="00787674" w:rsidP="00787674">
      <w:r>
        <w:t>Na podlagi Sklepa o preoblikovanju Doma upokojencev Polzela v javni socialnovarstveni zavod sestavlja svet zavoda 9 članov, in sicer 5 predstavnikov ustanovitelja, 2 predstavnika delavcev, 1 predstavnik oskrbovancev in 1 predstavnik lokalne skupnosti.</w:t>
      </w:r>
    </w:p>
    <w:p w14:paraId="229BCE1B" w14:textId="77777777" w:rsidR="00787674" w:rsidRDefault="00787674" w:rsidP="00787674"/>
    <w:p w14:paraId="4E3EAAB7" w14:textId="77777777" w:rsidR="00787674" w:rsidRDefault="00787674" w:rsidP="00787674">
      <w:r>
        <w:lastRenderedPageBreak/>
        <w:t>Mandat sveta zavoda traja 4 leta in začne teči od njegove konstitutivne seje. Ker sedanjim predstavnikom ustanovitelja v svetu javnega socialnovarstvenega zavoda Doma upokojencev Polzela 18. 2. 2025 poteče mandat, pristojni organ imenuje nove predstavnike ustanovitelja v navedeni organ.</w:t>
      </w:r>
    </w:p>
    <w:p w14:paraId="5527FE34" w14:textId="77777777" w:rsidR="00787674" w:rsidRDefault="00787674" w:rsidP="00787674">
      <w:pPr>
        <w:pStyle w:val="Vir"/>
      </w:pPr>
      <w:r>
        <w:t>Vir: Ministrstvo za solidarno prihodnost</w:t>
      </w:r>
    </w:p>
    <w:p w14:paraId="25D04492" w14:textId="791D84DA" w:rsidR="00787674" w:rsidRDefault="00787674" w:rsidP="00787674">
      <w:pPr>
        <w:pStyle w:val="Naslov2"/>
      </w:pPr>
      <w:r>
        <w:t>Imenovanje predstavnikov ustanovitelja v Svet javnega socialnovarstvenega zavoda Dom starejših občanov Preddvor</w:t>
      </w:r>
    </w:p>
    <w:p w14:paraId="4CBFC3CF" w14:textId="77777777" w:rsidR="00787674" w:rsidRDefault="00787674" w:rsidP="00787674">
      <w:r>
        <w:t>Vlada je sprejela sklep, da se v svet javnega socialnovarstvenega zavoda Doma starejših občanov Preddvor za mandatno dobo štirih let, od ustanovitvene seje sveta zavoda, kot predstavniki ustanovitelja imenujejo: Ivan Grginič, Maja Gradišek, mag. Zvonka Hočevar, Jožef Rozman, Ines Šmon.</w:t>
      </w:r>
    </w:p>
    <w:p w14:paraId="73C7A840" w14:textId="77777777" w:rsidR="00787674" w:rsidRDefault="00787674" w:rsidP="00787674">
      <w:r>
        <w:t xml:space="preserve"> </w:t>
      </w:r>
    </w:p>
    <w:p w14:paraId="4D8E871A" w14:textId="77777777" w:rsidR="00787674" w:rsidRDefault="00787674" w:rsidP="00787674">
      <w:r>
        <w:t>Na podlagi Sklepa o preoblikovanju Doma starejših občanov Preddvor sestavlja svet zavoda 9 članov, in sicer 5 predstavnikov ustanovitelja, 2 predstavnika delavcev, 1 predstavnik oskrbovancev in 1 predstavnik lokalne skupnosti.</w:t>
      </w:r>
    </w:p>
    <w:p w14:paraId="6FE1C0FE" w14:textId="77777777" w:rsidR="00787674" w:rsidRDefault="00787674" w:rsidP="00787674"/>
    <w:p w14:paraId="42B5B43A" w14:textId="77777777" w:rsidR="00787674" w:rsidRDefault="00787674" w:rsidP="00787674">
      <w:r>
        <w:t>Mandat sveta zavoda traja 4 leta in začne teči od njegove konstitutivne seje. Ker sedanjim predstavnikom ustanovitelja v svetu javnega socialnovarstvenega zavoda Doma starejših občanov Preddvor 24. 2. 2025 poteče mandat, pristojni organ imenuje nove predstavnike ustanovitelja v navedeni organ.</w:t>
      </w:r>
    </w:p>
    <w:p w14:paraId="47BA19DC" w14:textId="4FCFFAE6" w:rsidR="00787674" w:rsidRDefault="00787674" w:rsidP="00787674">
      <w:pPr>
        <w:pStyle w:val="Vir"/>
      </w:pPr>
      <w:r>
        <w:t>Vir: Ministrstvo za solidarno prihodnost</w:t>
      </w:r>
    </w:p>
    <w:p w14:paraId="6CC230E2" w14:textId="77777777" w:rsidR="00787674" w:rsidRDefault="00787674" w:rsidP="00787674">
      <w:pPr>
        <w:pStyle w:val="Naslov2"/>
      </w:pPr>
      <w:r>
        <w:t>Imenovanje predstavnikov ustanovitelja v Svet javnega socialnovarstvenega zavoda Dom starejših občanov Novo mesto</w:t>
      </w:r>
    </w:p>
    <w:p w14:paraId="7F4BD6EA" w14:textId="77777777" w:rsidR="00787674" w:rsidRDefault="00787674" w:rsidP="00787674">
      <w:r>
        <w:t>Vlada je sprejela sklep, da se v svet javnega socialnovarstvenega zavoda Doma starejših občanov Novo mesto za mandatno dobo štirih let, od ustanovitvene seje sveta zavoda, kot predstavniki ustanovitelja imenujejo: Alen Pust, Stanislava Majerle, Aljaž Novak, Gregor Lorber, Damir Delić, Rafko Križman.</w:t>
      </w:r>
    </w:p>
    <w:p w14:paraId="1B80C253" w14:textId="77777777" w:rsidR="00787674" w:rsidRDefault="00787674" w:rsidP="00787674">
      <w:r>
        <w:t xml:space="preserve"> </w:t>
      </w:r>
    </w:p>
    <w:p w14:paraId="35ABB29C" w14:textId="77777777" w:rsidR="00787674" w:rsidRDefault="00787674" w:rsidP="00787674">
      <w:r>
        <w:t>Na podlagi Sklepa o preoblikovanju Doma starejših občanov Novo mesto sestavlja svet 11 članov, in sicer 6 predstavnikov ustanovitelja, 2 predstavnika delavcev, 1 predstavnik oskrbovancev, 1 predstavnik invalidskih organizacij, ki predstavlja večino v oddelku invalidov, in 1 predstavnik lokalne skupnosti.</w:t>
      </w:r>
    </w:p>
    <w:p w14:paraId="16EFD6F4" w14:textId="77777777" w:rsidR="00787674" w:rsidRDefault="00787674" w:rsidP="00787674"/>
    <w:p w14:paraId="0A15FEAC" w14:textId="77777777" w:rsidR="00787674" w:rsidRDefault="00787674" w:rsidP="00787674">
      <w:r>
        <w:t>Mandat sveta zavoda traja 4 leta in začne teči od njegove konstitutivne seje. Ker sedanjim predstavnikom ustanovitelja v svetu javnega socialnovarstvenega zavoda Doma starejših občanov Novo mesto 24. 2. 2025 poteče mandat, pristojni organ imenuje nove predstavnike ustanovitelja v navedeni organ.</w:t>
      </w:r>
    </w:p>
    <w:p w14:paraId="435CCC00" w14:textId="08D7D086" w:rsidR="00787674" w:rsidRDefault="00787674" w:rsidP="00787674">
      <w:pPr>
        <w:pStyle w:val="Vir"/>
      </w:pPr>
      <w:r>
        <w:t>Vir: Ministrstvo za solidarno prihodnost</w:t>
      </w:r>
    </w:p>
    <w:p w14:paraId="2292DA9D" w14:textId="418418C8" w:rsidR="00E104EA" w:rsidRDefault="00E104EA" w:rsidP="00E104EA">
      <w:pPr>
        <w:pStyle w:val="Naslov2"/>
      </w:pPr>
      <w:r>
        <w:t xml:space="preserve">Vlada imenovala predstavnike ustanovitelja v svet Andragoškega centra Republike Slovenije </w:t>
      </w:r>
    </w:p>
    <w:p w14:paraId="135A7342" w14:textId="77777777" w:rsidR="00E104EA" w:rsidRDefault="00E104EA" w:rsidP="00E104EA">
      <w:r>
        <w:t xml:space="preserve">Vlada je v svet javnega zavoda Andragoški center Republike Slovenije zaradi poteka mandata dosedanjemu svetu zavoda za mandatno dobo štirih let, od ustanovitvene seje, kot predstavnice ustanovitelja imenovala: Tino Tomažič, na predlog Ministrstva za vzgojo in izobraževanje; Zdenko Milič Kavčič, na predlog Ministrstva za visoko šolstvo, znanost in inovacije ter Ireno Kuntarič Hribar, na predlog Ministrstva za delo, družino, socialne zadeve in enake možnosti. </w:t>
      </w:r>
    </w:p>
    <w:p w14:paraId="178B955A" w14:textId="10046426" w:rsidR="007D6165" w:rsidRDefault="00E104EA" w:rsidP="00E104EA">
      <w:pPr>
        <w:pStyle w:val="Vir"/>
      </w:pPr>
      <w:r>
        <w:lastRenderedPageBreak/>
        <w:t>Vir: Ministrstvo za vzgojo in izobraževanje</w:t>
      </w:r>
    </w:p>
    <w:p w14:paraId="5913799F" w14:textId="2106C842" w:rsidR="000570F4" w:rsidRDefault="000570F4" w:rsidP="000570F4">
      <w:pPr>
        <w:pStyle w:val="Naslov2"/>
      </w:pPr>
      <w:r>
        <w:t>Vlada imenovala predstavnika v Svet za upravljanje z Mednarodnim raziskovalnim centrom za umetno inteligenco</w:t>
      </w:r>
    </w:p>
    <w:p w14:paraId="0064E3E4" w14:textId="77777777" w:rsidR="000570F4" w:rsidRDefault="000570F4" w:rsidP="000570F4">
      <w:r>
        <w:t>Vlada Republike Slovenije je v Svet za upravljanje z Mednarodnim raziskovalnim centrom za umetno inteligenco na Institutu »Jožef Stefan« v Ljubljani pod pokroviteljstvom Unesca (IRCAI) za mandatno obdobje dveh let imenovala dr. Tomaža Boha, predstavnika Vlade Republike Slovenije. Predstavnik Vlade RS bo sklical prvo sejo sveta in jo vodil do izvolitve predsednika sveta.</w:t>
      </w:r>
    </w:p>
    <w:p w14:paraId="0D35A0CE" w14:textId="153161EC" w:rsidR="007D6165" w:rsidRDefault="000570F4" w:rsidP="000570F4">
      <w:pPr>
        <w:pStyle w:val="Vir"/>
      </w:pPr>
      <w:r>
        <w:t>Vir: Ministrstvo za visoko šolstvo, znanost in inovacije</w:t>
      </w:r>
    </w:p>
    <w:p w14:paraId="48C90E95" w14:textId="654E52BF" w:rsidR="007F2535" w:rsidRDefault="007F2535" w:rsidP="007F2535">
      <w:pPr>
        <w:pStyle w:val="Naslov2"/>
      </w:pPr>
      <w:r>
        <w:t>Vlada o predlogu razrešitve in imenovanja članice in namestnice članice v medresorski komisiji za naročanje iz 12. člena Zakona o javnem naročanju na področju obrambe in varnosti</w:t>
      </w:r>
    </w:p>
    <w:p w14:paraId="368E9621" w14:textId="77777777" w:rsidR="007F2535" w:rsidRDefault="007F2535" w:rsidP="007F2535">
      <w:r>
        <w:t xml:space="preserve">Vlada Republike Slovenije je na seji sprejela sklep, da se v Medresorski komisiji za naročila, ki se izvajajo na podlagi 346. člena Pogodbe o delovanju Evropske unije ter naročila za izvajanje obveščevalne in protiobveščevalne dejavnosti z mesta članice razreši Zdenko Vipavec, podsekretarko iz Ministrstva za notranje zadeve, in namesto nje imenuje Marijo Antić, sekretarko iz Ministrstva za notranje zadeve, ter z mesta namestnice članice razreši Urško Kralj Špacapan, sekretarko iz Ministrstva za notranje zadeve, in namesto nje imenuje Bogomiro Jeraj, podsekretarko iz Ministrstva za notranje zadeve. </w:t>
      </w:r>
    </w:p>
    <w:p w14:paraId="17224170" w14:textId="77777777" w:rsidR="007F2535" w:rsidRDefault="007F2535" w:rsidP="007F2535"/>
    <w:p w14:paraId="18352A2D" w14:textId="77777777" w:rsidR="007F2535" w:rsidRDefault="007F2535" w:rsidP="007F2535">
      <w:r>
        <w:t>Vlada je obenem sprejela Sklep o spremembah Sklepa o imenovanju članov Medresorske komisije za naročila, ki se izvajajo na podlagi 346. člena Pogodbe o delovanju Evropske unije ter naročila za izvajanje obveščevalne in protiobveščevalne dejavnosti z dne 15. julija 2021.</w:t>
      </w:r>
    </w:p>
    <w:p w14:paraId="46DF23BA" w14:textId="4A9FB493" w:rsidR="007D6165" w:rsidRDefault="007F2535" w:rsidP="007F2535">
      <w:pPr>
        <w:pStyle w:val="Vir"/>
      </w:pPr>
      <w:r>
        <w:t>Vir: Ministrstvo za javno upravo</w:t>
      </w:r>
    </w:p>
    <w:p w14:paraId="2836D102" w14:textId="5712686E" w:rsidR="00492C66" w:rsidRDefault="00492C66" w:rsidP="00492C66">
      <w:pPr>
        <w:pStyle w:val="Naslov2"/>
      </w:pPr>
      <w:r>
        <w:t>Vlada sprejela spremembo sklepa o imenovanju članov Sveta Vlade Republike Slovenije za spodbujanje razvoja prostovoljstva, prostovoljskih in nevladnih organizacij</w:t>
      </w:r>
    </w:p>
    <w:p w14:paraId="638A0974" w14:textId="77777777" w:rsidR="00492C66" w:rsidRDefault="00492C66" w:rsidP="00492C66">
      <w:r>
        <w:t>Vlada Republike Slovenije je sprejela sklep, da se v Svetu Vlade Republike Slovenije za spodbujanje razvoja prostovoljstva, prostovoljskih in nevladnih organizacij, ustanovljenem z Odlokom o Svetu Vlade Republike Slovenije za spodbujanje razvoja prostovoljstva, prostovoljskih in nevladnih organizacij razreši članico, državno sekretarko Janjo Zupančič, in se namesto nje imenuje člana, državnega sekretarja mag. Andreja Sotoška.</w:t>
      </w:r>
    </w:p>
    <w:p w14:paraId="41998759" w14:textId="77777777" w:rsidR="00492C66" w:rsidRDefault="00492C66" w:rsidP="00492C66"/>
    <w:p w14:paraId="39EA43DD" w14:textId="77777777" w:rsidR="00492C66" w:rsidRDefault="00492C66" w:rsidP="00492C66">
      <w:r>
        <w:t xml:space="preserve">Glede na navedeno je treba izdati sklep o spremembi sklepa o imenovanju predstavnikov v Svet Vlade Republike Slovenije za spodbujanje razvoja prostovoljstva, prostovoljskih in nevladnih organizacij. Vlada je tako obenem sprejela Sklep o spremembi Sklepa o imenovanju članov Sveta Vlade Republike Slovenije za spodbujanje razvoja prostovoljstva, prostovoljskih in nevladnih organizacij z 12. decembra 2024. </w:t>
      </w:r>
    </w:p>
    <w:p w14:paraId="041695EE" w14:textId="362879BD" w:rsidR="007D6165" w:rsidRDefault="00492C66" w:rsidP="00492C66">
      <w:pPr>
        <w:pStyle w:val="Vir"/>
      </w:pPr>
      <w:r>
        <w:t>Vir: Ministrstvo za javno upravo</w:t>
      </w:r>
    </w:p>
    <w:p w14:paraId="7527969C" w14:textId="6E41CF0E" w:rsidR="00DE54D7" w:rsidRDefault="00DE54D7" w:rsidP="00DE54D7">
      <w:pPr>
        <w:pStyle w:val="Naslov2"/>
      </w:pPr>
      <w:r>
        <w:t>Dr. Brkan, dr. Kukovec, dr. Sever in prof. dr. Vidmar  izpolnjujejo pogoje za kandidaturo za opravljanje funkcije sodnice ali sodnika na Splošnem sodišču Evropske unije v Luksemburgu</w:t>
      </w:r>
    </w:p>
    <w:p w14:paraId="7A9E00E5" w14:textId="77777777" w:rsidR="00DE54D7" w:rsidRDefault="00DE54D7" w:rsidP="00DE54D7">
      <w:r>
        <w:t xml:space="preserve">Vlada je na današnji seji  sprejela mnenje, da dr. Maja Brkan, dr. Damjan Kukovec, dr. Saša Sever in prof. dr. Jure Vidmar  izpolnjujejo formalne pogoje in so primerni kandidati za opravljanje funkcije sodnice ali sodnika na Splošnem sodišču Evropske unije v Luksemburgu, in ga posreduje predsednici Republike Slovenije. </w:t>
      </w:r>
    </w:p>
    <w:p w14:paraId="18221062" w14:textId="1A9552D2" w:rsidR="00DE54D7" w:rsidRDefault="00DE54D7" w:rsidP="00DE54D7">
      <w:pPr>
        <w:pStyle w:val="Vir"/>
      </w:pPr>
      <w:r>
        <w:lastRenderedPageBreak/>
        <w:t>Vir: Ministrstvo za pravosodje</w:t>
      </w:r>
    </w:p>
    <w:p w14:paraId="223A2353" w14:textId="038CA4AB" w:rsidR="00C13BB3" w:rsidRDefault="00C13BB3" w:rsidP="00C13BB3">
      <w:pPr>
        <w:pStyle w:val="Naslov2"/>
      </w:pPr>
      <w:r>
        <w:t xml:space="preserve">Vlada o višini denarne nagrade in priznanja za prostovoljstvo za leto 2024 </w:t>
      </w:r>
    </w:p>
    <w:p w14:paraId="4935EE27" w14:textId="42E0A8A0" w:rsidR="00C13BB3" w:rsidRDefault="00C13BB3" w:rsidP="00C13BB3">
      <w:r>
        <w:t>Vlada Republike Slovenije je določila višino denarne nagrade Republike Slovenije za prostovoljstvo za leto 2024 v višini tri tisoč evrov in priznanja Republike Slovenije za prostovoljstvo za leto 2024 v višini tisoč evrov za vsako posamezno podeljeno priznanje.</w:t>
      </w:r>
    </w:p>
    <w:p w14:paraId="34FE2935" w14:textId="77777777" w:rsidR="00C13BB3" w:rsidRDefault="00C13BB3" w:rsidP="00C13BB3"/>
    <w:p w14:paraId="157FA455" w14:textId="5CA58B43" w:rsidR="00C13BB3" w:rsidRDefault="00C13BB3" w:rsidP="00C13BB3">
      <w:r>
        <w:t xml:space="preserve">Odbor Republike Slovenije za podelitev državnih priznanj na področju prostovoljstva je na prvi dopisni seji sprejel sklep o predlogu višine denarne nagrade Republike Slovenije za prostovoljstvo za leto 2024 in priznanja Republike Slovenije za prostovoljstvo za leto 2024. </w:t>
      </w:r>
    </w:p>
    <w:p w14:paraId="5CD00EB1" w14:textId="77777777" w:rsidR="00C13BB3" w:rsidRDefault="00C13BB3" w:rsidP="00C13BB3"/>
    <w:p w14:paraId="34D096E2" w14:textId="77777777" w:rsidR="00C13BB3" w:rsidRDefault="00C13BB3" w:rsidP="00C13BB3">
      <w:r>
        <w:t xml:space="preserve">Predlagana višina denarne nagrade in priznanja je znotraj razpona, kot ga določa Uredba o nagradi in priznanjih za prostovoljstvo. </w:t>
      </w:r>
    </w:p>
    <w:p w14:paraId="41393C3C" w14:textId="77777777" w:rsidR="00C13BB3" w:rsidRDefault="00C13BB3" w:rsidP="00C13BB3"/>
    <w:p w14:paraId="4BC8A55C" w14:textId="77777777" w:rsidR="00C13BB3" w:rsidRDefault="00C13BB3" w:rsidP="00C13BB3">
      <w:r>
        <w:t>Skladno s prvim odstavkom 43. člena Zakona o prostovoljstvu (</w:t>
      </w:r>
      <w:proofErr w:type="spellStart"/>
      <w:r>
        <w:t>ZProst</w:t>
      </w:r>
      <w:proofErr w:type="spellEnd"/>
      <w:r>
        <w:t xml:space="preserve">) se lahko vsako leto zaslužnim prostovoljcem ali prostovoljskim organizacijam podeli največ ena nagrada ter največ šest priznanj. </w:t>
      </w:r>
    </w:p>
    <w:p w14:paraId="251CE257" w14:textId="77777777" w:rsidR="00C13BB3" w:rsidRDefault="00C13BB3" w:rsidP="00C13BB3">
      <w:pPr>
        <w:pStyle w:val="Vir"/>
      </w:pPr>
      <w:r>
        <w:t>Vir: Ministrstvo za javno upravo</w:t>
      </w:r>
    </w:p>
    <w:p w14:paraId="7FA917CE" w14:textId="548FAF55" w:rsidR="00D70354" w:rsidRDefault="00D70354" w:rsidP="00D70354">
      <w:pPr>
        <w:pStyle w:val="Naslov2"/>
      </w:pPr>
      <w:r>
        <w:t>Vlada zavrnila pritožbo Mednarodnega instituta za implementacijo trajnostnega razvoja</w:t>
      </w:r>
    </w:p>
    <w:p w14:paraId="374989CB" w14:textId="77777777" w:rsidR="00D70354" w:rsidRDefault="00D70354" w:rsidP="00D70354">
      <w:r>
        <w:t>Vlada je zavrnila pritožbo Mednarodnega instituta za implementacijo trajnostnega razvoja zoper odločbo Ministrstva za vzgojo in izobraževanje, Urada Republike Slovenije za mladino.</w:t>
      </w:r>
    </w:p>
    <w:p w14:paraId="1B37FBD4" w14:textId="77777777" w:rsidR="00D70354" w:rsidRDefault="00D70354" w:rsidP="00D70354"/>
    <w:p w14:paraId="4DC4A7A4" w14:textId="77777777" w:rsidR="00D70354" w:rsidRDefault="00D70354" w:rsidP="00D70354">
      <w:r>
        <w:t>Ministrstvo za vzgojo in izobraževanje, Urad Republike Slovenije za mladino, je na podlagi Zakona o splošnem upravnem postopku, Zakona o državni upravi, Zakona o nevladnih organizacijah, Zakona o javnem interesu v mladinskem sektorju ter Pravilnika o izvajanju Zakona o javnem interesu v mladinskem sektorju v upravni zadevi na predlog vlagatelja Mednarodni institut za implementacijo trajnostnega razvoja, izdal odločbo z dne 16. 10. 2024,  s katero je v 1. točki odločil, da se vlagatelju ne podeli status organizacije za mlade v javnem interesu v mladinskem sektorju, v 2. točki pa, da posebni stroški postopka niso nastali.</w:t>
      </w:r>
    </w:p>
    <w:p w14:paraId="0C601E31" w14:textId="77777777" w:rsidR="00D70354" w:rsidRDefault="00D70354" w:rsidP="00D70354"/>
    <w:p w14:paraId="5E72E895" w14:textId="77777777" w:rsidR="00D70354" w:rsidRDefault="00D70354" w:rsidP="00D70354">
      <w:r>
        <w:t xml:space="preserve">Vlagatelj je zoper omenjeno odločbo na URSM vložil pritožbo. URSM je pritožbo preveril in ugotovil, da je dovoljena, pravočasna in vložena s strani upravičene osebe. Pritožbo je skupaj z upravnim spisom posredoval vladi, ki je na podlagi Zakona o nevladnih organizacijah pristojna za odločanje o predmetni pritožbi. </w:t>
      </w:r>
    </w:p>
    <w:p w14:paraId="79519177" w14:textId="77777777" w:rsidR="00D70354" w:rsidRDefault="00D70354" w:rsidP="00D70354"/>
    <w:p w14:paraId="49466D4E" w14:textId="77777777" w:rsidR="00D70354" w:rsidRDefault="00D70354" w:rsidP="00D70354">
      <w:r>
        <w:t xml:space="preserve">Vlagatelj ni v pritožbi izrecno navajal, iz katerega pritožbenega razloga (ali več njih) podaja pritožbo, vendar je iz vsebine pritožbe mogoče razumeti, da iz razloga nepopolnega ali napačno ugotovljenega dejanskega stanja. Vlagatelj je pritožbi priložil dodatna pojasnila in dokazila, ki naj bi dokazovala izpolnjevanje kriterijev za pridobitev statusa v javnem interesu. </w:t>
      </w:r>
    </w:p>
    <w:p w14:paraId="2DDC128B" w14:textId="77777777" w:rsidR="00D70354" w:rsidRDefault="00D70354" w:rsidP="00D70354"/>
    <w:p w14:paraId="6EC023BA" w14:textId="77777777" w:rsidR="00D70354" w:rsidRDefault="00D70354" w:rsidP="00D70354">
      <w:r>
        <w:t xml:space="preserve">V okviru pritožbenih navedb vlagatelj ni povedal, na kakšen način naj bi URSM na podlagi navedb in dokazil, predloženih v postopku na prvi stopnji, napačno ugotovil dejansko stanje, torej navedbe vlagatelja ne izhajajo iz trditev in dokazil, ki so obstajala tekom postopka na prvi stopnji. Vlagatelj v pritožbi podaja nove trditve in zanje predlaga tudi nove dokaze, ki bodisi niso obstajali tekom postopka na prvi stopnji bodisi jih predlagatelj tekom obravnave na prvi stopnji ni predložil. Ta nova dejstva in dokaze pa pritožbeni organ pri odločanju o pritožbi ne more upoštevati, glede na tretji odstavek 238. člena Zakona o upravnem postopku, ki določa, da lahko pritožnik v pritožbi navaja nova dejstva in nove dokaze, vendar pa mora obrazložiti, zakaj jih ni navedel že v postopku na prvi stopnji. Nova dejstva in novi dokazi se lahko upoštevajo kot pritožbeni razlogi le, če so obstajali v času odločanja na </w:t>
      </w:r>
      <w:r>
        <w:lastRenderedPageBreak/>
        <w:t xml:space="preserve">prvi stopnji in če jih stranka upravičeno ni mogla predložiti oziroma navesti na obravnavi. Praktično vsa dejstva in dokazi (razen objav v različnih medijih in dokazil o vsebini projektov/programov na spletnih straneh), ki jih vlagatelj navaja v pritožbi, niso obstajala v času odločanja na prvi stopnji, kar je mogoče ugotoviti tako iz pritožbenih navedb, kot tudi iz predloženih dokazil. Glede izpisa objav kot dokazila, da bi bil izkazan pogoj vidnosti programa za področje mladinskega sektorja ter pritožbenih navedb, da so vsi izvedeni projekti/programi podrobno opisani na spletni strani vlagatelja in spletnih straneh posameznih projektov, kar naj bi dokazovalo, da vlagatelj redno izvaja mladinske programe oziroma programe za mlade, pa pritožbeni organ ugotavlja, da manjkajo pritožbene navedbe vlagatelja, zakaj teh dokazil upravičeno ni mogel predložiti v postopku na prvi stopnji. Zaradi tega ne morejo biti predmet drugostopenjske presoje. </w:t>
      </w:r>
    </w:p>
    <w:p w14:paraId="365CC9CF" w14:textId="77777777" w:rsidR="00D70354" w:rsidRDefault="00D70354" w:rsidP="00D70354"/>
    <w:p w14:paraId="5C27907A" w14:textId="12D5FD22" w:rsidR="00D70354" w:rsidRDefault="00D70354" w:rsidP="00D70354">
      <w:r>
        <w:t xml:space="preserve">Pritožbeni organ ugotavlja, da je bil postopek na prvi stopnji voden pravilno, odločitev pravilna, na zakonu utemeljena, dejansko stanje popolno ugotovljeno, prav tako niso bile ugotovljene bistvene kršitve pravil postopka in kršitve materialnih predpisov, na katere pazi drugostopenjski organ po uradni dolžnosti. </w:t>
      </w:r>
    </w:p>
    <w:p w14:paraId="396DCD72" w14:textId="74DE8689" w:rsidR="007D6165" w:rsidRDefault="00D70354" w:rsidP="00D70354">
      <w:pPr>
        <w:pStyle w:val="Vir"/>
      </w:pPr>
      <w:r>
        <w:t>Vir: Ministrstvo za vzgojo in izobraževanje</w:t>
      </w:r>
    </w:p>
    <w:p w14:paraId="41144FA3" w14:textId="33A48692" w:rsidR="00C83B22" w:rsidRDefault="00C83B22" w:rsidP="00C83B22">
      <w:pPr>
        <w:pStyle w:val="Naslov2"/>
      </w:pPr>
      <w:r>
        <w:t>Vlada o spremembi članstva v Pogajalski skupini za pogajanja za sklenitev Aneksa h Kolektivni pogodbi za gasilsko dejavnost</w:t>
      </w:r>
    </w:p>
    <w:p w14:paraId="07A8256D" w14:textId="77777777" w:rsidR="00C83B22" w:rsidRDefault="00C83B22" w:rsidP="00C83B22">
      <w:r>
        <w:t>Vlada Republike Slovenije je sprejela sklep, da se v pogajalskih skupinah za pogajanja o normativnih in tarifnih delih kolektivnih pogodb dejavnosti in poklicev v Pogajalski skupini za pogajanja za sklenitev Aneksa h Kolektivni pogodbi za gasilsko dejavnost z mesta vodje razreši Rudija Medveda in namesto njega imenuje državnega sekretarja mag. Marka Lovšeta iz Ministrstva za obrambo.</w:t>
      </w:r>
    </w:p>
    <w:p w14:paraId="7ED7701D" w14:textId="58B08131" w:rsidR="007D6165" w:rsidRDefault="00C83B22" w:rsidP="00C83B22">
      <w:pPr>
        <w:pStyle w:val="Vir"/>
      </w:pPr>
      <w:r>
        <w:t>Vir: Ministrstvo za javno upravo</w:t>
      </w:r>
    </w:p>
    <w:p w14:paraId="3623E604" w14:textId="77777777" w:rsidR="007D6165" w:rsidRPr="007D6165" w:rsidRDefault="007D6165" w:rsidP="007D6165"/>
    <w:p w14:paraId="6AE3D8E7" w14:textId="77777777" w:rsidR="007F6EF7" w:rsidRDefault="007F6EF7" w:rsidP="007F6EF7"/>
    <w:p w14:paraId="57739D7D" w14:textId="77777777" w:rsidR="007F6EF7" w:rsidRPr="007F6EF7" w:rsidRDefault="007F6EF7" w:rsidP="007F6EF7"/>
    <w:sectPr w:rsidR="007F6EF7" w:rsidRPr="007F6EF7"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4F32" w14:textId="77777777" w:rsidR="00AB1DC2" w:rsidRDefault="00AB1DC2" w:rsidP="00750D01">
      <w:pPr>
        <w:spacing w:line="240" w:lineRule="auto"/>
      </w:pPr>
      <w:r>
        <w:separator/>
      </w:r>
    </w:p>
  </w:endnote>
  <w:endnote w:type="continuationSeparator" w:id="0">
    <w:p w14:paraId="24EB0154" w14:textId="77777777" w:rsidR="00AB1DC2" w:rsidRDefault="00AB1DC2"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5BCA" w14:textId="77777777" w:rsidR="00AB1DC2" w:rsidRDefault="00AB1DC2" w:rsidP="00750D01">
      <w:pPr>
        <w:spacing w:line="240" w:lineRule="auto"/>
      </w:pPr>
      <w:r>
        <w:separator/>
      </w:r>
    </w:p>
  </w:footnote>
  <w:footnote w:type="continuationSeparator" w:id="0">
    <w:p w14:paraId="31B86551" w14:textId="77777777" w:rsidR="00AB1DC2" w:rsidRDefault="00AB1DC2"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BB22CD"/>
    <w:multiLevelType w:val="hybridMultilevel"/>
    <w:tmpl w:val="6A0CD88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0EE5560"/>
    <w:multiLevelType w:val="hybridMultilevel"/>
    <w:tmpl w:val="9FF87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C01B86"/>
    <w:multiLevelType w:val="hybridMultilevel"/>
    <w:tmpl w:val="5720B8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A9920F0"/>
    <w:multiLevelType w:val="hybridMultilevel"/>
    <w:tmpl w:val="68C00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0"/>
  </w:num>
  <w:num w:numId="2" w16cid:durableId="984821814">
    <w:abstractNumId w:val="8"/>
  </w:num>
  <w:num w:numId="3" w16cid:durableId="150218247">
    <w:abstractNumId w:val="0"/>
  </w:num>
  <w:num w:numId="4" w16cid:durableId="1026903286">
    <w:abstractNumId w:val="9"/>
  </w:num>
  <w:num w:numId="5" w16cid:durableId="231817878">
    <w:abstractNumId w:val="3"/>
  </w:num>
  <w:num w:numId="6" w16cid:durableId="2110814889">
    <w:abstractNumId w:val="11"/>
  </w:num>
  <w:num w:numId="7" w16cid:durableId="695153758">
    <w:abstractNumId w:val="4"/>
  </w:num>
  <w:num w:numId="8" w16cid:durableId="853298866">
    <w:abstractNumId w:val="7"/>
  </w:num>
  <w:num w:numId="9" w16cid:durableId="1789348953">
    <w:abstractNumId w:val="2"/>
  </w:num>
  <w:num w:numId="10" w16cid:durableId="206457993">
    <w:abstractNumId w:val="12"/>
  </w:num>
  <w:num w:numId="11" w16cid:durableId="1460490295">
    <w:abstractNumId w:val="1"/>
  </w:num>
  <w:num w:numId="12" w16cid:durableId="1469712855">
    <w:abstractNumId w:val="5"/>
  </w:num>
  <w:num w:numId="13" w16cid:durableId="1271011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22A71"/>
    <w:rsid w:val="000318E4"/>
    <w:rsid w:val="000570F4"/>
    <w:rsid w:val="00076DF7"/>
    <w:rsid w:val="00085D04"/>
    <w:rsid w:val="00087069"/>
    <w:rsid w:val="00090AE7"/>
    <w:rsid w:val="00097B85"/>
    <w:rsid w:val="000F51A6"/>
    <w:rsid w:val="001027DA"/>
    <w:rsid w:val="00110B8F"/>
    <w:rsid w:val="00126770"/>
    <w:rsid w:val="0013016C"/>
    <w:rsid w:val="001602C9"/>
    <w:rsid w:val="00187227"/>
    <w:rsid w:val="0018779F"/>
    <w:rsid w:val="001B01DD"/>
    <w:rsid w:val="001B2FCF"/>
    <w:rsid w:val="001B42F9"/>
    <w:rsid w:val="001C3560"/>
    <w:rsid w:val="001F51BC"/>
    <w:rsid w:val="00203F5F"/>
    <w:rsid w:val="0021140B"/>
    <w:rsid w:val="00215140"/>
    <w:rsid w:val="00231021"/>
    <w:rsid w:val="002420B2"/>
    <w:rsid w:val="002501CE"/>
    <w:rsid w:val="0029188C"/>
    <w:rsid w:val="002A48E1"/>
    <w:rsid w:val="002B0F5C"/>
    <w:rsid w:val="002B5294"/>
    <w:rsid w:val="0032428F"/>
    <w:rsid w:val="00346E22"/>
    <w:rsid w:val="003518C7"/>
    <w:rsid w:val="00357DC0"/>
    <w:rsid w:val="00361255"/>
    <w:rsid w:val="003847C8"/>
    <w:rsid w:val="003877EB"/>
    <w:rsid w:val="003903B2"/>
    <w:rsid w:val="00390DF7"/>
    <w:rsid w:val="0039662C"/>
    <w:rsid w:val="003D64D8"/>
    <w:rsid w:val="003E17B6"/>
    <w:rsid w:val="003E6170"/>
    <w:rsid w:val="003F0DBD"/>
    <w:rsid w:val="00415527"/>
    <w:rsid w:val="00432C99"/>
    <w:rsid w:val="004403EC"/>
    <w:rsid w:val="00447B57"/>
    <w:rsid w:val="004513FE"/>
    <w:rsid w:val="00460370"/>
    <w:rsid w:val="00471334"/>
    <w:rsid w:val="00492C66"/>
    <w:rsid w:val="004A7CAD"/>
    <w:rsid w:val="004B7346"/>
    <w:rsid w:val="00522637"/>
    <w:rsid w:val="00527AA5"/>
    <w:rsid w:val="005314D7"/>
    <w:rsid w:val="00531A06"/>
    <w:rsid w:val="005515BD"/>
    <w:rsid w:val="00566CEA"/>
    <w:rsid w:val="0059143B"/>
    <w:rsid w:val="005C1523"/>
    <w:rsid w:val="005E1ABB"/>
    <w:rsid w:val="005E6468"/>
    <w:rsid w:val="00614FFD"/>
    <w:rsid w:val="006274BB"/>
    <w:rsid w:val="00634EFA"/>
    <w:rsid w:val="0066249C"/>
    <w:rsid w:val="006C1B31"/>
    <w:rsid w:val="006C45D6"/>
    <w:rsid w:val="007130E1"/>
    <w:rsid w:val="00717E59"/>
    <w:rsid w:val="00734B05"/>
    <w:rsid w:val="0073796B"/>
    <w:rsid w:val="00750164"/>
    <w:rsid w:val="00750D01"/>
    <w:rsid w:val="00757158"/>
    <w:rsid w:val="007669A3"/>
    <w:rsid w:val="00781345"/>
    <w:rsid w:val="00787674"/>
    <w:rsid w:val="007B0ADD"/>
    <w:rsid w:val="007D6165"/>
    <w:rsid w:val="007E198F"/>
    <w:rsid w:val="007F2535"/>
    <w:rsid w:val="007F6EF7"/>
    <w:rsid w:val="00806E90"/>
    <w:rsid w:val="0081110A"/>
    <w:rsid w:val="008336E7"/>
    <w:rsid w:val="008454EE"/>
    <w:rsid w:val="00847AD3"/>
    <w:rsid w:val="008624E8"/>
    <w:rsid w:val="0086309C"/>
    <w:rsid w:val="00867AB4"/>
    <w:rsid w:val="00877C9E"/>
    <w:rsid w:val="008B7AF2"/>
    <w:rsid w:val="008D5F99"/>
    <w:rsid w:val="008D6E20"/>
    <w:rsid w:val="008E4D2C"/>
    <w:rsid w:val="00905C96"/>
    <w:rsid w:val="00914D07"/>
    <w:rsid w:val="009174DA"/>
    <w:rsid w:val="009371F3"/>
    <w:rsid w:val="009540E4"/>
    <w:rsid w:val="00974186"/>
    <w:rsid w:val="0097483A"/>
    <w:rsid w:val="00983241"/>
    <w:rsid w:val="009900DE"/>
    <w:rsid w:val="009A41AA"/>
    <w:rsid w:val="009C2C98"/>
    <w:rsid w:val="009C2D77"/>
    <w:rsid w:val="009D10D1"/>
    <w:rsid w:val="009D1617"/>
    <w:rsid w:val="00A06971"/>
    <w:rsid w:val="00A16E85"/>
    <w:rsid w:val="00A175CA"/>
    <w:rsid w:val="00A30052"/>
    <w:rsid w:val="00A34FC4"/>
    <w:rsid w:val="00A445DF"/>
    <w:rsid w:val="00A5415F"/>
    <w:rsid w:val="00A60A37"/>
    <w:rsid w:val="00A67305"/>
    <w:rsid w:val="00A7412B"/>
    <w:rsid w:val="00A81FFB"/>
    <w:rsid w:val="00AB1DC2"/>
    <w:rsid w:val="00AB4E6E"/>
    <w:rsid w:val="00AD1AFD"/>
    <w:rsid w:val="00AE68F0"/>
    <w:rsid w:val="00AE6CD6"/>
    <w:rsid w:val="00B022E5"/>
    <w:rsid w:val="00B47F61"/>
    <w:rsid w:val="00B52CB9"/>
    <w:rsid w:val="00B60F58"/>
    <w:rsid w:val="00B62369"/>
    <w:rsid w:val="00B70F5B"/>
    <w:rsid w:val="00B753A8"/>
    <w:rsid w:val="00B84862"/>
    <w:rsid w:val="00BA1421"/>
    <w:rsid w:val="00BA743D"/>
    <w:rsid w:val="00BB1111"/>
    <w:rsid w:val="00BB5386"/>
    <w:rsid w:val="00BB73C0"/>
    <w:rsid w:val="00BE5C43"/>
    <w:rsid w:val="00C13BB3"/>
    <w:rsid w:val="00C3152B"/>
    <w:rsid w:val="00C354D9"/>
    <w:rsid w:val="00C458C2"/>
    <w:rsid w:val="00C83B22"/>
    <w:rsid w:val="00CA5624"/>
    <w:rsid w:val="00CC37B3"/>
    <w:rsid w:val="00D14EEC"/>
    <w:rsid w:val="00D61E2B"/>
    <w:rsid w:val="00D650E2"/>
    <w:rsid w:val="00D70354"/>
    <w:rsid w:val="00D7373E"/>
    <w:rsid w:val="00D9208E"/>
    <w:rsid w:val="00D95BC6"/>
    <w:rsid w:val="00DA261E"/>
    <w:rsid w:val="00DB45EC"/>
    <w:rsid w:val="00DE199D"/>
    <w:rsid w:val="00DE27BA"/>
    <w:rsid w:val="00DE54D7"/>
    <w:rsid w:val="00E02AB3"/>
    <w:rsid w:val="00E104EA"/>
    <w:rsid w:val="00E14AAE"/>
    <w:rsid w:val="00E2036F"/>
    <w:rsid w:val="00E3507E"/>
    <w:rsid w:val="00E7132A"/>
    <w:rsid w:val="00E83E60"/>
    <w:rsid w:val="00E86C78"/>
    <w:rsid w:val="00E948BD"/>
    <w:rsid w:val="00EC012E"/>
    <w:rsid w:val="00EF6B0C"/>
    <w:rsid w:val="00F01966"/>
    <w:rsid w:val="00F21123"/>
    <w:rsid w:val="00F23144"/>
    <w:rsid w:val="00F32677"/>
    <w:rsid w:val="00F93A5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9327</Words>
  <Characters>53166</Characters>
  <Application>Microsoft Office Word</Application>
  <DocSecurity>0</DocSecurity>
  <Lines>443</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2025-01-21T15:20:00Z</dcterms:created>
  <dcterms:modified xsi:type="dcterms:W3CDTF">2025-01-22T16:26:00Z</dcterms:modified>
</cp:coreProperties>
</file>