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8"/>
          <w:headerReference w:type="first" r:id="rId9"/>
          <w:pgSz w:w="11906" w:h="16838"/>
          <w:pgMar w:top="1128" w:right="1701" w:bottom="1134" w:left="1701" w:header="0" w:footer="794" w:gutter="0"/>
          <w:cols w:space="708"/>
          <w:titlePg/>
          <w:docGrid w:linePitch="360"/>
        </w:sectPr>
      </w:pPr>
    </w:p>
    <w:p w14:paraId="6AD96446" w14:textId="58F6B281" w:rsidR="00231021" w:rsidRDefault="0073796B" w:rsidP="00160FC1">
      <w:pPr>
        <w:pStyle w:val="Naslov"/>
      </w:pPr>
      <w:r w:rsidRPr="009D10D1">
        <w:t>SPOROČILO ZA JAVNOST</w:t>
      </w:r>
    </w:p>
    <w:p w14:paraId="71A02687" w14:textId="3F818137" w:rsidR="0073796B" w:rsidRPr="0039662C" w:rsidRDefault="00A60A37" w:rsidP="0039662C">
      <w:pPr>
        <w:pStyle w:val="Naslov1"/>
      </w:pPr>
      <w:r>
        <w:t>1</w:t>
      </w:r>
      <w:r w:rsidR="0005540E">
        <w:t>40</w:t>
      </w:r>
      <w:r w:rsidR="0073796B" w:rsidRPr="0039662C">
        <w:t>. redna seja Vlade Republike Slovenije</w:t>
      </w:r>
    </w:p>
    <w:p w14:paraId="44CC4F1E" w14:textId="1F29D6BC" w:rsidR="00347BAD" w:rsidRDefault="0005540E" w:rsidP="00FE6D3A">
      <w:pPr>
        <w:pStyle w:val="DatumSZJ"/>
      </w:pPr>
      <w:r>
        <w:t>6</w:t>
      </w:r>
      <w:r w:rsidR="00D14EEC">
        <w:t>.</w:t>
      </w:r>
      <w:r w:rsidR="0073796B" w:rsidRPr="008B7AF2">
        <w:t xml:space="preserve"> </w:t>
      </w:r>
      <w:r>
        <w:t>februar</w:t>
      </w:r>
      <w:r w:rsidR="0073796B" w:rsidRPr="008B7AF2">
        <w:t xml:space="preserve"> 202</w:t>
      </w:r>
      <w:r w:rsidR="00F21123">
        <w:t>5</w:t>
      </w:r>
    </w:p>
    <w:p w14:paraId="450222C5" w14:textId="797E3212" w:rsidR="00135A66" w:rsidRPr="00135A66" w:rsidRDefault="00135A66" w:rsidP="00135A66">
      <w:pPr>
        <w:rPr>
          <w:b/>
          <w:bCs/>
        </w:rPr>
      </w:pPr>
      <w:r w:rsidRPr="00135A66">
        <w:rPr>
          <w:b/>
          <w:bCs/>
        </w:rPr>
        <w:t>I.</w:t>
      </w:r>
      <w:r>
        <w:rPr>
          <w:b/>
          <w:bCs/>
        </w:rPr>
        <w:t xml:space="preserve"> </w:t>
      </w:r>
      <w:r w:rsidRPr="00135A66">
        <w:rPr>
          <w:b/>
          <w:bCs/>
        </w:rPr>
        <w:t>LISTA A</w:t>
      </w:r>
    </w:p>
    <w:p w14:paraId="2C7458BA" w14:textId="174ED23D" w:rsidR="00135A66" w:rsidRDefault="00135A66" w:rsidP="00135A66"/>
    <w:p w14:paraId="5E8CD0D3" w14:textId="23A499E4" w:rsidR="00604CFA" w:rsidRDefault="00604CFA" w:rsidP="00604CFA">
      <w:pPr>
        <w:pStyle w:val="Naslov2"/>
      </w:pPr>
      <w:r>
        <w:t>Odločitve vlade s področja igralništva</w:t>
      </w:r>
    </w:p>
    <w:p w14:paraId="78CE9D91" w14:textId="77777777" w:rsidR="00604CFA" w:rsidRDefault="00604CFA" w:rsidP="00604CFA">
      <w:r>
        <w:t>Vlada je izdala odločbo o odvzemu dveh koncesij za prirejanje iger na srečo.</w:t>
      </w:r>
    </w:p>
    <w:p w14:paraId="58E57AE6" w14:textId="77777777" w:rsidR="0091719A" w:rsidRDefault="0091719A" w:rsidP="00604CFA"/>
    <w:p w14:paraId="297FCA8C" w14:textId="008712B6" w:rsidR="00604CFA" w:rsidRDefault="00604CFA" w:rsidP="00604CFA">
      <w:r>
        <w:t xml:space="preserve">Koncesija za prirejanje iger na srečo se odvzame igralnici »Igralnica Kobarid« gospodarske družbe HIT hoteli, igralnice, turizem </w:t>
      </w:r>
      <w:proofErr w:type="gramStart"/>
      <w:r>
        <w:t>d.</w:t>
      </w:r>
      <w:proofErr w:type="gramEnd"/>
      <w:r>
        <w:t xml:space="preserve">d. Nova Gorica. Igralnica Kobarid je namreč v zadnjih letih beležila negativne poslovne rezultate, zato je koncesionar predlagal sporazumno predčasno razvezo koncesijske pogodbe za prirejanje posebnih iger na srečo v igralnici, katere veljavnost se sicer izteče dne 1. junija 2027. </w:t>
      </w:r>
    </w:p>
    <w:p w14:paraId="42B0275D" w14:textId="77777777" w:rsidR="0091719A" w:rsidRDefault="0091719A" w:rsidP="00604CFA"/>
    <w:p w14:paraId="1F1C45CE" w14:textId="76A8BEE4" w:rsidR="00604CFA" w:rsidRDefault="00604CFA" w:rsidP="00604CFA">
      <w:r>
        <w:t xml:space="preserve">Koncesija za prirejanje iger na srečo se prav tako odvzame igralnemu salonu »Casino Alfastreet – igralni salon« gospodarske družbe </w:t>
      </w:r>
      <w:proofErr w:type="spellStart"/>
      <w:r>
        <w:t>Oxalis</w:t>
      </w:r>
      <w:proofErr w:type="spellEnd"/>
      <w:r>
        <w:t xml:space="preserve">, gostinstvo in turizem, </w:t>
      </w:r>
      <w:proofErr w:type="gramStart"/>
      <w:r>
        <w:t>d.o.o.</w:t>
      </w:r>
      <w:proofErr w:type="gramEnd"/>
      <w:r>
        <w:t xml:space="preserve">, saj je koncesionar v nekajletnem poslovanju igralnega salona beležil finančne težave in je posledično s 30. septembrom 2024 prenehal s prirejanjem posebnih iger na srečo v igralnem salonu. </w:t>
      </w:r>
    </w:p>
    <w:p w14:paraId="19E4CE1C" w14:textId="3BE36233" w:rsidR="00135A66" w:rsidRDefault="00604CFA" w:rsidP="00B92F0D">
      <w:pPr>
        <w:pStyle w:val="Vir"/>
      </w:pPr>
      <w:r>
        <w:t>Vir: Ministrstvo za finance</w:t>
      </w:r>
    </w:p>
    <w:p w14:paraId="252B5178" w14:textId="0D2A8772" w:rsidR="00660B9C" w:rsidRDefault="00660B9C" w:rsidP="00660B9C">
      <w:pPr>
        <w:pStyle w:val="Naslov2"/>
      </w:pPr>
      <w:r>
        <w:t xml:space="preserve">Vlada sprejela letni načrt za financiranje in sofinanciranje </w:t>
      </w:r>
      <w:proofErr w:type="gramStart"/>
      <w:r>
        <w:t>investicij</w:t>
      </w:r>
      <w:proofErr w:type="gramEnd"/>
      <w:r>
        <w:t xml:space="preserve"> v športno infrastrukturo</w:t>
      </w:r>
    </w:p>
    <w:p w14:paraId="1F6E5424" w14:textId="1D3B1B24" w:rsidR="00660B9C" w:rsidRDefault="00660B9C" w:rsidP="00660B9C">
      <w:r>
        <w:t>Vlada je na današnji seji sprejela Letni načrt za financiranje in sofinanciranje investicij v športno infrastrukturo za leto 2025. Za ta namen je zagotovljenih dobrih 18 milijonov evrov.</w:t>
      </w:r>
    </w:p>
    <w:p w14:paraId="669EAFB2" w14:textId="77777777" w:rsidR="00660B9C" w:rsidRDefault="00660B9C" w:rsidP="00660B9C"/>
    <w:p w14:paraId="70C73436" w14:textId="77777777" w:rsidR="00660B9C" w:rsidRDefault="00660B9C" w:rsidP="00660B9C">
      <w:r>
        <w:t>Na podlagi Zakona o zagotavljanju finančnih sredstev za investicije v športno infrastrukturo v Republiki Sloveniji v letih od 2023 do 2030 vlada z letnim načrtom, ki ga sprejme najkasneje do 31. marca v tekočem letu, opredeli prioritetna področja za financiranje in sofinanciranje investicij v športno infrastrukturo.</w:t>
      </w:r>
    </w:p>
    <w:p w14:paraId="252AFD65" w14:textId="77777777" w:rsidR="00660B9C" w:rsidRDefault="00660B9C" w:rsidP="00660B9C"/>
    <w:p w14:paraId="7D47D63E" w14:textId="77777777" w:rsidR="00660B9C" w:rsidRDefault="00660B9C" w:rsidP="00660B9C">
      <w:r>
        <w:t xml:space="preserve"> V Letnem programu športa v Republiki Sloveniji za leto 2025 in v državnem proračunu za leto 2025 je za ta namen zagotovljenih 18.031.775,80 evra. Znesek zagotovljenih sredstev je pripravljen v skladu Zakona o zagotavljanju finančnih sredstev za investicije v športno infrastrukturo v Republiki Sloveniji v letih od 2023 do 2030.</w:t>
      </w:r>
    </w:p>
    <w:p w14:paraId="47F2FE76" w14:textId="77777777" w:rsidR="00660B9C" w:rsidRDefault="00660B9C" w:rsidP="00660B9C"/>
    <w:p w14:paraId="5018CB1C" w14:textId="77777777" w:rsidR="00660B9C" w:rsidRDefault="00660B9C" w:rsidP="00660B9C">
      <w:r>
        <w:t>Za letos je načrtovana objava javnega razpisa, pri čemer so prioritetna področja za financiranje in sofinanciranje investicij v športno infrastrukturo za leto 2025 obnova, novogradnja, posodobitev ali rekonstrukcija javnih športnih objektov in površin za šport v naravi v lasti občin ter ureditev dostopnosti do javne športne infrastrukture za funkcionalno ovirane.</w:t>
      </w:r>
    </w:p>
    <w:p w14:paraId="71E05800" w14:textId="77777777" w:rsidR="0091719A" w:rsidRDefault="0091719A" w:rsidP="00660B9C"/>
    <w:p w14:paraId="1EC19F3D" w14:textId="469CDA88" w:rsidR="00660B9C" w:rsidRDefault="00660B9C" w:rsidP="00660B9C">
      <w:r>
        <w:t xml:space="preserve">V skladu z Zakonom o izenačevanju možnosti invalidov je prepovedana diskriminacija zaradi invalidnosti pri dostopnosti do uporabe objektov v javni rabi. Zakon tudi določa, da se primerna prilagoditev objektov za odpravo grajenih in komunikacijskih ovir odpravi najkasneje v 15 letih po uveljavitvi zakona, torej do decembra 2025. Zato je smiselno in potrebno sofinancirati </w:t>
      </w:r>
      <w:proofErr w:type="gramStart"/>
      <w:r>
        <w:t>investicije</w:t>
      </w:r>
      <w:proofErr w:type="gramEnd"/>
      <w:r>
        <w:t xml:space="preserve"> v te prilagoditve. </w:t>
      </w:r>
    </w:p>
    <w:p w14:paraId="5272B85D" w14:textId="3515C99D" w:rsidR="00135A66" w:rsidRDefault="00660B9C" w:rsidP="00660B9C">
      <w:pPr>
        <w:pStyle w:val="Vir"/>
      </w:pPr>
      <w:r>
        <w:t>Vir: Ministrstvo za gospodarstvo, turizem in šport</w:t>
      </w:r>
    </w:p>
    <w:p w14:paraId="49D8B451" w14:textId="01A1DB8B" w:rsidR="00480050" w:rsidRDefault="00480050" w:rsidP="00480050">
      <w:pPr>
        <w:pStyle w:val="Naslov2"/>
      </w:pPr>
      <w:r>
        <w:lastRenderedPageBreak/>
        <w:t>Neodplačna razdelitev blaga iz blagovnih rezerv</w:t>
      </w:r>
    </w:p>
    <w:p w14:paraId="6DC4F3BC" w14:textId="77777777" w:rsidR="00480050" w:rsidRDefault="00480050" w:rsidP="00480050">
      <w:r>
        <w:t xml:space="preserve">Vlada je sprejela sklep, da se iz blagovnih rezerv neodplačno razdeli zaščitno opremo iz časa epidemije COVID-19, ki je pred iztekom roka uporabnosti. Blago bodo na </w:t>
      </w:r>
      <w:proofErr w:type="gramStart"/>
      <w:r>
        <w:t xml:space="preserve">podlagi  </w:t>
      </w:r>
      <w:proofErr w:type="gramEnd"/>
      <w:r>
        <w:t>razdelilnika, ki ga bo pripravilo Ministrstvo za zdravje, prejeli javni zdravstveni zavodi (bolnišnice). Izvedbo bo zagotovil Zavod Republike Slovenije za blagovne rezerve v sodelovanju z Ministrstvom za gospodarstvo, turizem in šport ter Ministrstvom za zdravje.</w:t>
      </w:r>
    </w:p>
    <w:p w14:paraId="37C7596D" w14:textId="77777777" w:rsidR="00480050" w:rsidRDefault="00480050" w:rsidP="00480050"/>
    <w:p w14:paraId="75BE7440" w14:textId="77777777" w:rsidR="00480050" w:rsidRDefault="00480050" w:rsidP="00480050">
      <w:r>
        <w:t>V letu 2025 bo delu zaščitnih sredstev iz blagovnih rezerv potekel rok uporabnosti. Zavod Republike Slovenije za blagovne rezerve (ZRSBR) je v sodelovanju s proizvajalci poskušal podaljšati rok uporabnosti zaščitnih sredstev, vendar to v večini primerov ni bilo mogoče.</w:t>
      </w:r>
    </w:p>
    <w:p w14:paraId="267EAA4C" w14:textId="77777777" w:rsidR="00480050" w:rsidRDefault="00480050" w:rsidP="00480050"/>
    <w:p w14:paraId="6457E093" w14:textId="77777777" w:rsidR="00480050" w:rsidRDefault="00480050" w:rsidP="00480050">
      <w:r>
        <w:t>Ker prodaja zaščitnih sredstev preko javnih razpisov ni bila uspešna, je bilo ugotovljeno, da je edina možnost za preprečitev škode neodplačna razdelitev zaščitnih sredstev javnim zdravstvenim zavodom, predvsem bolnišnicam. Ta zaščitna oprema bo uporabljena za zaščito pacientov, obiskovalcev in zdravstvenih delavcev, še posebej ob povečani pojavnosti respiratornih obolenj v zimskih mesecih.</w:t>
      </w:r>
    </w:p>
    <w:p w14:paraId="1A4F65BC" w14:textId="77777777" w:rsidR="00480050" w:rsidRDefault="00480050" w:rsidP="00480050"/>
    <w:p w14:paraId="72FE9A36" w14:textId="77777777" w:rsidR="00480050" w:rsidRDefault="00480050" w:rsidP="00480050">
      <w:r>
        <w:t>Vlada je zato določila, da se zaščitna sredstva pred iztekom roka uporabnosti neodplačno razdelijo javnim zdravstvenim zavodom. ZRSBR bo hkrati razdeljeno blago nadomestil v skladu s Petletnim programom oblikovanja državnih blagovnih rezerv ter Poslovnim načrtom za leto 2025.</w:t>
      </w:r>
    </w:p>
    <w:p w14:paraId="2C6EFD4F" w14:textId="77777777" w:rsidR="00480050" w:rsidRDefault="00480050" w:rsidP="00480050"/>
    <w:p w14:paraId="31023904" w14:textId="2559C490" w:rsidR="00480050" w:rsidRDefault="00480050" w:rsidP="00480050">
      <w:r>
        <w:t>Sredstva za plačilo davčnih obveznosti v zvezi z razdelitvijo zaščitnih sredstev bodo zagotovljena iz posebnega programa za obnovo blagovnih rezerv. Razdelitev zaščitnih sredstev pa bo izvedena v sodelovanju z Ministrstvom za zdravje.</w:t>
      </w:r>
    </w:p>
    <w:p w14:paraId="4704A73D" w14:textId="5E8762A2" w:rsidR="00135A66" w:rsidRDefault="00480050" w:rsidP="00B92F0D">
      <w:pPr>
        <w:pStyle w:val="Vir"/>
      </w:pPr>
      <w:r>
        <w:t>Vir: Ministrstvo za gospodarstvo, turizem in šport</w:t>
      </w:r>
    </w:p>
    <w:p w14:paraId="4ACEE6FE" w14:textId="691202A4" w:rsidR="00480050" w:rsidRDefault="00480050" w:rsidP="00480050">
      <w:pPr>
        <w:pStyle w:val="Naslov2"/>
      </w:pPr>
      <w:r>
        <w:t>Načrt razvojnih programov dopolnjen z dvema novima projektoma</w:t>
      </w:r>
    </w:p>
    <w:p w14:paraId="22393A73" w14:textId="77777777" w:rsidR="00480050" w:rsidRDefault="00480050" w:rsidP="00480050">
      <w:r>
        <w:t>Vlada je v veljavni Načrt razvojnih programov 2025 – 2028 uvrstila dva nova projekta. Projekta »Izgradnja igrišča ob OŠ Preska v Medvodah« in »Dograditev tribun na stadionu v Murski Soboti«. Investicija se nanaša na kakovostno javno športno infrastrukturo za vse kategorije uporabnikov ter učinkovito koriščenje in ravnanje z javno športno infrastrukturo, pri čemer javna športna infrastruktura zajema športne objekte in površine za šport v naravi.</w:t>
      </w:r>
    </w:p>
    <w:p w14:paraId="0884163D" w14:textId="77777777" w:rsidR="00480050" w:rsidRDefault="00480050" w:rsidP="00480050"/>
    <w:p w14:paraId="4E55C813" w14:textId="77777777" w:rsidR="00480050" w:rsidRDefault="00480050" w:rsidP="00480050">
      <w:r>
        <w:t xml:space="preserve">Projekta sta bila odobrena na podlagi Javnega razpisa za izbor sofinanciranja investicij v športno infrastrukturo v letu 2024. </w:t>
      </w:r>
    </w:p>
    <w:p w14:paraId="4BE9574B" w14:textId="77777777" w:rsidR="00480050" w:rsidRDefault="00480050" w:rsidP="00480050"/>
    <w:p w14:paraId="51C6C2A5" w14:textId="77777777" w:rsidR="00480050" w:rsidRDefault="00480050" w:rsidP="00480050">
      <w:r>
        <w:t>Namen investicije »Dograditev tribun na stadionu v Murski Soboti« je povezati zahodno in severno tribuno, kar bi zagotovilo dodatna sedežna mesta za obiskovalce. Vrednost investicije je skoraj 1.3 milijona evrov.</w:t>
      </w:r>
    </w:p>
    <w:p w14:paraId="51260B15" w14:textId="77777777" w:rsidR="00480050" w:rsidRDefault="00480050" w:rsidP="00480050"/>
    <w:p w14:paraId="3B8407FC" w14:textId="77777777" w:rsidR="00480050" w:rsidRDefault="00480050" w:rsidP="00480050">
      <w:r>
        <w:t xml:space="preserve">Namen </w:t>
      </w:r>
      <w:proofErr w:type="gramStart"/>
      <w:r>
        <w:t>investicije</w:t>
      </w:r>
      <w:proofErr w:type="gramEnd"/>
      <w:r>
        <w:t xml:space="preserve"> »Izgradnja igrišča ob OŠ Preska v Medvodah« pa je povečati dostopnost javnih športnih površin in vzpostaviti pogoje za športno udejstvovanje celotne populacije, s poudarkom dostopa občanom oziroma ljudem z različnimi vrstami in stopnjami invalidnostmi. Vrednost </w:t>
      </w:r>
      <w:proofErr w:type="gramStart"/>
      <w:r>
        <w:t>investicije</w:t>
      </w:r>
      <w:proofErr w:type="gramEnd"/>
      <w:r>
        <w:t xml:space="preserve"> je skoraj 1.2 milijona evrov.</w:t>
      </w:r>
    </w:p>
    <w:p w14:paraId="533322D7" w14:textId="77777777" w:rsidR="00480050" w:rsidRDefault="00480050" w:rsidP="00480050"/>
    <w:p w14:paraId="6BCC7934" w14:textId="77777777" w:rsidR="00480050" w:rsidRDefault="00480050" w:rsidP="00480050">
      <w:r>
        <w:t xml:space="preserve">Za navedeni </w:t>
      </w:r>
      <w:proofErr w:type="gramStart"/>
      <w:r>
        <w:t>investiciji</w:t>
      </w:r>
      <w:proofErr w:type="gramEnd"/>
      <w:r>
        <w:t xml:space="preserve"> imata občini izdelano investicijsko dokumentacijo ter podpisane in žigosane sklepe o potrditvi investicijske dokumentacije s strani odgovornega organa oziroma osebe občine. </w:t>
      </w:r>
    </w:p>
    <w:p w14:paraId="1E52BDB3" w14:textId="77777777" w:rsidR="00480050" w:rsidRDefault="00480050" w:rsidP="00480050"/>
    <w:p w14:paraId="3DBCBB16" w14:textId="14164735" w:rsidR="00480050" w:rsidRDefault="00480050" w:rsidP="00480050">
      <w:r>
        <w:lastRenderedPageBreak/>
        <w:t xml:space="preserve">Ministrstvo bo vsako od </w:t>
      </w:r>
      <w:proofErr w:type="gramStart"/>
      <w:r>
        <w:t>navedenih investiciji</w:t>
      </w:r>
      <w:proofErr w:type="gramEnd"/>
      <w:r>
        <w:t xml:space="preserve"> sofinanciralo v višini do 500.000 evrov. Sredstva za sofinanciranje morajo biti v letu 2025 porabljena, investiciji pa se morata zaključiti najkasneje do 31. avgusta 2026. </w:t>
      </w:r>
    </w:p>
    <w:p w14:paraId="6163BB81" w14:textId="4465E5D6" w:rsidR="00135A66" w:rsidRDefault="00480050" w:rsidP="00B92F0D">
      <w:pPr>
        <w:pStyle w:val="Vir"/>
      </w:pPr>
      <w:r>
        <w:t>Vir: Ministrstvo za gospodarstvo, turizem in šport</w:t>
      </w:r>
    </w:p>
    <w:p w14:paraId="7954718D" w14:textId="753065DB" w:rsidR="00130542" w:rsidRDefault="00130542" w:rsidP="00130542">
      <w:pPr>
        <w:pStyle w:val="Naslov2"/>
      </w:pPr>
      <w:r>
        <w:t>Vlada dala soglasje za prevzemanje in plačevanje obveznosti na namenskih postavkah Ministrstva za infrastrukturo</w:t>
      </w:r>
    </w:p>
    <w:p w14:paraId="70458760" w14:textId="77777777" w:rsidR="00130542" w:rsidRDefault="00130542" w:rsidP="00130542">
      <w:r>
        <w:t xml:space="preserve">Prometna infrastruktura je eden od pogojev za enakomeren razvoj Slovenije in omogoča primerno oskrbo gospodarstva ter mobilnost prebivalstva. Med ključnimi vlaganji so investicije v zmogljivo železniško infrastrukturo in uporabno državno cestno omrežje. Na podlagi Resolucije o nacionalnem programu razvoja prometa v Republiki Sloveniji za obdobje do leta 2030 predstavlja načrt vlaganj v promet in prometno infrastrukturo oziroma t.i. drsni plan okvir za zagotavljanje, predvsem bolj stabilnega in enakomernega obsega investicij v prometno infrastrukturo. </w:t>
      </w:r>
    </w:p>
    <w:p w14:paraId="36675F9E" w14:textId="77777777" w:rsidR="00130542" w:rsidRDefault="00130542" w:rsidP="00130542"/>
    <w:p w14:paraId="36CC000C" w14:textId="77777777" w:rsidR="00130542" w:rsidRDefault="00130542" w:rsidP="00130542">
      <w:r>
        <w:t>Pomemben vir financiranja investicij z velikim multiplikativnim učinkom na gospodarsko rast predstavljajo namenska sredstva. Za vlaganja v cestno in železniško infrastrukturo so to med drugim namenska sredstva na podlagi Zakona o zagotavljanju sredstev za investicije v prometno infrastrukturo, Zakona o javnih financah in Zakona o izvrševanju proračunov Republike Slovenije za leti 2025 in 2026.</w:t>
      </w:r>
    </w:p>
    <w:p w14:paraId="4B2AA96C" w14:textId="77777777" w:rsidR="00130542" w:rsidRDefault="00130542" w:rsidP="00130542"/>
    <w:p w14:paraId="3EB25EA3" w14:textId="77777777" w:rsidR="00130542" w:rsidRDefault="00130542" w:rsidP="00130542">
      <w:r>
        <w:t xml:space="preserve">Sprejeta višina namenskih sredstev po sprejetih Spremembah proračuna RS za leto 2025 na nivoju skupine proračunskih uporabnikov SPU (šifra 243) ne zadostuje za pokritje pričakovanih obveznosti. Povečanje pravic porabe v višini 67,95 mio </w:t>
      </w:r>
      <w:proofErr w:type="spellStart"/>
      <w:r>
        <w:t>eur</w:t>
      </w:r>
      <w:proofErr w:type="spellEnd"/>
      <w:r>
        <w:t xml:space="preserve"> na PP 995810, 153207, 153208 cestne in železniške infrastrukture je potrebno takoj za razpise v pripravi oz v teku (po zaključku postopka JN za prevzemanje obveznosti), za sklepanje aneksov zaradi podražitev in za pospešitev dinamike in zaključek gradenj na že podpisanih pogodbah.</w:t>
      </w:r>
    </w:p>
    <w:p w14:paraId="5BE57B37" w14:textId="77777777" w:rsidR="00130542" w:rsidRDefault="00130542" w:rsidP="00130542"/>
    <w:p w14:paraId="0DB4CB52" w14:textId="77777777" w:rsidR="00130542" w:rsidRDefault="00130542" w:rsidP="00130542">
      <w:r>
        <w:t>Ostale pravice porabe 4,01 mio evrov se bodo porabile za odkupe zemljišč in stroške odpravljanja posledic po izrednih dogodkih na železniški infrastrukturi ter se zagotavljajo na naslednjih proračunskih postavkah: 200026 Državno cestno omrežje - namenski vir iz dajatev za odjavljena vozila, 153201 Trženje JŽI - sredstva najemnine, 153202 Odškodnine iz naslova zavarovanj JŽI, 796800 Osnovna sredstva - sredstva kupnine od prodaje državnega premoženja, 180138 Odškodnine za škodo na cestni infrastrukturi in 200070 Stvarno premoženje državnih cest - sredstva najemnin.</w:t>
      </w:r>
    </w:p>
    <w:p w14:paraId="6BE8B033" w14:textId="77777777" w:rsidR="00130542" w:rsidRDefault="00130542" w:rsidP="00130542"/>
    <w:p w14:paraId="5301F9F1" w14:textId="0EABA4B4" w:rsidR="00130542" w:rsidRDefault="00130542" w:rsidP="00130542">
      <w:r>
        <w:t xml:space="preserve">Glede na okvirne dinamike po postopkih javnih naročil v teku, bi bilo potrebno pri proračunskem uporabniku 2431 Direkcija Republike Slovenije za infrastrukturo </w:t>
      </w:r>
      <w:proofErr w:type="spellStart"/>
      <w:r>
        <w:t>čimprej</w:t>
      </w:r>
      <w:proofErr w:type="spellEnd"/>
      <w:r>
        <w:t xml:space="preserve"> povečati zgornjo mejo dovoljene porabe za 71,96 mio evrov, in sicer iz naslova prenosa nerealiziranih namenskih sredstev iz preteklega leta.</w:t>
      </w:r>
    </w:p>
    <w:p w14:paraId="6C529FA0" w14:textId="1FD3DC03" w:rsidR="00135A66" w:rsidRDefault="00130542" w:rsidP="00B92F0D">
      <w:pPr>
        <w:pStyle w:val="Vir"/>
      </w:pPr>
      <w:r>
        <w:t>Vir: Ministrstvo za infrastrukturo</w:t>
      </w:r>
    </w:p>
    <w:p w14:paraId="52D72EA7" w14:textId="58335DF7" w:rsidR="000C319C" w:rsidRDefault="000C319C" w:rsidP="000C319C">
      <w:pPr>
        <w:pStyle w:val="Naslov2"/>
      </w:pPr>
      <w:r>
        <w:t>Vlada o razpolaganju s finančnim premoženjem države v letu 2024</w:t>
      </w:r>
    </w:p>
    <w:p w14:paraId="5170665F" w14:textId="77777777" w:rsidR="000C319C" w:rsidRDefault="000C319C" w:rsidP="000C319C">
      <w:r>
        <w:t>Vlada je danes sprejela Poročilo o prodaji in drugih oblikah razpolaganja s finančnim premoženjem države v letu 2024.</w:t>
      </w:r>
    </w:p>
    <w:p w14:paraId="60142D1E" w14:textId="77777777" w:rsidR="000C319C" w:rsidRDefault="000C319C" w:rsidP="000C319C"/>
    <w:p w14:paraId="0113B33D" w14:textId="77777777" w:rsidR="000C319C" w:rsidRDefault="000C319C" w:rsidP="000C319C">
      <w:r>
        <w:t xml:space="preserve">Vlada mora skladno z Zakonom o izvrševanju proračunov Republike Slovenije za leti 2024 in 2025 državnemu zboru poročati o prodaji terjatev, ki niso bile vključene v letni program prodaje finančnega premoženja države za leto 2024. </w:t>
      </w:r>
    </w:p>
    <w:p w14:paraId="6BCFEEBE" w14:textId="77777777" w:rsidR="000C319C" w:rsidRDefault="000C319C" w:rsidP="000C319C"/>
    <w:p w14:paraId="5B28ABF6" w14:textId="64CAFADC" w:rsidR="000C319C" w:rsidRDefault="000C319C" w:rsidP="000C319C">
      <w:r>
        <w:lastRenderedPageBreak/>
        <w:t>V letu 2024 sta bili prodani terjatvi, ki ju je imela Republika Slovenija do dveh družb v stečaju, in sicer družbe REŠET in družbe EKOL. V primeru družbe REŠET je država prejela 192.000 evrov kupnine, v primeru družbe EKOL pa 58.000 evrov kupnine.</w:t>
      </w:r>
    </w:p>
    <w:p w14:paraId="6EFC25B1" w14:textId="6FEBF857" w:rsidR="00135A66" w:rsidRDefault="000C319C" w:rsidP="00B92F0D">
      <w:pPr>
        <w:pStyle w:val="Vir"/>
      </w:pPr>
      <w:r>
        <w:t>Vir: Ministrstvo za finance</w:t>
      </w:r>
    </w:p>
    <w:p w14:paraId="5262AB54" w14:textId="01676D3C" w:rsidR="002743C7" w:rsidRPr="002743C7" w:rsidRDefault="002743C7" w:rsidP="002743C7">
      <w:pPr>
        <w:pStyle w:val="Naslov2"/>
      </w:pPr>
      <w:r w:rsidRPr="002743C7">
        <w:t>Stališče Republike Slovenije k predlogu uredbe o postopnem začetku delovanja sistema vstopa/izstopa</w:t>
      </w:r>
    </w:p>
    <w:p w14:paraId="5587550D" w14:textId="0A7867DB" w:rsidR="002743C7" w:rsidRPr="002743C7" w:rsidRDefault="002743C7" w:rsidP="002743C7">
      <w:pPr>
        <w:rPr>
          <w:color w:val="000000" w:themeColor="text1"/>
        </w:rPr>
      </w:pPr>
      <w:r w:rsidRPr="002743C7">
        <w:rPr>
          <w:color w:val="000000" w:themeColor="text1"/>
        </w:rPr>
        <w:t>Vlada je sprejela stališče Republike Slovenije k zadevi Predlog uredbe</w:t>
      </w:r>
      <w:r>
        <w:rPr>
          <w:color w:val="000000" w:themeColor="text1"/>
        </w:rPr>
        <w:t xml:space="preserve"> </w:t>
      </w:r>
      <w:r w:rsidRPr="002743C7">
        <w:rPr>
          <w:color w:val="000000" w:themeColor="text1"/>
        </w:rPr>
        <w:t>Evropskega parlamenta in Sveta o začasnem odstopanju od nekaterih določb Uredbe (EU) 2017/2226 in Uredbe (EU) 2016/399 glede postopnega začetka delovanja sistema vstopa/izstopa.</w:t>
      </w:r>
    </w:p>
    <w:p w14:paraId="43D6AF96" w14:textId="77777777" w:rsidR="002743C7" w:rsidRPr="002743C7" w:rsidRDefault="002743C7" w:rsidP="002743C7">
      <w:pPr>
        <w:rPr>
          <w:color w:val="000000" w:themeColor="text1"/>
        </w:rPr>
      </w:pPr>
    </w:p>
    <w:p w14:paraId="1E1ADB7F" w14:textId="77777777" w:rsidR="002743C7" w:rsidRPr="002743C7" w:rsidRDefault="002743C7" w:rsidP="002743C7">
      <w:pPr>
        <w:rPr>
          <w:color w:val="000000" w:themeColor="text1"/>
        </w:rPr>
      </w:pPr>
      <w:r w:rsidRPr="002743C7">
        <w:rPr>
          <w:color w:val="000000" w:themeColor="text1"/>
        </w:rPr>
        <w:t>Republika Slovenija podpira predlog postopne uvedbe sistema vstopa/izstopa. Med pogajanji si bo prizadevala za jasnejše določbe posameznih členov, nekatere vsebinske spremembe predloga in bolj jasne določbe glede izvajanja mejne kontrole na schengenskih mejah v obdobju trajanja postopnega uvajanja sistema vstopa/izstopa.</w:t>
      </w:r>
    </w:p>
    <w:p w14:paraId="07634DFD" w14:textId="77777777" w:rsidR="002743C7" w:rsidRPr="002743C7" w:rsidRDefault="002743C7" w:rsidP="002743C7">
      <w:pPr>
        <w:rPr>
          <w:color w:val="000000" w:themeColor="text1"/>
        </w:rPr>
      </w:pPr>
    </w:p>
    <w:p w14:paraId="07B394E4" w14:textId="77777777" w:rsidR="002743C7" w:rsidRPr="002743C7" w:rsidRDefault="002743C7" w:rsidP="002743C7">
      <w:pPr>
        <w:rPr>
          <w:color w:val="000000" w:themeColor="text1"/>
        </w:rPr>
      </w:pPr>
      <w:r w:rsidRPr="002743C7">
        <w:rPr>
          <w:color w:val="000000" w:themeColor="text1"/>
        </w:rPr>
        <w:t>Republika Slovenija bo skušala omejiti predlagana nova administrativna bremena in si prizadevala, da bi v predlogu upoštevali tudi čas, ki je potreben za morebitne manjše prilagoditve in nadgradnje informacijskega sistema, ki bi se lahko pokazale kot nujne v prehodnem obdobju. Prav tako si bo prizadevala za upoštevanje časa za usposabljanje, ki ga bodo ob postopnem zagonu potrebovali policisti in drugi uporabniki sistema vstopa/izstopa.</w:t>
      </w:r>
    </w:p>
    <w:p w14:paraId="0F63A83A" w14:textId="77777777" w:rsidR="002743C7" w:rsidRPr="002743C7" w:rsidRDefault="002743C7" w:rsidP="002743C7">
      <w:pPr>
        <w:rPr>
          <w:color w:val="000000" w:themeColor="text1"/>
        </w:rPr>
      </w:pPr>
    </w:p>
    <w:p w14:paraId="1FCF3F7B" w14:textId="3AA3B88D" w:rsidR="002743C7" w:rsidRPr="002743C7" w:rsidRDefault="002743C7" w:rsidP="002743C7">
      <w:pPr>
        <w:rPr>
          <w:color w:val="000000" w:themeColor="text1"/>
        </w:rPr>
      </w:pPr>
      <w:r w:rsidRPr="002743C7">
        <w:rPr>
          <w:color w:val="000000" w:themeColor="text1"/>
        </w:rPr>
        <w:t>Republika Slovenija si bo skozi pogajanja tudi prizadevala najti način za čim večje zmanjšanje možnosti nastanka težav pri mednarodnem prevozu potnikov in blaga zaradi uvedbe sistema vstopa/izstopa.</w:t>
      </w:r>
    </w:p>
    <w:p w14:paraId="699C5E79" w14:textId="303B5EF2" w:rsidR="00135A66" w:rsidRDefault="002743C7" w:rsidP="002743C7">
      <w:pPr>
        <w:pStyle w:val="Vir"/>
      </w:pPr>
      <w:r w:rsidRPr="002743C7">
        <w:t>Vir: Ministrstvo za notranje zadeve</w:t>
      </w:r>
    </w:p>
    <w:p w14:paraId="453A6BEF" w14:textId="0FEEAD6B" w:rsidR="00E956EC" w:rsidRDefault="00E956EC" w:rsidP="00E956EC">
      <w:pPr>
        <w:pStyle w:val="Naslov2"/>
      </w:pPr>
      <w:r>
        <w:t xml:space="preserve">Pobuda za izvedbo misije </w:t>
      </w:r>
      <w:proofErr w:type="gramStart"/>
      <w:r>
        <w:t>Mednarodne agencije za atomsko energijo</w:t>
      </w:r>
      <w:proofErr w:type="gramEnd"/>
      <w:r>
        <w:t xml:space="preserve"> za pregled varnosti dolgoročnega obratovanja Nuklearne elektrarne Krško</w:t>
      </w:r>
    </w:p>
    <w:p w14:paraId="05CD71DB" w14:textId="4834E4DF" w:rsidR="00E956EC" w:rsidRDefault="00E956EC" w:rsidP="00E956EC">
      <w:r>
        <w:t xml:space="preserve">Vlada se je seznanila s Pobudo za izvedbo misije </w:t>
      </w:r>
      <w:proofErr w:type="gramStart"/>
      <w:r>
        <w:t>Mednarodne agencije za atomsko energijo</w:t>
      </w:r>
      <w:proofErr w:type="gramEnd"/>
      <w:r>
        <w:t xml:space="preserve"> za pregled varnosti dolgoročnega obratovanja Nuklearne elektrarne Krško (</w:t>
      </w:r>
      <w:proofErr w:type="spellStart"/>
      <w:r>
        <w:t>Safety</w:t>
      </w:r>
      <w:proofErr w:type="spellEnd"/>
      <w:r>
        <w:t xml:space="preserve"> </w:t>
      </w:r>
      <w:proofErr w:type="spellStart"/>
      <w:r>
        <w:t>Aspects</w:t>
      </w:r>
      <w:proofErr w:type="spellEnd"/>
      <w:r>
        <w:t xml:space="preserve"> of Long Term </w:t>
      </w:r>
      <w:proofErr w:type="spellStart"/>
      <w:r>
        <w:t>Operation</w:t>
      </w:r>
      <w:proofErr w:type="spellEnd"/>
      <w:r>
        <w:t>; v nadaljnjem besedilu: misija SALTO).</w:t>
      </w:r>
    </w:p>
    <w:p w14:paraId="36F39BE0" w14:textId="77777777" w:rsidR="00644579" w:rsidRDefault="00644579" w:rsidP="00E956EC"/>
    <w:p w14:paraId="359598A1" w14:textId="3AAFA635" w:rsidR="00E956EC" w:rsidRDefault="00E956EC" w:rsidP="00E956EC">
      <w:r>
        <w:t xml:space="preserve">V letu 2021 je bila v Nuklearni elektrarni Krško (NEK) izvedena </w:t>
      </w:r>
      <w:proofErr w:type="spellStart"/>
      <w:r>
        <w:t>pre</w:t>
      </w:r>
      <w:proofErr w:type="spellEnd"/>
      <w:r>
        <w:t xml:space="preserve">-SALTO misija. Misija spada v sklop misij, ki se nanašajo na pregled varnosti dolgoročnega obratovanja jedrskih elektrarn. Mednarodna agencija za atomsko energijo (MAAE) na tak način zagotavlja državam neodvisni mednarodni pregled izvajanja dejavnosti, ki so povezane z zagotavljanjem jedrske varnosti v primeru dolgoročnega obratovanja jedrskih elektrarn. Predvsem se izvede temeljit pregled samih programov nadzora staranja ter njihovega izvajanja na podlagi MAAE standardov in najboljše mednarodne prakse, tako da so njihove zahteve pogosto strožje od nacionalnih.  </w:t>
      </w:r>
    </w:p>
    <w:p w14:paraId="3157073C" w14:textId="77777777" w:rsidR="0091719A" w:rsidRDefault="0091719A" w:rsidP="00E956EC"/>
    <w:p w14:paraId="470D2990" w14:textId="303D0E36" w:rsidR="00E956EC" w:rsidRDefault="00E956EC" w:rsidP="00E956EC">
      <w:r>
        <w:t xml:space="preserve">Za celovit in podroben pregled obvladovanja dolgoročnega obratovanja NE Krško bomo nadaljevali z drugo fazo, kjer bo izvedena SALTO misija, s katero bo v prvi vrsti preverjena kakovost in ustreznost programa za obvladovanje staranja in podrejenih programov ter postopkov za varno dolgoročno obratovanje. To je ključnega pomena predvsem zdaj, ko je elektrarna vstopila v obdobje podaljšane projektne življenjske dobe. Med misijo bodo preverili tudi uspešnost reševanja najdb iz </w:t>
      </w:r>
      <w:proofErr w:type="spellStart"/>
      <w:r>
        <w:t>pre</w:t>
      </w:r>
      <w:proofErr w:type="spellEnd"/>
      <w:r>
        <w:t>-SALTO misije v NEK.</w:t>
      </w:r>
    </w:p>
    <w:p w14:paraId="5F004151" w14:textId="77777777" w:rsidR="00E956EC" w:rsidRDefault="00E956EC" w:rsidP="00E956EC"/>
    <w:p w14:paraId="27D6AF9F" w14:textId="72BD4590" w:rsidR="00E956EC" w:rsidRDefault="00E956EC" w:rsidP="00E956EC">
      <w:r>
        <w:lastRenderedPageBreak/>
        <w:t xml:space="preserve">Vlada je pooblastila Upravo Republike Slovenije za jedrsko varnost, da povabi </w:t>
      </w:r>
      <w:proofErr w:type="gramStart"/>
      <w:r>
        <w:t>Mednarodno agencijo za atomsko energijo</w:t>
      </w:r>
      <w:proofErr w:type="gramEnd"/>
      <w:r>
        <w:t>, da od 13. do 22. maja 2025 izvede v Nuklearni elektrarni Krško misijo SALTO in ji v nadaljevanju poroča o ugotovitvah in poročilu misije SALTO.</w:t>
      </w:r>
    </w:p>
    <w:p w14:paraId="63F43345" w14:textId="62228B10" w:rsidR="00644579" w:rsidRDefault="00E956EC" w:rsidP="0091719A">
      <w:pPr>
        <w:pStyle w:val="Vir"/>
      </w:pPr>
      <w:r>
        <w:t>Vir: Ministrstvo za naravne vire in prostor</w:t>
      </w:r>
    </w:p>
    <w:p w14:paraId="33D24E31" w14:textId="308C6B07" w:rsidR="00135A66" w:rsidRDefault="00135A66" w:rsidP="001D4D09">
      <w:pPr>
        <w:pStyle w:val="Naslov2"/>
      </w:pPr>
      <w:r>
        <w:t>Poročilo o dejavnostih Republike Slovenije na Zahodnem Balkanu v letu 2024 in o uresničevanju Smernic za delovanje Republike Slovenije do Zahodnega Balkana</w:t>
      </w:r>
    </w:p>
    <w:p w14:paraId="7BD0BDA0" w14:textId="77777777" w:rsidR="001D4D09" w:rsidRDefault="001D4D09" w:rsidP="001D4D09">
      <w:r>
        <w:t>Smernice za delovanje RS do Zahodnega Balkana so tudi v letu 2024 predstavljale strateško usmeritev za delovanje do regije, tako v procesu načrtovanja kot tudi  izvajanja konkretnih aktivnosti. RS je v vseh segmentih svojega delovanja zasledovala cilj krepitve in poglobitve odnosov z državami Zahodnega Balkana, poglobitve regionalnega sodelovanja med njimi in podpore približevanju in vključevanju držav Zahodnega Balkana v evroatlantske povezave.</w:t>
      </w:r>
    </w:p>
    <w:p w14:paraId="79A4B1D9" w14:textId="77777777" w:rsidR="0091719A" w:rsidRDefault="0091719A" w:rsidP="001D4D09"/>
    <w:p w14:paraId="4B8A2E65" w14:textId="623DD86D" w:rsidR="001D4D09" w:rsidRDefault="001D4D09" w:rsidP="001D4D09">
      <w:r>
        <w:t xml:space="preserve">Nacionalni koordinator za Zahodni Balkan je v letu 2024 nadaljeval z implementacijo prioritet v skladu z akcijskim načrtom za Zahodni Balkan. Na svojih obiskih v regiji je aktivno promoviral reformno agendo v državah Zahodnega Balkana, saj se je z rusko agresijo na Ukrajino geostrateška situacija v Evropi drastično spremenila in širitev Unije na vzhod in jug je spet postala ena izmed ključnih zunanjepolitičnih prioritet EU. Skladno s tem je RS v novi Evropski Komisiji dobila resor za širitev, kar je že samo po sebi priznanje za kontinuirano in načelno podporo RS širitvenemu procesu, posebej državam Zahodnega Balkana. </w:t>
      </w:r>
    </w:p>
    <w:p w14:paraId="403D0EDA" w14:textId="4792C4A0" w:rsidR="00135A66" w:rsidRDefault="001D4D09" w:rsidP="00B92F0D">
      <w:pPr>
        <w:pStyle w:val="Vir"/>
      </w:pPr>
      <w:r>
        <w:t>Vir: Ministrstvo za zunanje in evropske zadeve</w:t>
      </w:r>
    </w:p>
    <w:p w14:paraId="27C47989" w14:textId="4062D201" w:rsidR="003214E4" w:rsidRDefault="003214E4" w:rsidP="003214E4">
      <w:pPr>
        <w:pStyle w:val="Naslov2"/>
      </w:pPr>
      <w:r>
        <w:t xml:space="preserve">Vlada je sprejela Izhodišča za delovanje Republike Slovenije v Izvršnem odboru UNICEF </w:t>
      </w:r>
    </w:p>
    <w:p w14:paraId="6BA877D7" w14:textId="52B5091D" w:rsidR="003214E4" w:rsidRDefault="003214E4" w:rsidP="003214E4">
      <w:r>
        <w:t>Republika Slovenija je bila 9. aprila 2024 izvoljena za članico Izvršnega odbora UNICEF v obdobju od 1. januarja 2025 do 31. decembra 2027.</w:t>
      </w:r>
    </w:p>
    <w:p w14:paraId="390A5C15" w14:textId="77777777" w:rsidR="003214E4" w:rsidRDefault="003214E4" w:rsidP="003214E4"/>
    <w:p w14:paraId="4B717F2D" w14:textId="4FA30C1C" w:rsidR="003214E4" w:rsidRDefault="003214E4" w:rsidP="003214E4">
      <w:r>
        <w:t xml:space="preserve">Izvršni odbor UNICEF zaseda trikrat letno, v januarju/februarju, juniju in septembru. Med letom pa Sekretariat Izvršnega odbora organizira več sestankov, na katerih državam poroča o svojih aktivnostih. </w:t>
      </w:r>
    </w:p>
    <w:p w14:paraId="5C28BF02" w14:textId="77777777" w:rsidR="003214E4" w:rsidRDefault="003214E4" w:rsidP="003214E4"/>
    <w:p w14:paraId="22348B84" w14:textId="77777777" w:rsidR="003214E4" w:rsidRDefault="003214E4" w:rsidP="003214E4">
      <w:r>
        <w:t>Na zasedanjih Izvršnega odbora UNICEF bodo sodelovali predstavniki Ministrstva za delo, družino, socialne zadeve in enake možnosti in Stalnega predstavništva Republike Slovenije pri OZN v New Yorku ter po potrebi Ministrstva za zunanje in evropske zadeve in drugih resorjev.</w:t>
      </w:r>
    </w:p>
    <w:p w14:paraId="54D90DFC" w14:textId="77777777" w:rsidR="003214E4" w:rsidRDefault="003214E4" w:rsidP="003214E4"/>
    <w:p w14:paraId="6F87D4AB" w14:textId="56176808" w:rsidR="003214E4" w:rsidRDefault="003214E4" w:rsidP="003214E4">
      <w:r>
        <w:t>Za vsebinske in organizacijske naloge članstva Republike Slovenije v Izvršnem odboru UNICEF bo oblikovana neformalna delovna skupina, sestavljena iz predstavnikov Ministrstva za delo, družino, socialne zadeve in enake možnosti ter Ministrstva za zunanje in evropske zadeve. Delovna skupina se bo po potrebi sestajala tudi s predstavniki drugih resorjev, v skladu z dnevnim redom zasedanj Izvršnega odbora UNICEF. V delo skupine se po potrebi vključi tudi predstavnike Slovenske fundacije za UNICEF.</w:t>
      </w:r>
    </w:p>
    <w:p w14:paraId="48F697CF" w14:textId="77777777" w:rsidR="003214E4" w:rsidRDefault="003214E4" w:rsidP="003214E4"/>
    <w:p w14:paraId="16C15CEA" w14:textId="648532B0" w:rsidR="003214E4" w:rsidRDefault="003214E4" w:rsidP="003214E4">
      <w:r>
        <w:t xml:space="preserve">V triletnem obdobju članstva v Izvršnem odboru UNICEF bodo </w:t>
      </w:r>
      <w:r w:rsidRPr="004D636D">
        <w:rPr>
          <w:u w:val="single"/>
        </w:rPr>
        <w:t>prednostni cilji</w:t>
      </w:r>
      <w:r>
        <w:t xml:space="preserve"> Republike Slovenije vključevali: </w:t>
      </w:r>
    </w:p>
    <w:p w14:paraId="13164458" w14:textId="37D46067" w:rsidR="003214E4" w:rsidRDefault="00B92F0D" w:rsidP="003214E4">
      <w:r>
        <w:t xml:space="preserve">- </w:t>
      </w:r>
      <w:r w:rsidR="003214E4">
        <w:t xml:space="preserve">zaščito otrok, s posebnim poudarkom na preprečevanju nasilja nad otroki in uveljavljanju pravic otrok v oboroženih spopadih ter humanitarno pomočjo otrokom po oboroženih spopadih, vključno z rehabilitacijami in psihosocialno pomočjo; </w:t>
      </w:r>
    </w:p>
    <w:p w14:paraId="58489472" w14:textId="556FA161" w:rsidR="003214E4" w:rsidRDefault="00B92F0D" w:rsidP="003214E4">
      <w:r>
        <w:t xml:space="preserve">- </w:t>
      </w:r>
      <w:r w:rsidR="003214E4">
        <w:t>izobraževanje o otrokovih pravicah in enakosti spolov, vključevanje deklic v izobraževanje in spodbujanje spolno transformativnih pristopov;</w:t>
      </w:r>
    </w:p>
    <w:p w14:paraId="3BB013C1" w14:textId="239BA0E7" w:rsidR="003214E4" w:rsidRDefault="00B92F0D" w:rsidP="003214E4">
      <w:r>
        <w:lastRenderedPageBreak/>
        <w:t xml:space="preserve">- </w:t>
      </w:r>
      <w:r w:rsidR="003214E4">
        <w:t xml:space="preserve">izpolnjevanje ciljev trajnostnega razvoja s poudarkom na dostopu do neoporečne pitne vode, urejenih sanitarij in higiene ter preprečevanja lakote med otroki. </w:t>
      </w:r>
    </w:p>
    <w:p w14:paraId="3C301242" w14:textId="34766255" w:rsidR="00135A66" w:rsidRDefault="003214E4" w:rsidP="004D636D">
      <w:pPr>
        <w:pStyle w:val="Vir"/>
      </w:pPr>
      <w:r>
        <w:t>Vir: Ministrstvo za delo, družino, socialne zadeve in enake možnosti</w:t>
      </w:r>
    </w:p>
    <w:p w14:paraId="45B64ECE" w14:textId="2A1F4F00" w:rsidR="00FE6D3A" w:rsidRDefault="00FE6D3A" w:rsidP="00FE6D3A">
      <w:pPr>
        <w:pStyle w:val="Naslov2"/>
      </w:pPr>
      <w:r>
        <w:t xml:space="preserve">Vlada ni podprla </w:t>
      </w:r>
      <w:proofErr w:type="gramStart"/>
      <w:r>
        <w:t>predloga Zakona</w:t>
      </w:r>
      <w:proofErr w:type="gramEnd"/>
      <w:r>
        <w:t xml:space="preserve"> o spremembi Zakona o omejevanju porabe alkohola</w:t>
      </w:r>
    </w:p>
    <w:p w14:paraId="7DF9FC77" w14:textId="64F66CD7" w:rsidR="00FE6D3A" w:rsidRDefault="00FE6D3A" w:rsidP="00FE6D3A">
      <w:r>
        <w:t xml:space="preserve">Vlada ni podprla </w:t>
      </w:r>
      <w:proofErr w:type="gramStart"/>
      <w:r>
        <w:t>predloga Zakona</w:t>
      </w:r>
      <w:proofErr w:type="gramEnd"/>
      <w:r>
        <w:t xml:space="preserve"> o spremembi Zakona o omejevanju porabe alkohola, ki ga je Državnemu zboru Republike Slovenije predložila skupina poslank in poslancev s prvopodpisano poslanko Jelko Godec. </w:t>
      </w:r>
    </w:p>
    <w:p w14:paraId="7A5753F1" w14:textId="77777777" w:rsidR="00FE6D3A" w:rsidRDefault="00FE6D3A" w:rsidP="00FE6D3A"/>
    <w:p w14:paraId="033C485B" w14:textId="77777777" w:rsidR="00FE6D3A" w:rsidRDefault="00FE6D3A" w:rsidP="00FE6D3A">
      <w:r>
        <w:t>Z novelo Zakona o omejevanju rabe alkohola (ZOPA) bi želeli spremeniti 12. člen, ki določa, da je »prodaja oziroma ponudba alkoholnih pijač prepovedana v objektih in na pripadajočih zemljiščih, ki so neposredno namenjena za njihovo redno rabo, kjer se opravlja dejavnost vzgoje, izobraževanja in zdravstvena dejavnost«. Predlagali so, da bi novela prepoved vezala zgolj na čas, ko poteka vzgojno-izobraževalna oziroma zdravstvena dejavnost, ne pa tudi takrat, ko ta ne poteka (na primer razne prireditve čez vikend, v večernih urah in podobno).</w:t>
      </w:r>
    </w:p>
    <w:p w14:paraId="3AB06BA7" w14:textId="77777777" w:rsidR="00FE6D3A" w:rsidRDefault="00FE6D3A" w:rsidP="00FE6D3A"/>
    <w:p w14:paraId="1D1EC009" w14:textId="77777777" w:rsidR="00FE6D3A" w:rsidRDefault="00FE6D3A" w:rsidP="00FE6D3A">
      <w:r>
        <w:t xml:space="preserve">Vlada izpostavlja, da je alkohol med najbolj razširjenimi psihoaktivnimi snovmi, ki povzroča številne negativne posledice za zdravje in življenje posameznikov, njihovih družin in družbe, kar kažejo številne domače in tuje raziskave. Predlagana sprememba zakona bi predstavljala izjemno slabo sporočilo o sprejemljivosti pitja alkohola na splošno, še posebej v okoljih, ki so prvenstveno po svoji dejavnosti namenjeni mladoletnim osebam, ki jih ZOPA še posebej ščiti. </w:t>
      </w:r>
    </w:p>
    <w:p w14:paraId="3FB9E5FF" w14:textId="77777777" w:rsidR="00FE6D3A" w:rsidRDefault="00FE6D3A" w:rsidP="00FE6D3A"/>
    <w:p w14:paraId="59B94179" w14:textId="77777777" w:rsidR="00FE6D3A" w:rsidRDefault="00FE6D3A" w:rsidP="00FE6D3A">
      <w:r>
        <w:t xml:space="preserve">Leta 2003 sprejeta ureditev, po kateri je prepovedana ponudba in prodaja alkohola v šolskem in zdravstvenem prostoru, je ustrezna in skladna z ureditvijo v drugih državah članicah Evropske unije, zato vlada nasprotuje (ponovnemu) odpiranju tega prostora alkoholu – tudi v primerih, ko gre za aktivnosti izven časa osnovnih dejavnosti vzgoje, izobraževanja ter zdravstvene dejavnosti. </w:t>
      </w:r>
      <w:proofErr w:type="spellStart"/>
      <w:r>
        <w:t>Javnopolitični</w:t>
      </w:r>
      <w:proofErr w:type="spellEnd"/>
      <w:r>
        <w:t xml:space="preserve"> in zakonodajni ukrepi bi morali potekati v obratno smer, torej v krepitev doslednejšega izvajanja že sprejete ureditve. </w:t>
      </w:r>
    </w:p>
    <w:p w14:paraId="3311B6FE" w14:textId="77777777" w:rsidR="00FE6D3A" w:rsidRDefault="00FE6D3A" w:rsidP="00FE6D3A"/>
    <w:p w14:paraId="49A607AA" w14:textId="77777777" w:rsidR="00FE6D3A" w:rsidRDefault="00FE6D3A" w:rsidP="00FE6D3A">
      <w:r>
        <w:t>Vlada tudi meni, da bi bilo v primeru sprejetja predlagane spremembe nemogoče tehnično uveljavljati oziroma jasno razmejiti čas, ko poteka osnovna dejavnost, in čas, ko ta ne poteka. Evropska praksa na tem in sorodnih področjih (recimo pri oglaševanju alkoholnih pijač) kaže, da so najbolj učinkovite in smiselne jasne ločnice, ki omogočajo predvidljivost situacij in posledično jasnost pričakovanih ravnanj ter sankcij v primeru kršitev.</w:t>
      </w:r>
    </w:p>
    <w:p w14:paraId="0180D2FD" w14:textId="77777777" w:rsidR="00FE6D3A" w:rsidRDefault="00FE6D3A" w:rsidP="00FE6D3A"/>
    <w:p w14:paraId="307F98A0" w14:textId="45D29890" w:rsidR="00FE6D3A" w:rsidRDefault="00FE6D3A" w:rsidP="00FE6D3A">
      <w:r>
        <w:t>Vlada zato predloga Zakona o spremembi Zakona o omejevanju porabe alkohola ne podpira in meni, da ni primeren za nadaljnjo obravnavo.</w:t>
      </w:r>
    </w:p>
    <w:p w14:paraId="1C50EB2B" w14:textId="405C9784" w:rsidR="00FE6D3A" w:rsidRDefault="00FE6D3A" w:rsidP="00FE6D3A">
      <w:pPr>
        <w:pStyle w:val="Vir"/>
      </w:pPr>
      <w:r>
        <w:t>Vir: Ministrstvo za zdravje</w:t>
      </w:r>
    </w:p>
    <w:p w14:paraId="6DE1417F" w14:textId="32F9DC89" w:rsidR="00135A66" w:rsidRPr="00BE3BDE" w:rsidRDefault="00135A66" w:rsidP="00135A66">
      <w:pPr>
        <w:rPr>
          <w:b/>
          <w:bCs/>
        </w:rPr>
      </w:pPr>
      <w:r w:rsidRPr="00BE3BDE">
        <w:rPr>
          <w:b/>
          <w:bCs/>
        </w:rPr>
        <w:t>II.</w:t>
      </w:r>
      <w:r w:rsidR="00BE3BDE" w:rsidRPr="00BE3BDE">
        <w:rPr>
          <w:b/>
          <w:bCs/>
        </w:rPr>
        <w:t xml:space="preserve"> </w:t>
      </w:r>
      <w:r w:rsidRPr="00BE3BDE">
        <w:rPr>
          <w:b/>
          <w:bCs/>
        </w:rPr>
        <w:t>LISTA B</w:t>
      </w:r>
    </w:p>
    <w:p w14:paraId="759A9E11" w14:textId="77777777" w:rsidR="00135A66" w:rsidRDefault="00135A66" w:rsidP="00135A66"/>
    <w:p w14:paraId="6EE7D2DE" w14:textId="10327C9F" w:rsidR="001656F0" w:rsidRDefault="001656F0" w:rsidP="001656F0">
      <w:pPr>
        <w:pStyle w:val="Naslov2"/>
      </w:pPr>
      <w:bookmarkStart w:id="0" w:name="_Hlk189743920"/>
      <w:r w:rsidRPr="00160FC1">
        <w:t xml:space="preserve">Vlada </w:t>
      </w:r>
      <w:r w:rsidR="00160FC1">
        <w:t>o</w:t>
      </w:r>
      <w:r>
        <w:t xml:space="preserve"> sprememb</w:t>
      </w:r>
      <w:r w:rsidR="00160FC1">
        <w:t>ah</w:t>
      </w:r>
      <w:r>
        <w:t xml:space="preserve"> Zakona o organizaciji in financiranju vzgoje in izobraževanja</w:t>
      </w:r>
    </w:p>
    <w:p w14:paraId="6AB8BE48" w14:textId="3DC374FF" w:rsidR="00135A66" w:rsidRDefault="00160FC1" w:rsidP="00160FC1">
      <w:r>
        <w:t xml:space="preserve">Vlada je na današnji seji začela obravnavo sprememb Zakona o organizaciji in financiranju vzgoje in izobraževanja. Obravnavo je prekinila in jo bo nadaljevala na naslednji seji. </w:t>
      </w:r>
    </w:p>
    <w:bookmarkEnd w:id="0"/>
    <w:p w14:paraId="66265503" w14:textId="77777777" w:rsidR="00160FC1" w:rsidRDefault="00160FC1" w:rsidP="00160FC1"/>
    <w:p w14:paraId="72AC544F" w14:textId="6033CD02" w:rsidR="00BE3BDE" w:rsidRDefault="00BE3BDE" w:rsidP="00BE3BDE">
      <w:pPr>
        <w:pStyle w:val="Naslov2"/>
      </w:pPr>
      <w:r>
        <w:t>Vlada o izhodiščih za pripravo zakona o plačah in drugih prejemkih javnih uslužbencev za delo v tujini</w:t>
      </w:r>
    </w:p>
    <w:p w14:paraId="12CF5BB8" w14:textId="5CBA6B51" w:rsidR="00BE3BDE" w:rsidRDefault="00BE3BDE" w:rsidP="00BE3BDE">
      <w:r>
        <w:lastRenderedPageBreak/>
        <w:t xml:space="preserve">Vlada je obravnavala Izhodišča za pripravo predloga zakona o plačah in drugih prejemkih javnih uslužbencev za delo v tujini, ki jih Ministrstvo za javno upravo predloži </w:t>
      </w:r>
      <w:proofErr w:type="gramStart"/>
      <w:r>
        <w:t>Ekonomsko socialnemu svetu</w:t>
      </w:r>
      <w:proofErr w:type="gramEnd"/>
      <w:r>
        <w:t>.</w:t>
      </w:r>
    </w:p>
    <w:p w14:paraId="37FE5E16" w14:textId="77777777" w:rsidR="00BE3BDE" w:rsidRDefault="00BE3BDE" w:rsidP="00BE3BDE"/>
    <w:p w14:paraId="346C4D55" w14:textId="77777777" w:rsidR="00BE3BDE" w:rsidRDefault="00BE3BDE" w:rsidP="00BE3BDE">
      <w:r>
        <w:t xml:space="preserve">Predlog izhodišč za pripravo novega zakona, ki bo urejal plače in druge prejemke javnih uslužbencev in funkcionarjev na delu v tujini in bo predvidoma uveljavljen najkasneje 1. januarja 2026, vsebuje okvirna izhodišča, ki zasledujejo cilj sistemske prenove plač in drugih prejemkov za vse napotene javne uslužbence in funkcionarje v zakonu ter ustrezne ureditve morebitnih izjem oziroma posebnosti posameznih resorjev. </w:t>
      </w:r>
    </w:p>
    <w:p w14:paraId="39DF7977" w14:textId="77777777" w:rsidR="00BE3BDE" w:rsidRDefault="00BE3BDE" w:rsidP="00BE3BDE"/>
    <w:p w14:paraId="4D439DED" w14:textId="77777777" w:rsidR="00BE3BDE" w:rsidRDefault="00BE3BDE" w:rsidP="00BE3BDE">
      <w:r>
        <w:t>Poglavitne rešitve, ki odstopajo od veljavne ureditve:</w:t>
      </w:r>
    </w:p>
    <w:p w14:paraId="360E62D1" w14:textId="77777777" w:rsidR="00BE3BDE" w:rsidRDefault="00BE3BDE" w:rsidP="00BE3BDE">
      <w:r>
        <w:t>- osnovna plača za delo v tujini se določi v bruto znesku, ki je vnaprej znan in predvidljiv in ne bo več odvisna od morebitne spremembe indeksa življenjskih stroškov;</w:t>
      </w:r>
    </w:p>
    <w:p w14:paraId="60F1BDF8" w14:textId="77777777" w:rsidR="00BE3BDE" w:rsidRDefault="00BE3BDE" w:rsidP="00BE3BDE">
      <w:r>
        <w:t>- na novo se določi prejemek za življenjske stroške v tujini, ki bo odražal dejansko stanje življenjskih stroškov v posameznem kraju oziroma državi napotitve in se bo usklajeval z indeksom življenjskih stroškov;</w:t>
      </w:r>
    </w:p>
    <w:p w14:paraId="3511CF53" w14:textId="77777777" w:rsidR="00BE3BDE" w:rsidRDefault="00BE3BDE" w:rsidP="00BE3BDE">
      <w:r>
        <w:t>- oblikuje se novo vrednotenje delovnih mest, funkcij in nazivov na način, da bo razpon med razredi oziroma stopnjami proporcionalen ter da se odpravijo obstoječa plačna nesorazmerja.</w:t>
      </w:r>
    </w:p>
    <w:p w14:paraId="074B8324" w14:textId="77777777" w:rsidR="00BE3BDE" w:rsidRDefault="00BE3BDE" w:rsidP="00BE3BDE"/>
    <w:p w14:paraId="76F2A356" w14:textId="77777777" w:rsidR="00BE3BDE" w:rsidRDefault="00BE3BDE" w:rsidP="00BE3BDE">
      <w:r>
        <w:t>Izhodišča določajo tudi, da se v okviru priprave in usklajevanja predloga zakona prouči:</w:t>
      </w:r>
    </w:p>
    <w:p w14:paraId="55712156" w14:textId="77777777" w:rsidR="00BE3BDE" w:rsidRDefault="00BE3BDE" w:rsidP="00BE3BDE">
      <w:r>
        <w:t>- ustreznost in utemeljenost nabora dodatkov in drugih prejemkov, ki jih prejemajo funkcionarji in javni uslužbenci, napoteni na delo v tujino in se (ob ugotovljeni neustreznosti) preoblikujejo ali na novo določijo;</w:t>
      </w:r>
    </w:p>
    <w:p w14:paraId="7018CD43" w14:textId="77777777" w:rsidR="00BE3BDE" w:rsidRDefault="00BE3BDE" w:rsidP="00BE3BDE">
      <w:r>
        <w:t xml:space="preserve">- ustreznost metodologije za določitev povračil in nadomestil funkcionarjem in javnim uslužbencem za delo v tujini in se (ob ugotovljeni neustreznosti) preoblikujejo ali na novo določijo tudi merila in kriteriji; </w:t>
      </w:r>
    </w:p>
    <w:p w14:paraId="5AEFD56C" w14:textId="28CBFA01" w:rsidR="00BE3BDE" w:rsidRDefault="00BE3BDE" w:rsidP="00BE3BDE">
      <w:r>
        <w:t>- možnost posebne davčne in prispevne obravnave dodatkov in drugih prejemkov, do katerih so upravičeni funkcionarji in javni uslužbenci, napoteni na delo v tujino v novem sistemu, ob upoštevanju načel davčnega sistema in sistema socialne varnosti.</w:t>
      </w:r>
    </w:p>
    <w:p w14:paraId="7D076BF0" w14:textId="39A12420" w:rsidR="00135A66" w:rsidRDefault="00BE3BDE" w:rsidP="00BE3BDE">
      <w:pPr>
        <w:pStyle w:val="Vir"/>
      </w:pPr>
      <w:r>
        <w:t>Vir: Ministrstvo za javno upravo</w:t>
      </w:r>
    </w:p>
    <w:p w14:paraId="24B12AA3" w14:textId="77777777" w:rsidR="00047B4A" w:rsidRPr="00152034" w:rsidRDefault="00047B4A" w:rsidP="0091719A">
      <w:pPr>
        <w:pStyle w:val="Naslov2"/>
      </w:pPr>
      <w:r w:rsidRPr="00152034">
        <w:rPr>
          <w:lang w:eastAsia="sl-SI"/>
        </w:rPr>
        <w:t xml:space="preserve">Vlada se </w:t>
      </w:r>
      <w:proofErr w:type="gramStart"/>
      <w:r w:rsidRPr="00152034">
        <w:rPr>
          <w:lang w:eastAsia="sl-SI"/>
        </w:rPr>
        <w:t>je</w:t>
      </w:r>
      <w:proofErr w:type="gramEnd"/>
      <w:r w:rsidRPr="00152034">
        <w:rPr>
          <w:lang w:eastAsia="sl-SI"/>
        </w:rPr>
        <w:t xml:space="preserve"> seznanila z informacijo podpisu pisma o nameri s finskim obrambnim ministrstvom glede podpore pri nabavi oklepnih modularnih vozil 8x8 </w:t>
      </w:r>
      <w:r w:rsidRPr="00152034">
        <w:t> </w:t>
      </w:r>
    </w:p>
    <w:p w14:paraId="6EC74C35" w14:textId="77777777" w:rsidR="00047B4A" w:rsidRPr="00152034" w:rsidRDefault="00047B4A" w:rsidP="0091719A">
      <w:pPr>
        <w:rPr>
          <w:lang w:eastAsia="sl-SI"/>
        </w:rPr>
      </w:pPr>
      <w:r w:rsidRPr="00152034">
        <w:t>Ministrstvo za obrambo</w:t>
      </w:r>
      <w:r w:rsidRPr="00152034">
        <w:rPr>
          <w:lang w:eastAsia="sl-SI"/>
        </w:rPr>
        <w:t xml:space="preserve"> je Vlado Republike Slovenije na 139. seji seznanilo z informacijo o nakupu oklepnih modularnih vozil 8x8. Na podlagi odločitve vlade Ministrstvo za obrambo začenja s postopkom nabave oklepnih modularnih bojnih kolesnih vozil 8x8, ki jih namerava kupiti pri proizvajalcu tovrstnih vozil, podjetju Patria Land </w:t>
      </w:r>
      <w:proofErr w:type="spellStart"/>
      <w:r w:rsidRPr="00152034">
        <w:rPr>
          <w:lang w:eastAsia="sl-SI"/>
        </w:rPr>
        <w:t>Oy</w:t>
      </w:r>
      <w:proofErr w:type="spellEnd"/>
      <w:r w:rsidRPr="00152034">
        <w:rPr>
          <w:lang w:eastAsia="sl-SI"/>
        </w:rPr>
        <w:t xml:space="preserve">, Finska. </w:t>
      </w:r>
    </w:p>
    <w:p w14:paraId="6EC37EEB" w14:textId="77777777" w:rsidR="00047B4A" w:rsidRPr="00152034" w:rsidRDefault="00047B4A" w:rsidP="0091719A">
      <w:pPr>
        <w:rPr>
          <w:lang w:eastAsia="sl-SI"/>
        </w:rPr>
      </w:pPr>
    </w:p>
    <w:p w14:paraId="5CE8EC57" w14:textId="77777777" w:rsidR="00047B4A" w:rsidRPr="00152034" w:rsidRDefault="00047B4A" w:rsidP="0091719A">
      <w:pPr>
        <w:rPr>
          <w:lang w:eastAsia="sl-SI"/>
        </w:rPr>
      </w:pPr>
      <w:r w:rsidRPr="00152034">
        <w:rPr>
          <w:lang w:eastAsia="sl-SI"/>
        </w:rPr>
        <w:t>Podporo pri nabavi teh vozil bo Ministrstvu za obrambo Republike Slovenije nudilo Ministrstvo za obrambo Republike Finske. S podpisom pisma o nameri se izraža volja in namera obeh strani po tovrstnem sodelovanju.</w:t>
      </w:r>
    </w:p>
    <w:p w14:paraId="6EBF9FE4" w14:textId="77777777" w:rsidR="00047B4A" w:rsidRPr="00152034" w:rsidRDefault="00047B4A" w:rsidP="0091719A">
      <w:pPr>
        <w:rPr>
          <w:highlight w:val="yellow"/>
          <w:lang w:eastAsia="sl-SI"/>
        </w:rPr>
      </w:pPr>
    </w:p>
    <w:p w14:paraId="08B462BB" w14:textId="5B117CB2" w:rsidR="00047B4A" w:rsidRPr="00152034" w:rsidRDefault="00047B4A" w:rsidP="0091719A">
      <w:pPr>
        <w:rPr>
          <w:lang w:eastAsia="sl-SI"/>
        </w:rPr>
      </w:pPr>
      <w:r w:rsidRPr="00152034">
        <w:rPr>
          <w:lang w:eastAsia="sl-SI"/>
        </w:rPr>
        <w:t xml:space="preserve">Podpis pisma o nameri ne </w:t>
      </w:r>
      <w:r w:rsidRPr="00152034">
        <w:rPr>
          <w:color w:val="000000"/>
          <w:lang w:eastAsia="sl-SI"/>
        </w:rPr>
        <w:t xml:space="preserve">predstavlja nobene finančno ali pravno zavezujoče obveznosti med podpisnikoma, niti po mednarodnem niti nacionalnem pravu. </w:t>
      </w:r>
    </w:p>
    <w:p w14:paraId="7C1DF79D" w14:textId="57AF7135" w:rsidR="00047B4A" w:rsidRPr="00FD29D4" w:rsidRDefault="0091719A" w:rsidP="0091719A">
      <w:pPr>
        <w:pStyle w:val="Vir"/>
      </w:pPr>
      <w:r>
        <w:t>Vir: Ministrstvo za obrambo</w:t>
      </w:r>
    </w:p>
    <w:p w14:paraId="567A2FD5" w14:textId="4F09C323" w:rsidR="002E4AEC" w:rsidRPr="002E4AEC" w:rsidRDefault="002E4AEC" w:rsidP="002E4AEC">
      <w:pPr>
        <w:pStyle w:val="Naslov2"/>
      </w:pPr>
      <w:r w:rsidRPr="002E4AEC">
        <w:t>Sodelovanje med slovensko Policijo in Državno policijo v Gorici med trajanjem Evropske prestolnice kulture</w:t>
      </w:r>
    </w:p>
    <w:p w14:paraId="4A69B754" w14:textId="48E994E7" w:rsidR="002E4AEC" w:rsidRPr="002E4AEC" w:rsidRDefault="002E4AEC" w:rsidP="002E4AEC">
      <w:pPr>
        <w:rPr>
          <w:color w:val="000000" w:themeColor="text1"/>
        </w:rPr>
      </w:pPr>
      <w:r w:rsidRPr="002E4AEC">
        <w:rPr>
          <w:color w:val="000000" w:themeColor="text1"/>
        </w:rPr>
        <w:t xml:space="preserve">Vlada se je seznanila z informacijo o </w:t>
      </w:r>
      <w:proofErr w:type="gramStart"/>
      <w:r w:rsidRPr="002E4AEC">
        <w:rPr>
          <w:color w:val="000000" w:themeColor="text1"/>
        </w:rPr>
        <w:t>nameravanemu</w:t>
      </w:r>
      <w:proofErr w:type="gramEnd"/>
      <w:r w:rsidRPr="002E4AEC">
        <w:rPr>
          <w:color w:val="000000" w:themeColor="text1"/>
        </w:rPr>
        <w:t xml:space="preserve"> podpisu Izvedbenega dogovora med Ministrstvom za notranje zadeve Republike Slovenije, Policijo, in Državno policijo v Gorici o načinih organizacije in upravljanja enot za varstvo javnega reda in miru v letu 2025.</w:t>
      </w:r>
    </w:p>
    <w:p w14:paraId="54AAE0B7" w14:textId="77777777" w:rsidR="002E4AEC" w:rsidRPr="002E4AEC" w:rsidRDefault="002E4AEC" w:rsidP="002E4AEC">
      <w:pPr>
        <w:rPr>
          <w:color w:val="000000" w:themeColor="text1"/>
        </w:rPr>
      </w:pPr>
    </w:p>
    <w:p w14:paraId="3A7BA618" w14:textId="77777777" w:rsidR="002E4AEC" w:rsidRPr="002E4AEC" w:rsidRDefault="002E4AEC" w:rsidP="002E4AEC">
      <w:pPr>
        <w:rPr>
          <w:color w:val="000000" w:themeColor="text1"/>
        </w:rPr>
      </w:pPr>
      <w:r w:rsidRPr="002E4AEC">
        <w:rPr>
          <w:color w:val="000000" w:themeColor="text1"/>
        </w:rPr>
        <w:t>Čezmejnim prireditvam in prireditvam v okviru Evropske prestolnice kulture, ki bodo potekale na Trgu Evrope, ki je na pol razdeljen med Slovenijo in Italijo oziroma Novo Gorico in Gorico, je treba prilagoditi delo varnostnih organov, ki bodo skrbeli za javni red in mir.</w:t>
      </w:r>
    </w:p>
    <w:p w14:paraId="349FC9DA" w14:textId="77777777" w:rsidR="002E4AEC" w:rsidRPr="002E4AEC" w:rsidRDefault="002E4AEC" w:rsidP="002E4AEC">
      <w:pPr>
        <w:rPr>
          <w:color w:val="000000" w:themeColor="text1"/>
        </w:rPr>
      </w:pPr>
    </w:p>
    <w:p w14:paraId="710F6F95" w14:textId="77777777" w:rsidR="002E4AEC" w:rsidRPr="002E4AEC" w:rsidRDefault="002E4AEC" w:rsidP="002E4AEC">
      <w:pPr>
        <w:rPr>
          <w:color w:val="000000" w:themeColor="text1"/>
        </w:rPr>
      </w:pPr>
      <w:r w:rsidRPr="002E4AEC">
        <w:rPr>
          <w:color w:val="000000" w:themeColor="text1"/>
        </w:rPr>
        <w:t xml:space="preserve">Izvedbeni dogovor pojasnjuje sodelovanje obeh policij v času trajanja Evropske prestolnice kulture na obstoječih pravnih podlagah za sodelovanje policij. Povzema način usklajevanja policij, zlasti medsebojno seznanjanje o prejetih prijavah prireditev ter seznanjanje organizatorjev prireditev s potrebo po obveščanju pristojnih organov sosednje države. </w:t>
      </w:r>
    </w:p>
    <w:p w14:paraId="78389A97" w14:textId="77777777" w:rsidR="002E4AEC" w:rsidRPr="002E4AEC" w:rsidRDefault="002E4AEC" w:rsidP="002E4AEC">
      <w:pPr>
        <w:rPr>
          <w:color w:val="000000" w:themeColor="text1"/>
        </w:rPr>
      </w:pPr>
    </w:p>
    <w:p w14:paraId="2E8F8F9D" w14:textId="77777777" w:rsidR="002E4AEC" w:rsidRPr="002E4AEC" w:rsidRDefault="002E4AEC" w:rsidP="002E4AEC">
      <w:pPr>
        <w:rPr>
          <w:color w:val="000000" w:themeColor="text1"/>
        </w:rPr>
      </w:pPr>
      <w:r w:rsidRPr="002E4AEC">
        <w:rPr>
          <w:color w:val="000000" w:themeColor="text1"/>
        </w:rPr>
        <w:t>Za organizacijo delovanja organov javnega reda in miru je zadolžena vsaka stran na svojem ozemlju, pri čemer si bosta vzajemno izmenjevali informacije o načrtovanih ukrepih in skušali ustrezno prilagajati delovanje. Pripadniki vsake policije bodo praviloma delovali na ozemlju svoje države. Določena je tudi možnost imenovanja posebnega predstavnika policije, ki bi v času trajanja posamezne prireditve deloval pri policiji sosednje države in zagotavljal čim boljši pretok informacij.</w:t>
      </w:r>
    </w:p>
    <w:p w14:paraId="54853E25" w14:textId="77777777" w:rsidR="002E4AEC" w:rsidRPr="002E4AEC" w:rsidRDefault="002E4AEC" w:rsidP="002E4AEC">
      <w:pPr>
        <w:rPr>
          <w:color w:val="000000" w:themeColor="text1"/>
        </w:rPr>
      </w:pPr>
    </w:p>
    <w:p w14:paraId="29CBD375" w14:textId="40E52C65" w:rsidR="002E4AEC" w:rsidRPr="002E4AEC" w:rsidRDefault="002E4AEC" w:rsidP="002E4AEC">
      <w:pPr>
        <w:rPr>
          <w:color w:val="000000" w:themeColor="text1"/>
        </w:rPr>
      </w:pPr>
      <w:r w:rsidRPr="002E4AEC">
        <w:rPr>
          <w:color w:val="000000" w:themeColor="text1"/>
        </w:rPr>
        <w:t>Izvedbeni dogovor bo podpisal vršilec dolžnosti generalnega direktorja policije Damjan Petrič.</w:t>
      </w:r>
    </w:p>
    <w:p w14:paraId="0CF22E39" w14:textId="32E4F48F" w:rsidR="00FD29D4" w:rsidRPr="002E4AEC" w:rsidRDefault="002E4AEC" w:rsidP="002E4AEC">
      <w:pPr>
        <w:pStyle w:val="Vir"/>
      </w:pPr>
      <w:r w:rsidRPr="002E4AEC">
        <w:t>Vir: Ministrstvo za notranje zadeve</w:t>
      </w:r>
    </w:p>
    <w:p w14:paraId="370C47A2" w14:textId="48072DB3" w:rsidR="00056486" w:rsidRPr="00056486" w:rsidRDefault="00056486" w:rsidP="00056486">
      <w:pPr>
        <w:pStyle w:val="Naslov2"/>
      </w:pPr>
      <w:r w:rsidRPr="00056486">
        <w:t>Predlog stališča Republike Slovenije o prihodnosti evropske kohezijske politike po letu 2027</w:t>
      </w:r>
    </w:p>
    <w:p w14:paraId="0017387E" w14:textId="44022C66" w:rsidR="00056486" w:rsidRPr="00056486" w:rsidRDefault="00056486" w:rsidP="00056486">
      <w:pPr>
        <w:rPr>
          <w:color w:val="000000" w:themeColor="text1"/>
        </w:rPr>
      </w:pPr>
      <w:r w:rsidRPr="00056486">
        <w:rPr>
          <w:color w:val="000000" w:themeColor="text1"/>
        </w:rPr>
        <w:t xml:space="preserve">Vlada je sprejela stališče Republike Slovenije o prihodnosti evropske kohezijske politike po letu 2027. Celotno stališče je zapisano v 22 točkah, ki zagovarjajo močno, odporno in stabilno evropsko kohezijsko politiko, ki se bo sposobna učinkovito odzivati na sedanje in prihodnje izzive ter prispevati k skladnemu regionalnemu razvoju ob upoštevanju specifičnih potreb in izzivov regij in prebivalstva, zlasti najranljivejših skupin. Podpirati mora vse regije in se še posebej osredotočati na manj razvite. Za Republiko Slovenijo je pomembno, da se evropska kohezijska politika ohrani z vsemi svojimi načeli in dodatno okrepi ter prilagodi, da bo njen prispevek k razvoju in odpornosti Evropske unije še večji. Centralizacija skladov in programov na ravni ene države je korak stran od načel evropske kohezijske politike, zato bo tudi v prihodnje ključnega pomena, da evropska kohezijska politika ohrani deljeno in več-nivojsko upravljanje. </w:t>
      </w:r>
    </w:p>
    <w:p w14:paraId="15DEF917" w14:textId="77777777" w:rsidR="00056486" w:rsidRPr="00056486" w:rsidRDefault="00056486" w:rsidP="00056486">
      <w:pPr>
        <w:rPr>
          <w:color w:val="000000" w:themeColor="text1"/>
        </w:rPr>
      </w:pPr>
    </w:p>
    <w:p w14:paraId="03C73E4E" w14:textId="0795B177" w:rsidR="00056486" w:rsidRPr="00056486" w:rsidRDefault="00056486" w:rsidP="00056486">
      <w:pPr>
        <w:rPr>
          <w:color w:val="000000" w:themeColor="text1"/>
        </w:rPr>
      </w:pPr>
      <w:r w:rsidRPr="00056486">
        <w:rPr>
          <w:color w:val="000000" w:themeColor="text1"/>
        </w:rPr>
        <w:t xml:space="preserve">Prednostne naloge evropske kohezijske politike morajo podpirati zeleni, digitalni in socialni prehod (t. i. trojni prehod) za spodbujanje učinkovitega delovanja notranjega trga in strateške naložbe za manjšo odvisnost od negotovih razmer na svetovnih trgih. Hkrati morajo pomagati državam in regijam pri ustvarjanju pogojev za konkurenčnost njihovih gospodarstev, večjo odpornost, povezljivost in boljšo kakovost življenja državljanov Evropske unije. Ti prehodi in njihove medsebojne povezave imajo potencial za soustvarjanje trajnostnih, pravičnih, vključujočih in konkurenčnih modelov mednarodne potrošnje in proizvodnje, ki so bolj osredotočeni na človeka, učinkoviti z viri in okolju prijazni ter spodbujajo krožno gospodarstvo in na naravi temelječe rešitve, poleg tega pa povečujejo povezljivost, inovacije in gospodarsko preobrazbo. Evropska kohezijska politika mora ostati ključni instrument, ki podpira doseganje ciljev in načel Evropskega stebra socialnih pravic. Tudi po letu 2027 je treba zagotoviti ustrezno višino sredstev za evropsko kohezijsko politiko v proračunu Evropske unije, da se bo sposobna odzivati na trenutne in prihodnje izzive ter prispevati h konkurenčnosti, zmanjševanju socialnih in teritorialnih razlik ter odpornosti držav članic in regij. </w:t>
      </w:r>
    </w:p>
    <w:p w14:paraId="5A7A2612" w14:textId="77777777" w:rsidR="00056486" w:rsidRDefault="00056486" w:rsidP="00056486">
      <w:pPr>
        <w:rPr>
          <w:color w:val="000000" w:themeColor="text1"/>
        </w:rPr>
      </w:pPr>
    </w:p>
    <w:p w14:paraId="596E093A" w14:textId="69FBA4A1" w:rsidR="00056486" w:rsidRPr="00056486" w:rsidRDefault="00056486" w:rsidP="00056486">
      <w:pPr>
        <w:rPr>
          <w:color w:val="000000" w:themeColor="text1"/>
        </w:rPr>
      </w:pPr>
      <w:r w:rsidRPr="00056486">
        <w:rPr>
          <w:color w:val="000000" w:themeColor="text1"/>
        </w:rPr>
        <w:t xml:space="preserve">O prihodnosti evropske kohezijske politike po letu 2027 so na ravni Evropske unije v zadnjem letu potekale številne razprave. Evropska komisija je pripravila Deveto kohezijsko poročilo, Evropski odbor regij mnenje o prihodnosti evropske kohezijske politike po letu 2027, neodvisna skupina strokovnjakov na visoki ravni za prihodnost evropske kohezijske politike pa poročilo in priporočila za evropsko kohezijsko politiko po letu 2027. Ključne dokumente so predstavili tudi posamezni strokovnjaki, med </w:t>
      </w:r>
      <w:r w:rsidRPr="00056486">
        <w:rPr>
          <w:color w:val="000000" w:themeColor="text1"/>
        </w:rPr>
        <w:lastRenderedPageBreak/>
        <w:t xml:space="preserve">drugim Enrico Letta, ki je pripravil poročilo o prihodnosti enotnega trga Evropske unije, in Mario Draghi, ki je avtor poročila o prihodnosti evropske konkurenčnosti. V Sloveniji sta bila do sedaj izvedena dva javna posveta o prihodnosti evropske kohezijske politike po letu 2027. Z razpravami in posveti se bo nadaljevalo tudi v prihodnje, saj je načelo partnerstva pri pripravi in izvajanju programa evropske kohezijske politike bistveno za obravnavanje teritorialnih potreb, opredelitev razvojnih priložnosti in povečanje učinkovitosti izvajanja kohezijskih projektov. Z namenom aktivnega sodelovanja v nadaljnjih razpravah o prihodnosti evropske kohezijske politike in zagotavljanja tvornega prispevka k razpravam je Republika Slovenija pripravila stališče o prihodnosti evropske kohezijske politike po letu 2027. </w:t>
      </w:r>
    </w:p>
    <w:p w14:paraId="36ABFA09" w14:textId="75E792E5" w:rsidR="00135A66" w:rsidRDefault="00056486" w:rsidP="00056486">
      <w:pPr>
        <w:pStyle w:val="Vir"/>
      </w:pPr>
      <w:r w:rsidRPr="00056486">
        <w:t>Vir: Ministrstvo za kohezijo in regionalni razvoj</w:t>
      </w:r>
    </w:p>
    <w:p w14:paraId="4B8A1E8B" w14:textId="77777777" w:rsidR="0091719A" w:rsidRPr="0091719A" w:rsidRDefault="0091719A" w:rsidP="0091719A">
      <w:pPr>
        <w:pStyle w:val="Naslov2"/>
        <w:rPr>
          <w:rStyle w:val="Krepko"/>
          <w:b/>
          <w:bCs/>
        </w:rPr>
      </w:pPr>
      <w:r w:rsidRPr="0091719A">
        <w:t>Dodatna sredstva</w:t>
      </w:r>
      <w:r w:rsidRPr="0091719A">
        <w:rPr>
          <w:rStyle w:val="Krepko"/>
          <w:b/>
          <w:bCs/>
        </w:rPr>
        <w:t xml:space="preserve"> za Evropsko prestolnico kulture 2025 Nova Gorica - Gorica</w:t>
      </w:r>
    </w:p>
    <w:p w14:paraId="0CC2AAE4" w14:textId="5297C8E7" w:rsidR="0091719A" w:rsidRPr="0091719A" w:rsidRDefault="0091719A" w:rsidP="0091719A">
      <w:bookmarkStart w:id="1" w:name="_Hlk189743944"/>
      <w:r w:rsidRPr="0091719A">
        <w:rPr>
          <w:rStyle w:val="Krepko"/>
          <w:b w:val="0"/>
          <w:bCs w:val="0"/>
        </w:rPr>
        <w:t xml:space="preserve">Vlada je </w:t>
      </w:r>
      <w:r w:rsidRPr="0091719A">
        <w:t xml:space="preserve">ugotovila javni interes RS, da se Mestni občini Nova Gorica, v okviru sistema financiranja občin za leto 2025 zagotovijo dodatna sredstva za delovanje Javnega zavoda GO! 2025 - Evropska prestolnica kulture, Nova Gorica, za izvajanje javnega kulturnega projekta Evropska prestolnica kulture 2025, ki presega občinski pomen, v višini 1.500.000,00 </w:t>
      </w:r>
      <w:proofErr w:type="gramStart"/>
      <w:r w:rsidRPr="0091719A">
        <w:t>evrov</w:t>
      </w:r>
      <w:proofErr w:type="gramEnd"/>
      <w:r w:rsidRPr="0091719A">
        <w:t>.</w:t>
      </w:r>
    </w:p>
    <w:p w14:paraId="29D46565" w14:textId="77777777" w:rsidR="0091719A" w:rsidRDefault="0091719A" w:rsidP="0091719A"/>
    <w:p w14:paraId="2322B1FD" w14:textId="24033351" w:rsidR="0091719A" w:rsidRPr="0091719A" w:rsidRDefault="0091719A" w:rsidP="0091719A">
      <w:r w:rsidRPr="0091719A">
        <w:t xml:space="preserve">Projekt, ki povezuje </w:t>
      </w:r>
      <w:r w:rsidRPr="0091719A">
        <w:rPr>
          <w:rStyle w:val="Krepko"/>
          <w:b w:val="0"/>
          <w:bCs w:val="0"/>
        </w:rPr>
        <w:t>Novo Gorico in Gorico</w:t>
      </w:r>
      <w:r w:rsidRPr="0091719A">
        <w:t xml:space="preserve">, temelji na kulturnem sodelovanju in dolgoročnem razvoju mesta ter širše </w:t>
      </w:r>
      <w:proofErr w:type="gramStart"/>
      <w:r w:rsidRPr="0091719A">
        <w:t>regije</w:t>
      </w:r>
      <w:proofErr w:type="gramEnd"/>
      <w:r w:rsidRPr="0091719A">
        <w:t xml:space="preserve">. Program EPK sofinancira </w:t>
      </w:r>
      <w:r w:rsidRPr="0091719A">
        <w:rPr>
          <w:rStyle w:val="Krepko"/>
          <w:b w:val="0"/>
          <w:bCs w:val="0"/>
        </w:rPr>
        <w:t>Ministrstvo za kulturo</w:t>
      </w:r>
      <w:r w:rsidRPr="0091719A">
        <w:t xml:space="preserve">, vodenje in izvedbo pa zagotavlja </w:t>
      </w:r>
      <w:r w:rsidRPr="0091719A">
        <w:rPr>
          <w:rStyle w:val="Krepko"/>
          <w:b w:val="0"/>
          <w:bCs w:val="0"/>
        </w:rPr>
        <w:t>Javni zavod GO! 2025</w:t>
      </w:r>
      <w:r w:rsidRPr="0091719A">
        <w:t xml:space="preserve"> v sodelovanju z </w:t>
      </w:r>
      <w:r w:rsidRPr="0091719A">
        <w:rPr>
          <w:rStyle w:val="Krepko"/>
          <w:b w:val="0"/>
          <w:bCs w:val="0"/>
        </w:rPr>
        <w:t>Mestno občino Nova Gorica</w:t>
      </w:r>
      <w:r w:rsidRPr="0091719A">
        <w:t>.</w:t>
      </w:r>
    </w:p>
    <w:p w14:paraId="1CC02F50" w14:textId="77777777" w:rsidR="0091719A" w:rsidRDefault="0091719A" w:rsidP="0091719A"/>
    <w:p w14:paraId="0513037E" w14:textId="5442ABA8" w:rsidR="0091719A" w:rsidRPr="0091719A" w:rsidRDefault="0091719A" w:rsidP="0091719A">
      <w:r w:rsidRPr="0091719A">
        <w:t xml:space="preserve">Ministrica za kulturo in župan Mestne občine Nova Gorica bosta podpisala </w:t>
      </w:r>
      <w:r w:rsidRPr="0091719A">
        <w:rPr>
          <w:rStyle w:val="Krepko"/>
          <w:b w:val="0"/>
          <w:bCs w:val="0"/>
        </w:rPr>
        <w:t>dodatek k pogodbi o sofinanciranju</w:t>
      </w:r>
      <w:r w:rsidRPr="0091719A">
        <w:t xml:space="preserve">, s čimer bo zagotovljena stabilna podpora ključnim </w:t>
      </w:r>
      <w:proofErr w:type="gramStart"/>
      <w:r w:rsidRPr="0091719A">
        <w:t>aktivnostim</w:t>
      </w:r>
      <w:proofErr w:type="gramEnd"/>
      <w:r w:rsidRPr="0091719A">
        <w:t xml:space="preserve"> projekta v letu 2025.</w:t>
      </w:r>
    </w:p>
    <w:bookmarkEnd w:id="1"/>
    <w:p w14:paraId="1B920302" w14:textId="35BE518A" w:rsidR="0091719A" w:rsidRDefault="0091719A" w:rsidP="0091719A">
      <w:pPr>
        <w:pStyle w:val="Vir"/>
      </w:pPr>
      <w:r w:rsidRPr="00721EC9">
        <w:t>Vir: Ministrstvo za kulturo</w:t>
      </w:r>
    </w:p>
    <w:p w14:paraId="3C65D338" w14:textId="10531572" w:rsidR="0071152E" w:rsidRDefault="0071152E" w:rsidP="0071152E">
      <w:pPr>
        <w:pStyle w:val="Naslov2"/>
      </w:pPr>
      <w:r>
        <w:t>Vlada imenovala generalnega direktorja Uprave Republike Slovenije za izvrševanje kazenskih sankcij</w:t>
      </w:r>
    </w:p>
    <w:p w14:paraId="27272ADD" w14:textId="26C26234" w:rsidR="0071152E" w:rsidRDefault="0071152E" w:rsidP="0071152E">
      <w:r>
        <w:t>Vlada je izdala odločbo o imenovanju Denisa Peršeta za generalnega direktorja Uprave Republike Slovenije za izvrševanje kazenskih sankcij za mandatno dobo petih let od 15. februarja 2025 z možnostjo ponovnega imenovanja.</w:t>
      </w:r>
    </w:p>
    <w:p w14:paraId="53BD974D" w14:textId="0EF8713C" w:rsidR="00135A66" w:rsidRDefault="0071152E" w:rsidP="00251E8D">
      <w:pPr>
        <w:pStyle w:val="Vir"/>
      </w:pPr>
      <w:r>
        <w:t>Vir: Ministrstvo za pravosodje</w:t>
      </w:r>
    </w:p>
    <w:p w14:paraId="26E2B5C8" w14:textId="31C4762F" w:rsidR="007D3F3D" w:rsidRPr="007D3F3D" w:rsidRDefault="007D3F3D" w:rsidP="007D3F3D">
      <w:pPr>
        <w:pStyle w:val="Naslov2"/>
      </w:pPr>
      <w:r w:rsidRPr="007D3F3D">
        <w:t>Vlada je za glavnega inšpektorja Inšpektorata Republike Slovenije za naravne vire in prostor imenovala dr. Marka Korošica</w:t>
      </w:r>
    </w:p>
    <w:p w14:paraId="45E3132C" w14:textId="78476E4D" w:rsidR="007D3F3D" w:rsidRPr="007D3F3D" w:rsidRDefault="007D3F3D" w:rsidP="007D3F3D">
      <w:pPr>
        <w:rPr>
          <w:color w:val="000000" w:themeColor="text1"/>
        </w:rPr>
      </w:pPr>
      <w:r w:rsidRPr="007D3F3D">
        <w:rPr>
          <w:color w:val="000000" w:themeColor="text1"/>
        </w:rPr>
        <w:t xml:space="preserve">Vlada je izdala odločbo o imenovanju dr. Marka Korošica za glavnega inšpektorja Inšpektorata Republike Slovenije za naravne vire in prostor, organa v sestavi v Ministrstva za naravne vire in prostor, za mandatno dobo petih let, in sicer od </w:t>
      </w:r>
      <w:proofErr w:type="gramStart"/>
      <w:r w:rsidRPr="007D3F3D">
        <w:rPr>
          <w:color w:val="000000" w:themeColor="text1"/>
        </w:rPr>
        <w:t>17. 3. 2025</w:t>
      </w:r>
      <w:proofErr w:type="gramEnd"/>
      <w:r w:rsidRPr="007D3F3D">
        <w:rPr>
          <w:color w:val="000000" w:themeColor="text1"/>
        </w:rPr>
        <w:t xml:space="preserve"> do 16. 3. 2030, z možnostjo</w:t>
      </w:r>
      <w:r>
        <w:rPr>
          <w:color w:val="000000" w:themeColor="text1"/>
        </w:rPr>
        <w:t xml:space="preserve"> </w:t>
      </w:r>
      <w:r w:rsidRPr="007D3F3D">
        <w:rPr>
          <w:color w:val="000000" w:themeColor="text1"/>
        </w:rPr>
        <w:t>ponovnega imenovanja.</w:t>
      </w:r>
    </w:p>
    <w:p w14:paraId="3363621E" w14:textId="77777777" w:rsidR="007D3F3D" w:rsidRPr="007D3F3D" w:rsidRDefault="007D3F3D" w:rsidP="007D3F3D">
      <w:pPr>
        <w:rPr>
          <w:color w:val="000000" w:themeColor="text1"/>
        </w:rPr>
      </w:pPr>
    </w:p>
    <w:p w14:paraId="06B7D84B" w14:textId="77777777" w:rsidR="007D3F3D" w:rsidRPr="007D3F3D" w:rsidRDefault="007D3F3D" w:rsidP="007D3F3D">
      <w:pPr>
        <w:rPr>
          <w:color w:val="000000" w:themeColor="text1"/>
        </w:rPr>
      </w:pPr>
      <w:r w:rsidRPr="007D3F3D">
        <w:rPr>
          <w:color w:val="000000" w:themeColor="text1"/>
        </w:rPr>
        <w:t>Posebna natečajna komisija Uradniškega sveta je ugotovila, da dr. Marko Korošic izpolnjuje natečajne pogoje in je glede na svojo strokovno usposobljenost primeren kandidat za ta položaj. Minister za naravne vire in prostor je vladi predlagal njegovo imenovanje.</w:t>
      </w:r>
    </w:p>
    <w:p w14:paraId="55F15BFC" w14:textId="77777777" w:rsidR="007D3F3D" w:rsidRPr="007D3F3D" w:rsidRDefault="007D3F3D" w:rsidP="007D3F3D">
      <w:pPr>
        <w:rPr>
          <w:color w:val="000000" w:themeColor="text1"/>
        </w:rPr>
      </w:pPr>
    </w:p>
    <w:p w14:paraId="2F3014D2" w14:textId="7C2221DB" w:rsidR="007D3F3D" w:rsidRDefault="007D3F3D" w:rsidP="007D3F3D">
      <w:pPr>
        <w:rPr>
          <w:color w:val="000000" w:themeColor="text1"/>
        </w:rPr>
      </w:pPr>
      <w:r w:rsidRPr="007D3F3D">
        <w:rPr>
          <w:color w:val="000000" w:themeColor="text1"/>
        </w:rPr>
        <w:t>Dr. Marko Korošic je doktoriral na Fakulteti za arhitekturo Univerze v Ljubljani. Od leta 2018 je vodja Medobčinskega inšpektorata in redarstva občin Divača, Hrpelje-Kozina, Komen in Sežana, glavnino svoje delovne poti pa je bil gradbeni inšpektor oziroma vodja območne enote inšpektorata Koper Nova Gorica.</w:t>
      </w:r>
    </w:p>
    <w:p w14:paraId="02E463CE" w14:textId="3B0C3B63" w:rsidR="007D3F3D" w:rsidRPr="007D3F3D" w:rsidRDefault="007D3F3D" w:rsidP="007D3F3D">
      <w:pPr>
        <w:pStyle w:val="Vir"/>
      </w:pPr>
      <w:r>
        <w:lastRenderedPageBreak/>
        <w:t>Vir: Ministrstvo za naravne vire in prostor</w:t>
      </w:r>
    </w:p>
    <w:p w14:paraId="234BF205" w14:textId="0EF509B8" w:rsidR="00135A66" w:rsidRDefault="00135A66" w:rsidP="00135A66"/>
    <w:p w14:paraId="3390799E" w14:textId="77777777" w:rsidR="00135A66" w:rsidRDefault="00135A66" w:rsidP="00135A66"/>
    <w:p w14:paraId="48966708" w14:textId="77777777" w:rsidR="00135A66" w:rsidRDefault="00135A66" w:rsidP="00135A66"/>
    <w:p w14:paraId="4CFB866E" w14:textId="77777777" w:rsidR="00135A66" w:rsidRDefault="00135A66" w:rsidP="00135A66"/>
    <w:p w14:paraId="686112B5" w14:textId="77777777" w:rsidR="00135A66" w:rsidRDefault="00135A66" w:rsidP="00135A66"/>
    <w:p w14:paraId="4C8A9ADE" w14:textId="2432D018" w:rsidR="00135A66" w:rsidRPr="00135A66" w:rsidRDefault="00135A66" w:rsidP="00135A66"/>
    <w:sectPr w:rsidR="00135A66" w:rsidRPr="00135A66"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32A03" w14:textId="77777777" w:rsidR="00092851" w:rsidRDefault="00092851" w:rsidP="00750D01">
      <w:pPr>
        <w:spacing w:line="240" w:lineRule="auto"/>
      </w:pPr>
      <w:r>
        <w:separator/>
      </w:r>
    </w:p>
  </w:endnote>
  <w:endnote w:type="continuationSeparator" w:id="0">
    <w:p w14:paraId="0CB0ECD5" w14:textId="77777777" w:rsidR="00092851" w:rsidRDefault="00092851"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C126" w14:textId="77777777" w:rsidR="00092851" w:rsidRDefault="00092851" w:rsidP="00750D01">
      <w:pPr>
        <w:spacing w:line="240" w:lineRule="auto"/>
      </w:pPr>
      <w:r>
        <w:separator/>
      </w:r>
    </w:p>
  </w:footnote>
  <w:footnote w:type="continuationSeparator" w:id="0">
    <w:p w14:paraId="2A1AD812" w14:textId="77777777" w:rsidR="00092851" w:rsidRDefault="00092851"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334CBB"/>
    <w:multiLevelType w:val="hybridMultilevel"/>
    <w:tmpl w:val="B7FA97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D5111C9"/>
    <w:multiLevelType w:val="hybridMultilevel"/>
    <w:tmpl w:val="59E2A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6C22A2D"/>
    <w:multiLevelType w:val="hybridMultilevel"/>
    <w:tmpl w:val="46A0DA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9624CBA"/>
    <w:multiLevelType w:val="hybridMultilevel"/>
    <w:tmpl w:val="766EE50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A164ECF"/>
    <w:multiLevelType w:val="hybridMultilevel"/>
    <w:tmpl w:val="CDCA61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7DA15B23"/>
    <w:multiLevelType w:val="hybridMultilevel"/>
    <w:tmpl w:val="DE5878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576364">
    <w:abstractNumId w:val="12"/>
  </w:num>
  <w:num w:numId="2" w16cid:durableId="984821814">
    <w:abstractNumId w:val="7"/>
  </w:num>
  <w:num w:numId="3" w16cid:durableId="150218247">
    <w:abstractNumId w:val="0"/>
  </w:num>
  <w:num w:numId="4" w16cid:durableId="1026903286">
    <w:abstractNumId w:val="8"/>
  </w:num>
  <w:num w:numId="5" w16cid:durableId="231817878">
    <w:abstractNumId w:val="3"/>
  </w:num>
  <w:num w:numId="6" w16cid:durableId="2110814889">
    <w:abstractNumId w:val="13"/>
  </w:num>
  <w:num w:numId="7" w16cid:durableId="695153758">
    <w:abstractNumId w:val="4"/>
  </w:num>
  <w:num w:numId="8" w16cid:durableId="853298866">
    <w:abstractNumId w:val="6"/>
  </w:num>
  <w:num w:numId="9" w16cid:durableId="1789348953">
    <w:abstractNumId w:val="2"/>
  </w:num>
  <w:num w:numId="10" w16cid:durableId="1850169740">
    <w:abstractNumId w:val="1"/>
  </w:num>
  <w:num w:numId="11" w16cid:durableId="1714695085">
    <w:abstractNumId w:val="5"/>
  </w:num>
  <w:num w:numId="12" w16cid:durableId="12390115">
    <w:abstractNumId w:val="11"/>
  </w:num>
  <w:num w:numId="13" w16cid:durableId="832065910">
    <w:abstractNumId w:val="10"/>
  </w:num>
  <w:num w:numId="14" w16cid:durableId="1739598636">
    <w:abstractNumId w:val="14"/>
  </w:num>
  <w:num w:numId="15" w16cid:durableId="2623465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318E4"/>
    <w:rsid w:val="00047B4A"/>
    <w:rsid w:val="0005540E"/>
    <w:rsid w:val="00056486"/>
    <w:rsid w:val="00065D72"/>
    <w:rsid w:val="00076DF7"/>
    <w:rsid w:val="00085D04"/>
    <w:rsid w:val="00087069"/>
    <w:rsid w:val="00092851"/>
    <w:rsid w:val="00097B85"/>
    <w:rsid w:val="000C319C"/>
    <w:rsid w:val="000C7024"/>
    <w:rsid w:val="000D1E6E"/>
    <w:rsid w:val="000F1157"/>
    <w:rsid w:val="00110B8F"/>
    <w:rsid w:val="0013016C"/>
    <w:rsid w:val="00130542"/>
    <w:rsid w:val="00135A66"/>
    <w:rsid w:val="001602C9"/>
    <w:rsid w:val="00160761"/>
    <w:rsid w:val="00160FC1"/>
    <w:rsid w:val="001656F0"/>
    <w:rsid w:val="001673A5"/>
    <w:rsid w:val="00183D93"/>
    <w:rsid w:val="001A26F4"/>
    <w:rsid w:val="001B01DD"/>
    <w:rsid w:val="001B42F9"/>
    <w:rsid w:val="001B5C8D"/>
    <w:rsid w:val="001C3560"/>
    <w:rsid w:val="001D4D09"/>
    <w:rsid w:val="001F51BC"/>
    <w:rsid w:val="001F7ED5"/>
    <w:rsid w:val="00203F5F"/>
    <w:rsid w:val="00215140"/>
    <w:rsid w:val="00216DD7"/>
    <w:rsid w:val="00231021"/>
    <w:rsid w:val="00232000"/>
    <w:rsid w:val="00245BFF"/>
    <w:rsid w:val="002501CE"/>
    <w:rsid w:val="00251E8D"/>
    <w:rsid w:val="002743C7"/>
    <w:rsid w:val="00285D90"/>
    <w:rsid w:val="002A029C"/>
    <w:rsid w:val="002B0C4A"/>
    <w:rsid w:val="002E4AEC"/>
    <w:rsid w:val="002F001F"/>
    <w:rsid w:val="0030760A"/>
    <w:rsid w:val="003214E4"/>
    <w:rsid w:val="0032428F"/>
    <w:rsid w:val="00346E22"/>
    <w:rsid w:val="00347BAD"/>
    <w:rsid w:val="00357DC0"/>
    <w:rsid w:val="00361255"/>
    <w:rsid w:val="00381018"/>
    <w:rsid w:val="003847C8"/>
    <w:rsid w:val="003877EB"/>
    <w:rsid w:val="00390DF7"/>
    <w:rsid w:val="00391332"/>
    <w:rsid w:val="0039662C"/>
    <w:rsid w:val="003B3C3F"/>
    <w:rsid w:val="003D64D8"/>
    <w:rsid w:val="003E17B6"/>
    <w:rsid w:val="003E2BF9"/>
    <w:rsid w:val="003E6170"/>
    <w:rsid w:val="00402043"/>
    <w:rsid w:val="00415527"/>
    <w:rsid w:val="00423E0C"/>
    <w:rsid w:val="004403EC"/>
    <w:rsid w:val="00442284"/>
    <w:rsid w:val="00447B57"/>
    <w:rsid w:val="00460370"/>
    <w:rsid w:val="004618AC"/>
    <w:rsid w:val="00480050"/>
    <w:rsid w:val="00482F9E"/>
    <w:rsid w:val="004A7CAD"/>
    <w:rsid w:val="004B4753"/>
    <w:rsid w:val="004B7346"/>
    <w:rsid w:val="004D636D"/>
    <w:rsid w:val="0051120F"/>
    <w:rsid w:val="00514F51"/>
    <w:rsid w:val="00522637"/>
    <w:rsid w:val="00527AA5"/>
    <w:rsid w:val="005314D7"/>
    <w:rsid w:val="005515BD"/>
    <w:rsid w:val="0058318B"/>
    <w:rsid w:val="0059143B"/>
    <w:rsid w:val="005A4655"/>
    <w:rsid w:val="005C1523"/>
    <w:rsid w:val="005D293F"/>
    <w:rsid w:val="005D705F"/>
    <w:rsid w:val="005E1ABB"/>
    <w:rsid w:val="00604CFA"/>
    <w:rsid w:val="00614FFD"/>
    <w:rsid w:val="006274BB"/>
    <w:rsid w:val="00630336"/>
    <w:rsid w:val="00634EFA"/>
    <w:rsid w:val="00644579"/>
    <w:rsid w:val="0065123F"/>
    <w:rsid w:val="00660B9C"/>
    <w:rsid w:val="0066249C"/>
    <w:rsid w:val="006A7FC1"/>
    <w:rsid w:val="006C1B31"/>
    <w:rsid w:val="006E7F66"/>
    <w:rsid w:val="00707B66"/>
    <w:rsid w:val="0071152E"/>
    <w:rsid w:val="007130E1"/>
    <w:rsid w:val="00717E59"/>
    <w:rsid w:val="007278CF"/>
    <w:rsid w:val="0073796B"/>
    <w:rsid w:val="00746B8A"/>
    <w:rsid w:val="00750D01"/>
    <w:rsid w:val="007669A3"/>
    <w:rsid w:val="00781345"/>
    <w:rsid w:val="0078577A"/>
    <w:rsid w:val="007B0ADD"/>
    <w:rsid w:val="007D3F3D"/>
    <w:rsid w:val="007D6302"/>
    <w:rsid w:val="007E198F"/>
    <w:rsid w:val="007F5D67"/>
    <w:rsid w:val="007F6EF7"/>
    <w:rsid w:val="008336E7"/>
    <w:rsid w:val="00847AD3"/>
    <w:rsid w:val="008624E8"/>
    <w:rsid w:val="008B7AF2"/>
    <w:rsid w:val="00905C96"/>
    <w:rsid w:val="00906D43"/>
    <w:rsid w:val="0091719A"/>
    <w:rsid w:val="009174DA"/>
    <w:rsid w:val="00930431"/>
    <w:rsid w:val="009540E4"/>
    <w:rsid w:val="009654C7"/>
    <w:rsid w:val="009715AE"/>
    <w:rsid w:val="00974186"/>
    <w:rsid w:val="00982E71"/>
    <w:rsid w:val="00983241"/>
    <w:rsid w:val="0098589E"/>
    <w:rsid w:val="009900DE"/>
    <w:rsid w:val="009A41AA"/>
    <w:rsid w:val="009C2C98"/>
    <w:rsid w:val="009C2D77"/>
    <w:rsid w:val="009D10AF"/>
    <w:rsid w:val="009D10D1"/>
    <w:rsid w:val="00A06971"/>
    <w:rsid w:val="00A21E73"/>
    <w:rsid w:val="00A30052"/>
    <w:rsid w:val="00A34FC4"/>
    <w:rsid w:val="00A445DF"/>
    <w:rsid w:val="00A5415F"/>
    <w:rsid w:val="00A55F75"/>
    <w:rsid w:val="00A60A37"/>
    <w:rsid w:val="00A67305"/>
    <w:rsid w:val="00A737BE"/>
    <w:rsid w:val="00A7412B"/>
    <w:rsid w:val="00A9674E"/>
    <w:rsid w:val="00A97192"/>
    <w:rsid w:val="00AB1DC2"/>
    <w:rsid w:val="00AC4762"/>
    <w:rsid w:val="00AD1AFD"/>
    <w:rsid w:val="00AD5F77"/>
    <w:rsid w:val="00AE6CD6"/>
    <w:rsid w:val="00B022E5"/>
    <w:rsid w:val="00B23E55"/>
    <w:rsid w:val="00B47F61"/>
    <w:rsid w:val="00B60F58"/>
    <w:rsid w:val="00B66F76"/>
    <w:rsid w:val="00B70F5B"/>
    <w:rsid w:val="00B753A8"/>
    <w:rsid w:val="00B84862"/>
    <w:rsid w:val="00B9219C"/>
    <w:rsid w:val="00B92F0D"/>
    <w:rsid w:val="00BA743D"/>
    <w:rsid w:val="00BB1111"/>
    <w:rsid w:val="00BB52B9"/>
    <w:rsid w:val="00BB73C0"/>
    <w:rsid w:val="00BD7DFD"/>
    <w:rsid w:val="00BE3BDE"/>
    <w:rsid w:val="00BE5C43"/>
    <w:rsid w:val="00C02EB8"/>
    <w:rsid w:val="00C266C2"/>
    <w:rsid w:val="00C3152B"/>
    <w:rsid w:val="00C354D9"/>
    <w:rsid w:val="00C458C2"/>
    <w:rsid w:val="00C910A4"/>
    <w:rsid w:val="00CA5624"/>
    <w:rsid w:val="00CC3123"/>
    <w:rsid w:val="00CC37B3"/>
    <w:rsid w:val="00CF7C70"/>
    <w:rsid w:val="00D14EEC"/>
    <w:rsid w:val="00D650E2"/>
    <w:rsid w:val="00D7373E"/>
    <w:rsid w:val="00D83102"/>
    <w:rsid w:val="00D9208E"/>
    <w:rsid w:val="00D95BC6"/>
    <w:rsid w:val="00DA3DA6"/>
    <w:rsid w:val="00DA7134"/>
    <w:rsid w:val="00DB63A7"/>
    <w:rsid w:val="00DE199D"/>
    <w:rsid w:val="00DE27BA"/>
    <w:rsid w:val="00E02AB3"/>
    <w:rsid w:val="00E055E6"/>
    <w:rsid w:val="00E14AAE"/>
    <w:rsid w:val="00E2036F"/>
    <w:rsid w:val="00E3507E"/>
    <w:rsid w:val="00E7132A"/>
    <w:rsid w:val="00E83E60"/>
    <w:rsid w:val="00E86C78"/>
    <w:rsid w:val="00E948BD"/>
    <w:rsid w:val="00E956EC"/>
    <w:rsid w:val="00EB01C0"/>
    <w:rsid w:val="00EC012E"/>
    <w:rsid w:val="00F01966"/>
    <w:rsid w:val="00F21123"/>
    <w:rsid w:val="00F2199E"/>
    <w:rsid w:val="00F23144"/>
    <w:rsid w:val="00F26816"/>
    <w:rsid w:val="00F93A56"/>
    <w:rsid w:val="00FA297C"/>
    <w:rsid w:val="00FA6BB6"/>
    <w:rsid w:val="00FA792D"/>
    <w:rsid w:val="00FC2D38"/>
    <w:rsid w:val="00FD29D4"/>
    <w:rsid w:val="00FD6F18"/>
    <w:rsid w:val="00FE5604"/>
    <w:rsid w:val="00FE6D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styleId="Hiperpovezava">
    <w:name w:val="Hyperlink"/>
    <w:basedOn w:val="Privzetapisavaodstavka"/>
    <w:uiPriority w:val="99"/>
    <w:unhideWhenUsed/>
    <w:rsid w:val="00B23E55"/>
    <w:rPr>
      <w:color w:val="0000FF"/>
      <w:u w:val="single"/>
    </w:rPr>
  </w:style>
  <w:style w:type="paragraph" w:styleId="Navadensplet">
    <w:name w:val="Normal (Web)"/>
    <w:basedOn w:val="Navaden"/>
    <w:uiPriority w:val="99"/>
    <w:semiHidden/>
    <w:unhideWhenUsed/>
    <w:rsid w:val="0091719A"/>
    <w:pPr>
      <w:spacing w:before="100" w:beforeAutospacing="1" w:after="100" w:afterAutospacing="1" w:line="240" w:lineRule="auto"/>
    </w:pPr>
    <w:rPr>
      <w:rFonts w:ascii="Times New Roman" w:hAnsi="Times New Roman"/>
      <w:sz w:val="24"/>
      <w:lang w:eastAsia="sl-SI"/>
    </w:rPr>
  </w:style>
  <w:style w:type="character" w:styleId="Krepko">
    <w:name w:val="Strong"/>
    <w:basedOn w:val="Privzetapisavaodstavka"/>
    <w:uiPriority w:val="22"/>
    <w:qFormat/>
    <w:rsid w:val="009171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4338</Words>
  <Characters>24728</Characters>
  <Application>Microsoft Office Word</Application>
  <DocSecurity>0</DocSecurity>
  <Lines>206</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2025-02-06T13:19:00Z</dcterms:created>
  <dcterms:modified xsi:type="dcterms:W3CDTF">2025-02-06T13:19:00Z</dcterms:modified>
</cp:coreProperties>
</file>