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EE8FB" w14:textId="77777777" w:rsidR="008D76E4" w:rsidRDefault="008D76E4">
      <w:pPr>
        <w:pStyle w:val="datumtevilka"/>
        <w:rPr>
          <w:b/>
          <w:lang w:val="sl-SI"/>
        </w:rPr>
      </w:pPr>
    </w:p>
    <w:p w14:paraId="50AC99EF" w14:textId="77777777" w:rsidR="008D76E4" w:rsidRDefault="008D76E4">
      <w:pPr>
        <w:pStyle w:val="datumtevilka"/>
        <w:rPr>
          <w:b/>
          <w:lang w:val="sl-SI"/>
        </w:rPr>
      </w:pPr>
    </w:p>
    <w:p w14:paraId="089A3ADF" w14:textId="77777777" w:rsidR="008D76E4" w:rsidRDefault="008D76E4">
      <w:pPr>
        <w:pStyle w:val="datumtevilka"/>
        <w:rPr>
          <w:b/>
          <w:lang w:val="sl-SI"/>
        </w:rPr>
      </w:pPr>
    </w:p>
    <w:p w14:paraId="1FD136B5" w14:textId="77777777" w:rsidR="008D76E4" w:rsidRDefault="008D76E4">
      <w:pPr>
        <w:spacing w:line="23" w:lineRule="atLeast"/>
        <w:ind w:left="1412" w:hanging="1412"/>
        <w:jc w:val="both"/>
        <w:rPr>
          <w:rFonts w:eastAsia="Calibri" w:cs="Arial"/>
          <w:b/>
          <w:szCs w:val="20"/>
          <w:lang w:val="sl-SI"/>
        </w:rPr>
      </w:pPr>
    </w:p>
    <w:p w14:paraId="382C9259" w14:textId="77777777" w:rsidR="008D76E4" w:rsidRDefault="00420FE6">
      <w:pPr>
        <w:spacing w:line="360" w:lineRule="auto"/>
        <w:ind w:left="1412" w:hanging="1412"/>
        <w:jc w:val="center"/>
        <w:rPr>
          <w:rFonts w:eastAsia="Calibri" w:cs="Arial"/>
          <w:b/>
          <w:szCs w:val="20"/>
          <w:lang w:val="sl-SI"/>
        </w:rPr>
      </w:pPr>
      <w:r>
        <w:rPr>
          <w:rFonts w:eastAsia="Calibri" w:cs="Arial"/>
          <w:b/>
          <w:szCs w:val="20"/>
          <w:lang w:val="sl-SI"/>
        </w:rPr>
        <w:t>ZAPISNIK</w:t>
      </w:r>
    </w:p>
    <w:p w14:paraId="20F73CF2" w14:textId="17A98F5E" w:rsidR="008D76E4" w:rsidRDefault="00221E07">
      <w:pPr>
        <w:spacing w:line="276" w:lineRule="auto"/>
        <w:ind w:left="1412" w:hanging="1412"/>
        <w:jc w:val="center"/>
        <w:rPr>
          <w:rFonts w:eastAsia="Calibri" w:cs="Arial"/>
          <w:b/>
          <w:szCs w:val="20"/>
          <w:lang w:val="sl-SI"/>
        </w:rPr>
      </w:pPr>
      <w:r>
        <w:rPr>
          <w:rFonts w:eastAsia="Calibri" w:cs="Arial"/>
          <w:b/>
          <w:szCs w:val="20"/>
          <w:lang w:val="sl-SI"/>
        </w:rPr>
        <w:t>10</w:t>
      </w:r>
      <w:r w:rsidR="00420FE6">
        <w:rPr>
          <w:rFonts w:eastAsia="Calibri" w:cs="Arial"/>
          <w:b/>
          <w:szCs w:val="20"/>
          <w:lang w:val="sl-SI"/>
        </w:rPr>
        <w:t xml:space="preserve">. SEJE STRATEŠKEGA SVETA ZA </w:t>
      </w:r>
      <w:r w:rsidR="00EE11B2">
        <w:rPr>
          <w:rFonts w:eastAsia="Calibri" w:cs="Arial"/>
          <w:b/>
          <w:szCs w:val="20"/>
          <w:lang w:val="sl-SI"/>
        </w:rPr>
        <w:t>MAKROEKONOMSKA VPRAŠANJA</w:t>
      </w:r>
    </w:p>
    <w:p w14:paraId="47E9D6DF" w14:textId="77777777" w:rsidR="008D76E4" w:rsidRDefault="008D76E4">
      <w:pPr>
        <w:spacing w:line="23" w:lineRule="atLeast"/>
        <w:ind w:left="1412" w:hanging="1412"/>
        <w:jc w:val="center"/>
        <w:rPr>
          <w:rFonts w:eastAsia="Calibri" w:cs="Arial"/>
          <w:szCs w:val="20"/>
          <w:lang w:val="sl-SI"/>
        </w:rPr>
      </w:pPr>
    </w:p>
    <w:p w14:paraId="70E5035F" w14:textId="7E6728B0" w:rsidR="008D76E4" w:rsidRDefault="00BE144F">
      <w:pPr>
        <w:spacing w:line="23" w:lineRule="atLeast"/>
        <w:ind w:left="1412" w:hanging="1412"/>
        <w:jc w:val="center"/>
        <w:rPr>
          <w:rFonts w:eastAsia="Calibri" w:cs="Arial"/>
          <w:szCs w:val="20"/>
          <w:lang w:val="sl-SI"/>
        </w:rPr>
      </w:pPr>
      <w:r>
        <w:rPr>
          <w:rFonts w:eastAsia="Calibri" w:cs="Arial"/>
          <w:szCs w:val="20"/>
          <w:lang w:val="sl-SI"/>
        </w:rPr>
        <w:t>sreda</w:t>
      </w:r>
      <w:r w:rsidR="00420FE6">
        <w:rPr>
          <w:rFonts w:eastAsia="Calibri" w:cs="Arial"/>
          <w:szCs w:val="20"/>
          <w:lang w:val="sl-SI"/>
        </w:rPr>
        <w:t xml:space="preserve">, </w:t>
      </w:r>
      <w:r w:rsidR="00F965B0">
        <w:rPr>
          <w:rFonts w:eastAsia="Calibri" w:cs="Arial"/>
          <w:szCs w:val="20"/>
          <w:lang w:val="sl-SI"/>
        </w:rPr>
        <w:t>1</w:t>
      </w:r>
      <w:r w:rsidR="00221E07">
        <w:rPr>
          <w:rFonts w:eastAsia="Calibri" w:cs="Arial"/>
          <w:szCs w:val="20"/>
          <w:lang w:val="sl-SI"/>
        </w:rPr>
        <w:t>3</w:t>
      </w:r>
      <w:r w:rsidR="00420FE6">
        <w:rPr>
          <w:rFonts w:eastAsia="Calibri" w:cs="Arial"/>
          <w:szCs w:val="20"/>
          <w:lang w:val="sl-SI"/>
        </w:rPr>
        <w:t>. </w:t>
      </w:r>
      <w:r w:rsidR="00221E07">
        <w:rPr>
          <w:rFonts w:eastAsia="Calibri" w:cs="Arial"/>
          <w:szCs w:val="20"/>
          <w:lang w:val="sl-SI"/>
        </w:rPr>
        <w:t>3</w:t>
      </w:r>
      <w:r w:rsidR="00420FE6">
        <w:rPr>
          <w:rFonts w:eastAsia="Calibri" w:cs="Arial"/>
          <w:szCs w:val="20"/>
          <w:lang w:val="sl-SI"/>
        </w:rPr>
        <w:t>. 202</w:t>
      </w:r>
      <w:r w:rsidR="00221E07">
        <w:rPr>
          <w:rFonts w:eastAsia="Calibri" w:cs="Arial"/>
          <w:szCs w:val="20"/>
          <w:lang w:val="sl-SI"/>
        </w:rPr>
        <w:t>4</w:t>
      </w:r>
      <w:r w:rsidR="00420FE6">
        <w:rPr>
          <w:rFonts w:eastAsia="Calibri" w:cs="Arial"/>
          <w:szCs w:val="20"/>
          <w:lang w:val="sl-SI"/>
        </w:rPr>
        <w:t xml:space="preserve"> </w:t>
      </w:r>
    </w:p>
    <w:p w14:paraId="1CBF55F7" w14:textId="77777777" w:rsidR="008D76E4" w:rsidRDefault="008D76E4">
      <w:pPr>
        <w:spacing w:after="120" w:line="23" w:lineRule="atLeast"/>
        <w:jc w:val="both"/>
        <w:rPr>
          <w:rFonts w:eastAsia="Calibri" w:cs="Arial"/>
          <w:szCs w:val="20"/>
          <w:lang w:val="sl-SI"/>
        </w:rPr>
      </w:pPr>
    </w:p>
    <w:p w14:paraId="7351A158" w14:textId="77777777" w:rsidR="008D76E4" w:rsidRDefault="008D76E4">
      <w:pPr>
        <w:spacing w:after="120" w:line="23" w:lineRule="atLeast"/>
        <w:jc w:val="both"/>
        <w:rPr>
          <w:rFonts w:eastAsia="Calibri" w:cs="Arial"/>
          <w:b/>
          <w:szCs w:val="20"/>
          <w:lang w:val="sl-SI"/>
        </w:rPr>
      </w:pPr>
    </w:p>
    <w:p w14:paraId="1DA7AB27" w14:textId="306238B6" w:rsidR="008D76E4" w:rsidRDefault="00420FE6" w:rsidP="00EF746D">
      <w:pPr>
        <w:spacing w:line="276" w:lineRule="auto"/>
        <w:ind w:left="1701" w:hanging="1701"/>
        <w:jc w:val="both"/>
        <w:rPr>
          <w:rFonts w:eastAsia="Calibri" w:cs="Arial"/>
          <w:color w:val="000000" w:themeColor="text1"/>
          <w:szCs w:val="20"/>
          <w:lang w:val="sl-SI"/>
        </w:rPr>
      </w:pPr>
      <w:r>
        <w:rPr>
          <w:rFonts w:eastAsia="Calibri" w:cs="Arial"/>
          <w:color w:val="000000" w:themeColor="text1"/>
          <w:szCs w:val="20"/>
          <w:lang w:val="sl-SI"/>
        </w:rPr>
        <w:t xml:space="preserve">Prisotni člani: </w:t>
      </w:r>
      <w:r>
        <w:rPr>
          <w:rFonts w:eastAsia="Calibri" w:cs="Arial"/>
          <w:color w:val="000000" w:themeColor="text1"/>
          <w:szCs w:val="20"/>
          <w:lang w:val="sl-SI"/>
        </w:rPr>
        <w:tab/>
      </w:r>
      <w:r w:rsidR="00EE11B2">
        <w:rPr>
          <w:rFonts w:eastAsia="Calibri" w:cs="Arial"/>
          <w:color w:val="000000" w:themeColor="text1"/>
          <w:szCs w:val="20"/>
          <w:lang w:val="sl-SI"/>
        </w:rPr>
        <w:t>dr. Mitja Čok, mag. Mitja Gaspari, Bojan Ivanc,</w:t>
      </w:r>
      <w:r w:rsidR="00AC4536">
        <w:rPr>
          <w:rFonts w:eastAsia="Calibri" w:cs="Arial"/>
          <w:color w:val="000000" w:themeColor="text1"/>
          <w:szCs w:val="20"/>
          <w:lang w:val="sl-SI"/>
        </w:rPr>
        <w:t xml:space="preserve"> dr. Igor Masten (preko aplikacije Zoom),</w:t>
      </w:r>
      <w:r w:rsidR="00EE11B2">
        <w:rPr>
          <w:rFonts w:eastAsia="Calibri" w:cs="Arial"/>
          <w:color w:val="000000" w:themeColor="text1"/>
          <w:szCs w:val="20"/>
          <w:lang w:val="sl-SI"/>
        </w:rPr>
        <w:t xml:space="preserve"> dr. Mojmir Mrak, </w:t>
      </w:r>
      <w:r w:rsidR="00AF5D91">
        <w:rPr>
          <w:rFonts w:eastAsia="Calibri" w:cs="Arial"/>
          <w:color w:val="000000" w:themeColor="text1"/>
          <w:szCs w:val="20"/>
          <w:lang w:val="sl-SI"/>
        </w:rPr>
        <w:t>dr. Dušan Mramor</w:t>
      </w:r>
      <w:r w:rsidR="00AC4536">
        <w:rPr>
          <w:rFonts w:eastAsia="Calibri" w:cs="Arial"/>
          <w:color w:val="000000" w:themeColor="text1"/>
          <w:szCs w:val="20"/>
          <w:lang w:val="sl-SI"/>
        </w:rPr>
        <w:t xml:space="preserve">, </w:t>
      </w:r>
      <w:r w:rsidR="00AF5D91">
        <w:rPr>
          <w:rFonts w:eastAsia="Calibri" w:cs="Arial"/>
          <w:color w:val="000000" w:themeColor="text1"/>
          <w:szCs w:val="20"/>
          <w:lang w:val="sl-SI"/>
        </w:rPr>
        <w:t xml:space="preserve">dr. Vasja Rant, dr. Žiga </w:t>
      </w:r>
      <w:proofErr w:type="spellStart"/>
      <w:r w:rsidR="00AF5D91">
        <w:rPr>
          <w:rFonts w:eastAsia="Calibri" w:cs="Arial"/>
          <w:color w:val="000000" w:themeColor="text1"/>
          <w:szCs w:val="20"/>
          <w:lang w:val="sl-SI"/>
        </w:rPr>
        <w:t>Žarnić</w:t>
      </w:r>
      <w:proofErr w:type="spellEnd"/>
      <w:r w:rsidR="00AF5D91">
        <w:rPr>
          <w:rFonts w:eastAsia="Calibri" w:cs="Arial"/>
          <w:color w:val="000000" w:themeColor="text1"/>
          <w:szCs w:val="20"/>
          <w:lang w:val="sl-SI"/>
        </w:rPr>
        <w:t xml:space="preserve"> (preko aplikacije Zoom).</w:t>
      </w:r>
    </w:p>
    <w:p w14:paraId="445DA626" w14:textId="77777777" w:rsidR="008D76E4" w:rsidRDefault="00215F41" w:rsidP="00215F41">
      <w:pPr>
        <w:tabs>
          <w:tab w:val="left" w:pos="3648"/>
        </w:tabs>
        <w:spacing w:line="276" w:lineRule="auto"/>
        <w:ind w:left="1701" w:hanging="1701"/>
        <w:jc w:val="both"/>
        <w:rPr>
          <w:rFonts w:eastAsia="Calibri" w:cs="Arial"/>
          <w:color w:val="000000" w:themeColor="text1"/>
          <w:szCs w:val="20"/>
          <w:lang w:val="sl-SI"/>
        </w:rPr>
      </w:pPr>
      <w:r>
        <w:rPr>
          <w:rFonts w:eastAsia="Calibri" w:cs="Arial"/>
          <w:color w:val="000000" w:themeColor="text1"/>
          <w:szCs w:val="20"/>
          <w:lang w:val="sl-SI"/>
        </w:rPr>
        <w:tab/>
      </w:r>
      <w:r>
        <w:rPr>
          <w:rFonts w:eastAsia="Calibri" w:cs="Arial"/>
          <w:color w:val="000000" w:themeColor="text1"/>
          <w:szCs w:val="20"/>
          <w:lang w:val="sl-SI"/>
        </w:rPr>
        <w:tab/>
      </w:r>
    </w:p>
    <w:p w14:paraId="57BBD55F" w14:textId="313FF871" w:rsidR="008D76E4" w:rsidRDefault="00420FE6" w:rsidP="00A02584">
      <w:pPr>
        <w:spacing w:line="276" w:lineRule="auto"/>
        <w:ind w:left="1701" w:hanging="1701"/>
        <w:jc w:val="both"/>
        <w:rPr>
          <w:rFonts w:eastAsia="Calibri" w:cs="Arial"/>
          <w:color w:val="000000" w:themeColor="text1"/>
          <w:szCs w:val="20"/>
          <w:lang w:val="sl-SI"/>
        </w:rPr>
      </w:pPr>
      <w:r>
        <w:rPr>
          <w:rFonts w:eastAsia="Calibri" w:cs="Arial"/>
          <w:color w:val="000000" w:themeColor="text1"/>
          <w:szCs w:val="20"/>
          <w:lang w:val="sl-SI"/>
        </w:rPr>
        <w:t>Odsotni:</w:t>
      </w:r>
      <w:r>
        <w:rPr>
          <w:rFonts w:eastAsia="Calibri" w:cs="Arial"/>
          <w:color w:val="000000" w:themeColor="text1"/>
          <w:szCs w:val="20"/>
          <w:lang w:val="sl-SI"/>
        </w:rPr>
        <w:tab/>
      </w:r>
      <w:r w:rsidR="00221E07" w:rsidRPr="00221E07">
        <w:rPr>
          <w:rFonts w:eastAsia="Calibri" w:cs="Arial"/>
          <w:color w:val="000000" w:themeColor="text1"/>
          <w:szCs w:val="20"/>
          <w:lang w:val="sl-SI"/>
        </w:rPr>
        <w:t xml:space="preserve">mag. Marijana </w:t>
      </w:r>
      <w:proofErr w:type="spellStart"/>
      <w:r w:rsidR="00221E07" w:rsidRPr="00221E07">
        <w:rPr>
          <w:rFonts w:eastAsia="Calibri" w:cs="Arial"/>
          <w:color w:val="000000" w:themeColor="text1"/>
          <w:szCs w:val="20"/>
          <w:lang w:val="sl-SI"/>
        </w:rPr>
        <w:t>Bednaš</w:t>
      </w:r>
      <w:proofErr w:type="spellEnd"/>
      <w:r w:rsidR="00221E07" w:rsidRPr="00221E07">
        <w:rPr>
          <w:rFonts w:eastAsia="Calibri" w:cs="Arial"/>
          <w:color w:val="000000" w:themeColor="text1"/>
          <w:szCs w:val="20"/>
          <w:lang w:val="sl-SI"/>
        </w:rPr>
        <w:t>, mag. Velimir Bole</w:t>
      </w:r>
      <w:r w:rsidR="00221E07">
        <w:rPr>
          <w:rFonts w:eastAsia="Calibri" w:cs="Arial"/>
          <w:color w:val="000000" w:themeColor="text1"/>
          <w:szCs w:val="20"/>
          <w:lang w:val="sl-SI"/>
        </w:rPr>
        <w:t>,</w:t>
      </w:r>
      <w:r w:rsidR="00221E07" w:rsidRPr="00221E07">
        <w:rPr>
          <w:rFonts w:eastAsia="Calibri" w:cs="Arial"/>
          <w:color w:val="000000" w:themeColor="text1"/>
          <w:szCs w:val="20"/>
          <w:lang w:val="sl-SI"/>
        </w:rPr>
        <w:t xml:space="preserve"> </w:t>
      </w:r>
      <w:r w:rsidR="00415DB8" w:rsidRPr="00215F41">
        <w:rPr>
          <w:rFonts w:eastAsia="Calibri" w:cs="Arial"/>
          <w:color w:val="000000" w:themeColor="text1"/>
          <w:szCs w:val="20"/>
          <w:lang w:val="sl-SI"/>
        </w:rPr>
        <w:t xml:space="preserve">dr. </w:t>
      </w:r>
      <w:proofErr w:type="spellStart"/>
      <w:r w:rsidR="00EE11B2">
        <w:rPr>
          <w:rFonts w:eastAsia="Calibri" w:cs="Arial"/>
          <w:color w:val="000000" w:themeColor="text1"/>
          <w:szCs w:val="20"/>
          <w:lang w:val="sl-SI"/>
        </w:rPr>
        <w:t>Mejra</w:t>
      </w:r>
      <w:proofErr w:type="spellEnd"/>
      <w:r w:rsidR="00EE11B2">
        <w:rPr>
          <w:rFonts w:eastAsia="Calibri" w:cs="Arial"/>
          <w:color w:val="000000" w:themeColor="text1"/>
          <w:szCs w:val="20"/>
          <w:lang w:val="sl-SI"/>
        </w:rPr>
        <w:t xml:space="preserve"> </w:t>
      </w:r>
      <w:proofErr w:type="spellStart"/>
      <w:r w:rsidR="00EE11B2">
        <w:rPr>
          <w:rFonts w:eastAsia="Calibri" w:cs="Arial"/>
          <w:color w:val="000000" w:themeColor="text1"/>
          <w:szCs w:val="20"/>
          <w:lang w:val="sl-SI"/>
        </w:rPr>
        <w:t>Festić</w:t>
      </w:r>
      <w:proofErr w:type="spellEnd"/>
      <w:r w:rsidR="00EE11B2">
        <w:rPr>
          <w:rFonts w:eastAsia="Calibri" w:cs="Arial"/>
          <w:color w:val="000000" w:themeColor="text1"/>
          <w:szCs w:val="20"/>
          <w:lang w:val="sl-SI"/>
        </w:rPr>
        <w:t>,</w:t>
      </w:r>
      <w:r w:rsidR="00AC4536">
        <w:rPr>
          <w:rFonts w:eastAsia="Calibri" w:cs="Arial"/>
          <w:color w:val="000000" w:themeColor="text1"/>
          <w:szCs w:val="20"/>
          <w:lang w:val="sl-SI"/>
        </w:rPr>
        <w:t xml:space="preserve"> dr. Matej Lahovnik, dr. Janez Prašnikar.</w:t>
      </w:r>
    </w:p>
    <w:p w14:paraId="5BF587FC" w14:textId="77777777" w:rsidR="008D76E4" w:rsidRDefault="008D76E4">
      <w:pPr>
        <w:spacing w:line="276" w:lineRule="auto"/>
        <w:ind w:left="1701" w:hanging="1701"/>
        <w:jc w:val="both"/>
        <w:rPr>
          <w:rFonts w:eastAsia="Calibri" w:cs="Arial"/>
          <w:color w:val="000000" w:themeColor="text1"/>
          <w:szCs w:val="20"/>
          <w:lang w:val="sl-SI"/>
        </w:rPr>
      </w:pPr>
    </w:p>
    <w:p w14:paraId="756EACA7" w14:textId="261C2113" w:rsidR="008D76E4" w:rsidRDefault="00420FE6">
      <w:pPr>
        <w:spacing w:line="276" w:lineRule="auto"/>
        <w:ind w:left="1701" w:hanging="1701"/>
        <w:jc w:val="both"/>
        <w:rPr>
          <w:rFonts w:eastAsia="Calibri" w:cs="Arial"/>
          <w:color w:val="000000" w:themeColor="text1"/>
          <w:szCs w:val="20"/>
          <w:lang w:val="sl-SI"/>
        </w:rPr>
      </w:pPr>
      <w:r>
        <w:rPr>
          <w:rFonts w:eastAsia="Calibri" w:cs="Arial"/>
          <w:color w:val="000000" w:themeColor="text1"/>
          <w:szCs w:val="20"/>
          <w:lang w:val="sl-SI"/>
        </w:rPr>
        <w:t>Ostali prisotni:</w:t>
      </w:r>
      <w:r>
        <w:rPr>
          <w:rFonts w:eastAsia="Calibri" w:cs="Arial"/>
          <w:color w:val="000000" w:themeColor="text1"/>
          <w:szCs w:val="20"/>
          <w:lang w:val="sl-SI"/>
        </w:rPr>
        <w:tab/>
      </w:r>
      <w:r w:rsidR="00AF5D91">
        <w:rPr>
          <w:rFonts w:eastAsia="Calibri" w:cs="Arial"/>
          <w:color w:val="000000" w:themeColor="text1"/>
          <w:szCs w:val="20"/>
          <w:lang w:val="sl-SI"/>
        </w:rPr>
        <w:t>dr. Robert Golob</w:t>
      </w:r>
      <w:r w:rsidR="006839BD" w:rsidRPr="00A951D1">
        <w:rPr>
          <w:rFonts w:eastAsia="Calibri" w:cs="Arial"/>
          <w:color w:val="000000" w:themeColor="text1"/>
          <w:szCs w:val="20"/>
          <w:lang w:val="sl-SI"/>
        </w:rPr>
        <w:t>,</w:t>
      </w:r>
      <w:r w:rsidR="00AF5D91">
        <w:rPr>
          <w:rFonts w:eastAsia="Calibri" w:cs="Arial"/>
          <w:color w:val="000000" w:themeColor="text1"/>
          <w:szCs w:val="20"/>
          <w:lang w:val="sl-SI"/>
        </w:rPr>
        <w:t xml:space="preserve"> Klemen Boštjančič,</w:t>
      </w:r>
      <w:r w:rsidR="004C23DE">
        <w:rPr>
          <w:rFonts w:eastAsia="Calibri" w:cs="Arial"/>
          <w:color w:val="000000" w:themeColor="text1"/>
          <w:szCs w:val="20"/>
          <w:lang w:val="sl-SI"/>
        </w:rPr>
        <w:t xml:space="preserve"> Luka Mesec, Igor </w:t>
      </w:r>
      <w:proofErr w:type="spellStart"/>
      <w:r w:rsidR="004C23DE">
        <w:rPr>
          <w:rFonts w:eastAsia="Calibri" w:cs="Arial"/>
          <w:color w:val="000000" w:themeColor="text1"/>
          <w:szCs w:val="20"/>
          <w:lang w:val="sl-SI"/>
        </w:rPr>
        <w:t>Feketija</w:t>
      </w:r>
      <w:proofErr w:type="spellEnd"/>
      <w:r w:rsidR="004C23DE">
        <w:rPr>
          <w:rFonts w:eastAsia="Calibri" w:cs="Arial"/>
          <w:color w:val="000000" w:themeColor="text1"/>
          <w:szCs w:val="20"/>
          <w:lang w:val="sl-SI"/>
        </w:rPr>
        <w:t>, mag. Saša Jazbec,</w:t>
      </w:r>
      <w:r w:rsidR="007C4352">
        <w:rPr>
          <w:rFonts w:eastAsia="Calibri" w:cs="Arial"/>
          <w:color w:val="000000" w:themeColor="text1"/>
          <w:szCs w:val="20"/>
          <w:lang w:val="sl-SI"/>
        </w:rPr>
        <w:t xml:space="preserve"> mag. Dean Premik,</w:t>
      </w:r>
      <w:r w:rsidR="004C23DE">
        <w:rPr>
          <w:rFonts w:eastAsiaTheme="minorHAnsi" w:cs="Arial"/>
          <w:color w:val="000000"/>
          <w:szCs w:val="20"/>
          <w:lang w:val="sl-SI"/>
        </w:rPr>
        <w:t xml:space="preserve"> </w:t>
      </w:r>
      <w:r w:rsidR="003A5B79">
        <w:rPr>
          <w:rFonts w:eastAsiaTheme="minorHAnsi" w:cs="Arial"/>
          <w:color w:val="000000"/>
          <w:szCs w:val="20"/>
          <w:lang w:val="sl-SI"/>
        </w:rPr>
        <w:t>Petra Bezjak Cirman, Danijel Kovač, dr. Nataša Kump,</w:t>
      </w:r>
      <w:r w:rsidR="003C6F5F">
        <w:rPr>
          <w:rFonts w:eastAsiaTheme="minorHAnsi" w:cs="Arial"/>
          <w:color w:val="000000"/>
          <w:szCs w:val="20"/>
          <w:lang w:val="sl-SI"/>
        </w:rPr>
        <w:t xml:space="preserve"> dr. Katja Lautar,</w:t>
      </w:r>
      <w:r w:rsidR="003A5B79">
        <w:rPr>
          <w:rFonts w:eastAsiaTheme="minorHAnsi" w:cs="Arial"/>
          <w:color w:val="000000"/>
          <w:szCs w:val="20"/>
          <w:lang w:val="sl-SI"/>
        </w:rPr>
        <w:t xml:space="preserve"> dr. Boris Majcen, Jernej Meden, </w:t>
      </w:r>
      <w:r w:rsidR="00206E4F">
        <w:rPr>
          <w:rFonts w:eastAsiaTheme="minorHAnsi" w:cs="Arial"/>
          <w:color w:val="000000"/>
          <w:szCs w:val="20"/>
          <w:lang w:val="sl-SI"/>
        </w:rPr>
        <w:t>mag. Katja Rihar Bajuk, Erik Scheriani</w:t>
      </w:r>
      <w:r w:rsidR="00AF5D91">
        <w:rPr>
          <w:rFonts w:eastAsiaTheme="minorHAnsi" w:cs="Arial"/>
          <w:color w:val="000000"/>
          <w:szCs w:val="20"/>
          <w:lang w:val="sl-SI"/>
        </w:rPr>
        <w:t>.</w:t>
      </w:r>
    </w:p>
    <w:p w14:paraId="31E28844" w14:textId="77777777" w:rsidR="008D76E4" w:rsidRDefault="008D76E4">
      <w:pPr>
        <w:spacing w:line="276" w:lineRule="auto"/>
        <w:jc w:val="both"/>
        <w:rPr>
          <w:rFonts w:cs="Arial"/>
          <w:szCs w:val="20"/>
          <w:lang w:val="sl-SI" w:eastAsia="ar-SA"/>
        </w:rPr>
      </w:pPr>
    </w:p>
    <w:p w14:paraId="5A926D72" w14:textId="77777777" w:rsidR="008D76E4" w:rsidRDefault="008D76E4">
      <w:pPr>
        <w:spacing w:line="276" w:lineRule="auto"/>
        <w:jc w:val="both"/>
        <w:rPr>
          <w:rFonts w:cs="Arial"/>
          <w:szCs w:val="20"/>
          <w:lang w:val="sl-SI" w:eastAsia="ar-SA"/>
        </w:rPr>
      </w:pPr>
    </w:p>
    <w:p w14:paraId="3E7D98F6" w14:textId="58FAAEB0" w:rsidR="008D76E4" w:rsidRPr="00421706" w:rsidRDefault="00420FE6">
      <w:pPr>
        <w:spacing w:line="276" w:lineRule="auto"/>
        <w:jc w:val="both"/>
        <w:rPr>
          <w:rFonts w:cs="Arial"/>
          <w:szCs w:val="20"/>
          <w:lang w:val="sl-SI" w:eastAsia="ar-SA"/>
        </w:rPr>
      </w:pPr>
      <w:r>
        <w:rPr>
          <w:rFonts w:cs="Arial"/>
          <w:szCs w:val="20"/>
          <w:lang w:val="sl-SI" w:eastAsia="ar-SA"/>
        </w:rPr>
        <w:t xml:space="preserve">Sejo Strateškega sveta za </w:t>
      </w:r>
      <w:r w:rsidR="00A02584">
        <w:rPr>
          <w:rFonts w:cs="Arial"/>
          <w:szCs w:val="20"/>
          <w:lang w:val="sl-SI" w:eastAsia="ar-SA"/>
        </w:rPr>
        <w:t>makroekonomska vprašanja</w:t>
      </w:r>
      <w:r>
        <w:rPr>
          <w:rFonts w:cs="Arial"/>
          <w:szCs w:val="20"/>
          <w:lang w:val="sl-SI" w:eastAsia="ar-SA"/>
        </w:rPr>
        <w:t>, ki se je pričela ob 1</w:t>
      </w:r>
      <w:r w:rsidR="004C23DE">
        <w:rPr>
          <w:rFonts w:cs="Arial"/>
          <w:szCs w:val="20"/>
          <w:lang w:val="sl-SI" w:eastAsia="ar-SA"/>
        </w:rPr>
        <w:t>7</w:t>
      </w:r>
      <w:r>
        <w:rPr>
          <w:rFonts w:cs="Arial"/>
          <w:szCs w:val="20"/>
          <w:lang w:val="sl-SI" w:eastAsia="ar-SA"/>
        </w:rPr>
        <w:t>.</w:t>
      </w:r>
      <w:r w:rsidR="004C23DE">
        <w:rPr>
          <w:rFonts w:cs="Arial"/>
          <w:szCs w:val="20"/>
          <w:lang w:val="sl-SI" w:eastAsia="ar-SA"/>
        </w:rPr>
        <w:t>0</w:t>
      </w:r>
      <w:r>
        <w:rPr>
          <w:rFonts w:cs="Arial"/>
          <w:szCs w:val="20"/>
          <w:lang w:val="sl-SI" w:eastAsia="ar-SA"/>
        </w:rPr>
        <w:t xml:space="preserve">0 uri, je vodil </w:t>
      </w:r>
      <w:r w:rsidR="004C23DE">
        <w:rPr>
          <w:rFonts w:cs="Arial"/>
          <w:szCs w:val="20"/>
          <w:lang w:val="sl-SI" w:eastAsia="ar-SA"/>
        </w:rPr>
        <w:t>minister za finance Klemen Boštjančič</w:t>
      </w:r>
      <w:r>
        <w:rPr>
          <w:rFonts w:cs="Arial"/>
          <w:szCs w:val="20"/>
          <w:lang w:val="sl-SI" w:eastAsia="ar-SA"/>
        </w:rPr>
        <w:t xml:space="preserve">. </w:t>
      </w:r>
    </w:p>
    <w:p w14:paraId="7361FA71" w14:textId="6147C49E" w:rsidR="008D76E4" w:rsidRDefault="004C23DE" w:rsidP="004C23DE">
      <w:pPr>
        <w:tabs>
          <w:tab w:val="left" w:pos="8130"/>
        </w:tabs>
        <w:spacing w:line="276" w:lineRule="auto"/>
        <w:jc w:val="both"/>
        <w:rPr>
          <w:rFonts w:eastAsia="Calibri" w:cs="Arial"/>
          <w:b/>
          <w:szCs w:val="20"/>
          <w:lang w:val="sl-SI"/>
        </w:rPr>
      </w:pPr>
      <w:r>
        <w:rPr>
          <w:rFonts w:eastAsia="Calibri" w:cs="Arial"/>
          <w:b/>
          <w:szCs w:val="20"/>
          <w:lang w:val="sl-SI"/>
        </w:rPr>
        <w:tab/>
      </w:r>
    </w:p>
    <w:p w14:paraId="10D1C288" w14:textId="77777777" w:rsidR="008D76E4" w:rsidRDefault="00420FE6">
      <w:pPr>
        <w:spacing w:line="276" w:lineRule="auto"/>
        <w:jc w:val="both"/>
        <w:rPr>
          <w:rFonts w:eastAsia="Calibri" w:cs="Arial"/>
          <w:b/>
          <w:szCs w:val="20"/>
          <w:lang w:val="sl-SI"/>
        </w:rPr>
      </w:pPr>
      <w:r>
        <w:rPr>
          <w:rFonts w:eastAsia="Calibri" w:cs="Arial"/>
          <w:b/>
          <w:szCs w:val="20"/>
          <w:lang w:val="sl-SI"/>
        </w:rPr>
        <w:t>Dnevni red:</w:t>
      </w:r>
    </w:p>
    <w:p w14:paraId="5A208A16" w14:textId="77777777" w:rsidR="00F3793D" w:rsidRDefault="00F3793D">
      <w:pPr>
        <w:spacing w:line="276" w:lineRule="auto"/>
        <w:jc w:val="both"/>
        <w:rPr>
          <w:rFonts w:eastAsia="Calibri" w:cs="Arial"/>
          <w:b/>
          <w:szCs w:val="20"/>
          <w:lang w:val="sl-SI"/>
        </w:rPr>
      </w:pPr>
    </w:p>
    <w:p w14:paraId="2D5E4E0D" w14:textId="08B98DE1" w:rsidR="00F3793D" w:rsidRPr="00F3793D" w:rsidRDefault="00F3793D" w:rsidP="00F3793D">
      <w:pPr>
        <w:spacing w:after="120" w:line="276" w:lineRule="auto"/>
        <w:rPr>
          <w:rFonts w:cs="Arial"/>
          <w:color w:val="000000"/>
          <w:szCs w:val="20"/>
          <w:lang w:val="sl-SI" w:eastAsia="sl-SI"/>
        </w:rPr>
      </w:pPr>
      <w:r w:rsidRPr="00F3793D">
        <w:rPr>
          <w:rFonts w:cs="Arial"/>
          <w:color w:val="000000"/>
          <w:szCs w:val="20"/>
          <w:lang w:val="sl-SI" w:eastAsia="sl-SI"/>
        </w:rPr>
        <w:t xml:space="preserve">1.        Potrditev </w:t>
      </w:r>
      <w:r w:rsidR="00A02584">
        <w:rPr>
          <w:rFonts w:cs="Arial"/>
          <w:color w:val="000000"/>
          <w:szCs w:val="20"/>
          <w:lang w:val="sl-SI" w:eastAsia="sl-SI"/>
        </w:rPr>
        <w:t xml:space="preserve">zapisnika </w:t>
      </w:r>
      <w:r w:rsidR="00697DFE">
        <w:rPr>
          <w:rFonts w:cs="Arial"/>
          <w:color w:val="000000"/>
          <w:szCs w:val="20"/>
          <w:lang w:val="sl-SI" w:eastAsia="sl-SI"/>
        </w:rPr>
        <w:t>9</w:t>
      </w:r>
      <w:r w:rsidR="00A02584">
        <w:rPr>
          <w:rFonts w:cs="Arial"/>
          <w:color w:val="000000"/>
          <w:szCs w:val="20"/>
          <w:lang w:val="sl-SI" w:eastAsia="sl-SI"/>
        </w:rPr>
        <w:t>. seje SSM;</w:t>
      </w:r>
      <w:r w:rsidRPr="00F3793D">
        <w:rPr>
          <w:rFonts w:cs="Arial"/>
          <w:color w:val="000000"/>
          <w:szCs w:val="20"/>
          <w:lang w:val="sl-SI" w:eastAsia="sl-SI"/>
        </w:rPr>
        <w:br/>
        <w:t xml:space="preserve">2.        </w:t>
      </w:r>
      <w:r w:rsidR="00A02584">
        <w:rPr>
          <w:rFonts w:cs="Arial"/>
          <w:color w:val="000000"/>
          <w:szCs w:val="20"/>
          <w:lang w:val="sl-SI" w:eastAsia="sl-SI"/>
        </w:rPr>
        <w:t>Preoblikovanje slovenskega pokojninskega sistema;</w:t>
      </w:r>
      <w:r w:rsidRPr="00F3793D">
        <w:rPr>
          <w:rFonts w:cs="Arial"/>
          <w:color w:val="000000"/>
          <w:szCs w:val="20"/>
          <w:lang w:val="sl-SI" w:eastAsia="sl-SI"/>
        </w:rPr>
        <w:t xml:space="preserve"> </w:t>
      </w:r>
      <w:r w:rsidRPr="00F3793D">
        <w:rPr>
          <w:rFonts w:cs="Arial"/>
          <w:color w:val="000000"/>
          <w:szCs w:val="20"/>
          <w:lang w:val="sl-SI" w:eastAsia="sl-SI"/>
        </w:rPr>
        <w:br/>
        <w:t xml:space="preserve">3.        </w:t>
      </w:r>
      <w:r w:rsidR="00A02584">
        <w:rPr>
          <w:rFonts w:cs="Arial"/>
          <w:color w:val="000000"/>
          <w:szCs w:val="20"/>
          <w:lang w:val="sl-SI" w:eastAsia="sl-SI"/>
        </w:rPr>
        <w:t>Razno.</w:t>
      </w:r>
    </w:p>
    <w:p w14:paraId="11A2890A" w14:textId="79781DAB" w:rsidR="00A02584" w:rsidRPr="00A02584" w:rsidRDefault="00420FE6" w:rsidP="00AC729E">
      <w:pPr>
        <w:spacing w:after="120" w:line="276" w:lineRule="auto"/>
        <w:jc w:val="center"/>
        <w:rPr>
          <w:rFonts w:eastAsia="Calibri" w:cs="Arial"/>
          <w:b/>
          <w:szCs w:val="20"/>
          <w:lang w:val="sl-SI"/>
        </w:rPr>
      </w:pPr>
      <w:r>
        <w:rPr>
          <w:rFonts w:eastAsia="Calibri" w:cs="Arial"/>
          <w:b/>
          <w:szCs w:val="20"/>
          <w:lang w:val="sl-SI"/>
        </w:rPr>
        <w:t>AD/1</w:t>
      </w:r>
    </w:p>
    <w:p w14:paraId="23700B98" w14:textId="442CC7AE" w:rsidR="00B113D9" w:rsidRDefault="005E49C3" w:rsidP="00B113D9">
      <w:pPr>
        <w:spacing w:line="276" w:lineRule="auto"/>
        <w:rPr>
          <w:rFonts w:eastAsia="Calibri" w:cs="Arial"/>
          <w:szCs w:val="20"/>
          <w:lang w:val="sl-SI"/>
        </w:rPr>
      </w:pPr>
      <w:r>
        <w:rPr>
          <w:rFonts w:eastAsia="Calibri" w:cs="Arial"/>
          <w:szCs w:val="20"/>
          <w:lang w:val="sl-SI"/>
        </w:rPr>
        <w:t>Zaradi večjega števila odsotnih članov</w:t>
      </w:r>
      <w:r w:rsidR="00B113D9">
        <w:rPr>
          <w:rFonts w:eastAsia="Calibri" w:cs="Arial"/>
          <w:szCs w:val="20"/>
          <w:lang w:val="sl-SI"/>
        </w:rPr>
        <w:t xml:space="preserve"> </w:t>
      </w:r>
      <w:r>
        <w:rPr>
          <w:rFonts w:eastAsia="Calibri" w:cs="Arial"/>
          <w:szCs w:val="20"/>
          <w:lang w:val="sl-SI"/>
        </w:rPr>
        <w:t>bo</w:t>
      </w:r>
      <w:r w:rsidR="002D25DD">
        <w:rPr>
          <w:rFonts w:eastAsia="Calibri" w:cs="Arial"/>
          <w:szCs w:val="20"/>
          <w:lang w:val="sl-SI"/>
        </w:rPr>
        <w:t xml:space="preserve"> zapisnik</w:t>
      </w:r>
      <w:r>
        <w:rPr>
          <w:rFonts w:eastAsia="Calibri" w:cs="Arial"/>
          <w:szCs w:val="20"/>
          <w:lang w:val="sl-SI"/>
        </w:rPr>
        <w:t xml:space="preserve"> predvidoma</w:t>
      </w:r>
      <w:r w:rsidR="002D25DD">
        <w:rPr>
          <w:rFonts w:eastAsia="Calibri" w:cs="Arial"/>
          <w:szCs w:val="20"/>
          <w:lang w:val="sl-SI"/>
        </w:rPr>
        <w:t xml:space="preserve"> </w:t>
      </w:r>
      <w:r>
        <w:rPr>
          <w:rFonts w:eastAsia="Calibri" w:cs="Arial"/>
          <w:szCs w:val="20"/>
          <w:lang w:val="sl-SI"/>
        </w:rPr>
        <w:t>potrje</w:t>
      </w:r>
      <w:r w:rsidR="00C015C6">
        <w:rPr>
          <w:rFonts w:eastAsia="Calibri" w:cs="Arial"/>
          <w:szCs w:val="20"/>
          <w:lang w:val="sl-SI"/>
        </w:rPr>
        <w:t>n</w:t>
      </w:r>
      <w:r w:rsidR="002D25DD">
        <w:rPr>
          <w:rFonts w:eastAsia="Calibri" w:cs="Arial"/>
          <w:szCs w:val="20"/>
          <w:lang w:val="sl-SI"/>
        </w:rPr>
        <w:t xml:space="preserve"> na naslednji seji</w:t>
      </w:r>
      <w:r w:rsidR="00A02584">
        <w:rPr>
          <w:rFonts w:eastAsia="Calibri" w:cs="Arial"/>
          <w:szCs w:val="20"/>
          <w:lang w:val="sl-SI"/>
        </w:rPr>
        <w:t>.</w:t>
      </w:r>
    </w:p>
    <w:p w14:paraId="1C797A39" w14:textId="77777777" w:rsidR="00655A05" w:rsidRDefault="00655A05" w:rsidP="00655A05">
      <w:pPr>
        <w:spacing w:line="276" w:lineRule="auto"/>
        <w:jc w:val="both"/>
        <w:rPr>
          <w:rFonts w:eastAsia="Calibri" w:cs="Arial"/>
          <w:b/>
          <w:szCs w:val="20"/>
          <w:lang w:val="sl-SI"/>
        </w:rPr>
      </w:pPr>
    </w:p>
    <w:p w14:paraId="7B52926D" w14:textId="77777777" w:rsidR="00183BAF" w:rsidRDefault="00420FE6" w:rsidP="00183BAF">
      <w:pPr>
        <w:spacing w:after="120" w:line="276" w:lineRule="auto"/>
        <w:jc w:val="center"/>
        <w:rPr>
          <w:rFonts w:eastAsia="Calibri" w:cs="Arial"/>
          <w:b/>
          <w:szCs w:val="20"/>
          <w:lang w:val="sl-SI"/>
        </w:rPr>
      </w:pPr>
      <w:r>
        <w:rPr>
          <w:rFonts w:eastAsia="Calibri" w:cs="Arial"/>
          <w:b/>
          <w:szCs w:val="20"/>
          <w:lang w:val="sl-SI"/>
        </w:rPr>
        <w:t>AD/2</w:t>
      </w:r>
    </w:p>
    <w:p w14:paraId="4F718DCC" w14:textId="77777777" w:rsidR="005E49C3" w:rsidRPr="00D72C18" w:rsidRDefault="005E49C3" w:rsidP="005E49C3">
      <w:pPr>
        <w:spacing w:after="120" w:line="276" w:lineRule="auto"/>
        <w:jc w:val="both"/>
        <w:rPr>
          <w:rFonts w:eastAsia="Calibri" w:cs="Arial"/>
          <w:szCs w:val="20"/>
          <w:lang w:val="sl-SI"/>
        </w:rPr>
      </w:pPr>
      <w:r w:rsidRPr="00D72C18">
        <w:rPr>
          <w:rFonts w:eastAsia="Calibri" w:cs="Arial"/>
          <w:szCs w:val="20"/>
          <w:lang w:val="sl-SI"/>
        </w:rPr>
        <w:t xml:space="preserve">Člani sveta so v razpravah izpostavili naslednje: </w:t>
      </w:r>
    </w:p>
    <w:p w14:paraId="5259A001" w14:textId="77777777" w:rsidR="005E49C3" w:rsidRPr="00D72C18" w:rsidRDefault="005E49C3" w:rsidP="00B85FB5">
      <w:pPr>
        <w:suppressAutoHyphens w:val="0"/>
        <w:spacing w:after="160" w:line="259" w:lineRule="auto"/>
        <w:jc w:val="both"/>
        <w:rPr>
          <w:rFonts w:cs="Arial"/>
          <w:bCs/>
          <w:color w:val="000000" w:themeColor="text1"/>
          <w:szCs w:val="20"/>
          <w:lang w:val="sl-SI"/>
        </w:rPr>
      </w:pPr>
      <w:r w:rsidRPr="00D72C18">
        <w:rPr>
          <w:rFonts w:cs="Arial"/>
          <w:bCs/>
          <w:szCs w:val="20"/>
          <w:lang w:val="sl-SI"/>
        </w:rPr>
        <w:t xml:space="preserve">Ob </w:t>
      </w:r>
      <w:r w:rsidRPr="00D72C18">
        <w:rPr>
          <w:rFonts w:cs="Arial"/>
          <w:bCs/>
          <w:color w:val="000000" w:themeColor="text1"/>
          <w:szCs w:val="20"/>
          <w:lang w:val="sl-SI"/>
        </w:rPr>
        <w:t>danih demografskih gibanjih, obstoječih parametrih pokojninskega sistema, ter odvisnosti prvega stebra od proračunskih transferjev RS, so ustrezni naslednji predlogi:</w:t>
      </w:r>
    </w:p>
    <w:p w14:paraId="535C187C" w14:textId="77777777" w:rsidR="005E49C3" w:rsidRPr="00D72C18" w:rsidRDefault="005E49C3" w:rsidP="005E49C3">
      <w:pPr>
        <w:pStyle w:val="Odstavekseznama"/>
        <w:numPr>
          <w:ilvl w:val="0"/>
          <w:numId w:val="7"/>
        </w:numPr>
        <w:suppressAutoHyphens w:val="0"/>
        <w:spacing w:after="160" w:line="259" w:lineRule="auto"/>
        <w:ind w:left="1248" w:hanging="624"/>
        <w:jc w:val="both"/>
        <w:rPr>
          <w:rFonts w:ascii="Calibri" w:hAnsi="Calibri"/>
          <w:color w:val="000000" w:themeColor="text1"/>
          <w:szCs w:val="22"/>
          <w:lang w:val="sl-SI"/>
        </w:rPr>
      </w:pPr>
      <w:r w:rsidRPr="00D72C18">
        <w:rPr>
          <w:rFonts w:cs="Arial"/>
          <w:color w:val="000000" w:themeColor="text1"/>
          <w:szCs w:val="20"/>
          <w:lang w:val="sl-SI"/>
        </w:rPr>
        <w:t>Podaljševanje delovne dobe / starosti ob upokojitvi, ki mora biti postopno</w:t>
      </w:r>
    </w:p>
    <w:p w14:paraId="0F2429E3" w14:textId="77777777" w:rsidR="005E49C3" w:rsidRPr="00D72C18" w:rsidRDefault="005E49C3" w:rsidP="005E49C3">
      <w:pPr>
        <w:pStyle w:val="Odstavekseznama"/>
        <w:numPr>
          <w:ilvl w:val="0"/>
          <w:numId w:val="7"/>
        </w:numPr>
        <w:suppressAutoHyphens w:val="0"/>
        <w:spacing w:after="160" w:line="259" w:lineRule="auto"/>
        <w:ind w:left="1248" w:hanging="624"/>
        <w:jc w:val="both"/>
        <w:rPr>
          <w:rFonts w:cs="Arial"/>
          <w:color w:val="000000" w:themeColor="text1"/>
          <w:szCs w:val="20"/>
          <w:lang w:val="sl-SI"/>
        </w:rPr>
      </w:pPr>
      <w:r w:rsidRPr="00D72C18">
        <w:rPr>
          <w:rFonts w:cs="Arial"/>
          <w:color w:val="000000" w:themeColor="text1"/>
          <w:szCs w:val="20"/>
          <w:lang w:val="sl-SI"/>
        </w:rPr>
        <w:t xml:space="preserve">Podaljševanje števila let, ki se upoštevajo pri odmeri pokojnine </w:t>
      </w:r>
    </w:p>
    <w:p w14:paraId="79679EF6" w14:textId="77777777" w:rsidR="005E49C3" w:rsidRPr="00D72C18" w:rsidRDefault="005E49C3" w:rsidP="005E49C3">
      <w:pPr>
        <w:pStyle w:val="Odstavekseznama"/>
        <w:numPr>
          <w:ilvl w:val="0"/>
          <w:numId w:val="7"/>
        </w:numPr>
        <w:suppressAutoHyphens w:val="0"/>
        <w:spacing w:after="160" w:line="259" w:lineRule="auto"/>
        <w:ind w:left="1248" w:hanging="624"/>
        <w:jc w:val="both"/>
        <w:rPr>
          <w:rFonts w:cs="Arial"/>
          <w:color w:val="000000" w:themeColor="text1"/>
          <w:szCs w:val="20"/>
          <w:lang w:val="sl-SI"/>
        </w:rPr>
      </w:pPr>
      <w:r w:rsidRPr="00D72C18">
        <w:rPr>
          <w:rFonts w:cs="Arial"/>
          <w:color w:val="000000" w:themeColor="text1"/>
          <w:szCs w:val="20"/>
          <w:lang w:val="sl-SI"/>
        </w:rPr>
        <w:t xml:space="preserve">Sprememba indeksacije v smeri večje teže inflacije (»modificirana švicarska formula«) </w:t>
      </w:r>
    </w:p>
    <w:p w14:paraId="174A37BC" w14:textId="0990566B" w:rsidR="005E49C3" w:rsidRPr="00D72C18" w:rsidRDefault="005E49C3" w:rsidP="00B85FB5">
      <w:pPr>
        <w:rPr>
          <w:rFonts w:cs="Arial"/>
          <w:color w:val="000000" w:themeColor="text1"/>
          <w:szCs w:val="20"/>
          <w:lang w:val="sl-SI"/>
        </w:rPr>
      </w:pPr>
      <w:r w:rsidRPr="00D72C18">
        <w:rPr>
          <w:rFonts w:cs="Arial"/>
          <w:bCs/>
          <w:iCs/>
          <w:color w:val="000000" w:themeColor="text1"/>
          <w:szCs w:val="20"/>
          <w:lang w:val="sl-SI"/>
        </w:rPr>
        <w:t>Finančna vzdržnost bi morala predstavljati prvo prioriteto reforme med zastavljenimi cilji.</w:t>
      </w:r>
      <w:r w:rsidRPr="00D72C18">
        <w:rPr>
          <w:rFonts w:cs="Arial"/>
          <w:bCs/>
          <w:color w:val="000000" w:themeColor="text1"/>
          <w:szCs w:val="20"/>
          <w:lang w:val="sl-SI"/>
        </w:rPr>
        <w:t xml:space="preserve"> </w:t>
      </w:r>
      <w:r w:rsidRPr="00D72C18">
        <w:rPr>
          <w:rFonts w:cs="Arial"/>
          <w:color w:val="000000" w:themeColor="text1"/>
          <w:szCs w:val="20"/>
          <w:lang w:val="sl-SI"/>
        </w:rPr>
        <w:t xml:space="preserve">To je pomembno tudi v luči najnovejšega dogovora Sveta EU o prenovi evropskih fiskalnih pravil. </w:t>
      </w:r>
      <w:r w:rsidR="00D72C18">
        <w:rPr>
          <w:rFonts w:cs="Arial"/>
          <w:bCs/>
          <w:color w:val="000000" w:themeColor="text1"/>
          <w:szCs w:val="20"/>
          <w:lang w:val="sl-SI"/>
        </w:rPr>
        <w:t>Vendar pomemben je pravi pristop;</w:t>
      </w:r>
      <w:r w:rsidRPr="00D72C18">
        <w:rPr>
          <w:rFonts w:cs="Arial"/>
          <w:bCs/>
          <w:color w:val="000000" w:themeColor="text1"/>
          <w:szCs w:val="20"/>
          <w:lang w:val="sl-SI"/>
        </w:rPr>
        <w:t xml:space="preserve"> javnosti ne bo možno prepričati o nujnosti sprememb pokojninskega sis</w:t>
      </w:r>
      <w:r w:rsidR="00D72C18">
        <w:rPr>
          <w:rFonts w:cs="Arial"/>
          <w:bCs/>
          <w:color w:val="000000" w:themeColor="text1"/>
          <w:szCs w:val="20"/>
          <w:lang w:val="sl-SI"/>
        </w:rPr>
        <w:t>tema zaradi fiskalnih pravil EU.</w:t>
      </w:r>
      <w:r w:rsidRPr="00D72C18">
        <w:rPr>
          <w:rFonts w:cs="Arial"/>
          <w:bCs/>
          <w:color w:val="000000" w:themeColor="text1"/>
          <w:szCs w:val="20"/>
          <w:lang w:val="sl-SI"/>
        </w:rPr>
        <w:t xml:space="preserve"> Cilj finančne vzdržnosti je ključen za prihodnjo samostojno finančno politiko in suverenost države. Kaj lahko prinese finančna nevzdržnost se je jasno pokazalo ob zadnji finančni krizi.</w:t>
      </w:r>
    </w:p>
    <w:p w14:paraId="10ACFDF4" w14:textId="77777777" w:rsidR="00B85FB5" w:rsidRPr="00D72C18" w:rsidRDefault="00B85FB5" w:rsidP="00B85FB5">
      <w:pPr>
        <w:rPr>
          <w:rFonts w:cs="Arial"/>
          <w:color w:val="000000" w:themeColor="text1"/>
          <w:szCs w:val="20"/>
          <w:lang w:val="sl-SI"/>
        </w:rPr>
      </w:pPr>
    </w:p>
    <w:p w14:paraId="1548DE39" w14:textId="0C498F04" w:rsidR="005E49C3" w:rsidRPr="00D72C18" w:rsidRDefault="005E49C3" w:rsidP="00B85FB5">
      <w:pPr>
        <w:rPr>
          <w:rFonts w:cs="Arial"/>
          <w:strike/>
          <w:color w:val="000000" w:themeColor="text1"/>
          <w:szCs w:val="20"/>
          <w:lang w:val="sl-SI"/>
        </w:rPr>
      </w:pPr>
      <w:r w:rsidRPr="00D72C18">
        <w:rPr>
          <w:rFonts w:cs="Arial"/>
          <w:color w:val="000000" w:themeColor="text1"/>
          <w:szCs w:val="20"/>
          <w:lang w:val="sl-SI"/>
        </w:rPr>
        <w:lastRenderedPageBreak/>
        <w:t>Prevladalo je mnenje, da scenariji MDDSZ niso realistični in ne bodo v zadostni meri omogočili zasledovanje cilja finančne vzdržnosti in izpolnjevanja pogojev NOO in da naj bo zato končni predlog bližje scenariju MF</w:t>
      </w:r>
      <w:r w:rsidR="006142D4">
        <w:rPr>
          <w:rFonts w:cs="Arial"/>
          <w:color w:val="000000" w:themeColor="text1"/>
          <w:szCs w:val="20"/>
          <w:lang w:val="sl-SI"/>
        </w:rPr>
        <w:t>.</w:t>
      </w:r>
    </w:p>
    <w:p w14:paraId="16914182" w14:textId="77777777" w:rsidR="00B85FB5" w:rsidRPr="00D72C18" w:rsidRDefault="00B85FB5" w:rsidP="00B85FB5">
      <w:pPr>
        <w:rPr>
          <w:bCs/>
          <w:color w:val="000000" w:themeColor="text1"/>
          <w:lang w:val="sl-SI"/>
        </w:rPr>
      </w:pPr>
    </w:p>
    <w:p w14:paraId="2781E9A8" w14:textId="7694BD59" w:rsidR="005E49C3" w:rsidRPr="00D72C18" w:rsidRDefault="005E49C3" w:rsidP="00B85FB5">
      <w:pPr>
        <w:rPr>
          <w:rFonts w:ascii="Calibri" w:hAnsi="Calibri"/>
          <w:color w:val="000000" w:themeColor="text1"/>
          <w:szCs w:val="22"/>
          <w:lang w:val="sl-SI"/>
        </w:rPr>
      </w:pPr>
      <w:r w:rsidRPr="00D72C18">
        <w:rPr>
          <w:bCs/>
          <w:color w:val="000000" w:themeColor="text1"/>
          <w:lang w:val="sl-SI"/>
        </w:rPr>
        <w:t xml:space="preserve">SSM svetuje previdnost pri dvigu </w:t>
      </w:r>
      <w:proofErr w:type="spellStart"/>
      <w:r w:rsidRPr="00D72C18">
        <w:rPr>
          <w:bCs/>
          <w:color w:val="000000" w:themeColor="text1"/>
          <w:lang w:val="sl-SI"/>
        </w:rPr>
        <w:t>odmernega</w:t>
      </w:r>
      <w:proofErr w:type="spellEnd"/>
      <w:r w:rsidRPr="00D72C18">
        <w:rPr>
          <w:bCs/>
          <w:color w:val="000000" w:themeColor="text1"/>
          <w:lang w:val="sl-SI"/>
        </w:rPr>
        <w:t xml:space="preserve"> odstotka</w:t>
      </w:r>
      <w:r w:rsidRPr="00D72C18">
        <w:rPr>
          <w:color w:val="000000" w:themeColor="text1"/>
          <w:lang w:val="sl-SI"/>
        </w:rPr>
        <w:t xml:space="preserve">, saj je treba pri tem upoštevati, da so se </w:t>
      </w:r>
      <w:proofErr w:type="spellStart"/>
      <w:r w:rsidRPr="00D72C18">
        <w:rPr>
          <w:color w:val="000000" w:themeColor="text1"/>
          <w:lang w:val="sl-SI"/>
        </w:rPr>
        <w:t>odmerni</w:t>
      </w:r>
      <w:proofErr w:type="spellEnd"/>
      <w:r w:rsidRPr="00D72C18">
        <w:rPr>
          <w:color w:val="000000" w:themeColor="text1"/>
          <w:lang w:val="sl-SI"/>
        </w:rPr>
        <w:t xml:space="preserve"> </w:t>
      </w:r>
      <w:r w:rsidR="006142D4">
        <w:rPr>
          <w:color w:val="000000" w:themeColor="text1"/>
          <w:lang w:val="sl-SI"/>
        </w:rPr>
        <w:t>odstotki</w:t>
      </w:r>
      <w:r w:rsidRPr="00D72C18">
        <w:rPr>
          <w:color w:val="000000" w:themeColor="text1"/>
          <w:lang w:val="sl-SI"/>
        </w:rPr>
        <w:t xml:space="preserve"> dvignili leta 2019 brez kompenzirajočih ukrepov v smeri vzdržnosti </w:t>
      </w:r>
      <w:r w:rsidR="006142D4">
        <w:rPr>
          <w:color w:val="000000" w:themeColor="text1"/>
          <w:lang w:val="sl-SI"/>
        </w:rPr>
        <w:t>javnih financ</w:t>
      </w:r>
      <w:r w:rsidRPr="00D72C18">
        <w:rPr>
          <w:color w:val="000000" w:themeColor="text1"/>
          <w:lang w:val="sl-SI"/>
        </w:rPr>
        <w:t>.</w:t>
      </w:r>
    </w:p>
    <w:p w14:paraId="1E0E4098" w14:textId="77777777" w:rsidR="00B85FB5" w:rsidRPr="00D72C18" w:rsidRDefault="00B85FB5" w:rsidP="00B85FB5">
      <w:pPr>
        <w:jc w:val="both"/>
        <w:rPr>
          <w:rFonts w:cs="Arial"/>
          <w:color w:val="000000" w:themeColor="text1"/>
          <w:szCs w:val="20"/>
          <w:lang w:val="sl-SI"/>
        </w:rPr>
      </w:pPr>
    </w:p>
    <w:p w14:paraId="3DED874E" w14:textId="77777777" w:rsidR="005E49C3" w:rsidRPr="00D72C18" w:rsidRDefault="005E49C3" w:rsidP="00B85FB5">
      <w:pPr>
        <w:jc w:val="both"/>
        <w:rPr>
          <w:rFonts w:cs="Arial"/>
          <w:color w:val="000000" w:themeColor="text1"/>
          <w:szCs w:val="20"/>
          <w:lang w:val="sl-SI"/>
        </w:rPr>
      </w:pPr>
      <w:r w:rsidRPr="00D72C18">
        <w:rPr>
          <w:rFonts w:cs="Arial"/>
          <w:color w:val="000000" w:themeColor="text1"/>
          <w:szCs w:val="20"/>
          <w:lang w:val="sl-SI"/>
        </w:rPr>
        <w:t>Pred časom je bila predstavljena ideja, za katero ni jasno ali je še vedno aktualna ali ne, da bi se izračun pokojninske osnove spremenil tako, da bi se upoštevala posameznikova individualna dohodnina. To bi pomenilo nadaljnji odmik od povezave med vplačanimi prispevki in višino pokojnine, ter še dodatni mehanizem redistribucije v škodo posameznikov z visokimi plačami (in visokimi vplačili prispevkov). Dokler v Sloveniji ne bo uveden pravi koncept bruto pokojnin, je ob upoštevanju celotnega koncepta pokojninskega sistema zato ustrezneje, da ostane obstoječi sistem izračuna posameznikove pokojninske osnove in se ga ne spreminja.</w:t>
      </w:r>
    </w:p>
    <w:p w14:paraId="1B30FD84" w14:textId="77777777" w:rsidR="00B85FB5" w:rsidRPr="00D72C18" w:rsidRDefault="00B85FB5" w:rsidP="00B85FB5">
      <w:pPr>
        <w:rPr>
          <w:bCs/>
          <w:color w:val="000000" w:themeColor="text1"/>
          <w:lang w:val="sl-SI"/>
        </w:rPr>
      </w:pPr>
    </w:p>
    <w:p w14:paraId="5C6C9ACB" w14:textId="77777777" w:rsidR="005E49C3" w:rsidRPr="00D72C18" w:rsidRDefault="005E49C3" w:rsidP="00B85FB5">
      <w:pPr>
        <w:rPr>
          <w:rFonts w:cs="Arial"/>
          <w:color w:val="000000" w:themeColor="text1"/>
          <w:szCs w:val="20"/>
          <w:lang w:val="sl-SI"/>
        </w:rPr>
      </w:pPr>
      <w:r w:rsidRPr="00D72C18">
        <w:rPr>
          <w:bCs/>
          <w:color w:val="000000" w:themeColor="text1"/>
          <w:lang w:val="sl-SI"/>
        </w:rPr>
        <w:t>SSM ne podpira dviga minimalne pokojninske osnove</w:t>
      </w:r>
      <w:r w:rsidRPr="00D72C18">
        <w:rPr>
          <w:color w:val="000000" w:themeColor="text1"/>
          <w:lang w:val="sl-SI"/>
        </w:rPr>
        <w:t xml:space="preserve">, </w:t>
      </w:r>
      <w:r w:rsidRPr="00D72C18">
        <w:rPr>
          <w:bCs/>
          <w:color w:val="000000" w:themeColor="text1"/>
          <w:lang w:val="sl-SI"/>
        </w:rPr>
        <w:t>ker se s tem nadaljuje oddaljevanje od principa, da bi višine pokojnine morala odražati višino vplačil.</w:t>
      </w:r>
      <w:r w:rsidRPr="00D72C18">
        <w:rPr>
          <w:rFonts w:cs="Arial"/>
          <w:color w:val="000000" w:themeColor="text1"/>
          <w:szCs w:val="20"/>
          <w:lang w:val="sl-SI"/>
        </w:rPr>
        <w:t xml:space="preserve"> Rušenje te povezave je izrazito destimulativno z vidika zaupanja v pokojninski sistem in motivacije za delo ter plačevanje prispevkov velikega deleža zaposlenih, saj pokojninski sistem na ta način krepi </w:t>
      </w:r>
      <w:r w:rsidRPr="00D72C18">
        <w:rPr>
          <w:color w:val="000000" w:themeColor="text1"/>
          <w:lang w:val="sl-SI"/>
        </w:rPr>
        <w:t>vlogo</w:t>
      </w:r>
      <w:r w:rsidRPr="00D72C18">
        <w:rPr>
          <w:rFonts w:cs="Arial"/>
          <w:color w:val="000000" w:themeColor="text1"/>
          <w:szCs w:val="20"/>
          <w:lang w:val="sl-SI"/>
        </w:rPr>
        <w:t xml:space="preserve"> orodja redistribucije in prikritega izplačevalca socialnih pomoči, kar ni njegov osnovni namen. </w:t>
      </w:r>
    </w:p>
    <w:p w14:paraId="7932AA47" w14:textId="77777777" w:rsidR="00B85FB5" w:rsidRPr="00D72C18" w:rsidRDefault="00B85FB5" w:rsidP="00B85FB5">
      <w:pPr>
        <w:rPr>
          <w:rFonts w:cs="Arial"/>
          <w:color w:val="000000" w:themeColor="text1"/>
          <w:szCs w:val="20"/>
          <w:lang w:val="sl-SI"/>
        </w:rPr>
      </w:pPr>
    </w:p>
    <w:p w14:paraId="4D7B4752" w14:textId="77777777" w:rsidR="005E49C3" w:rsidRPr="00D72C18" w:rsidRDefault="005E49C3" w:rsidP="00B85FB5">
      <w:pPr>
        <w:rPr>
          <w:rFonts w:cs="Arial"/>
          <w:color w:val="000000" w:themeColor="text1"/>
          <w:szCs w:val="20"/>
          <w:lang w:val="sl-SI"/>
        </w:rPr>
      </w:pPr>
      <w:r w:rsidRPr="00D72C18">
        <w:rPr>
          <w:rFonts w:cs="Arial"/>
          <w:color w:val="000000" w:themeColor="text1"/>
          <w:szCs w:val="20"/>
          <w:lang w:val="sl-SI"/>
        </w:rPr>
        <w:t>SSM izpostavlja potrebo po usmeritvi prvega stebra pokojninskega sistema v osnovno funkcijo instrumenta zavarovanja in odmik od uvajanja novih elementov socialnih transferov. Socialni korektivi (kadar so potrebni) naj se izvajajo prek drugih mehanizmov socialnih transferjev in ne prek pokojninskega sistema.</w:t>
      </w:r>
    </w:p>
    <w:p w14:paraId="627388D7" w14:textId="77777777" w:rsidR="00B85FB5" w:rsidRPr="00D72C18" w:rsidRDefault="00B85FB5" w:rsidP="00B85FB5">
      <w:pPr>
        <w:rPr>
          <w:rFonts w:cs="Arial"/>
          <w:bCs/>
          <w:i/>
          <w:color w:val="000000" w:themeColor="text1"/>
          <w:szCs w:val="20"/>
          <w:lang w:val="sl-SI"/>
        </w:rPr>
      </w:pPr>
    </w:p>
    <w:p w14:paraId="0D6BEC02" w14:textId="77777777" w:rsidR="005E49C3" w:rsidRPr="00D72C18" w:rsidRDefault="005E49C3" w:rsidP="00B85FB5">
      <w:pPr>
        <w:rPr>
          <w:rFonts w:cs="Arial"/>
          <w:color w:val="000000" w:themeColor="text1"/>
          <w:szCs w:val="20"/>
          <w:lang w:val="sl-SI"/>
        </w:rPr>
      </w:pPr>
      <w:r w:rsidRPr="002E03EB">
        <w:rPr>
          <w:rFonts w:cs="Arial"/>
          <w:bCs/>
          <w:color w:val="000000" w:themeColor="text1"/>
          <w:szCs w:val="20"/>
          <w:lang w:val="sl-SI"/>
        </w:rPr>
        <w:t>Dvig upokojitvene starosti bi se lahko vezal na pričakovano življenjsko dobo</w:t>
      </w:r>
      <w:r w:rsidRPr="00D72C18">
        <w:rPr>
          <w:rFonts w:cs="Arial"/>
          <w:bCs/>
          <w:i/>
          <w:color w:val="000000" w:themeColor="text1"/>
          <w:szCs w:val="20"/>
          <w:lang w:val="sl-SI"/>
        </w:rPr>
        <w:t>.</w:t>
      </w:r>
      <w:r w:rsidRPr="00D72C18">
        <w:rPr>
          <w:rFonts w:cs="Arial"/>
          <w:i/>
          <w:color w:val="000000" w:themeColor="text1"/>
          <w:szCs w:val="20"/>
          <w:lang w:val="sl-SI"/>
        </w:rPr>
        <w:t xml:space="preserve"> </w:t>
      </w:r>
      <w:r w:rsidRPr="00D72C18">
        <w:rPr>
          <w:rFonts w:cs="Arial"/>
          <w:color w:val="000000" w:themeColor="text1"/>
          <w:szCs w:val="20"/>
          <w:lang w:val="sl-SI"/>
        </w:rPr>
        <w:t>Pri uvajanju sprememb je za zaupanje v sistem ključna postopnost.</w:t>
      </w:r>
      <w:r w:rsidRPr="00D72C18">
        <w:rPr>
          <w:rFonts w:cs="Arial"/>
          <w:i/>
          <w:color w:val="000000" w:themeColor="text1"/>
          <w:szCs w:val="20"/>
          <w:lang w:val="sl-SI"/>
        </w:rPr>
        <w:t xml:space="preserve"> </w:t>
      </w:r>
      <w:r w:rsidRPr="00D72C18">
        <w:rPr>
          <w:rFonts w:cs="Arial"/>
          <w:color w:val="000000" w:themeColor="text1"/>
          <w:szCs w:val="20"/>
          <w:lang w:val="sl-SI"/>
        </w:rPr>
        <w:t xml:space="preserve">Vezava na pričakovano življenjsko dobo bi se lahko uvedla z zamikom, operacionalizirati pa bi jo bilo potrebno tako, da omogoča pravočasno in predvidljivo oblikovanje pričakovanj aktivne populacije o odhodu v pokoj. Za večjo predvidljivost in preprečevanje črednega upokojevanja bi se lahko npr. upokojitvena starost ob vezavi na pričakovano življenjsko dobo za vsakoletno kohorto zavarovancev fiksirala nekaj let pred dosegom pričakovane upokojitvene starosti (npr. 5 ali 10 let). </w:t>
      </w:r>
    </w:p>
    <w:p w14:paraId="6ECC266C" w14:textId="77777777" w:rsidR="00B85FB5" w:rsidRPr="00D72C18" w:rsidRDefault="00B85FB5" w:rsidP="00B85FB5">
      <w:pPr>
        <w:rPr>
          <w:bCs/>
          <w:color w:val="000000" w:themeColor="text1"/>
          <w:lang w:val="sl-SI"/>
        </w:rPr>
      </w:pPr>
    </w:p>
    <w:p w14:paraId="0049CCB1" w14:textId="77777777" w:rsidR="005E49C3" w:rsidRPr="00D72C18" w:rsidRDefault="005E49C3" w:rsidP="00B85FB5">
      <w:pPr>
        <w:rPr>
          <w:rFonts w:ascii="Calibri" w:hAnsi="Calibri"/>
          <w:bCs/>
          <w:color w:val="000000" w:themeColor="text1"/>
          <w:szCs w:val="22"/>
          <w:lang w:val="sl-SI"/>
        </w:rPr>
      </w:pPr>
      <w:r w:rsidRPr="00D72C18">
        <w:rPr>
          <w:bCs/>
          <w:color w:val="000000" w:themeColor="text1"/>
          <w:lang w:val="sl-SI"/>
        </w:rPr>
        <w:t xml:space="preserve">Prav tako je treba podaljševati 40 let pokojninske dobe v skladu s pričakovano življenjsko dobo. </w:t>
      </w:r>
      <w:r w:rsidRPr="00D72C18">
        <w:rPr>
          <w:rFonts w:cs="Arial"/>
          <w:color w:val="000000" w:themeColor="text1"/>
          <w:szCs w:val="20"/>
          <w:lang w:val="sl-SI"/>
        </w:rPr>
        <w:t>Pomembno je razmišljati o spremembi obeh pogojev (starost, pokojninska doba) hkrati, sicer so lahko učinki manjši (odvisno od tega, kateri pogoj je prej izpolnjen).</w:t>
      </w:r>
    </w:p>
    <w:p w14:paraId="5C5164D3" w14:textId="77777777" w:rsidR="00B85FB5" w:rsidRPr="00D72C18" w:rsidRDefault="00B85FB5" w:rsidP="00B85FB5">
      <w:pPr>
        <w:jc w:val="both"/>
        <w:rPr>
          <w:rFonts w:cs="Arial"/>
          <w:bCs/>
          <w:color w:val="000000" w:themeColor="text1"/>
          <w:szCs w:val="20"/>
          <w:lang w:val="sl-SI"/>
        </w:rPr>
      </w:pPr>
    </w:p>
    <w:p w14:paraId="32FAB5A7" w14:textId="7162CD13" w:rsidR="005E49C3" w:rsidRPr="00D72C18" w:rsidRDefault="005E49C3" w:rsidP="00B85FB5">
      <w:pPr>
        <w:jc w:val="both"/>
        <w:rPr>
          <w:rFonts w:cs="Arial"/>
          <w:color w:val="000000" w:themeColor="text1"/>
          <w:szCs w:val="20"/>
          <w:lang w:val="sl-SI"/>
        </w:rPr>
      </w:pPr>
      <w:r w:rsidRPr="00D72C18">
        <w:rPr>
          <w:rFonts w:cs="Arial"/>
          <w:bCs/>
          <w:color w:val="000000" w:themeColor="text1"/>
          <w:szCs w:val="20"/>
          <w:lang w:val="sl-SI"/>
        </w:rPr>
        <w:t xml:space="preserve">Uporaba načela »vsako delo šteje« preko izenačevanja pravic/obveznosti iz naslova občasnih oblik dela z redno zaposlitvijo že pomeni uzakonjanje </w:t>
      </w:r>
      <w:proofErr w:type="spellStart"/>
      <w:r w:rsidRPr="00D72C18">
        <w:rPr>
          <w:rFonts w:cs="Arial"/>
          <w:bCs/>
          <w:color w:val="000000" w:themeColor="text1"/>
          <w:szCs w:val="20"/>
          <w:lang w:val="sl-SI"/>
        </w:rPr>
        <w:t>prekarnosti</w:t>
      </w:r>
      <w:proofErr w:type="spellEnd"/>
      <w:r w:rsidRPr="00D72C18">
        <w:rPr>
          <w:rFonts w:cs="Arial"/>
          <w:bCs/>
          <w:color w:val="000000" w:themeColor="text1"/>
          <w:szCs w:val="20"/>
          <w:lang w:val="sl-SI"/>
        </w:rPr>
        <w:t xml:space="preserve"> (»zakaj bi te redno zaposlil, saj imaš  preko pogodbe enake socialne pravice, jaz pa te pokličem samo ko te rabim in ti razen plačila</w:t>
      </w:r>
      <w:r w:rsidR="00085E74">
        <w:rPr>
          <w:rFonts w:cs="Arial"/>
          <w:bCs/>
          <w:color w:val="000000" w:themeColor="text1"/>
          <w:szCs w:val="20"/>
          <w:lang w:val="sl-SI"/>
        </w:rPr>
        <w:t xml:space="preserve"> za delo ne plačam nič drugega</w:t>
      </w:r>
      <w:r w:rsidRPr="00D72C18">
        <w:rPr>
          <w:rFonts w:cs="Arial"/>
          <w:bCs/>
          <w:color w:val="000000" w:themeColor="text1"/>
          <w:szCs w:val="20"/>
          <w:lang w:val="sl-SI"/>
        </w:rPr>
        <w:t xml:space="preserve">«, pri študentih pa se to kaže v fiktivnih vpisih in </w:t>
      </w:r>
      <w:proofErr w:type="spellStart"/>
      <w:r w:rsidR="00085E74">
        <w:rPr>
          <w:rFonts w:cs="Arial"/>
          <w:bCs/>
          <w:color w:val="000000" w:themeColor="text1"/>
          <w:szCs w:val="20"/>
          <w:lang w:val="sl-SI"/>
        </w:rPr>
        <w:t>nedokončanju</w:t>
      </w:r>
      <w:proofErr w:type="spellEnd"/>
      <w:r w:rsidRPr="00D72C18">
        <w:rPr>
          <w:rFonts w:cs="Arial"/>
          <w:bCs/>
          <w:color w:val="000000" w:themeColor="text1"/>
          <w:szCs w:val="20"/>
          <w:lang w:val="sl-SI"/>
        </w:rPr>
        <w:t xml:space="preserve"> študija zaradi ohranjanja statusa). </w:t>
      </w:r>
      <w:r w:rsidRPr="00D72C18">
        <w:rPr>
          <w:rFonts w:cs="Arial"/>
          <w:color w:val="000000" w:themeColor="text1"/>
          <w:szCs w:val="20"/>
          <w:lang w:val="sl-SI"/>
        </w:rPr>
        <w:t xml:space="preserve">Širjenje tega načela z obremenitvijo vseh oblik dela s polnimi prispevki bi ob že obstoječi porušeni povezavi med višino pokojnine in vplačanimi prispevki še dodatno destimuliralo občasno delo </w:t>
      </w:r>
      <w:proofErr w:type="spellStart"/>
      <w:r w:rsidRPr="00D72C18">
        <w:rPr>
          <w:rFonts w:cs="Arial"/>
          <w:color w:val="000000" w:themeColor="text1"/>
          <w:szCs w:val="20"/>
          <w:lang w:val="sl-SI"/>
        </w:rPr>
        <w:t>neprekarno</w:t>
      </w:r>
      <w:proofErr w:type="spellEnd"/>
      <w:r w:rsidRPr="00D72C18">
        <w:rPr>
          <w:rFonts w:cs="Arial"/>
          <w:color w:val="000000" w:themeColor="text1"/>
          <w:szCs w:val="20"/>
          <w:lang w:val="sl-SI"/>
        </w:rPr>
        <w:t xml:space="preserve"> zaposlenih napram korporacijskim oblikam delovanja (</w:t>
      </w:r>
      <w:proofErr w:type="spellStart"/>
      <w:r w:rsidRPr="00D72C18">
        <w:rPr>
          <w:rFonts w:cs="Arial"/>
          <w:color w:val="000000" w:themeColor="text1"/>
          <w:szCs w:val="20"/>
          <w:lang w:val="sl-SI"/>
        </w:rPr>
        <w:t>d.o.o</w:t>
      </w:r>
      <w:proofErr w:type="spellEnd"/>
      <w:r w:rsidRPr="00D72C18">
        <w:rPr>
          <w:rFonts w:cs="Arial"/>
          <w:color w:val="000000" w:themeColor="text1"/>
          <w:szCs w:val="20"/>
          <w:lang w:val="sl-SI"/>
        </w:rPr>
        <w:t xml:space="preserve">-ji). </w:t>
      </w:r>
    </w:p>
    <w:p w14:paraId="22D27C0B" w14:textId="77777777" w:rsidR="00B85FB5" w:rsidRPr="00D72C18" w:rsidRDefault="00B85FB5" w:rsidP="00B85FB5">
      <w:pPr>
        <w:rPr>
          <w:rFonts w:cs="Arial"/>
          <w:bCs/>
          <w:iCs/>
          <w:color w:val="000000" w:themeColor="text1"/>
          <w:szCs w:val="20"/>
          <w:lang w:val="sl-SI"/>
        </w:rPr>
      </w:pPr>
    </w:p>
    <w:p w14:paraId="3C20DD80" w14:textId="31658869" w:rsidR="005E49C3" w:rsidRPr="00D72C18" w:rsidRDefault="005E49C3" w:rsidP="00B85FB5">
      <w:pPr>
        <w:rPr>
          <w:rFonts w:cs="Arial"/>
          <w:color w:val="000000" w:themeColor="text1"/>
          <w:szCs w:val="20"/>
          <w:lang w:val="sl-SI"/>
        </w:rPr>
      </w:pPr>
      <w:r w:rsidRPr="00D72C18">
        <w:rPr>
          <w:rFonts w:cs="Arial"/>
          <w:bCs/>
          <w:iCs/>
          <w:color w:val="000000" w:themeColor="text1"/>
          <w:szCs w:val="20"/>
          <w:lang w:val="sl-SI"/>
        </w:rPr>
        <w:t>Potreben je bolj sistematičen ra</w:t>
      </w:r>
      <w:r w:rsidR="00AC2C01">
        <w:rPr>
          <w:rFonts w:cs="Arial"/>
          <w:bCs/>
          <w:iCs/>
          <w:color w:val="000000" w:themeColor="text1"/>
          <w:szCs w:val="20"/>
          <w:lang w:val="sl-SI"/>
        </w:rPr>
        <w:t xml:space="preserve">zmislek o vlogi drugega stebra; </w:t>
      </w:r>
      <w:r w:rsidR="00AC2C01">
        <w:rPr>
          <w:rFonts w:cs="Arial"/>
          <w:color w:val="000000" w:themeColor="text1"/>
          <w:szCs w:val="20"/>
          <w:lang w:val="sl-SI"/>
        </w:rPr>
        <w:t>k</w:t>
      </w:r>
      <w:r w:rsidRPr="00D72C18">
        <w:rPr>
          <w:rFonts w:cs="Arial"/>
          <w:color w:val="000000" w:themeColor="text1"/>
          <w:szCs w:val="20"/>
          <w:lang w:val="sl-SI"/>
        </w:rPr>
        <w:t xml:space="preserve">oristi bolj sistematičnega pristopa </w:t>
      </w:r>
      <w:r w:rsidR="00B85FB5" w:rsidRPr="00D72C18">
        <w:rPr>
          <w:rFonts w:cs="Arial"/>
          <w:color w:val="000000" w:themeColor="text1"/>
          <w:szCs w:val="20"/>
          <w:lang w:val="sl-SI"/>
        </w:rPr>
        <w:t>k drugemu stebru so večplastne:</w:t>
      </w:r>
    </w:p>
    <w:p w14:paraId="4A95346C" w14:textId="77777777" w:rsidR="00B85FB5" w:rsidRPr="00D72C18" w:rsidRDefault="00B85FB5" w:rsidP="00B85FB5">
      <w:pPr>
        <w:rPr>
          <w:rFonts w:cs="Arial"/>
          <w:color w:val="000000" w:themeColor="text1"/>
          <w:szCs w:val="20"/>
          <w:lang w:val="sl-SI"/>
        </w:rPr>
      </w:pPr>
    </w:p>
    <w:p w14:paraId="53DE4B92" w14:textId="77777777" w:rsidR="005E49C3" w:rsidRPr="00D72C18" w:rsidRDefault="005E49C3" w:rsidP="00B85FB5">
      <w:pPr>
        <w:pStyle w:val="Odstavekseznama"/>
        <w:numPr>
          <w:ilvl w:val="0"/>
          <w:numId w:val="10"/>
        </w:numPr>
        <w:rPr>
          <w:rFonts w:cs="Arial"/>
          <w:color w:val="000000" w:themeColor="text1"/>
          <w:szCs w:val="20"/>
          <w:lang w:val="sl-SI"/>
        </w:rPr>
      </w:pPr>
      <w:r w:rsidRPr="00D72C18">
        <w:rPr>
          <w:rFonts w:cs="Arial"/>
          <w:color w:val="000000" w:themeColor="text1"/>
          <w:szCs w:val="20"/>
          <w:lang w:val="sl-SI"/>
        </w:rPr>
        <w:t xml:space="preserve">Krepitev povezave med vplačili in prejetimi pravicami na ravni posameznika, </w:t>
      </w:r>
    </w:p>
    <w:p w14:paraId="1205F23D" w14:textId="77777777" w:rsidR="005E49C3" w:rsidRPr="00D72C18" w:rsidRDefault="005E49C3" w:rsidP="00B85FB5">
      <w:pPr>
        <w:pStyle w:val="Odstavekseznama"/>
        <w:numPr>
          <w:ilvl w:val="0"/>
          <w:numId w:val="10"/>
        </w:numPr>
        <w:rPr>
          <w:rFonts w:cs="Arial"/>
          <w:color w:val="000000" w:themeColor="text1"/>
          <w:szCs w:val="20"/>
          <w:lang w:val="sl-SI"/>
        </w:rPr>
      </w:pPr>
      <w:r w:rsidRPr="00D72C18">
        <w:rPr>
          <w:rFonts w:cs="Arial"/>
          <w:color w:val="000000" w:themeColor="text1"/>
          <w:szCs w:val="20"/>
          <w:lang w:val="sl-SI"/>
        </w:rPr>
        <w:t xml:space="preserve">Koristi za razvoj kapitalskega trga. S tem slovenski pokojninski sistem ne bi bil udeležen le v rasti domače ampak tudi globalne produktivnosti. </w:t>
      </w:r>
    </w:p>
    <w:p w14:paraId="092ACB9B" w14:textId="77777777" w:rsidR="005E49C3" w:rsidRPr="00D72C18" w:rsidRDefault="005E49C3" w:rsidP="00B85FB5">
      <w:pPr>
        <w:pStyle w:val="Odstavekseznama"/>
        <w:numPr>
          <w:ilvl w:val="0"/>
          <w:numId w:val="10"/>
        </w:numPr>
        <w:rPr>
          <w:rFonts w:cs="Arial"/>
          <w:color w:val="000000" w:themeColor="text1"/>
          <w:szCs w:val="20"/>
          <w:lang w:val="sl-SI"/>
        </w:rPr>
      </w:pPr>
      <w:r w:rsidRPr="00D72C18">
        <w:rPr>
          <w:rFonts w:cs="Arial"/>
          <w:color w:val="000000" w:themeColor="text1"/>
          <w:szCs w:val="20"/>
          <w:lang w:val="sl-SI"/>
        </w:rPr>
        <w:lastRenderedPageBreak/>
        <w:t>Koristi za celostno politiko pokojninskega sistema. Sistematično uvajanje drugega stebra pomeni dodaten instrument s parametri, ki ob prihodnjih reformah omogočajo celostne prilagoditve prvega in drugega stebra skupaj.</w:t>
      </w:r>
    </w:p>
    <w:p w14:paraId="49D1AAB0" w14:textId="77777777" w:rsidR="005E49C3" w:rsidRPr="00D72C18" w:rsidRDefault="005E49C3" w:rsidP="005E49C3">
      <w:pPr>
        <w:pStyle w:val="Odstavekseznama"/>
        <w:ind w:left="1080"/>
        <w:rPr>
          <w:rFonts w:cs="Arial"/>
          <w:color w:val="000000" w:themeColor="text1"/>
          <w:szCs w:val="20"/>
          <w:lang w:val="sl-SI"/>
        </w:rPr>
      </w:pPr>
    </w:p>
    <w:p w14:paraId="0B8DF051" w14:textId="59D58D86" w:rsidR="005E49C3" w:rsidRPr="00D72C18" w:rsidRDefault="005E49C3" w:rsidP="005E49C3">
      <w:pPr>
        <w:spacing w:after="120" w:line="276" w:lineRule="auto"/>
        <w:jc w:val="both"/>
        <w:rPr>
          <w:color w:val="000000" w:themeColor="text1"/>
          <w:lang w:val="sl-SI"/>
        </w:rPr>
      </w:pPr>
      <w:r w:rsidRPr="00D72C18">
        <w:rPr>
          <w:color w:val="000000" w:themeColor="text1"/>
          <w:lang w:val="sl-SI"/>
        </w:rPr>
        <w:t>V tem kontekstu nekateri člani opozarjajo, da j</w:t>
      </w:r>
      <w:r w:rsidR="00A02106">
        <w:rPr>
          <w:color w:val="000000" w:themeColor="text1"/>
          <w:lang w:val="sl-SI"/>
        </w:rPr>
        <w:t>e potrebna sprememba miselnosti: d</w:t>
      </w:r>
      <w:bookmarkStart w:id="0" w:name="_GoBack"/>
      <w:bookmarkEnd w:id="0"/>
      <w:r w:rsidRPr="00D72C18">
        <w:rPr>
          <w:color w:val="000000" w:themeColor="text1"/>
          <w:lang w:val="sl-SI"/>
        </w:rPr>
        <w:t xml:space="preserve">emografska piramida se je obrnila, zato PAYG sistem ne dela več, kot je bil zastavljen ob »mlajši« piramidi. Finančna vzdržnost PAYG terja izbiro med a) podaljševanjem delovne aktivnosti prebivalstva; b) zmanjševanjem pravic; c) rastjo prispevkov. Z vidika pravičnosti do tekoče aktivne populacije, ki ustvarja dodano vrednost, je daleč najslabša opcija c), ki obremenjuje produktivno populacijo in ruši zaupanje v sistem. </w:t>
      </w:r>
    </w:p>
    <w:p w14:paraId="0F94DDDA" w14:textId="5AC79837" w:rsidR="005E49C3" w:rsidRPr="00D72C18" w:rsidRDefault="005E49C3" w:rsidP="005E49C3">
      <w:pPr>
        <w:spacing w:after="120" w:line="276" w:lineRule="auto"/>
        <w:jc w:val="both"/>
        <w:rPr>
          <w:color w:val="000000" w:themeColor="text1"/>
          <w:lang w:val="sl-SI"/>
        </w:rPr>
      </w:pPr>
      <w:r w:rsidRPr="00D72C18">
        <w:rPr>
          <w:color w:val="000000" w:themeColor="text1"/>
          <w:lang w:val="sl-SI"/>
        </w:rPr>
        <w:t>Potrebna bi bila sprememba miselnosti v postopno kombinacijo prvega stebra z bolj sistematično in enotno zasnovanim drugim stebrom. To bi ob spremembah 1. stebra, ki se dolgoročno usklajuje samo z inflacijo, omogočalo udeležbo prihodnjih upokojenih populacij tudi v rasti produktivnosti preko naložb 2. stebra. V razpravi je bilo tudi izpostavljeno, da bi bilo potrebno ob tem nasloviti anomalije drugega stebra (npr. visoki stroški upravljanja, nizka ali negativna donosnost), ki ne prispevajo k njegovi privlačnosti. Prav tako nekateri opozarjajo, da bo krepitev drugega stebra pomenila tudi zahtevo po davčnih olajšavah in socialni kapici.</w:t>
      </w:r>
    </w:p>
    <w:p w14:paraId="5D0FAF76" w14:textId="47BDB517" w:rsidR="005E49C3" w:rsidRPr="00D72C18" w:rsidRDefault="005E49C3" w:rsidP="00B85FB5">
      <w:pPr>
        <w:rPr>
          <w:rFonts w:cs="Arial"/>
          <w:bCs/>
          <w:color w:val="000000" w:themeColor="text1"/>
          <w:szCs w:val="20"/>
          <w:lang w:val="sl-SI"/>
        </w:rPr>
      </w:pPr>
      <w:r w:rsidRPr="00D72C18">
        <w:rPr>
          <w:rFonts w:cs="Arial"/>
          <w:bCs/>
          <w:color w:val="000000" w:themeColor="text1"/>
          <w:szCs w:val="20"/>
          <w:lang w:val="sl-SI"/>
        </w:rPr>
        <w:t>V zvezi z razmislekom o vlogi drugega stebra sta bila podana dva konkretna predloga:</w:t>
      </w:r>
      <w:r w:rsidR="00B85FB5" w:rsidRPr="00D72C18">
        <w:rPr>
          <w:rFonts w:cs="Arial"/>
          <w:bCs/>
          <w:color w:val="000000" w:themeColor="text1"/>
          <w:szCs w:val="20"/>
          <w:lang w:val="sl-SI"/>
        </w:rPr>
        <w:br/>
      </w:r>
    </w:p>
    <w:p w14:paraId="3DCB35B5" w14:textId="77777777" w:rsidR="005E49C3" w:rsidRPr="00D72C18" w:rsidRDefault="005E49C3" w:rsidP="005E49C3">
      <w:pPr>
        <w:pStyle w:val="Odstavekseznama"/>
        <w:numPr>
          <w:ilvl w:val="0"/>
          <w:numId w:val="7"/>
        </w:numPr>
        <w:suppressAutoHyphens w:val="0"/>
        <w:spacing w:after="160" w:line="259" w:lineRule="auto"/>
        <w:ind w:left="1248" w:hanging="624"/>
        <w:jc w:val="both"/>
        <w:rPr>
          <w:rFonts w:cs="Arial"/>
          <w:color w:val="000000" w:themeColor="text1"/>
          <w:szCs w:val="20"/>
          <w:lang w:val="sl-SI"/>
        </w:rPr>
      </w:pPr>
      <w:r w:rsidRPr="00D72C18">
        <w:rPr>
          <w:rFonts w:cs="Arial"/>
          <w:color w:val="000000" w:themeColor="text1"/>
          <w:szCs w:val="20"/>
          <w:lang w:val="sl-SI"/>
        </w:rPr>
        <w:t>V kontekstu dodatnih prispevkov bi bilo smiselno razmisliti zgolj o »</w:t>
      </w:r>
      <w:proofErr w:type="spellStart"/>
      <w:r w:rsidRPr="00D72C18">
        <w:rPr>
          <w:rFonts w:cs="Arial"/>
          <w:color w:val="000000" w:themeColor="text1"/>
          <w:szCs w:val="20"/>
          <w:lang w:val="sl-SI"/>
        </w:rPr>
        <w:t>kvazi</w:t>
      </w:r>
      <w:proofErr w:type="spellEnd"/>
      <w:r w:rsidRPr="00D72C18">
        <w:rPr>
          <w:rFonts w:cs="Arial"/>
          <w:color w:val="000000" w:themeColor="text1"/>
          <w:szCs w:val="20"/>
          <w:lang w:val="sl-SI"/>
        </w:rPr>
        <w:t>« obvezni udeležbi v 2. stebru z možnostjo izstopa (</w:t>
      </w:r>
      <w:proofErr w:type="spellStart"/>
      <w:r w:rsidRPr="00D72C18">
        <w:rPr>
          <w:rFonts w:cs="Arial"/>
          <w:color w:val="000000" w:themeColor="text1"/>
          <w:szCs w:val="20"/>
          <w:lang w:val="sl-SI"/>
        </w:rPr>
        <w:t>opt</w:t>
      </w:r>
      <w:proofErr w:type="spellEnd"/>
      <w:r w:rsidRPr="00D72C18">
        <w:rPr>
          <w:rFonts w:cs="Arial"/>
          <w:color w:val="000000" w:themeColor="text1"/>
          <w:szCs w:val="20"/>
          <w:lang w:val="sl-SI"/>
        </w:rPr>
        <w:t xml:space="preserve"> out </w:t>
      </w:r>
      <w:proofErr w:type="spellStart"/>
      <w:r w:rsidRPr="00D72C18">
        <w:rPr>
          <w:rFonts w:cs="Arial"/>
          <w:color w:val="000000" w:themeColor="text1"/>
          <w:szCs w:val="20"/>
          <w:lang w:val="sl-SI"/>
        </w:rPr>
        <w:t>clause</w:t>
      </w:r>
      <w:proofErr w:type="spellEnd"/>
      <w:r w:rsidRPr="00D72C18">
        <w:rPr>
          <w:rFonts w:cs="Arial"/>
          <w:color w:val="000000" w:themeColor="text1"/>
          <w:szCs w:val="20"/>
          <w:lang w:val="sl-SI"/>
        </w:rPr>
        <w:t>). V tej shemi je delodajalec obvezan financirati svoj del premije, vse dokler je svoj del premije pripravljen financirati tudi delojemalec, ki pa lahko iz sheme kadarkoli izstopi. Gleda na izkušnje drugih držav bi se povečalo skupno število zavarovancev 2. stebra in s tem obseg sredstev v njegovem upravljanju.</w:t>
      </w:r>
    </w:p>
    <w:p w14:paraId="37D8338D" w14:textId="77777777" w:rsidR="005E49C3" w:rsidRPr="00D72C18" w:rsidRDefault="005E49C3" w:rsidP="005E49C3">
      <w:pPr>
        <w:pStyle w:val="Odstavekseznama"/>
        <w:numPr>
          <w:ilvl w:val="0"/>
          <w:numId w:val="7"/>
        </w:numPr>
        <w:suppressAutoHyphens w:val="0"/>
        <w:spacing w:after="160" w:line="259" w:lineRule="auto"/>
        <w:ind w:left="1248" w:hanging="624"/>
        <w:jc w:val="both"/>
        <w:rPr>
          <w:rFonts w:cs="Arial"/>
          <w:color w:val="000000" w:themeColor="text1"/>
          <w:szCs w:val="20"/>
          <w:lang w:val="sl-SI"/>
        </w:rPr>
      </w:pPr>
      <w:r w:rsidRPr="00D72C18">
        <w:rPr>
          <w:rFonts w:cs="Arial"/>
          <w:color w:val="000000" w:themeColor="text1"/>
          <w:szCs w:val="20"/>
          <w:lang w:val="sl-SI"/>
        </w:rPr>
        <w:t>Soobstoj obveznega in prostovoljnega dodatnega pokojninskega zavarovanja: obvezni del bi lahko deloval skupaj s prvim stebrom in bi lahko morda dolgoročno omogočal tudi razbremenitve v okviru prvega stebra. Pri uvajanju drugega stebra bi veljalo zlasti v obveznem delu zasledovati enoten pristop, ki bi ciljal na univerzalno pokritost, vezavo vplačil na dohodke in odpravljanje anomalij, kot so razlike med zasebnim in javnim sektorjem ter razlike med dejavnostmi. V prostovoljnem delu pa bi veljalo zaposlene in delodajalce še naprej stimulirati k dodatnemu varčevanju.</w:t>
      </w:r>
    </w:p>
    <w:p w14:paraId="4B191963" w14:textId="77777777" w:rsidR="00867C2C" w:rsidRPr="009E4C7D" w:rsidRDefault="00867C2C" w:rsidP="00867C2C">
      <w:pPr>
        <w:pStyle w:val="Odstavekseznama"/>
        <w:suppressAutoHyphens w:val="0"/>
        <w:spacing w:after="160" w:line="259" w:lineRule="auto"/>
        <w:ind w:left="1248"/>
        <w:jc w:val="both"/>
        <w:rPr>
          <w:rFonts w:cs="Arial"/>
          <w:color w:val="000000" w:themeColor="text1"/>
          <w:szCs w:val="20"/>
          <w:lang w:val="sl-SI"/>
        </w:rPr>
      </w:pPr>
    </w:p>
    <w:p w14:paraId="5C8AC5F4" w14:textId="46D74259" w:rsidR="00BD5A07" w:rsidRPr="00867C2C" w:rsidRDefault="00867C2C" w:rsidP="00867C2C">
      <w:pPr>
        <w:spacing w:after="120" w:line="276" w:lineRule="auto"/>
        <w:jc w:val="center"/>
        <w:rPr>
          <w:rFonts w:eastAsia="Calibri" w:cs="Arial"/>
          <w:b/>
          <w:szCs w:val="20"/>
          <w:lang w:val="sl-SI"/>
        </w:rPr>
      </w:pPr>
      <w:r>
        <w:rPr>
          <w:rFonts w:eastAsia="Calibri" w:cs="Arial"/>
          <w:b/>
          <w:szCs w:val="20"/>
          <w:lang w:val="sl-SI"/>
        </w:rPr>
        <w:t>AD/</w:t>
      </w:r>
      <w:r>
        <w:rPr>
          <w:rFonts w:eastAsia="Calibri" w:cs="Arial"/>
          <w:b/>
          <w:szCs w:val="20"/>
          <w:lang w:val="sl-SI"/>
        </w:rPr>
        <w:t>3</w:t>
      </w:r>
    </w:p>
    <w:p w14:paraId="42BB953B" w14:textId="35F07DEA" w:rsidR="008D76E4" w:rsidRPr="00867C2C" w:rsidRDefault="00420FE6" w:rsidP="00867C2C">
      <w:pPr>
        <w:spacing w:after="160" w:line="259" w:lineRule="auto"/>
        <w:jc w:val="both"/>
        <w:rPr>
          <w:rFonts w:eastAsia="Calibri" w:cs="Arial"/>
          <w:szCs w:val="20"/>
          <w:lang w:val="sl-SI"/>
        </w:rPr>
      </w:pPr>
      <w:r>
        <w:rPr>
          <w:rFonts w:eastAsia="Calibri" w:cs="Arial"/>
          <w:szCs w:val="20"/>
          <w:lang w:val="sl-SI"/>
        </w:rPr>
        <w:t xml:space="preserve">Seja se je zaključila ob </w:t>
      </w:r>
      <w:r w:rsidR="003D5890">
        <w:rPr>
          <w:rFonts w:eastAsia="Calibri" w:cs="Arial"/>
          <w:szCs w:val="20"/>
          <w:lang w:val="sl-SI"/>
        </w:rPr>
        <w:t>18</w:t>
      </w:r>
      <w:r>
        <w:rPr>
          <w:rFonts w:eastAsia="Calibri" w:cs="Arial"/>
          <w:szCs w:val="20"/>
          <w:lang w:val="sl-SI"/>
        </w:rPr>
        <w:t>.</w:t>
      </w:r>
      <w:r w:rsidR="005E49C3">
        <w:rPr>
          <w:rFonts w:eastAsia="Calibri" w:cs="Arial"/>
          <w:szCs w:val="20"/>
          <w:lang w:val="sl-SI"/>
        </w:rPr>
        <w:t>5</w:t>
      </w:r>
      <w:r>
        <w:rPr>
          <w:rFonts w:eastAsia="Calibri" w:cs="Arial"/>
          <w:szCs w:val="20"/>
          <w:lang w:val="sl-SI"/>
        </w:rPr>
        <w:t>0 uri.</w:t>
      </w:r>
    </w:p>
    <w:sectPr w:rsidR="008D76E4" w:rsidRPr="00867C2C">
      <w:headerReference w:type="first" r:id="rId8"/>
      <w:pgSz w:w="11906" w:h="16838"/>
      <w:pgMar w:top="1701" w:right="1274" w:bottom="1134" w:left="1418" w:header="964" w:footer="0" w:gutter="0"/>
      <w:cols w:space="708"/>
      <w:formProt w:val="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65E106" w16cid:durableId="2938015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C0F35" w14:textId="77777777" w:rsidR="00B84BCC" w:rsidRDefault="00B84BCC">
      <w:pPr>
        <w:spacing w:line="240" w:lineRule="auto"/>
      </w:pPr>
      <w:r>
        <w:separator/>
      </w:r>
    </w:p>
  </w:endnote>
  <w:endnote w:type="continuationSeparator" w:id="0">
    <w:p w14:paraId="545CC2B3" w14:textId="77777777" w:rsidR="00B84BCC" w:rsidRDefault="00B84B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3A889" w14:textId="77777777" w:rsidR="00B84BCC" w:rsidRDefault="00B84BCC">
      <w:pPr>
        <w:spacing w:line="240" w:lineRule="auto"/>
      </w:pPr>
      <w:r>
        <w:separator/>
      </w:r>
    </w:p>
  </w:footnote>
  <w:footnote w:type="continuationSeparator" w:id="0">
    <w:p w14:paraId="2975A81A" w14:textId="77777777" w:rsidR="00B84BCC" w:rsidRDefault="00B84BC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CB188" w14:textId="77777777" w:rsidR="008D76E4" w:rsidRDefault="00420FE6">
    <w:pPr>
      <w:pStyle w:val="Glava"/>
      <w:tabs>
        <w:tab w:val="clear" w:pos="4536"/>
        <w:tab w:val="clear" w:pos="9072"/>
        <w:tab w:val="left" w:pos="5112"/>
        <w:tab w:val="left" w:pos="8641"/>
      </w:tabs>
      <w:spacing w:before="340" w:line="240" w:lineRule="exact"/>
      <w:ind w:left="-765"/>
      <w:rPr>
        <w:rFonts w:cs="Arial"/>
        <w:sz w:val="16"/>
      </w:rPr>
    </w:pPr>
    <w:r>
      <w:rPr>
        <w:noProof/>
        <w:lang w:val="sl-SI" w:eastAsia="sl-SI"/>
      </w:rPr>
      <w:drawing>
        <wp:inline distT="0" distB="0" distL="0" distR="0" wp14:anchorId="1168FD39" wp14:editId="03C732BA">
          <wp:extent cx="2238375" cy="323850"/>
          <wp:effectExtent l="0" t="0" r="0" b="0"/>
          <wp:docPr id="1" name="Slika 9" descr="REPUBLIKA SLOVENIJA&#10;KABINET PREDSEDNIKA VL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9" descr="REPUBLIKA SLOVENIJA&#10;KABINET PREDSEDNIKA VLADE"/>
                  <pic:cNvPicPr>
                    <a:picLocks noChangeAspect="1" noChangeArrowheads="1"/>
                  </pic:cNvPicPr>
                </pic:nvPicPr>
                <pic:blipFill>
                  <a:blip r:embed="rId1"/>
                  <a:stretch>
                    <a:fillRect/>
                  </a:stretch>
                </pic:blipFill>
                <pic:spPr bwMode="auto">
                  <a:xfrm>
                    <a:off x="0" y="0"/>
                    <a:ext cx="2238375" cy="323850"/>
                  </a:xfrm>
                  <a:prstGeom prst="rect">
                    <a:avLst/>
                  </a:prstGeom>
                </pic:spPr>
              </pic:pic>
            </a:graphicData>
          </a:graphic>
        </wp:inline>
      </w:drawing>
    </w:r>
  </w:p>
  <w:p w14:paraId="57C3827A" w14:textId="5DD342FD" w:rsidR="008D76E4" w:rsidRDefault="00420FE6">
    <w:pPr>
      <w:pStyle w:val="Glava"/>
      <w:tabs>
        <w:tab w:val="clear" w:pos="4536"/>
        <w:tab w:val="clear" w:pos="9072"/>
        <w:tab w:val="left" w:pos="3544"/>
      </w:tabs>
      <w:spacing w:line="240" w:lineRule="exact"/>
      <w:rPr>
        <w:rFonts w:ascii="Republika" w:hAnsi="Republika" w:cs="Arial"/>
        <w:color w:val="54A1BC"/>
        <w:sz w:val="24"/>
      </w:rPr>
    </w:pPr>
    <w:proofErr w:type="spellStart"/>
    <w:r>
      <w:rPr>
        <w:rFonts w:ascii="Republika" w:hAnsi="Republika" w:cs="Arial"/>
        <w:color w:val="54A1BC"/>
        <w:sz w:val="24"/>
      </w:rPr>
      <w:t>Strateški</w:t>
    </w:r>
    <w:proofErr w:type="spellEnd"/>
    <w:r>
      <w:rPr>
        <w:rFonts w:ascii="Republika" w:hAnsi="Republika" w:cs="Arial"/>
        <w:color w:val="54A1BC"/>
        <w:sz w:val="24"/>
      </w:rPr>
      <w:t xml:space="preserve"> </w:t>
    </w:r>
    <w:proofErr w:type="spellStart"/>
    <w:r>
      <w:rPr>
        <w:rFonts w:ascii="Republika" w:hAnsi="Republika" w:cs="Arial"/>
        <w:color w:val="54A1BC"/>
        <w:sz w:val="24"/>
      </w:rPr>
      <w:t>svet</w:t>
    </w:r>
    <w:proofErr w:type="spellEnd"/>
    <w:r>
      <w:rPr>
        <w:rFonts w:ascii="Republika" w:hAnsi="Republika" w:cs="Arial"/>
        <w:color w:val="54A1BC"/>
        <w:sz w:val="24"/>
      </w:rPr>
      <w:t xml:space="preserve"> </w:t>
    </w:r>
    <w:proofErr w:type="spellStart"/>
    <w:r>
      <w:rPr>
        <w:rFonts w:ascii="Republika" w:hAnsi="Republika" w:cs="Arial"/>
        <w:color w:val="54A1BC"/>
        <w:sz w:val="24"/>
      </w:rPr>
      <w:t>za</w:t>
    </w:r>
    <w:proofErr w:type="spellEnd"/>
    <w:r>
      <w:rPr>
        <w:rFonts w:ascii="Republika" w:hAnsi="Republika" w:cs="Arial"/>
        <w:color w:val="54A1BC"/>
        <w:sz w:val="24"/>
      </w:rPr>
      <w:t xml:space="preserve"> </w:t>
    </w:r>
    <w:proofErr w:type="spellStart"/>
    <w:r w:rsidR="00170078">
      <w:rPr>
        <w:rFonts w:ascii="Republika" w:hAnsi="Republika" w:cs="Arial"/>
        <w:color w:val="54A1BC"/>
        <w:sz w:val="24"/>
      </w:rPr>
      <w:t>makroekonomska</w:t>
    </w:r>
    <w:proofErr w:type="spellEnd"/>
    <w:r w:rsidR="00170078">
      <w:rPr>
        <w:rFonts w:ascii="Republika" w:hAnsi="Republika" w:cs="Arial"/>
        <w:color w:val="54A1BC"/>
        <w:sz w:val="24"/>
      </w:rPr>
      <w:t xml:space="preserve"> </w:t>
    </w:r>
    <w:proofErr w:type="spellStart"/>
    <w:r w:rsidR="00170078">
      <w:rPr>
        <w:rFonts w:ascii="Republika" w:hAnsi="Republika" w:cs="Arial"/>
        <w:color w:val="54A1BC"/>
        <w:sz w:val="24"/>
      </w:rPr>
      <w:t>vprašanja</w:t>
    </w:r>
    <w:proofErr w:type="spellEnd"/>
    <w:r>
      <w:rPr>
        <w:rFonts w:ascii="Republika" w:hAnsi="Republika" w:cs="Arial"/>
        <w:color w:val="54A1BC"/>
        <w:sz w:val="24"/>
      </w:rPr>
      <w:tab/>
    </w:r>
    <w:r>
      <w:rPr>
        <w:rFonts w:ascii="Republika" w:hAnsi="Republika" w:cs="Arial"/>
        <w:color w:val="54A1BC"/>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E6C86"/>
    <w:multiLevelType w:val="hybridMultilevel"/>
    <w:tmpl w:val="41C6BE82"/>
    <w:lvl w:ilvl="0" w:tplc="31608512">
      <w:start w:val="1"/>
      <w:numFmt w:val="bullet"/>
      <w:lvlText w:val="•"/>
      <w:lvlJc w:val="left"/>
      <w:pPr>
        <w:tabs>
          <w:tab w:val="num" w:pos="720"/>
        </w:tabs>
        <w:ind w:left="720" w:hanging="360"/>
      </w:pPr>
      <w:rPr>
        <w:rFonts w:ascii="Arial" w:hAnsi="Arial" w:hint="default"/>
      </w:rPr>
    </w:lvl>
    <w:lvl w:ilvl="1" w:tplc="9C90BD76" w:tentative="1">
      <w:start w:val="1"/>
      <w:numFmt w:val="bullet"/>
      <w:lvlText w:val="•"/>
      <w:lvlJc w:val="left"/>
      <w:pPr>
        <w:tabs>
          <w:tab w:val="num" w:pos="1440"/>
        </w:tabs>
        <w:ind w:left="1440" w:hanging="360"/>
      </w:pPr>
      <w:rPr>
        <w:rFonts w:ascii="Arial" w:hAnsi="Arial" w:hint="default"/>
      </w:rPr>
    </w:lvl>
    <w:lvl w:ilvl="2" w:tplc="E15885B6" w:tentative="1">
      <w:start w:val="1"/>
      <w:numFmt w:val="bullet"/>
      <w:lvlText w:val="•"/>
      <w:lvlJc w:val="left"/>
      <w:pPr>
        <w:tabs>
          <w:tab w:val="num" w:pos="2160"/>
        </w:tabs>
        <w:ind w:left="2160" w:hanging="360"/>
      </w:pPr>
      <w:rPr>
        <w:rFonts w:ascii="Arial" w:hAnsi="Arial" w:hint="default"/>
      </w:rPr>
    </w:lvl>
    <w:lvl w:ilvl="3" w:tplc="15DAD3CA" w:tentative="1">
      <w:start w:val="1"/>
      <w:numFmt w:val="bullet"/>
      <w:lvlText w:val="•"/>
      <w:lvlJc w:val="left"/>
      <w:pPr>
        <w:tabs>
          <w:tab w:val="num" w:pos="2880"/>
        </w:tabs>
        <w:ind w:left="2880" w:hanging="360"/>
      </w:pPr>
      <w:rPr>
        <w:rFonts w:ascii="Arial" w:hAnsi="Arial" w:hint="default"/>
      </w:rPr>
    </w:lvl>
    <w:lvl w:ilvl="4" w:tplc="7EA05A90" w:tentative="1">
      <w:start w:val="1"/>
      <w:numFmt w:val="bullet"/>
      <w:lvlText w:val="•"/>
      <w:lvlJc w:val="left"/>
      <w:pPr>
        <w:tabs>
          <w:tab w:val="num" w:pos="3600"/>
        </w:tabs>
        <w:ind w:left="3600" w:hanging="360"/>
      </w:pPr>
      <w:rPr>
        <w:rFonts w:ascii="Arial" w:hAnsi="Arial" w:hint="default"/>
      </w:rPr>
    </w:lvl>
    <w:lvl w:ilvl="5" w:tplc="B36A5C6C" w:tentative="1">
      <w:start w:val="1"/>
      <w:numFmt w:val="bullet"/>
      <w:lvlText w:val="•"/>
      <w:lvlJc w:val="left"/>
      <w:pPr>
        <w:tabs>
          <w:tab w:val="num" w:pos="4320"/>
        </w:tabs>
        <w:ind w:left="4320" w:hanging="360"/>
      </w:pPr>
      <w:rPr>
        <w:rFonts w:ascii="Arial" w:hAnsi="Arial" w:hint="default"/>
      </w:rPr>
    </w:lvl>
    <w:lvl w:ilvl="6" w:tplc="09F08A9A" w:tentative="1">
      <w:start w:val="1"/>
      <w:numFmt w:val="bullet"/>
      <w:lvlText w:val="•"/>
      <w:lvlJc w:val="left"/>
      <w:pPr>
        <w:tabs>
          <w:tab w:val="num" w:pos="5040"/>
        </w:tabs>
        <w:ind w:left="5040" w:hanging="360"/>
      </w:pPr>
      <w:rPr>
        <w:rFonts w:ascii="Arial" w:hAnsi="Arial" w:hint="default"/>
      </w:rPr>
    </w:lvl>
    <w:lvl w:ilvl="7" w:tplc="DD9090FA" w:tentative="1">
      <w:start w:val="1"/>
      <w:numFmt w:val="bullet"/>
      <w:lvlText w:val="•"/>
      <w:lvlJc w:val="left"/>
      <w:pPr>
        <w:tabs>
          <w:tab w:val="num" w:pos="5760"/>
        </w:tabs>
        <w:ind w:left="5760" w:hanging="360"/>
      </w:pPr>
      <w:rPr>
        <w:rFonts w:ascii="Arial" w:hAnsi="Arial" w:hint="default"/>
      </w:rPr>
    </w:lvl>
    <w:lvl w:ilvl="8" w:tplc="4F7CD90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BBA6ECE"/>
    <w:multiLevelType w:val="hybridMultilevel"/>
    <w:tmpl w:val="3FB80138"/>
    <w:lvl w:ilvl="0" w:tplc="0809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2" w15:restartNumberingAfterBreak="0">
    <w:nsid w:val="26AC5783"/>
    <w:multiLevelType w:val="hybridMultilevel"/>
    <w:tmpl w:val="EC7CD5C6"/>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3D07463"/>
    <w:multiLevelType w:val="hybridMultilevel"/>
    <w:tmpl w:val="13EC82B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A85498C"/>
    <w:multiLevelType w:val="hybridMultilevel"/>
    <w:tmpl w:val="6EE83C1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3A951EAE"/>
    <w:multiLevelType w:val="multilevel"/>
    <w:tmpl w:val="473C3E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08F45FF"/>
    <w:multiLevelType w:val="hybridMultilevel"/>
    <w:tmpl w:val="2B3CEA0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B5811BF"/>
    <w:multiLevelType w:val="hybridMultilevel"/>
    <w:tmpl w:val="F67819D2"/>
    <w:lvl w:ilvl="0" w:tplc="08090015">
      <w:start w:val="1"/>
      <w:numFmt w:val="upp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 w15:restartNumberingAfterBreak="0">
    <w:nsid w:val="69A47FB5"/>
    <w:multiLevelType w:val="multilevel"/>
    <w:tmpl w:val="33DE46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73210A6B"/>
    <w:multiLevelType w:val="hybridMultilevel"/>
    <w:tmpl w:val="BB566578"/>
    <w:lvl w:ilvl="0" w:tplc="98822502">
      <w:numFmt w:val="bullet"/>
      <w:lvlText w:val="-"/>
      <w:lvlJc w:val="left"/>
      <w:pPr>
        <w:ind w:left="1080" w:hanging="360"/>
      </w:pPr>
      <w:rPr>
        <w:rFonts w:ascii="Calibri" w:eastAsia="Times New Roman"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0"/>
  </w:num>
  <w:num w:numId="4">
    <w:abstractNumId w:val="1"/>
  </w:num>
  <w:num w:numId="5">
    <w:abstractNumId w:val="7"/>
  </w:num>
  <w:num w:numId="6">
    <w:abstractNumId w:val="6"/>
  </w:num>
  <w:num w:numId="7">
    <w:abstractNumId w:val="2"/>
  </w:num>
  <w:num w:numId="8">
    <w:abstractNumId w:val="3"/>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6E4"/>
    <w:rsid w:val="00013722"/>
    <w:rsid w:val="00023BF8"/>
    <w:rsid w:val="00035359"/>
    <w:rsid w:val="000501F2"/>
    <w:rsid w:val="00067F60"/>
    <w:rsid w:val="000769F7"/>
    <w:rsid w:val="00085E74"/>
    <w:rsid w:val="000865F4"/>
    <w:rsid w:val="000B0933"/>
    <w:rsid w:val="000E5131"/>
    <w:rsid w:val="000F0C41"/>
    <w:rsid w:val="001168CC"/>
    <w:rsid w:val="001468AA"/>
    <w:rsid w:val="00161DDA"/>
    <w:rsid w:val="0017005A"/>
    <w:rsid w:val="00170078"/>
    <w:rsid w:val="00176842"/>
    <w:rsid w:val="00176DBC"/>
    <w:rsid w:val="00183BAF"/>
    <w:rsid w:val="001B1EB0"/>
    <w:rsid w:val="001D247E"/>
    <w:rsid w:val="001E2A02"/>
    <w:rsid w:val="00204890"/>
    <w:rsid w:val="00205C1A"/>
    <w:rsid w:val="00206E4F"/>
    <w:rsid w:val="0021461D"/>
    <w:rsid w:val="00215F41"/>
    <w:rsid w:val="00221E07"/>
    <w:rsid w:val="0023645F"/>
    <w:rsid w:val="00253B88"/>
    <w:rsid w:val="002577A6"/>
    <w:rsid w:val="00263A4B"/>
    <w:rsid w:val="00274111"/>
    <w:rsid w:val="002A1A0D"/>
    <w:rsid w:val="002B160D"/>
    <w:rsid w:val="002D25DD"/>
    <w:rsid w:val="002E03EB"/>
    <w:rsid w:val="002F68CA"/>
    <w:rsid w:val="002F7AAA"/>
    <w:rsid w:val="003010F3"/>
    <w:rsid w:val="003106B8"/>
    <w:rsid w:val="0031225A"/>
    <w:rsid w:val="00313E90"/>
    <w:rsid w:val="0031537D"/>
    <w:rsid w:val="00317BF7"/>
    <w:rsid w:val="003243D1"/>
    <w:rsid w:val="00332C4E"/>
    <w:rsid w:val="00351333"/>
    <w:rsid w:val="00361474"/>
    <w:rsid w:val="003755D9"/>
    <w:rsid w:val="00385151"/>
    <w:rsid w:val="0039584D"/>
    <w:rsid w:val="003A5B79"/>
    <w:rsid w:val="003A67CD"/>
    <w:rsid w:val="003C6F5F"/>
    <w:rsid w:val="003D52CA"/>
    <w:rsid w:val="003D5890"/>
    <w:rsid w:val="003E30D5"/>
    <w:rsid w:val="003E6541"/>
    <w:rsid w:val="00415DB8"/>
    <w:rsid w:val="00420FE6"/>
    <w:rsid w:val="00421706"/>
    <w:rsid w:val="00441333"/>
    <w:rsid w:val="004704C2"/>
    <w:rsid w:val="00485916"/>
    <w:rsid w:val="00494B71"/>
    <w:rsid w:val="004B4C39"/>
    <w:rsid w:val="004B5D40"/>
    <w:rsid w:val="004C23DE"/>
    <w:rsid w:val="004F1010"/>
    <w:rsid w:val="004F5003"/>
    <w:rsid w:val="005017EF"/>
    <w:rsid w:val="00502022"/>
    <w:rsid w:val="00506A5C"/>
    <w:rsid w:val="00534A1C"/>
    <w:rsid w:val="00562E16"/>
    <w:rsid w:val="0056662D"/>
    <w:rsid w:val="005674A4"/>
    <w:rsid w:val="00576437"/>
    <w:rsid w:val="005775A4"/>
    <w:rsid w:val="00591FC7"/>
    <w:rsid w:val="005E49C3"/>
    <w:rsid w:val="0061078F"/>
    <w:rsid w:val="006142D4"/>
    <w:rsid w:val="006226A1"/>
    <w:rsid w:val="00622886"/>
    <w:rsid w:val="006258A2"/>
    <w:rsid w:val="006308C5"/>
    <w:rsid w:val="00631469"/>
    <w:rsid w:val="00645A22"/>
    <w:rsid w:val="00655A05"/>
    <w:rsid w:val="006566CE"/>
    <w:rsid w:val="00674964"/>
    <w:rsid w:val="00675943"/>
    <w:rsid w:val="006839BD"/>
    <w:rsid w:val="00690CB0"/>
    <w:rsid w:val="00697DFE"/>
    <w:rsid w:val="006E089A"/>
    <w:rsid w:val="006E698A"/>
    <w:rsid w:val="00710C40"/>
    <w:rsid w:val="00732F31"/>
    <w:rsid w:val="00744050"/>
    <w:rsid w:val="007459C6"/>
    <w:rsid w:val="00747A84"/>
    <w:rsid w:val="00767E8C"/>
    <w:rsid w:val="00774489"/>
    <w:rsid w:val="00787CD6"/>
    <w:rsid w:val="007C4352"/>
    <w:rsid w:val="007C657B"/>
    <w:rsid w:val="007F1D4C"/>
    <w:rsid w:val="00833F6E"/>
    <w:rsid w:val="00854CA5"/>
    <w:rsid w:val="00867C2C"/>
    <w:rsid w:val="008920E1"/>
    <w:rsid w:val="008A61D8"/>
    <w:rsid w:val="008B72DE"/>
    <w:rsid w:val="008C3074"/>
    <w:rsid w:val="008D76E4"/>
    <w:rsid w:val="008F2AF6"/>
    <w:rsid w:val="0092107B"/>
    <w:rsid w:val="00926A3A"/>
    <w:rsid w:val="00941E7B"/>
    <w:rsid w:val="00960963"/>
    <w:rsid w:val="00962C01"/>
    <w:rsid w:val="0096349C"/>
    <w:rsid w:val="00972146"/>
    <w:rsid w:val="009728DD"/>
    <w:rsid w:val="00980EC3"/>
    <w:rsid w:val="00986C3C"/>
    <w:rsid w:val="009A00BE"/>
    <w:rsid w:val="009D2D02"/>
    <w:rsid w:val="009F227B"/>
    <w:rsid w:val="00A00328"/>
    <w:rsid w:val="00A02106"/>
    <w:rsid w:val="00A02584"/>
    <w:rsid w:val="00A0685E"/>
    <w:rsid w:val="00A07391"/>
    <w:rsid w:val="00A24CB2"/>
    <w:rsid w:val="00A348B0"/>
    <w:rsid w:val="00A354B3"/>
    <w:rsid w:val="00A36D31"/>
    <w:rsid w:val="00A42FC3"/>
    <w:rsid w:val="00A52FEA"/>
    <w:rsid w:val="00A54920"/>
    <w:rsid w:val="00A76CA3"/>
    <w:rsid w:val="00A84301"/>
    <w:rsid w:val="00A8688C"/>
    <w:rsid w:val="00A90D17"/>
    <w:rsid w:val="00A951D1"/>
    <w:rsid w:val="00AC2C01"/>
    <w:rsid w:val="00AC2F06"/>
    <w:rsid w:val="00AC4536"/>
    <w:rsid w:val="00AC729E"/>
    <w:rsid w:val="00AD6D04"/>
    <w:rsid w:val="00AF5D91"/>
    <w:rsid w:val="00B01831"/>
    <w:rsid w:val="00B0218E"/>
    <w:rsid w:val="00B113D9"/>
    <w:rsid w:val="00B42F5C"/>
    <w:rsid w:val="00B518E8"/>
    <w:rsid w:val="00B64082"/>
    <w:rsid w:val="00B807FC"/>
    <w:rsid w:val="00B84BCC"/>
    <w:rsid w:val="00B85FB5"/>
    <w:rsid w:val="00B87162"/>
    <w:rsid w:val="00B87390"/>
    <w:rsid w:val="00BB3DC4"/>
    <w:rsid w:val="00BC2171"/>
    <w:rsid w:val="00BD5A07"/>
    <w:rsid w:val="00BE144F"/>
    <w:rsid w:val="00BF3760"/>
    <w:rsid w:val="00C015C6"/>
    <w:rsid w:val="00C02CB2"/>
    <w:rsid w:val="00C303B5"/>
    <w:rsid w:val="00C640CA"/>
    <w:rsid w:val="00C72595"/>
    <w:rsid w:val="00C7503C"/>
    <w:rsid w:val="00CB37D4"/>
    <w:rsid w:val="00CE0C45"/>
    <w:rsid w:val="00CE7155"/>
    <w:rsid w:val="00D034C6"/>
    <w:rsid w:val="00D12BF5"/>
    <w:rsid w:val="00D30820"/>
    <w:rsid w:val="00D35D97"/>
    <w:rsid w:val="00D51425"/>
    <w:rsid w:val="00D5590D"/>
    <w:rsid w:val="00D7200B"/>
    <w:rsid w:val="00D72A04"/>
    <w:rsid w:val="00D72C18"/>
    <w:rsid w:val="00D750EB"/>
    <w:rsid w:val="00D802AB"/>
    <w:rsid w:val="00D93800"/>
    <w:rsid w:val="00DA0CE5"/>
    <w:rsid w:val="00DA6638"/>
    <w:rsid w:val="00DB120C"/>
    <w:rsid w:val="00DE323E"/>
    <w:rsid w:val="00DF14BF"/>
    <w:rsid w:val="00E848D5"/>
    <w:rsid w:val="00E92206"/>
    <w:rsid w:val="00E940DB"/>
    <w:rsid w:val="00E94A7B"/>
    <w:rsid w:val="00EA66DA"/>
    <w:rsid w:val="00EC0BE0"/>
    <w:rsid w:val="00ED5539"/>
    <w:rsid w:val="00EE11B2"/>
    <w:rsid w:val="00EF6846"/>
    <w:rsid w:val="00EF746D"/>
    <w:rsid w:val="00F3793D"/>
    <w:rsid w:val="00F43B1F"/>
    <w:rsid w:val="00F471AC"/>
    <w:rsid w:val="00F57A85"/>
    <w:rsid w:val="00F61547"/>
    <w:rsid w:val="00F71135"/>
    <w:rsid w:val="00F73425"/>
    <w:rsid w:val="00F80BBB"/>
    <w:rsid w:val="00F90847"/>
    <w:rsid w:val="00F90FE7"/>
    <w:rsid w:val="00F965B0"/>
    <w:rsid w:val="00FB169D"/>
    <w:rsid w:val="00FB1FD1"/>
    <w:rsid w:val="00FB58B3"/>
    <w:rsid w:val="00FB646D"/>
    <w:rsid w:val="00FC5E14"/>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2F6BE"/>
  <w15:docId w15:val="{AAD992EA-538E-4ECB-BB72-9DB82E02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67C2C"/>
    <w:pPr>
      <w:spacing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GlavaZnak">
    <w:name w:val="Glava Znak"/>
    <w:basedOn w:val="Privzetapisavaodstavka"/>
    <w:link w:val="Glava"/>
    <w:qFormat/>
    <w:rsid w:val="00B53BCB"/>
    <w:rPr>
      <w:rFonts w:ascii="Arial" w:eastAsia="Times New Roman" w:hAnsi="Arial" w:cs="Times New Roman"/>
      <w:sz w:val="20"/>
      <w:szCs w:val="24"/>
      <w:lang w:val="en-US"/>
    </w:rPr>
  </w:style>
  <w:style w:type="character" w:customStyle="1" w:styleId="NogaZnak">
    <w:name w:val="Noga Znak"/>
    <w:basedOn w:val="Privzetapisavaodstavka"/>
    <w:link w:val="Noga"/>
    <w:uiPriority w:val="99"/>
    <w:qFormat/>
    <w:rsid w:val="00B53BCB"/>
    <w:rPr>
      <w:rFonts w:ascii="Arial" w:eastAsia="Times New Roman" w:hAnsi="Arial" w:cs="Times New Roman"/>
      <w:sz w:val="20"/>
      <w:szCs w:val="24"/>
      <w:lang w:val="en-US"/>
    </w:rPr>
  </w:style>
  <w:style w:type="character" w:customStyle="1" w:styleId="BesedilooblakaZnak">
    <w:name w:val="Besedilo oblačka Znak"/>
    <w:basedOn w:val="Privzetapisavaodstavka"/>
    <w:link w:val="Besedilooblaka"/>
    <w:uiPriority w:val="99"/>
    <w:semiHidden/>
    <w:qFormat/>
    <w:rsid w:val="00223077"/>
    <w:rPr>
      <w:rFonts w:ascii="Segoe UI" w:eastAsia="Times New Roman" w:hAnsi="Segoe UI" w:cs="Segoe UI"/>
      <w:sz w:val="18"/>
      <w:szCs w:val="18"/>
      <w:lang w:val="en-US"/>
    </w:rPr>
  </w:style>
  <w:style w:type="character" w:styleId="Pripombasklic">
    <w:name w:val="annotation reference"/>
    <w:basedOn w:val="Privzetapisavaodstavka"/>
    <w:uiPriority w:val="99"/>
    <w:semiHidden/>
    <w:unhideWhenUsed/>
    <w:qFormat/>
    <w:rsid w:val="00BD3459"/>
    <w:rPr>
      <w:sz w:val="16"/>
      <w:szCs w:val="16"/>
    </w:rPr>
  </w:style>
  <w:style w:type="character" w:customStyle="1" w:styleId="PripombabesediloZnak">
    <w:name w:val="Pripomba – besedilo Znak"/>
    <w:basedOn w:val="Privzetapisavaodstavka"/>
    <w:link w:val="Pripombabesedilo"/>
    <w:uiPriority w:val="99"/>
    <w:qFormat/>
    <w:rsid w:val="00BD3459"/>
    <w:rPr>
      <w:rFonts w:ascii="Arial" w:eastAsia="Times New Roman" w:hAnsi="Arial" w:cs="Times New Roman"/>
      <w:sz w:val="20"/>
      <w:szCs w:val="20"/>
      <w:lang w:val="en-US"/>
    </w:rPr>
  </w:style>
  <w:style w:type="character" w:customStyle="1" w:styleId="ZadevapripombeZnak">
    <w:name w:val="Zadeva pripombe Znak"/>
    <w:basedOn w:val="PripombabesediloZnak"/>
    <w:link w:val="Zadevapripombe"/>
    <w:uiPriority w:val="99"/>
    <w:semiHidden/>
    <w:qFormat/>
    <w:rsid w:val="00BD3459"/>
    <w:rPr>
      <w:rFonts w:ascii="Arial" w:eastAsia="Times New Roman" w:hAnsi="Arial" w:cs="Times New Roman"/>
      <w:b/>
      <w:bCs/>
      <w:sz w:val="20"/>
      <w:szCs w:val="20"/>
      <w:lang w:val="en-US"/>
    </w:rPr>
  </w:style>
  <w:style w:type="paragraph" w:styleId="Naslov">
    <w:name w:val="Title"/>
    <w:basedOn w:val="Navaden"/>
    <w:next w:val="Telobesedila"/>
    <w:qFormat/>
    <w:pPr>
      <w:keepNext/>
      <w:spacing w:before="240" w:after="120"/>
    </w:pPr>
    <w:rPr>
      <w:rFonts w:ascii="Liberation Sans" w:eastAsia="Microsoft YaHei" w:hAnsi="Liberation Sans" w:cs="Lucida Sans"/>
      <w:sz w:val="28"/>
      <w:szCs w:val="28"/>
    </w:rPr>
  </w:style>
  <w:style w:type="paragraph" w:styleId="Telobesedila">
    <w:name w:val="Body Text"/>
    <w:basedOn w:val="Navaden"/>
    <w:pPr>
      <w:spacing w:after="140" w:line="276" w:lineRule="auto"/>
    </w:pPr>
  </w:style>
  <w:style w:type="paragraph" w:styleId="Seznam">
    <w:name w:val="List"/>
    <w:basedOn w:val="Telobesedila"/>
    <w:rPr>
      <w:rFonts w:cs="Lucida Sans"/>
    </w:rPr>
  </w:style>
  <w:style w:type="paragraph" w:styleId="Napis">
    <w:name w:val="caption"/>
    <w:basedOn w:val="Navaden"/>
    <w:qFormat/>
    <w:pPr>
      <w:suppressLineNumbers/>
      <w:spacing w:before="120" w:after="120"/>
    </w:pPr>
    <w:rPr>
      <w:rFonts w:cs="Lucida Sans"/>
      <w:i/>
      <w:iCs/>
      <w:sz w:val="24"/>
    </w:rPr>
  </w:style>
  <w:style w:type="paragraph" w:customStyle="1" w:styleId="Kazalo">
    <w:name w:val="Kazalo"/>
    <w:basedOn w:val="Navaden"/>
    <w:qFormat/>
    <w:pPr>
      <w:suppressLineNumbers/>
    </w:pPr>
    <w:rPr>
      <w:rFonts w:cs="Lucida Sans"/>
    </w:rPr>
  </w:style>
  <w:style w:type="paragraph" w:customStyle="1" w:styleId="datumtevilka">
    <w:name w:val="datum številka"/>
    <w:basedOn w:val="Navaden"/>
    <w:qFormat/>
    <w:rsid w:val="00B53BCB"/>
    <w:pPr>
      <w:tabs>
        <w:tab w:val="left" w:pos="1701"/>
      </w:tabs>
      <w:spacing w:line="260" w:lineRule="exact"/>
    </w:pPr>
    <w:rPr>
      <w:szCs w:val="20"/>
      <w:lang w:eastAsia="sl-SI"/>
    </w:rPr>
  </w:style>
  <w:style w:type="paragraph" w:customStyle="1" w:styleId="Glavainnoga">
    <w:name w:val="Glava in noga"/>
    <w:basedOn w:val="Navaden"/>
    <w:qFormat/>
  </w:style>
  <w:style w:type="paragraph" w:styleId="Glava">
    <w:name w:val="header"/>
    <w:basedOn w:val="Navaden"/>
    <w:link w:val="GlavaZnak"/>
    <w:unhideWhenUsed/>
    <w:rsid w:val="00B53BCB"/>
    <w:pPr>
      <w:tabs>
        <w:tab w:val="center" w:pos="4536"/>
        <w:tab w:val="right" w:pos="9072"/>
      </w:tabs>
      <w:spacing w:line="240" w:lineRule="auto"/>
    </w:pPr>
  </w:style>
  <w:style w:type="paragraph" w:styleId="Odstavekseznama">
    <w:name w:val="List Paragraph"/>
    <w:basedOn w:val="Navaden"/>
    <w:uiPriority w:val="34"/>
    <w:qFormat/>
    <w:rsid w:val="00B53BCB"/>
    <w:pPr>
      <w:ind w:left="720"/>
      <w:contextualSpacing/>
    </w:pPr>
  </w:style>
  <w:style w:type="paragraph" w:styleId="Noga">
    <w:name w:val="footer"/>
    <w:basedOn w:val="Navaden"/>
    <w:link w:val="NogaZnak"/>
    <w:uiPriority w:val="99"/>
    <w:unhideWhenUsed/>
    <w:rsid w:val="00B53BCB"/>
    <w:pPr>
      <w:tabs>
        <w:tab w:val="center" w:pos="4536"/>
        <w:tab w:val="right" w:pos="9072"/>
      </w:tabs>
      <w:spacing w:line="240" w:lineRule="auto"/>
    </w:pPr>
  </w:style>
  <w:style w:type="paragraph" w:styleId="Besedilooblaka">
    <w:name w:val="Balloon Text"/>
    <w:basedOn w:val="Navaden"/>
    <w:link w:val="BesedilooblakaZnak"/>
    <w:uiPriority w:val="99"/>
    <w:semiHidden/>
    <w:unhideWhenUsed/>
    <w:qFormat/>
    <w:rsid w:val="00223077"/>
    <w:pPr>
      <w:spacing w:line="240" w:lineRule="auto"/>
    </w:pPr>
    <w:rPr>
      <w:rFonts w:ascii="Segoe UI" w:hAnsi="Segoe UI" w:cs="Segoe UI"/>
      <w:sz w:val="18"/>
      <w:szCs w:val="18"/>
    </w:rPr>
  </w:style>
  <w:style w:type="paragraph" w:styleId="Revizija">
    <w:name w:val="Revision"/>
    <w:uiPriority w:val="99"/>
    <w:semiHidden/>
    <w:qFormat/>
    <w:rsid w:val="00BD3459"/>
    <w:rPr>
      <w:rFonts w:ascii="Arial" w:eastAsia="Times New Roman" w:hAnsi="Arial" w:cs="Times New Roman"/>
      <w:sz w:val="20"/>
      <w:szCs w:val="24"/>
      <w:lang w:val="en-US"/>
    </w:rPr>
  </w:style>
  <w:style w:type="paragraph" w:styleId="Pripombabesedilo">
    <w:name w:val="annotation text"/>
    <w:basedOn w:val="Navaden"/>
    <w:link w:val="PripombabesediloZnak"/>
    <w:uiPriority w:val="99"/>
    <w:unhideWhenUsed/>
    <w:qFormat/>
    <w:rsid w:val="00BD3459"/>
    <w:pPr>
      <w:spacing w:line="240" w:lineRule="auto"/>
    </w:pPr>
    <w:rPr>
      <w:szCs w:val="20"/>
    </w:rPr>
  </w:style>
  <w:style w:type="paragraph" w:styleId="Zadevapripombe">
    <w:name w:val="annotation subject"/>
    <w:basedOn w:val="Pripombabesedilo"/>
    <w:next w:val="Pripombabesedilo"/>
    <w:link w:val="ZadevapripombeZnak"/>
    <w:uiPriority w:val="99"/>
    <w:semiHidden/>
    <w:unhideWhenUsed/>
    <w:qFormat/>
    <w:rsid w:val="00BD3459"/>
    <w:rPr>
      <w:b/>
      <w:bCs/>
    </w:rPr>
  </w:style>
  <w:style w:type="paragraph" w:customStyle="1" w:styleId="Default">
    <w:name w:val="Default"/>
    <w:rsid w:val="006308C5"/>
    <w:pPr>
      <w:suppressAutoHyphens w:val="0"/>
      <w:autoSpaceDE w:val="0"/>
      <w:autoSpaceDN w:val="0"/>
      <w:adjustRightInd w:val="0"/>
    </w:pPr>
    <w:rPr>
      <w:rFonts w:ascii="Times New Roman" w:hAnsi="Times New Roman" w:cs="Times New Roman"/>
      <w:color w:val="000000"/>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501176">
      <w:bodyDiv w:val="1"/>
      <w:marLeft w:val="0"/>
      <w:marRight w:val="0"/>
      <w:marTop w:val="0"/>
      <w:marBottom w:val="0"/>
      <w:divBdr>
        <w:top w:val="none" w:sz="0" w:space="0" w:color="auto"/>
        <w:left w:val="none" w:sz="0" w:space="0" w:color="auto"/>
        <w:bottom w:val="none" w:sz="0" w:space="0" w:color="auto"/>
        <w:right w:val="none" w:sz="0" w:space="0" w:color="auto"/>
      </w:divBdr>
      <w:divsChild>
        <w:div w:id="128057470">
          <w:marLeft w:val="446"/>
          <w:marRight w:val="0"/>
          <w:marTop w:val="0"/>
          <w:marBottom w:val="0"/>
          <w:divBdr>
            <w:top w:val="none" w:sz="0" w:space="0" w:color="auto"/>
            <w:left w:val="none" w:sz="0" w:space="0" w:color="auto"/>
            <w:bottom w:val="none" w:sz="0" w:space="0" w:color="auto"/>
            <w:right w:val="none" w:sz="0" w:space="0" w:color="auto"/>
          </w:divBdr>
        </w:div>
        <w:div w:id="2004356992">
          <w:marLeft w:val="446"/>
          <w:marRight w:val="0"/>
          <w:marTop w:val="0"/>
          <w:marBottom w:val="0"/>
          <w:divBdr>
            <w:top w:val="none" w:sz="0" w:space="0" w:color="auto"/>
            <w:left w:val="none" w:sz="0" w:space="0" w:color="auto"/>
            <w:bottom w:val="none" w:sz="0" w:space="0" w:color="auto"/>
            <w:right w:val="none" w:sz="0" w:space="0" w:color="auto"/>
          </w:divBdr>
        </w:div>
        <w:div w:id="1913081267">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8944B20-5C4F-425A-A186-45DC0777A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1234</Words>
  <Characters>7039</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Metka Paragi</dc:creator>
  <dc:description/>
  <cp:lastModifiedBy>Erik Scheriani</cp:lastModifiedBy>
  <cp:revision>16</cp:revision>
  <cp:lastPrinted>2023-12-29T11:48:00Z</cp:lastPrinted>
  <dcterms:created xsi:type="dcterms:W3CDTF">2024-08-28T06:22:00Z</dcterms:created>
  <dcterms:modified xsi:type="dcterms:W3CDTF">2024-08-28T07:13:00Z</dcterms:modified>
  <dc:language>sl-SI</dc:language>
</cp:coreProperties>
</file>