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9A788B">
        <w:rPr>
          <w:rFonts w:ascii="Arial" w:hAnsi="Arial" w:cs="Arial"/>
          <w:b/>
          <w:sz w:val="20"/>
          <w:szCs w:val="20"/>
        </w:rPr>
        <w:t>zbiranje podatkov</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9A788B">
        <w:rPr>
          <w:rFonts w:ascii="Arial" w:hAnsi="Arial" w:cs="Arial"/>
          <w:b/>
          <w:sz w:val="20"/>
          <w:szCs w:val="20"/>
        </w:rPr>
        <w:t>anketiranje oseb in gospodinjstev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9A788B" w:rsidRDefault="009A788B" w:rsidP="00D6678E">
      <w:pPr>
        <w:jc w:val="both"/>
        <w:rPr>
          <w:rFonts w:ascii="Arial" w:hAnsi="Arial" w:cs="Arial"/>
          <w:sz w:val="20"/>
          <w:szCs w:val="20"/>
        </w:rPr>
      </w:pPr>
      <w:r w:rsidRPr="009A788B">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sodelovanje pri oblikovanju sistemskih rešitev in drugih najzahtevnejših gradiv</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vodenje in odločanje v prepisanih postopkih s področja dela</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vodenje oziroma sodelovanje v projektnih skupinah</w:t>
      </w:r>
      <w:r>
        <w:rPr>
          <w:rFonts w:ascii="Arial" w:hAnsi="Arial" w:cs="Arial"/>
          <w:sz w:val="20"/>
          <w:szCs w:val="20"/>
        </w:rPr>
        <w:t>,</w:t>
      </w:r>
    </w:p>
    <w:p w:rsidR="009A788B" w:rsidRDefault="009A788B" w:rsidP="00D6678E">
      <w:pPr>
        <w:jc w:val="both"/>
        <w:rPr>
          <w:rFonts w:ascii="Arial" w:hAnsi="Arial" w:cs="Arial"/>
          <w:sz w:val="20"/>
          <w:szCs w:val="20"/>
        </w:rPr>
      </w:pPr>
      <w:r w:rsidRPr="009A788B">
        <w:rPr>
          <w:rFonts w:ascii="Arial" w:hAnsi="Arial" w:cs="Arial"/>
          <w:sz w:val="20"/>
          <w:szCs w:val="20"/>
        </w:rPr>
        <w:t>- samostojno opravljanje drugih zahtevnejših nalog</w:t>
      </w:r>
      <w:r>
        <w:rPr>
          <w:rFonts w:ascii="Arial" w:hAnsi="Arial" w:cs="Arial"/>
          <w:sz w:val="20"/>
          <w:szCs w:val="20"/>
        </w:rPr>
        <w:t>,</w:t>
      </w:r>
    </w:p>
    <w:p w:rsidR="007C3AFC" w:rsidRDefault="009A788B" w:rsidP="00D6678E">
      <w:pPr>
        <w:jc w:val="both"/>
        <w:rPr>
          <w:rFonts w:ascii="Arial" w:hAnsi="Arial" w:cs="Arial"/>
          <w:sz w:val="20"/>
          <w:szCs w:val="20"/>
        </w:rPr>
      </w:pPr>
      <w:r w:rsidRPr="009A788B">
        <w:rPr>
          <w:rFonts w:ascii="Arial" w:hAnsi="Arial" w:cs="Arial"/>
          <w:sz w:val="20"/>
          <w:szCs w:val="20"/>
        </w:rPr>
        <w:t>- spremljanje predpisov s področja dela in samostojno oblikovanje predlogov ukrepov</w:t>
      </w:r>
      <w:r>
        <w:rPr>
          <w:rFonts w:ascii="Arial" w:hAnsi="Arial" w:cs="Arial"/>
          <w:sz w:val="20"/>
          <w:szCs w:val="20"/>
        </w:rPr>
        <w:t>.</w:t>
      </w:r>
    </w:p>
    <w:p w:rsidR="009A788B" w:rsidRDefault="009A788B" w:rsidP="00464463">
      <w:pPr>
        <w:jc w:val="both"/>
        <w:rPr>
          <w:rFonts w:ascii="Arial" w:hAnsi="Arial" w:cs="Arial"/>
          <w:sz w:val="20"/>
          <w:szCs w:val="20"/>
        </w:rPr>
      </w:pPr>
    </w:p>
    <w:p w:rsidR="00AD2B5F" w:rsidRPr="00AD2B5F" w:rsidRDefault="00AD2B5F" w:rsidP="00AD2B5F">
      <w:pPr>
        <w:jc w:val="both"/>
        <w:rPr>
          <w:rFonts w:ascii="Arial" w:hAnsi="Arial" w:cs="Arial"/>
          <w:sz w:val="20"/>
          <w:szCs w:val="20"/>
        </w:rPr>
      </w:pPr>
      <w:r w:rsidRPr="00AD2B5F">
        <w:rPr>
          <w:rFonts w:ascii="Arial" w:hAnsi="Arial" w:cs="Arial"/>
          <w:sz w:val="20"/>
          <w:szCs w:val="20"/>
        </w:rPr>
        <w:t>Izbrani kandidat bo na delovnem mestu višji svetovalec opravljal naloge s področja organizacije zbiranja podatkov oseb in gospodinjstev: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pridobivanje novih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organizacija dela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nadzor nad delom telefonskih in terenskih anketarjev,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analizi zbiranja podatkov,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pripravi poročil o zbiranju,</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pri načrtovanju izvedbe zbiranja podatkov,</w:t>
      </w:r>
    </w:p>
    <w:p w:rsidR="00AD2B5F" w:rsidRPr="00AD2B5F" w:rsidRDefault="00AD2B5F" w:rsidP="00AD2B5F">
      <w:pPr>
        <w:pStyle w:val="ListParagraph"/>
        <w:numPr>
          <w:ilvl w:val="0"/>
          <w:numId w:val="22"/>
        </w:numPr>
        <w:jc w:val="both"/>
        <w:rPr>
          <w:rFonts w:ascii="Arial" w:hAnsi="Arial" w:cs="Arial"/>
          <w:sz w:val="20"/>
          <w:szCs w:val="20"/>
        </w:rPr>
      </w:pPr>
      <w:r w:rsidRPr="00AD2B5F">
        <w:rPr>
          <w:rFonts w:ascii="Arial" w:hAnsi="Arial" w:cs="Arial"/>
          <w:sz w:val="20"/>
          <w:szCs w:val="20"/>
        </w:rPr>
        <w:t>sodelovanje z drugimi oddelki pri načrtovanju in izvedbi zbiranja podatkov.</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D4522D" w:rsidRDefault="00D4522D" w:rsidP="00AD2B5F">
      <w:pPr>
        <w:jc w:val="both"/>
        <w:rPr>
          <w:rFonts w:ascii="Arial" w:hAnsi="Arial" w:cs="Arial"/>
          <w:b/>
          <w:sz w:val="20"/>
          <w:szCs w:val="20"/>
        </w:rPr>
      </w:pPr>
    </w:p>
    <w:p w:rsidR="00D4522D" w:rsidRDefault="00D4522D" w:rsidP="00AD2B5F">
      <w:pPr>
        <w:jc w:val="both"/>
        <w:rPr>
          <w:rFonts w:ascii="Arial" w:hAnsi="Arial" w:cs="Arial"/>
          <w:b/>
          <w:sz w:val="20"/>
          <w:szCs w:val="20"/>
        </w:rPr>
      </w:pPr>
    </w:p>
    <w:p w:rsidR="00D4522D" w:rsidRDefault="00D4522D" w:rsidP="00AD2B5F">
      <w:pPr>
        <w:jc w:val="both"/>
        <w:rPr>
          <w:rFonts w:ascii="Arial" w:hAnsi="Arial" w:cs="Arial"/>
          <w:b/>
          <w:sz w:val="20"/>
          <w:szCs w:val="20"/>
        </w:rPr>
      </w:pPr>
    </w:p>
    <w:p w:rsidR="00D4522D" w:rsidRDefault="00D4522D" w:rsidP="00AD2B5F">
      <w:pPr>
        <w:jc w:val="both"/>
        <w:rPr>
          <w:rFonts w:ascii="Arial" w:hAnsi="Arial" w:cs="Arial"/>
          <w:b/>
          <w:sz w:val="20"/>
          <w:szCs w:val="20"/>
        </w:rPr>
      </w:pPr>
    </w:p>
    <w:p w:rsidR="00AD2B5F" w:rsidRDefault="00AD2B5F" w:rsidP="00AD2B5F">
      <w:pPr>
        <w:jc w:val="both"/>
        <w:rPr>
          <w:rFonts w:ascii="Arial" w:hAnsi="Arial" w:cs="Arial"/>
          <w:b/>
          <w:sz w:val="20"/>
          <w:szCs w:val="20"/>
        </w:rPr>
      </w:pPr>
      <w:bookmarkStart w:id="0" w:name="_GoBack"/>
      <w:bookmarkEnd w:id="0"/>
      <w:r w:rsidRPr="00AD2B5F">
        <w:rPr>
          <w:rFonts w:ascii="Arial" w:hAnsi="Arial" w:cs="Arial"/>
          <w:b/>
          <w:sz w:val="20"/>
          <w:szCs w:val="20"/>
        </w:rPr>
        <w:lastRenderedPageBreak/>
        <w:t>Od kandidatov pričakujemo:</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znanje uporabe računalniških programov: MS Word, MS Excel, MS Access,</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znanje angleškega jezika,</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poznavanje statističnih postopkov in metod,</w:t>
      </w:r>
    </w:p>
    <w:p w:rsidR="00AD2B5F" w:rsidRDefault="00AD2B5F" w:rsidP="00AD2B5F">
      <w:pPr>
        <w:numPr>
          <w:ilvl w:val="0"/>
          <w:numId w:val="23"/>
        </w:numPr>
        <w:jc w:val="both"/>
        <w:rPr>
          <w:rFonts w:ascii="Arial" w:hAnsi="Arial" w:cs="Arial"/>
          <w:sz w:val="20"/>
          <w:szCs w:val="20"/>
        </w:rPr>
      </w:pPr>
      <w:r>
        <w:rPr>
          <w:rFonts w:ascii="Arial" w:hAnsi="Arial" w:cs="Arial"/>
          <w:sz w:val="20"/>
          <w:szCs w:val="20"/>
        </w:rPr>
        <w:t>poznavanje osnov anketne metodologije,</w:t>
      </w:r>
    </w:p>
    <w:p w:rsidR="00AD2B5F" w:rsidRDefault="00AD2B5F" w:rsidP="00AD2B5F">
      <w:pPr>
        <w:numPr>
          <w:ilvl w:val="0"/>
          <w:numId w:val="24"/>
        </w:numPr>
        <w:jc w:val="both"/>
        <w:rPr>
          <w:rFonts w:ascii="Arial" w:hAnsi="Arial" w:cs="Arial"/>
          <w:sz w:val="20"/>
          <w:szCs w:val="20"/>
        </w:rPr>
      </w:pPr>
      <w:r>
        <w:rPr>
          <w:rFonts w:ascii="Arial" w:hAnsi="Arial" w:cs="Arial"/>
          <w:sz w:val="20"/>
          <w:szCs w:val="20"/>
        </w:rPr>
        <w:t>sposobnost dobrega pisnega in ustnega izražanja,</w:t>
      </w:r>
    </w:p>
    <w:p w:rsidR="00AD2B5F" w:rsidRDefault="00AD2B5F" w:rsidP="00AD2B5F">
      <w:pPr>
        <w:numPr>
          <w:ilvl w:val="0"/>
          <w:numId w:val="24"/>
        </w:numPr>
        <w:jc w:val="both"/>
        <w:rPr>
          <w:rFonts w:ascii="Arial" w:hAnsi="Arial" w:cs="Arial"/>
          <w:sz w:val="20"/>
          <w:szCs w:val="20"/>
        </w:rPr>
      </w:pPr>
      <w:r>
        <w:rPr>
          <w:rFonts w:ascii="Arial" w:hAnsi="Arial" w:cs="Arial"/>
          <w:sz w:val="20"/>
          <w:szCs w:val="20"/>
        </w:rPr>
        <w:t>dobre organizacijske sposobnosti.</w:t>
      </w:r>
    </w:p>
    <w:p w:rsidR="00314CC6" w:rsidRDefault="00314CC6" w:rsidP="00314CC6">
      <w:pPr>
        <w:jc w:val="both"/>
        <w:rPr>
          <w:rFonts w:ascii="Arial" w:hAnsi="Arial" w:cs="Arial"/>
          <w:sz w:val="20"/>
          <w:szCs w:val="20"/>
          <w:highlight w:val="yellow"/>
        </w:rPr>
      </w:pPr>
    </w:p>
    <w:p w:rsidR="00AD2B5F" w:rsidRDefault="00AD2B5F" w:rsidP="00AD2B5F">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in sposobnost za delo v skupini. Zaželene so tudi izkušnje pri delu s strankami.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D3347E" w:rsidRDefault="00D3347E" w:rsidP="00D3347E">
      <w:pPr>
        <w:jc w:val="both"/>
        <w:rPr>
          <w:rFonts w:ascii="Arial" w:hAnsi="Arial" w:cs="Arial"/>
          <w:sz w:val="20"/>
          <w:szCs w:val="20"/>
        </w:rPr>
      </w:pPr>
      <w:r>
        <w:rPr>
          <w:rFonts w:ascii="Arial" w:hAnsi="Arial" w:cs="Arial"/>
          <w:sz w:val="20"/>
          <w:szCs w:val="20"/>
        </w:rPr>
        <w:t>Izbrani kandidat bo delo na delovnem mestu višji svetovalec (izhodiščni plačni razred delovnega mesta/naziva je 22. plačni razred oziroma 2332,62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višji svetovalec III, z možnostjo napredovanja v naziv višji svetovalec II in višji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312CB9">
        <w:rPr>
          <w:rFonts w:ascii="Arial" w:hAnsi="Arial" w:cs="Arial"/>
          <w:sz w:val="20"/>
          <w:szCs w:val="20"/>
        </w:rPr>
        <w:t>7</w:t>
      </w:r>
      <w:r w:rsidRPr="00B00992">
        <w:rPr>
          <w:rFonts w:ascii="Arial" w:hAnsi="Arial" w:cs="Arial"/>
          <w:sz w:val="20"/>
          <w:szCs w:val="20"/>
        </w:rPr>
        <w:t>/20</w:t>
      </w:r>
      <w:r w:rsidR="005D05F7" w:rsidRPr="00B00992">
        <w:rPr>
          <w:rFonts w:ascii="Arial" w:hAnsi="Arial" w:cs="Arial"/>
          <w:sz w:val="20"/>
          <w:szCs w:val="20"/>
        </w:rPr>
        <w:t>2</w:t>
      </w:r>
      <w:r w:rsidR="00D3347E">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014D8D">
        <w:rPr>
          <w:rFonts w:ascii="Arial" w:hAnsi="Arial" w:cs="Arial"/>
          <w:sz w:val="20"/>
          <w:szCs w:val="20"/>
        </w:rPr>
        <w:t xml:space="preserve"> v roku 12</w:t>
      </w:r>
      <w:r w:rsidR="00960827">
        <w:rPr>
          <w:rFonts w:ascii="Arial" w:hAnsi="Arial" w:cs="Arial"/>
          <w:sz w:val="20"/>
          <w:szCs w:val="20"/>
        </w:rPr>
        <w:t xml:space="preserve">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312CB9">
        <w:rPr>
          <w:rFonts w:ascii="Arial" w:hAnsi="Arial" w:cs="Arial"/>
          <w:sz w:val="20"/>
          <w:szCs w:val="20"/>
        </w:rPr>
        <w:t>Luka Zupanc, telefon: 01 2340 556</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4522D">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4522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4522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4522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8D"/>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093E"/>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2C22"/>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82EB6"/>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A4275"/>
    <w:rsid w:val="00BA43C9"/>
    <w:rsid w:val="00BA5448"/>
    <w:rsid w:val="00BB3FAF"/>
    <w:rsid w:val="00BC007C"/>
    <w:rsid w:val="00BC3483"/>
    <w:rsid w:val="00BC4A64"/>
    <w:rsid w:val="00BC545E"/>
    <w:rsid w:val="00BD13A5"/>
    <w:rsid w:val="00BD2D16"/>
    <w:rsid w:val="00BD3640"/>
    <w:rsid w:val="00BD55F3"/>
    <w:rsid w:val="00BD77D0"/>
    <w:rsid w:val="00BE2DE3"/>
    <w:rsid w:val="00BE71C0"/>
    <w:rsid w:val="00BF1B2A"/>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347E"/>
    <w:rsid w:val="00D35756"/>
    <w:rsid w:val="00D408D3"/>
    <w:rsid w:val="00D411A7"/>
    <w:rsid w:val="00D431AB"/>
    <w:rsid w:val="00D4522D"/>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618B1FD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3147400">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353C-9895-423F-8480-3A1C3BA0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1369</Words>
  <Characters>10516</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2022-09-01T09:03:00Z</cp:lastPrinted>
  <dcterms:created xsi:type="dcterms:W3CDTF">2025-01-28T09:31:00Z</dcterms:created>
  <dcterms:modified xsi:type="dcterms:W3CDTF">2025-01-28T09:32:00Z</dcterms:modified>
</cp:coreProperties>
</file>